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33856" w14:textId="32B06FEC" w:rsidR="006C4A20" w:rsidRPr="001E3008" w:rsidRDefault="006C4A20" w:rsidP="00E6622A">
      <w:pPr>
        <w:pStyle w:val="NoNumHead2"/>
        <w:keepLines/>
        <w:jc w:val="center"/>
        <w:rPr>
          <w:rFonts w:cs="Arial"/>
          <w:sz w:val="24"/>
          <w:szCs w:val="24"/>
          <w:lang w:val="en-US"/>
        </w:rPr>
      </w:pPr>
      <w:r w:rsidRPr="001E3008">
        <w:rPr>
          <w:rFonts w:cs="Arial"/>
          <w:sz w:val="24"/>
          <w:szCs w:val="24"/>
          <w:lang w:val="en-US"/>
        </w:rPr>
        <w:t>Product Information</w:t>
      </w:r>
    </w:p>
    <w:p w14:paraId="5740A8D0" w14:textId="2B91AD64" w:rsidR="001E3008" w:rsidRDefault="008D026C" w:rsidP="005E2608">
      <w:pPr>
        <w:pStyle w:val="Heading1"/>
        <w:spacing w:before="120" w:after="120" w:line="276" w:lineRule="auto"/>
        <w:rPr>
          <w:rFonts w:ascii="Times New Roman" w:eastAsiaTheme="minorHAnsi" w:hAnsi="Times New Roman"/>
          <w:caps/>
          <w:kern w:val="0"/>
          <w:sz w:val="34"/>
          <w:lang w:val="en-US"/>
        </w:rPr>
      </w:pPr>
      <w:r>
        <w:rPr>
          <w:rFonts w:ascii="Times New Roman" w:eastAsiaTheme="minorHAnsi" w:hAnsi="Times New Roman"/>
          <w:caps/>
          <w:kern w:val="0"/>
          <w:sz w:val="34"/>
          <w:lang w:val="en-US"/>
        </w:rPr>
        <w:t>KISQALI</w:t>
      </w:r>
      <w:r w:rsidR="004C3E69" w:rsidRPr="001E3008">
        <w:rPr>
          <w:rFonts w:ascii="Times New Roman" w:eastAsiaTheme="minorHAnsi" w:hAnsi="Times New Roman"/>
          <w:caps/>
          <w:kern w:val="0"/>
          <w:sz w:val="34"/>
          <w:vertAlign w:val="superscript"/>
          <w:lang w:val="en-US"/>
        </w:rPr>
        <w:t>®</w:t>
      </w:r>
      <w:r w:rsidR="006C4A20" w:rsidRPr="001E3008">
        <w:rPr>
          <w:rFonts w:ascii="Times New Roman" w:eastAsiaTheme="minorHAnsi" w:hAnsi="Times New Roman"/>
          <w:caps/>
          <w:kern w:val="0"/>
          <w:sz w:val="34"/>
          <w:lang w:val="en-US"/>
        </w:rPr>
        <w:t xml:space="preserve"> </w:t>
      </w:r>
      <w:r w:rsidR="00D75295">
        <w:rPr>
          <w:rFonts w:ascii="Times New Roman" w:eastAsiaTheme="minorHAnsi" w:hAnsi="Times New Roman"/>
          <w:caps/>
          <w:kern w:val="0"/>
          <w:sz w:val="34"/>
          <w:lang w:val="en-US"/>
        </w:rPr>
        <w:t>TABLETS</w:t>
      </w:r>
    </w:p>
    <w:p w14:paraId="5553BA90" w14:textId="49250139" w:rsidR="006C4A20" w:rsidRPr="001E3008" w:rsidRDefault="006C4A20" w:rsidP="005E2608">
      <w:pPr>
        <w:pStyle w:val="Heading2"/>
        <w:spacing w:before="120" w:after="240" w:line="276" w:lineRule="auto"/>
        <w:jc w:val="left"/>
        <w:rPr>
          <w:rFonts w:eastAsiaTheme="minorHAnsi"/>
          <w:caps/>
          <w:sz w:val="30"/>
          <w:lang w:val="en-US"/>
        </w:rPr>
      </w:pPr>
      <w:r w:rsidRPr="001E3008">
        <w:rPr>
          <w:rFonts w:eastAsiaTheme="minorHAnsi"/>
          <w:caps/>
          <w:sz w:val="30"/>
          <w:lang w:val="en-US"/>
        </w:rPr>
        <w:t>Name of the Medicine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7334"/>
      </w:tblGrid>
      <w:tr w:rsidR="005521B0" w14:paraId="7FDC33FD" w14:textId="77777777" w:rsidTr="00304FE1">
        <w:trPr>
          <w:jc w:val="center"/>
        </w:trPr>
        <w:tc>
          <w:tcPr>
            <w:tcW w:w="2122" w:type="dxa"/>
            <w:vAlign w:val="center"/>
          </w:tcPr>
          <w:p w14:paraId="55560A08" w14:textId="2D7C9330" w:rsidR="005521B0" w:rsidRDefault="005521B0" w:rsidP="009C491F">
            <w:pPr>
              <w:pStyle w:val="Heading1"/>
              <w:spacing w:before="120" w:after="120" w:line="276" w:lineRule="auto"/>
              <w:outlineLvl w:val="0"/>
              <w:rPr>
                <w:rFonts w:ascii="Times New Roman" w:hAnsi="Times New Roman" w:cs="Times New Roman"/>
                <w:b w:val="0"/>
                <w:sz w:val="24"/>
                <w:szCs w:val="24"/>
                <w:lang w:val="en-US"/>
              </w:rPr>
            </w:pPr>
            <w:r w:rsidRPr="009C491F">
              <w:rPr>
                <w:rFonts w:ascii="Times New Roman" w:hAnsi="Times New Roman" w:cs="Times New Roman"/>
                <w:b w:val="0"/>
                <w:sz w:val="24"/>
                <w:szCs w:val="24"/>
                <w:lang w:val="en-US"/>
              </w:rPr>
              <w:t>Active ingredient:</w:t>
            </w:r>
          </w:p>
        </w:tc>
        <w:tc>
          <w:tcPr>
            <w:tcW w:w="7556" w:type="dxa"/>
            <w:vAlign w:val="center"/>
          </w:tcPr>
          <w:p w14:paraId="60CBA740" w14:textId="4290DA86" w:rsidR="005521B0" w:rsidRDefault="005521B0" w:rsidP="009C491F">
            <w:pPr>
              <w:pStyle w:val="Heading1"/>
              <w:spacing w:before="120" w:after="120" w:line="276" w:lineRule="auto"/>
              <w:outlineLvl w:val="0"/>
              <w:rPr>
                <w:rFonts w:ascii="Times New Roman" w:hAnsi="Times New Roman" w:cs="Times New Roman"/>
                <w:b w:val="0"/>
                <w:sz w:val="24"/>
                <w:szCs w:val="24"/>
                <w:lang w:val="en-US"/>
              </w:rPr>
            </w:pPr>
            <w:proofErr w:type="spellStart"/>
            <w:proofErr w:type="gramStart"/>
            <w:r>
              <w:rPr>
                <w:rFonts w:ascii="Times New Roman" w:hAnsi="Times New Roman" w:cs="Times New Roman"/>
                <w:b w:val="0"/>
                <w:sz w:val="24"/>
                <w:szCs w:val="24"/>
                <w:lang w:val="en-US"/>
              </w:rPr>
              <w:t>ribociclib</w:t>
            </w:r>
            <w:proofErr w:type="spellEnd"/>
            <w:proofErr w:type="gramEnd"/>
            <w:r>
              <w:rPr>
                <w:rFonts w:ascii="Times New Roman" w:hAnsi="Times New Roman" w:cs="Times New Roman"/>
                <w:b w:val="0"/>
                <w:sz w:val="24"/>
                <w:szCs w:val="24"/>
                <w:lang w:val="en-US"/>
              </w:rPr>
              <w:t xml:space="preserve"> succinate</w:t>
            </w:r>
          </w:p>
        </w:tc>
      </w:tr>
      <w:tr w:rsidR="005521B0" w:rsidRPr="003122D0" w14:paraId="227B909B" w14:textId="77777777" w:rsidTr="003122D0">
        <w:trPr>
          <w:jc w:val="center"/>
        </w:trPr>
        <w:tc>
          <w:tcPr>
            <w:tcW w:w="2122" w:type="dxa"/>
          </w:tcPr>
          <w:p w14:paraId="3DC366C6" w14:textId="2460554B" w:rsidR="005521B0" w:rsidRDefault="005521B0" w:rsidP="009C491F">
            <w:pPr>
              <w:pStyle w:val="Heading1"/>
              <w:spacing w:before="120" w:after="120" w:line="276" w:lineRule="auto"/>
              <w:outlineLvl w:val="0"/>
              <w:rPr>
                <w:rFonts w:ascii="Times New Roman" w:hAnsi="Times New Roman" w:cs="Times New Roman"/>
                <w:b w:val="0"/>
                <w:sz w:val="24"/>
                <w:szCs w:val="24"/>
                <w:lang w:val="en-US"/>
              </w:rPr>
            </w:pPr>
            <w:r w:rsidRPr="005521B0">
              <w:rPr>
                <w:rFonts w:ascii="Times New Roman" w:hAnsi="Times New Roman" w:cs="Times New Roman"/>
                <w:b w:val="0"/>
                <w:sz w:val="24"/>
                <w:szCs w:val="24"/>
                <w:lang w:val="en-US"/>
              </w:rPr>
              <w:t>Chemical name:</w:t>
            </w:r>
          </w:p>
        </w:tc>
        <w:tc>
          <w:tcPr>
            <w:tcW w:w="7556" w:type="dxa"/>
          </w:tcPr>
          <w:p w14:paraId="0C4A8922" w14:textId="3EE99D27" w:rsidR="005521B0" w:rsidRPr="003122D0" w:rsidRDefault="0015176D" w:rsidP="003122D0">
            <w:pPr>
              <w:pStyle w:val="Heading1"/>
              <w:spacing w:before="120" w:after="120" w:line="276" w:lineRule="auto"/>
              <w:outlineLvl w:val="0"/>
              <w:rPr>
                <w:rFonts w:ascii="Times New Roman" w:hAnsi="Times New Roman" w:cs="Times New Roman"/>
                <w:b w:val="0"/>
                <w:sz w:val="24"/>
                <w:szCs w:val="24"/>
                <w:lang w:val="en-US"/>
              </w:rPr>
            </w:pPr>
            <w:proofErr w:type="spellStart"/>
            <w:proofErr w:type="gramStart"/>
            <w:r w:rsidRPr="003122D0">
              <w:rPr>
                <w:rFonts w:ascii="Times New Roman" w:hAnsi="Times New Roman" w:cs="Times New Roman"/>
                <w:b w:val="0"/>
                <w:sz w:val="24"/>
                <w:szCs w:val="24"/>
                <w:lang w:val="en-US"/>
              </w:rPr>
              <w:t>b</w:t>
            </w:r>
            <w:r w:rsidR="008A6352" w:rsidRPr="003122D0">
              <w:rPr>
                <w:rFonts w:ascii="Times New Roman" w:hAnsi="Times New Roman" w:cs="Times New Roman"/>
                <w:b w:val="0"/>
                <w:sz w:val="24"/>
                <w:szCs w:val="24"/>
                <w:lang w:val="en-US"/>
              </w:rPr>
              <w:t>utanedioic</w:t>
            </w:r>
            <w:proofErr w:type="spellEnd"/>
            <w:proofErr w:type="gramEnd"/>
            <w:r w:rsidR="008A6352" w:rsidRPr="003122D0">
              <w:rPr>
                <w:rFonts w:ascii="Times New Roman" w:hAnsi="Times New Roman" w:cs="Times New Roman"/>
                <w:b w:val="0"/>
                <w:sz w:val="24"/>
                <w:szCs w:val="24"/>
                <w:lang w:val="en-US"/>
              </w:rPr>
              <w:t xml:space="preserve"> acid - 7-</w:t>
            </w:r>
            <w:r w:rsidR="0095789D" w:rsidRPr="003122D0">
              <w:rPr>
                <w:rFonts w:ascii="Times New Roman" w:hAnsi="Times New Roman" w:cs="Times New Roman"/>
                <w:b w:val="0"/>
                <w:sz w:val="24"/>
                <w:szCs w:val="24"/>
                <w:lang w:val="en-US"/>
              </w:rPr>
              <w:t>c</w:t>
            </w:r>
            <w:r w:rsidR="008A6352" w:rsidRPr="003122D0">
              <w:rPr>
                <w:rFonts w:ascii="Times New Roman" w:hAnsi="Times New Roman" w:cs="Times New Roman"/>
                <w:b w:val="0"/>
                <w:sz w:val="24"/>
                <w:szCs w:val="24"/>
                <w:lang w:val="en-US"/>
              </w:rPr>
              <w:t>yclopentyl-</w:t>
            </w:r>
            <w:r w:rsidR="008A6352" w:rsidRPr="00D96B4E">
              <w:rPr>
                <w:rFonts w:ascii="Times New Roman" w:hAnsi="Times New Roman" w:cs="Times New Roman"/>
                <w:b w:val="0"/>
                <w:i/>
                <w:sz w:val="24"/>
                <w:szCs w:val="24"/>
                <w:lang w:val="en-US"/>
              </w:rPr>
              <w:t>N,N</w:t>
            </w:r>
            <w:r w:rsidR="008A6352" w:rsidRPr="003122D0">
              <w:rPr>
                <w:rFonts w:ascii="Times New Roman" w:hAnsi="Times New Roman" w:cs="Times New Roman"/>
                <w:b w:val="0"/>
                <w:sz w:val="24"/>
                <w:szCs w:val="24"/>
                <w:lang w:val="en-US"/>
              </w:rPr>
              <w:t>-dimethyl-2-{[5-(piperazin-1-yl) pyridin-2-yl]amino}-7H-pyrrolo[2,3-</w:t>
            </w:r>
            <w:r w:rsidR="008A6352" w:rsidRPr="00D96B4E">
              <w:rPr>
                <w:rFonts w:ascii="Times New Roman" w:hAnsi="Times New Roman" w:cs="Times New Roman"/>
                <w:b w:val="0"/>
                <w:i/>
                <w:sz w:val="24"/>
                <w:szCs w:val="24"/>
                <w:lang w:val="en-US"/>
              </w:rPr>
              <w:t>d</w:t>
            </w:r>
            <w:r w:rsidR="008A6352" w:rsidRPr="003122D0">
              <w:rPr>
                <w:rFonts w:ascii="Times New Roman" w:hAnsi="Times New Roman" w:cs="Times New Roman"/>
                <w:b w:val="0"/>
                <w:sz w:val="24"/>
                <w:szCs w:val="24"/>
                <w:lang w:val="en-US"/>
              </w:rPr>
              <w:t>]pyrimidine-6-carboxamide (1/1)</w:t>
            </w:r>
          </w:p>
        </w:tc>
      </w:tr>
      <w:tr w:rsidR="005521B0" w14:paraId="5093BF48" w14:textId="77777777" w:rsidTr="00304FE1">
        <w:trPr>
          <w:jc w:val="center"/>
        </w:trPr>
        <w:tc>
          <w:tcPr>
            <w:tcW w:w="2122" w:type="dxa"/>
          </w:tcPr>
          <w:p w14:paraId="79674712" w14:textId="02CA6CCE" w:rsidR="005521B0" w:rsidRDefault="005521B0" w:rsidP="00FA030D">
            <w:pPr>
              <w:spacing w:line="300" w:lineRule="atLeast"/>
              <w:jc w:val="both"/>
              <w:rPr>
                <w:b/>
                <w:lang w:val="en-US"/>
              </w:rPr>
            </w:pPr>
            <w:r>
              <w:rPr>
                <w:lang w:val="en-US"/>
              </w:rPr>
              <w:t>Chemical structure:</w:t>
            </w:r>
          </w:p>
        </w:tc>
        <w:tc>
          <w:tcPr>
            <w:tcW w:w="7556" w:type="dxa"/>
          </w:tcPr>
          <w:p w14:paraId="0A1E89A9" w14:textId="0D7F99EA" w:rsidR="005521B0" w:rsidRDefault="00F5490E" w:rsidP="009C491F">
            <w:pPr>
              <w:pStyle w:val="Heading1"/>
              <w:spacing w:before="120" w:after="120" w:line="276" w:lineRule="auto"/>
              <w:outlineLvl w:val="0"/>
              <w:rPr>
                <w:rFonts w:ascii="Times New Roman" w:hAnsi="Times New Roman" w:cs="Times New Roman"/>
                <w:b w:val="0"/>
                <w:sz w:val="24"/>
                <w:szCs w:val="24"/>
                <w:lang w:val="en-US"/>
              </w:rPr>
            </w:pPr>
            <w:r>
              <w:rPr>
                <w:noProof/>
              </w:rPr>
              <w:drawing>
                <wp:inline distT="0" distB="0" distL="0" distR="0" wp14:anchorId="73404FAA" wp14:editId="0D42655F">
                  <wp:extent cx="347168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80758" cy="1375185"/>
                          </a:xfrm>
                          <a:prstGeom prst="rect">
                            <a:avLst/>
                          </a:prstGeom>
                        </pic:spPr>
                      </pic:pic>
                    </a:graphicData>
                  </a:graphic>
                </wp:inline>
              </w:drawing>
            </w:r>
          </w:p>
        </w:tc>
      </w:tr>
      <w:tr w:rsidR="005521B0" w14:paraId="330ECCE4" w14:textId="77777777" w:rsidTr="00304FE1">
        <w:trPr>
          <w:jc w:val="center"/>
        </w:trPr>
        <w:tc>
          <w:tcPr>
            <w:tcW w:w="2122" w:type="dxa"/>
            <w:vAlign w:val="center"/>
          </w:tcPr>
          <w:p w14:paraId="4F1E1169" w14:textId="1C3DD293" w:rsidR="005521B0" w:rsidRDefault="005521B0" w:rsidP="005521B0">
            <w:pPr>
              <w:spacing w:line="300" w:lineRule="atLeast"/>
              <w:jc w:val="both"/>
              <w:rPr>
                <w:b/>
                <w:lang w:val="en-US"/>
              </w:rPr>
            </w:pPr>
            <w:r w:rsidRPr="0050246D">
              <w:rPr>
                <w:lang w:val="pt-BR"/>
              </w:rPr>
              <w:t>Molecular</w:t>
            </w:r>
            <w:r w:rsidRPr="005E2608">
              <w:rPr>
                <w:lang w:val="pt-BR"/>
              </w:rPr>
              <w:t xml:space="preserve"> formula</w:t>
            </w:r>
            <w:r w:rsidRPr="0050246D">
              <w:rPr>
                <w:lang w:val="pt-BR"/>
              </w:rPr>
              <w:t>:</w:t>
            </w:r>
          </w:p>
        </w:tc>
        <w:tc>
          <w:tcPr>
            <w:tcW w:w="7556" w:type="dxa"/>
            <w:vAlign w:val="center"/>
          </w:tcPr>
          <w:p w14:paraId="4F8EC455" w14:textId="1301D06B" w:rsidR="005521B0" w:rsidRPr="00F5490E" w:rsidRDefault="00F5490E" w:rsidP="009C491F">
            <w:pPr>
              <w:pStyle w:val="Heading1"/>
              <w:spacing w:before="120" w:after="120" w:line="276" w:lineRule="auto"/>
              <w:outlineLvl w:val="0"/>
              <w:rPr>
                <w:rFonts w:ascii="Times New Roman" w:hAnsi="Times New Roman" w:cs="Times New Roman"/>
                <w:b w:val="0"/>
                <w:sz w:val="24"/>
                <w:szCs w:val="24"/>
                <w:lang w:val="en-US"/>
              </w:rPr>
            </w:pPr>
            <w:r w:rsidRPr="00F5490E">
              <w:rPr>
                <w:rFonts w:ascii="Times New Roman" w:hAnsi="Times New Roman" w:cs="Times New Roman"/>
                <w:b w:val="0"/>
                <w:sz w:val="24"/>
                <w:szCs w:val="24"/>
                <w:lang w:val="en-US"/>
              </w:rPr>
              <w:t>C</w:t>
            </w:r>
            <w:r w:rsidRPr="00F5490E">
              <w:rPr>
                <w:rFonts w:ascii="Times New Roman" w:hAnsi="Times New Roman" w:cs="Times New Roman"/>
                <w:b w:val="0"/>
                <w:sz w:val="24"/>
                <w:szCs w:val="24"/>
                <w:vertAlign w:val="subscript"/>
                <w:lang w:val="en-US"/>
              </w:rPr>
              <w:t>23</w:t>
            </w:r>
            <w:r w:rsidRPr="00F5490E">
              <w:rPr>
                <w:rFonts w:ascii="Times New Roman" w:hAnsi="Times New Roman" w:cs="Times New Roman"/>
                <w:b w:val="0"/>
                <w:sz w:val="24"/>
                <w:szCs w:val="24"/>
                <w:lang w:val="en-US"/>
              </w:rPr>
              <w:t>H</w:t>
            </w:r>
            <w:r w:rsidRPr="00F5490E">
              <w:rPr>
                <w:rFonts w:ascii="Times New Roman" w:hAnsi="Times New Roman" w:cs="Times New Roman"/>
                <w:b w:val="0"/>
                <w:sz w:val="24"/>
                <w:szCs w:val="24"/>
                <w:vertAlign w:val="subscript"/>
                <w:lang w:val="en-US"/>
              </w:rPr>
              <w:t>30</w:t>
            </w:r>
            <w:r w:rsidRPr="00F5490E">
              <w:rPr>
                <w:rFonts w:ascii="Times New Roman" w:hAnsi="Times New Roman" w:cs="Times New Roman"/>
                <w:b w:val="0"/>
                <w:sz w:val="24"/>
                <w:szCs w:val="24"/>
                <w:lang w:val="en-US"/>
              </w:rPr>
              <w:t>N</w:t>
            </w:r>
            <w:r w:rsidRPr="00F5490E">
              <w:rPr>
                <w:rFonts w:ascii="Times New Roman" w:hAnsi="Times New Roman" w:cs="Times New Roman"/>
                <w:b w:val="0"/>
                <w:sz w:val="24"/>
                <w:szCs w:val="24"/>
                <w:vertAlign w:val="subscript"/>
                <w:lang w:val="en-US"/>
              </w:rPr>
              <w:t>8</w:t>
            </w:r>
            <w:r w:rsidRPr="00F5490E">
              <w:rPr>
                <w:rFonts w:ascii="Times New Roman" w:hAnsi="Times New Roman" w:cs="Times New Roman"/>
                <w:b w:val="0"/>
                <w:sz w:val="24"/>
                <w:szCs w:val="24"/>
                <w:lang w:val="en-US"/>
              </w:rPr>
              <w:t>O.C</w:t>
            </w:r>
            <w:r w:rsidRPr="00F5490E">
              <w:rPr>
                <w:rFonts w:ascii="Times New Roman" w:hAnsi="Times New Roman" w:cs="Times New Roman"/>
                <w:b w:val="0"/>
                <w:sz w:val="24"/>
                <w:szCs w:val="24"/>
                <w:vertAlign w:val="subscript"/>
                <w:lang w:val="en-US"/>
              </w:rPr>
              <w:t>4</w:t>
            </w:r>
            <w:r w:rsidRPr="00F5490E">
              <w:rPr>
                <w:rFonts w:ascii="Times New Roman" w:hAnsi="Times New Roman" w:cs="Times New Roman"/>
                <w:b w:val="0"/>
                <w:sz w:val="24"/>
                <w:szCs w:val="24"/>
                <w:lang w:val="en-US"/>
              </w:rPr>
              <w:t>H</w:t>
            </w:r>
            <w:r w:rsidRPr="00F5490E">
              <w:rPr>
                <w:rFonts w:ascii="Times New Roman" w:hAnsi="Times New Roman" w:cs="Times New Roman"/>
                <w:b w:val="0"/>
                <w:sz w:val="24"/>
                <w:szCs w:val="24"/>
                <w:vertAlign w:val="subscript"/>
                <w:lang w:val="en-US"/>
              </w:rPr>
              <w:t>6</w:t>
            </w:r>
            <w:r w:rsidRPr="00F5490E">
              <w:rPr>
                <w:rFonts w:ascii="Times New Roman" w:hAnsi="Times New Roman" w:cs="Times New Roman"/>
                <w:b w:val="0"/>
                <w:sz w:val="24"/>
                <w:szCs w:val="24"/>
                <w:lang w:val="en-US"/>
              </w:rPr>
              <w:t>O</w:t>
            </w:r>
            <w:r w:rsidRPr="00F5490E">
              <w:rPr>
                <w:rFonts w:ascii="Times New Roman" w:hAnsi="Times New Roman" w:cs="Times New Roman"/>
                <w:b w:val="0"/>
                <w:sz w:val="24"/>
                <w:szCs w:val="24"/>
                <w:vertAlign w:val="subscript"/>
                <w:lang w:val="en-US"/>
              </w:rPr>
              <w:t>4</w:t>
            </w:r>
          </w:p>
        </w:tc>
      </w:tr>
      <w:tr w:rsidR="005521B0" w14:paraId="79240712" w14:textId="77777777" w:rsidTr="00304FE1">
        <w:trPr>
          <w:jc w:val="center"/>
        </w:trPr>
        <w:tc>
          <w:tcPr>
            <w:tcW w:w="2122" w:type="dxa"/>
            <w:vAlign w:val="center"/>
          </w:tcPr>
          <w:p w14:paraId="59D722C4" w14:textId="7C87EAC3" w:rsidR="005521B0" w:rsidRDefault="005521B0" w:rsidP="005521B0">
            <w:pPr>
              <w:spacing w:line="300" w:lineRule="atLeast"/>
              <w:jc w:val="both"/>
              <w:rPr>
                <w:b/>
                <w:lang w:val="en-US"/>
              </w:rPr>
            </w:pPr>
            <w:r w:rsidRPr="0050246D">
              <w:rPr>
                <w:color w:val="000000"/>
                <w:lang w:val="pt-BR"/>
              </w:rPr>
              <w:t>Molecular weight:</w:t>
            </w:r>
          </w:p>
        </w:tc>
        <w:tc>
          <w:tcPr>
            <w:tcW w:w="7556" w:type="dxa"/>
            <w:vAlign w:val="center"/>
          </w:tcPr>
          <w:p w14:paraId="2D5D8E2C" w14:textId="2DD47070" w:rsidR="005521B0" w:rsidRDefault="007D4050" w:rsidP="007D4050">
            <w:pPr>
              <w:pStyle w:val="Heading1"/>
              <w:spacing w:before="120" w:after="120" w:line="276" w:lineRule="auto"/>
              <w:outlineLvl w:val="0"/>
              <w:rPr>
                <w:rFonts w:ascii="Times New Roman" w:hAnsi="Times New Roman" w:cs="Times New Roman"/>
                <w:b w:val="0"/>
                <w:sz w:val="24"/>
                <w:szCs w:val="24"/>
                <w:lang w:val="en-US"/>
              </w:rPr>
            </w:pPr>
            <w:r>
              <w:rPr>
                <w:rFonts w:ascii="Times New Roman" w:hAnsi="Times New Roman" w:cs="Times New Roman"/>
                <w:b w:val="0"/>
                <w:sz w:val="24"/>
                <w:szCs w:val="24"/>
                <w:lang w:val="en-US"/>
              </w:rPr>
              <w:t xml:space="preserve">As </w:t>
            </w:r>
            <w:r w:rsidRPr="007D4050">
              <w:rPr>
                <w:rFonts w:ascii="Times New Roman" w:hAnsi="Times New Roman" w:cs="Times New Roman"/>
                <w:b w:val="0"/>
                <w:sz w:val="24"/>
                <w:szCs w:val="24"/>
                <w:lang w:val="en-US"/>
              </w:rPr>
              <w:t>succinate</w:t>
            </w:r>
            <w:r w:rsidR="00304FE1">
              <w:rPr>
                <w:rFonts w:ascii="Times New Roman" w:hAnsi="Times New Roman" w:cs="Times New Roman"/>
                <w:b w:val="0"/>
                <w:sz w:val="24"/>
                <w:szCs w:val="24"/>
                <w:lang w:val="en-US"/>
              </w:rPr>
              <w:t xml:space="preserve">: </w:t>
            </w:r>
            <w:r w:rsidR="00304FE1" w:rsidRPr="00304FE1">
              <w:rPr>
                <w:rFonts w:ascii="Times New Roman" w:hAnsi="Times New Roman" w:cs="Times New Roman"/>
                <w:b w:val="0"/>
                <w:sz w:val="24"/>
                <w:szCs w:val="24"/>
                <w:lang w:val="en-US"/>
              </w:rPr>
              <w:t>552.6</w:t>
            </w:r>
            <w:r w:rsidR="00E54B41">
              <w:rPr>
                <w:rFonts w:ascii="Times New Roman" w:hAnsi="Times New Roman" w:cs="Times New Roman"/>
                <w:b w:val="0"/>
                <w:sz w:val="24"/>
                <w:szCs w:val="24"/>
                <w:lang w:val="en-US"/>
              </w:rPr>
              <w:t>4</w:t>
            </w:r>
            <w:r w:rsidR="00304FE1">
              <w:rPr>
                <w:rFonts w:ascii="Times New Roman" w:hAnsi="Times New Roman" w:cs="Times New Roman"/>
                <w:b w:val="0"/>
                <w:sz w:val="24"/>
                <w:szCs w:val="24"/>
                <w:lang w:val="en-US"/>
              </w:rPr>
              <w:t>, and f</w:t>
            </w:r>
            <w:r w:rsidR="00304FE1" w:rsidRPr="00304FE1">
              <w:rPr>
                <w:rFonts w:ascii="Times New Roman" w:hAnsi="Times New Roman" w:cs="Times New Roman"/>
                <w:b w:val="0"/>
                <w:sz w:val="24"/>
                <w:szCs w:val="24"/>
                <w:lang w:val="en-US"/>
              </w:rPr>
              <w:t>ree base: 434.5</w:t>
            </w:r>
            <w:r w:rsidR="00E54B41">
              <w:rPr>
                <w:rFonts w:ascii="Times New Roman" w:hAnsi="Times New Roman" w:cs="Times New Roman"/>
                <w:b w:val="0"/>
                <w:sz w:val="24"/>
                <w:szCs w:val="24"/>
                <w:lang w:val="en-US"/>
              </w:rPr>
              <w:t>5</w:t>
            </w:r>
          </w:p>
        </w:tc>
      </w:tr>
      <w:tr w:rsidR="005521B0" w:rsidRPr="00B809AC" w14:paraId="0FEC18C6" w14:textId="77777777" w:rsidTr="00304FE1">
        <w:trPr>
          <w:jc w:val="center"/>
        </w:trPr>
        <w:tc>
          <w:tcPr>
            <w:tcW w:w="2122" w:type="dxa"/>
            <w:vAlign w:val="center"/>
          </w:tcPr>
          <w:p w14:paraId="76303C9D" w14:textId="5D18636F" w:rsidR="005521B0" w:rsidRPr="00974DBB" w:rsidRDefault="005521B0" w:rsidP="00B809AC">
            <w:pPr>
              <w:pStyle w:val="Heading1"/>
              <w:spacing w:before="120" w:after="120" w:line="276" w:lineRule="auto"/>
              <w:outlineLvl w:val="0"/>
              <w:rPr>
                <w:rFonts w:ascii="Times New Roman" w:hAnsi="Times New Roman" w:cs="Times New Roman"/>
                <w:b w:val="0"/>
                <w:sz w:val="24"/>
                <w:szCs w:val="24"/>
                <w:lang w:val="en-US"/>
              </w:rPr>
            </w:pPr>
            <w:r w:rsidRPr="00974DBB">
              <w:rPr>
                <w:rFonts w:ascii="Times New Roman" w:hAnsi="Times New Roman" w:cs="Times New Roman"/>
                <w:b w:val="0"/>
                <w:sz w:val="24"/>
                <w:szCs w:val="24"/>
                <w:lang w:val="en-US"/>
              </w:rPr>
              <w:t>CAS number</w:t>
            </w:r>
            <w:r w:rsidR="00B809AC">
              <w:rPr>
                <w:rFonts w:ascii="Times New Roman" w:hAnsi="Times New Roman" w:cs="Times New Roman"/>
                <w:b w:val="0"/>
                <w:sz w:val="24"/>
                <w:szCs w:val="24"/>
                <w:lang w:val="en-US"/>
              </w:rPr>
              <w:t>s</w:t>
            </w:r>
            <w:r w:rsidRPr="00974DBB">
              <w:rPr>
                <w:rFonts w:ascii="Times New Roman" w:hAnsi="Times New Roman" w:cs="Times New Roman"/>
                <w:b w:val="0"/>
                <w:sz w:val="24"/>
                <w:szCs w:val="24"/>
                <w:lang w:val="en-US"/>
              </w:rPr>
              <w:t xml:space="preserve">: </w:t>
            </w:r>
          </w:p>
        </w:tc>
        <w:tc>
          <w:tcPr>
            <w:tcW w:w="7556" w:type="dxa"/>
            <w:vAlign w:val="center"/>
          </w:tcPr>
          <w:p w14:paraId="339255A3" w14:textId="6D326B54" w:rsidR="005521B0" w:rsidRDefault="00974DBB" w:rsidP="00EB56A8">
            <w:pPr>
              <w:pStyle w:val="Heading1"/>
              <w:spacing w:before="120" w:after="120" w:line="276" w:lineRule="auto"/>
              <w:outlineLvl w:val="0"/>
              <w:rPr>
                <w:rFonts w:ascii="Times New Roman" w:hAnsi="Times New Roman" w:cs="Times New Roman"/>
                <w:b w:val="0"/>
                <w:sz w:val="24"/>
                <w:szCs w:val="24"/>
                <w:lang w:val="en-US"/>
              </w:rPr>
            </w:pPr>
            <w:r w:rsidRPr="00974DBB">
              <w:rPr>
                <w:rFonts w:ascii="Times New Roman" w:hAnsi="Times New Roman" w:cs="Times New Roman"/>
                <w:b w:val="0"/>
                <w:sz w:val="24"/>
                <w:szCs w:val="24"/>
                <w:lang w:val="en-US"/>
              </w:rPr>
              <w:t>1374639-75-4 (</w:t>
            </w:r>
            <w:r w:rsidR="00EB56A8">
              <w:rPr>
                <w:rFonts w:ascii="Times New Roman" w:hAnsi="Times New Roman" w:cs="Times New Roman"/>
                <w:b w:val="0"/>
                <w:sz w:val="24"/>
                <w:szCs w:val="24"/>
                <w:lang w:val="en-US"/>
              </w:rPr>
              <w:t xml:space="preserve">as </w:t>
            </w:r>
            <w:r w:rsidRPr="00974DBB">
              <w:rPr>
                <w:rFonts w:ascii="Times New Roman" w:hAnsi="Times New Roman" w:cs="Times New Roman"/>
                <w:b w:val="0"/>
                <w:sz w:val="24"/>
                <w:szCs w:val="24"/>
                <w:lang w:val="en-US"/>
              </w:rPr>
              <w:t>succinate)</w:t>
            </w:r>
            <w:r>
              <w:rPr>
                <w:rFonts w:ascii="Times New Roman" w:hAnsi="Times New Roman" w:cs="Times New Roman"/>
                <w:b w:val="0"/>
                <w:sz w:val="24"/>
                <w:szCs w:val="24"/>
                <w:lang w:val="en-US"/>
              </w:rPr>
              <w:t xml:space="preserve"> and </w:t>
            </w:r>
            <w:r w:rsidRPr="00974DBB">
              <w:rPr>
                <w:rFonts w:ascii="Times New Roman" w:hAnsi="Times New Roman" w:cs="Times New Roman"/>
                <w:b w:val="0"/>
                <w:sz w:val="24"/>
                <w:szCs w:val="24"/>
                <w:lang w:val="en-US"/>
              </w:rPr>
              <w:t>1211441-98-3 (</w:t>
            </w:r>
            <w:r w:rsidR="00EB56A8">
              <w:rPr>
                <w:rFonts w:ascii="Times New Roman" w:hAnsi="Times New Roman" w:cs="Times New Roman"/>
                <w:b w:val="0"/>
                <w:sz w:val="24"/>
                <w:szCs w:val="24"/>
                <w:lang w:val="en-US"/>
              </w:rPr>
              <w:t xml:space="preserve">as </w:t>
            </w:r>
            <w:r w:rsidRPr="00974DBB">
              <w:rPr>
                <w:rFonts w:ascii="Times New Roman" w:hAnsi="Times New Roman" w:cs="Times New Roman"/>
                <w:b w:val="0"/>
                <w:sz w:val="24"/>
                <w:szCs w:val="24"/>
                <w:lang w:val="en-US"/>
              </w:rPr>
              <w:t>free base)</w:t>
            </w:r>
          </w:p>
        </w:tc>
      </w:tr>
    </w:tbl>
    <w:p w14:paraId="5553BAA0" w14:textId="77777777" w:rsidR="006C4A20" w:rsidRPr="005E2608" w:rsidRDefault="006C4A20" w:rsidP="005E2608">
      <w:pPr>
        <w:pStyle w:val="Heading2"/>
        <w:spacing w:before="120" w:after="240" w:line="276" w:lineRule="auto"/>
        <w:jc w:val="left"/>
        <w:rPr>
          <w:rFonts w:eastAsiaTheme="minorHAnsi"/>
          <w:caps/>
          <w:sz w:val="30"/>
          <w:lang w:val="en-GB"/>
        </w:rPr>
      </w:pPr>
      <w:r w:rsidRPr="005E2608">
        <w:rPr>
          <w:rFonts w:eastAsiaTheme="minorHAnsi"/>
          <w:caps/>
          <w:sz w:val="30"/>
          <w:lang w:val="en-GB"/>
        </w:rPr>
        <w:t>DESCRIPTION</w:t>
      </w:r>
    </w:p>
    <w:p w14:paraId="1B37AE92" w14:textId="73179371" w:rsidR="00D75295" w:rsidRDefault="00785DBF" w:rsidP="008870FE">
      <w:pPr>
        <w:spacing w:after="120" w:line="300" w:lineRule="atLeast"/>
        <w:jc w:val="both"/>
      </w:pPr>
      <w:r>
        <w:rPr>
          <w:lang w:val="en-GB"/>
        </w:rPr>
        <w:t>KISQALI</w:t>
      </w:r>
      <w:r w:rsidR="00922CE6" w:rsidRPr="005E2608">
        <w:rPr>
          <w:lang w:val="en-GB"/>
        </w:rPr>
        <w:t xml:space="preserve"> tablets </w:t>
      </w:r>
      <w:r w:rsidR="0033622C">
        <w:rPr>
          <w:lang w:val="en-GB"/>
        </w:rPr>
        <w:t xml:space="preserve">contain </w:t>
      </w:r>
      <w:proofErr w:type="spellStart"/>
      <w:r w:rsidR="0033622C">
        <w:rPr>
          <w:lang w:val="en-GB"/>
        </w:rPr>
        <w:t>ribociclib</w:t>
      </w:r>
      <w:proofErr w:type="spellEnd"/>
      <w:r w:rsidR="0033622C">
        <w:rPr>
          <w:lang w:val="en-GB"/>
        </w:rPr>
        <w:t xml:space="preserve"> </w:t>
      </w:r>
      <w:proofErr w:type="gramStart"/>
      <w:r w:rsidR="0033622C">
        <w:rPr>
          <w:lang w:val="en-GB"/>
        </w:rPr>
        <w:t>succinate</w:t>
      </w:r>
      <w:r w:rsidR="002373F7">
        <w:rPr>
          <w:lang w:val="en-GB"/>
        </w:rPr>
        <w:t xml:space="preserve"> </w:t>
      </w:r>
      <w:r w:rsidR="00BF381A">
        <w:rPr>
          <w:lang w:val="en-GB"/>
        </w:rPr>
        <w:t>which</w:t>
      </w:r>
      <w:proofErr w:type="gramEnd"/>
      <w:r w:rsidR="00BF381A">
        <w:rPr>
          <w:lang w:val="en-GB"/>
        </w:rPr>
        <w:t xml:space="preserve"> </w:t>
      </w:r>
      <w:r w:rsidR="00D75295">
        <w:rPr>
          <w:lang w:val="en-GB"/>
        </w:rPr>
        <w:t>is a l</w:t>
      </w:r>
      <w:r w:rsidR="00D75295" w:rsidRPr="00D75295">
        <w:rPr>
          <w:lang w:val="en-GB"/>
        </w:rPr>
        <w:t xml:space="preserve">ight </w:t>
      </w:r>
      <w:r w:rsidR="004316B8" w:rsidRPr="00D75295">
        <w:rPr>
          <w:lang w:val="en-GB"/>
        </w:rPr>
        <w:t xml:space="preserve">yellow </w:t>
      </w:r>
      <w:r w:rsidR="00D75295" w:rsidRPr="00D75295">
        <w:rPr>
          <w:lang w:val="en-GB"/>
        </w:rPr>
        <w:t>to yellow</w:t>
      </w:r>
      <w:r w:rsidR="004316B8">
        <w:rPr>
          <w:lang w:val="en-GB"/>
        </w:rPr>
        <w:t>ish brown, crystalline</w:t>
      </w:r>
      <w:r w:rsidR="00D75295" w:rsidRPr="00D75295">
        <w:rPr>
          <w:lang w:val="en-GB"/>
        </w:rPr>
        <w:t xml:space="preserve"> powder</w:t>
      </w:r>
      <w:r w:rsidR="006D2EED">
        <w:rPr>
          <w:lang w:val="en-GB"/>
        </w:rPr>
        <w:t xml:space="preserve">. It is </w:t>
      </w:r>
      <w:r w:rsidR="008870FE">
        <w:t>soluble in a 1:1 mixture of w</w:t>
      </w:r>
      <w:r w:rsidR="008870FE" w:rsidRPr="004316B8">
        <w:t>ater</w:t>
      </w:r>
      <w:r w:rsidR="00CC5479">
        <w:t xml:space="preserve"> and acetonitrile</w:t>
      </w:r>
      <w:r w:rsidR="006D2EED">
        <w:t>, and t</w:t>
      </w:r>
      <w:r w:rsidR="00162AE2" w:rsidRPr="00162AE2">
        <w:t>he pH of a 1 % w/</w:t>
      </w:r>
      <w:r w:rsidR="008870FE">
        <w:t>v</w:t>
      </w:r>
      <w:r w:rsidR="00162AE2" w:rsidRPr="00162AE2">
        <w:t xml:space="preserve"> aqueous solution is about 5.2</w:t>
      </w:r>
      <w:r w:rsidR="00BF381A">
        <w:t xml:space="preserve"> at 25°C</w:t>
      </w:r>
      <w:r w:rsidR="00162AE2" w:rsidRPr="00162AE2">
        <w:t>.</w:t>
      </w:r>
    </w:p>
    <w:p w14:paraId="0CDB5C3C" w14:textId="22112012" w:rsidR="0033622C" w:rsidRDefault="00D75295" w:rsidP="009A3C6C">
      <w:pPr>
        <w:spacing w:after="120" w:line="300" w:lineRule="atLeast"/>
        <w:jc w:val="both"/>
        <w:rPr>
          <w:lang w:val="en-GB"/>
        </w:rPr>
      </w:pPr>
      <w:r w:rsidRPr="00D75295">
        <w:rPr>
          <w:lang w:val="en-GB"/>
        </w:rPr>
        <w:t xml:space="preserve">Each </w:t>
      </w:r>
      <w:proofErr w:type="gramStart"/>
      <w:r>
        <w:rPr>
          <w:lang w:val="en-GB"/>
        </w:rPr>
        <w:t>film coated</w:t>
      </w:r>
      <w:proofErr w:type="gramEnd"/>
      <w:r>
        <w:rPr>
          <w:lang w:val="en-GB"/>
        </w:rPr>
        <w:t xml:space="preserve"> </w:t>
      </w:r>
      <w:r w:rsidRPr="00D75295">
        <w:rPr>
          <w:lang w:val="en-GB"/>
        </w:rPr>
        <w:t xml:space="preserve">tablet contains </w:t>
      </w:r>
      <w:proofErr w:type="spellStart"/>
      <w:r w:rsidR="00D257CB" w:rsidRPr="00D257CB">
        <w:rPr>
          <w:lang w:val="en-GB"/>
        </w:rPr>
        <w:t>ribociclib</w:t>
      </w:r>
      <w:proofErr w:type="spellEnd"/>
      <w:r w:rsidR="00D257CB" w:rsidRPr="00D257CB">
        <w:rPr>
          <w:lang w:val="en-GB"/>
        </w:rPr>
        <w:t xml:space="preserve"> succinate </w:t>
      </w:r>
      <w:r w:rsidR="00D257CB">
        <w:rPr>
          <w:lang w:val="en-GB"/>
        </w:rPr>
        <w:t xml:space="preserve">equivalent to </w:t>
      </w:r>
      <w:r w:rsidRPr="00D75295">
        <w:rPr>
          <w:lang w:val="en-GB"/>
        </w:rPr>
        <w:t xml:space="preserve">200 mg </w:t>
      </w:r>
      <w:proofErr w:type="spellStart"/>
      <w:r w:rsidRPr="00D75295">
        <w:rPr>
          <w:lang w:val="en-GB"/>
        </w:rPr>
        <w:t>ribociclib</w:t>
      </w:r>
      <w:proofErr w:type="spellEnd"/>
      <w:r>
        <w:rPr>
          <w:lang w:val="en-GB"/>
        </w:rPr>
        <w:t xml:space="preserve">. </w:t>
      </w:r>
      <w:r w:rsidR="00211289">
        <w:rPr>
          <w:lang w:val="en-GB"/>
        </w:rPr>
        <w:t xml:space="preserve">Each </w:t>
      </w:r>
      <w:r>
        <w:rPr>
          <w:lang w:val="en-GB"/>
        </w:rPr>
        <w:t>tablet contain</w:t>
      </w:r>
      <w:r w:rsidR="002373F7">
        <w:rPr>
          <w:lang w:val="en-GB"/>
        </w:rPr>
        <w:t>s</w:t>
      </w:r>
      <w:r>
        <w:rPr>
          <w:lang w:val="en-GB"/>
        </w:rPr>
        <w:t xml:space="preserve"> m</w:t>
      </w:r>
      <w:r w:rsidRPr="00D75295">
        <w:rPr>
          <w:lang w:val="en-GB"/>
        </w:rPr>
        <w:t xml:space="preserve">icrocrystalline cellulose, </w:t>
      </w:r>
      <w:proofErr w:type="spellStart"/>
      <w:r w:rsidRPr="00B36A5B">
        <w:rPr>
          <w:lang w:val="en-GB"/>
        </w:rPr>
        <w:t>hyprolose</w:t>
      </w:r>
      <w:proofErr w:type="spellEnd"/>
      <w:r w:rsidRPr="00B36A5B">
        <w:rPr>
          <w:lang w:val="en-GB"/>
        </w:rPr>
        <w:t xml:space="preserve">, </w:t>
      </w:r>
      <w:proofErr w:type="spellStart"/>
      <w:r w:rsidRPr="006253E3">
        <w:rPr>
          <w:lang w:val="en-GB"/>
        </w:rPr>
        <w:t>crospovidone</w:t>
      </w:r>
      <w:proofErr w:type="spellEnd"/>
      <w:r w:rsidRPr="006253E3">
        <w:rPr>
          <w:lang w:val="en-GB"/>
        </w:rPr>
        <w:t>,</w:t>
      </w:r>
      <w:r w:rsidRPr="00D75295">
        <w:rPr>
          <w:lang w:val="en-GB"/>
        </w:rPr>
        <w:t xml:space="preserve"> </w:t>
      </w:r>
      <w:r w:rsidRPr="00FA337D">
        <w:rPr>
          <w:lang w:val="en-GB"/>
        </w:rPr>
        <w:t xml:space="preserve">colloidal silicon dioxide, magnesium </w:t>
      </w:r>
      <w:r w:rsidRPr="00D75295">
        <w:rPr>
          <w:lang w:val="en-GB"/>
        </w:rPr>
        <w:t>stearate</w:t>
      </w:r>
      <w:r w:rsidR="00433A61">
        <w:rPr>
          <w:lang w:val="en-GB"/>
        </w:rPr>
        <w:t xml:space="preserve"> (vegetable source)</w:t>
      </w:r>
      <w:r>
        <w:rPr>
          <w:lang w:val="en-GB"/>
        </w:rPr>
        <w:t xml:space="preserve">, </w:t>
      </w:r>
      <w:r w:rsidRPr="00FA337D">
        <w:rPr>
          <w:lang w:val="en-GB"/>
        </w:rPr>
        <w:t xml:space="preserve">polyvinyl alcohol, </w:t>
      </w:r>
      <w:r w:rsidRPr="00D75295">
        <w:rPr>
          <w:lang w:val="en-GB"/>
        </w:rPr>
        <w:t xml:space="preserve">titanium dioxide (E171), iron oxide black </w:t>
      </w:r>
      <w:r w:rsidR="00211289">
        <w:rPr>
          <w:lang w:val="en-GB"/>
        </w:rPr>
        <w:t>CI77499</w:t>
      </w:r>
      <w:r w:rsidRPr="00D75295">
        <w:rPr>
          <w:lang w:val="en-GB"/>
        </w:rPr>
        <w:t xml:space="preserve">, iron oxide red </w:t>
      </w:r>
      <w:r w:rsidR="00211289" w:rsidRPr="00211289">
        <w:rPr>
          <w:lang w:val="en-GB"/>
        </w:rPr>
        <w:t>CI77491</w:t>
      </w:r>
      <w:r w:rsidRPr="00D75295">
        <w:rPr>
          <w:lang w:val="en-GB"/>
        </w:rPr>
        <w:t xml:space="preserve">, </w:t>
      </w:r>
      <w:r w:rsidR="00EE0351" w:rsidRPr="00EE0351">
        <w:rPr>
          <w:lang w:val="en-GB"/>
        </w:rPr>
        <w:t xml:space="preserve"> </w:t>
      </w:r>
      <w:r w:rsidR="00EE0351" w:rsidRPr="00FA337D">
        <w:rPr>
          <w:lang w:val="en-GB"/>
        </w:rPr>
        <w:t xml:space="preserve">purified </w:t>
      </w:r>
      <w:r w:rsidRPr="00FA337D">
        <w:rPr>
          <w:lang w:val="en-GB"/>
        </w:rPr>
        <w:t xml:space="preserve">talc, </w:t>
      </w:r>
      <w:r w:rsidRPr="00DF3A16">
        <w:rPr>
          <w:lang w:val="en-GB"/>
        </w:rPr>
        <w:t>lecithin</w:t>
      </w:r>
      <w:r w:rsidR="00DB52F5" w:rsidRPr="00DB52F5">
        <w:rPr>
          <w:lang w:val="en-GB"/>
        </w:rPr>
        <w:t xml:space="preserve"> </w:t>
      </w:r>
      <w:r w:rsidR="00DB52F5">
        <w:rPr>
          <w:lang w:val="en-GB"/>
        </w:rPr>
        <w:t>(soy</w:t>
      </w:r>
      <w:r w:rsidR="00EE0351">
        <w:rPr>
          <w:lang w:val="en-GB"/>
        </w:rPr>
        <w:t>a</w:t>
      </w:r>
      <w:r w:rsidR="00DB52F5">
        <w:rPr>
          <w:lang w:val="en-GB"/>
        </w:rPr>
        <w:t>)</w:t>
      </w:r>
      <w:r w:rsidRPr="00DF3A16">
        <w:rPr>
          <w:lang w:val="en-GB"/>
        </w:rPr>
        <w:t xml:space="preserve">, and xanthan </w:t>
      </w:r>
      <w:r w:rsidRPr="00CA175A">
        <w:rPr>
          <w:lang w:val="en-GB"/>
        </w:rPr>
        <w:t>gum.</w:t>
      </w:r>
      <w:r w:rsidR="002373F7">
        <w:rPr>
          <w:lang w:val="en-GB"/>
        </w:rPr>
        <w:t xml:space="preserve"> </w:t>
      </w:r>
      <w:r w:rsidR="001701C5" w:rsidRPr="001701C5">
        <w:rPr>
          <w:lang w:val="en-GB"/>
        </w:rPr>
        <w:t xml:space="preserve">KISQALI does </w:t>
      </w:r>
      <w:r w:rsidR="001701C5" w:rsidRPr="001D0905">
        <w:rPr>
          <w:lang w:val="en-GB"/>
        </w:rPr>
        <w:t>not</w:t>
      </w:r>
      <w:r w:rsidR="001701C5" w:rsidRPr="001701C5">
        <w:rPr>
          <w:lang w:val="en-GB"/>
        </w:rPr>
        <w:t xml:space="preserve"> contain sucrose, lactose, gluten, </w:t>
      </w:r>
      <w:r w:rsidR="001701C5">
        <w:rPr>
          <w:lang w:val="en-GB"/>
        </w:rPr>
        <w:t>or synthetic colours</w:t>
      </w:r>
      <w:r w:rsidR="001701C5" w:rsidRPr="001701C5">
        <w:rPr>
          <w:lang w:val="en-GB"/>
        </w:rPr>
        <w:t>.</w:t>
      </w:r>
    </w:p>
    <w:p w14:paraId="6989B305" w14:textId="77777777" w:rsidR="00B4709F" w:rsidRPr="00CA175A" w:rsidRDefault="00B4709F" w:rsidP="00B4709F">
      <w:pPr>
        <w:jc w:val="both"/>
        <w:rPr>
          <w:lang w:val="en-GB"/>
        </w:rPr>
      </w:pPr>
    </w:p>
    <w:p w14:paraId="5553BAA7" w14:textId="77777777" w:rsidR="00574FCE" w:rsidRPr="005E2608" w:rsidRDefault="006C4A20" w:rsidP="009A3C6C">
      <w:pPr>
        <w:pStyle w:val="Heading2"/>
        <w:spacing w:after="120" w:line="300" w:lineRule="exact"/>
        <w:jc w:val="left"/>
        <w:rPr>
          <w:rFonts w:eastAsiaTheme="minorHAnsi"/>
          <w:caps/>
          <w:sz w:val="30"/>
          <w:lang w:val="en-GB"/>
        </w:rPr>
      </w:pPr>
      <w:r w:rsidRPr="005E2608">
        <w:rPr>
          <w:rFonts w:eastAsiaTheme="minorHAnsi"/>
          <w:caps/>
          <w:sz w:val="30"/>
          <w:lang w:val="en-GB"/>
        </w:rPr>
        <w:t>PHARMACOLOGY</w:t>
      </w:r>
    </w:p>
    <w:p w14:paraId="5553BAA8" w14:textId="78788BF1" w:rsidR="00574FCE" w:rsidRPr="00C241F7" w:rsidRDefault="00922CE6" w:rsidP="009A3C6C">
      <w:pPr>
        <w:spacing w:after="120" w:line="300" w:lineRule="exact"/>
        <w:rPr>
          <w:rFonts w:eastAsiaTheme="minorHAnsi"/>
          <w:lang w:eastAsia="ja-JP"/>
        </w:rPr>
      </w:pPr>
      <w:proofErr w:type="spellStart"/>
      <w:r w:rsidRPr="00922CE6">
        <w:rPr>
          <w:rFonts w:eastAsiaTheme="minorHAnsi"/>
          <w:lang w:eastAsia="ja-JP"/>
        </w:rPr>
        <w:t>Pharmacotherapeutic</w:t>
      </w:r>
      <w:proofErr w:type="spellEnd"/>
      <w:r w:rsidRPr="00922CE6">
        <w:rPr>
          <w:rFonts w:eastAsiaTheme="minorHAnsi"/>
          <w:lang w:eastAsia="ja-JP"/>
        </w:rPr>
        <w:t xml:space="preserve"> group: </w:t>
      </w:r>
      <w:r w:rsidR="00C71668">
        <w:rPr>
          <w:rFonts w:eastAsiaTheme="minorHAnsi"/>
          <w:lang w:eastAsia="ja-JP"/>
        </w:rPr>
        <w:t xml:space="preserve">antineoplastic agents, </w:t>
      </w:r>
      <w:r w:rsidR="00BA0F18">
        <w:rPr>
          <w:rFonts w:eastAsiaTheme="minorHAnsi"/>
          <w:lang w:eastAsia="ja-JP"/>
        </w:rPr>
        <w:t>protein kinase inhibi</w:t>
      </w:r>
      <w:r w:rsidR="00E13D1D">
        <w:rPr>
          <w:rFonts w:eastAsiaTheme="minorHAnsi"/>
          <w:lang w:eastAsia="ja-JP"/>
        </w:rPr>
        <w:t>t</w:t>
      </w:r>
      <w:r w:rsidR="00BA0F18">
        <w:rPr>
          <w:rFonts w:eastAsiaTheme="minorHAnsi"/>
          <w:lang w:eastAsia="ja-JP"/>
        </w:rPr>
        <w:t>or</w:t>
      </w:r>
      <w:r w:rsidR="00C71668">
        <w:rPr>
          <w:rFonts w:eastAsiaTheme="minorHAnsi"/>
          <w:lang w:eastAsia="ja-JP"/>
        </w:rPr>
        <w:t>s</w:t>
      </w:r>
      <w:r w:rsidR="00F17E2A">
        <w:rPr>
          <w:rFonts w:eastAsiaTheme="minorHAnsi"/>
          <w:lang w:eastAsia="ja-JP"/>
        </w:rPr>
        <w:t xml:space="preserve">; </w:t>
      </w:r>
      <w:r w:rsidRPr="00C241F7">
        <w:rPr>
          <w:rFonts w:eastAsiaTheme="minorHAnsi"/>
          <w:lang w:eastAsia="ja-JP"/>
        </w:rPr>
        <w:t xml:space="preserve">ATC code: </w:t>
      </w:r>
      <w:r w:rsidR="00BA0F18">
        <w:rPr>
          <w:rFonts w:eastAsiaTheme="minorHAnsi"/>
          <w:lang w:eastAsia="ja-JP"/>
        </w:rPr>
        <w:t>L01XE</w:t>
      </w:r>
      <w:r w:rsidR="00124822">
        <w:rPr>
          <w:rFonts w:eastAsiaTheme="minorHAnsi"/>
          <w:lang w:eastAsia="ja-JP"/>
        </w:rPr>
        <w:t>42</w:t>
      </w:r>
    </w:p>
    <w:p w14:paraId="5553BAA9" w14:textId="77777777" w:rsidR="00574FCE" w:rsidRPr="005E2608" w:rsidRDefault="00574FCE" w:rsidP="009A3C6C">
      <w:pPr>
        <w:autoSpaceDE w:val="0"/>
        <w:autoSpaceDN w:val="0"/>
        <w:adjustRightInd w:val="0"/>
        <w:spacing w:after="120" w:line="300" w:lineRule="exact"/>
        <w:rPr>
          <w:b/>
          <w:u w:val="single"/>
        </w:rPr>
      </w:pPr>
      <w:r w:rsidRPr="005E2608">
        <w:rPr>
          <w:b/>
          <w:u w:val="single"/>
        </w:rPr>
        <w:t>Mechanism of Action</w:t>
      </w:r>
    </w:p>
    <w:p w14:paraId="7626D9CA" w14:textId="268F1590" w:rsidR="00E13D1D" w:rsidRDefault="00AF4993" w:rsidP="00BA2F8D">
      <w:pPr>
        <w:autoSpaceDE w:val="0"/>
        <w:autoSpaceDN w:val="0"/>
        <w:adjustRightInd w:val="0"/>
        <w:spacing w:after="120" w:line="300" w:lineRule="exact"/>
        <w:jc w:val="both"/>
      </w:pPr>
      <w:r w:rsidRPr="00AF4993">
        <w:rPr>
          <w:i/>
        </w:rPr>
        <w:t>In vitro</w:t>
      </w:r>
      <w:r>
        <w:t xml:space="preserve"> studies have shown </w:t>
      </w:r>
      <w:proofErr w:type="spellStart"/>
      <w:r>
        <w:t>r</w:t>
      </w:r>
      <w:r w:rsidR="00BA2F8D" w:rsidRPr="00BA2F8D">
        <w:t>ibociclib</w:t>
      </w:r>
      <w:proofErr w:type="spellEnd"/>
      <w:r w:rsidR="00BA2F8D" w:rsidRPr="00BA2F8D">
        <w:t xml:space="preserve"> </w:t>
      </w:r>
      <w:proofErr w:type="gramStart"/>
      <w:r>
        <w:t xml:space="preserve">to </w:t>
      </w:r>
      <w:r w:rsidR="00E13D1D" w:rsidRPr="00E13D1D">
        <w:t>selective</w:t>
      </w:r>
      <w:r>
        <w:t>ly</w:t>
      </w:r>
      <w:r w:rsidR="00E13D1D" w:rsidRPr="00E13D1D">
        <w:t xml:space="preserve"> </w:t>
      </w:r>
      <w:r w:rsidR="00BA2F8D" w:rsidRPr="00BA2F8D">
        <w:t>inhibit</w:t>
      </w:r>
      <w:proofErr w:type="gramEnd"/>
      <w:r w:rsidR="00BA2F8D" w:rsidRPr="00BA2F8D">
        <w:t xml:space="preserve"> cyclin-dependent kinase (CDK) 4 and 6. These kinases are </w:t>
      </w:r>
      <w:r w:rsidR="00E13D1D">
        <w:t>activated upon bindin</w:t>
      </w:r>
      <w:r w:rsidR="00BA2F8D" w:rsidRPr="00BA2F8D">
        <w:t>g to D-cyclins</w:t>
      </w:r>
      <w:r w:rsidR="00E13D1D" w:rsidRPr="00E13D1D">
        <w:t xml:space="preserve"> and play a crucial role in </w:t>
      </w:r>
      <w:r w:rsidR="00B96098" w:rsidRPr="00E13D1D">
        <w:t>signalling</w:t>
      </w:r>
      <w:r w:rsidR="00E13D1D" w:rsidRPr="00E13D1D">
        <w:t xml:space="preserve"> </w:t>
      </w:r>
      <w:proofErr w:type="gramStart"/>
      <w:r w:rsidR="00E13D1D" w:rsidRPr="00E13D1D">
        <w:t>pathways which</w:t>
      </w:r>
      <w:proofErr w:type="gramEnd"/>
      <w:r w:rsidR="00E13D1D" w:rsidRPr="00E13D1D">
        <w:t xml:space="preserve"> lead to cell cycle progression and cellular proliferation</w:t>
      </w:r>
      <w:r w:rsidR="00BA2F8D" w:rsidRPr="00BA2F8D">
        <w:t>. The cyclin</w:t>
      </w:r>
      <w:r w:rsidR="00E13D1D">
        <w:t xml:space="preserve"> D</w:t>
      </w:r>
      <w:r w:rsidR="00BA2F8D" w:rsidRPr="00BA2F8D">
        <w:t xml:space="preserve">-CDK4/6 </w:t>
      </w:r>
      <w:r w:rsidR="00BA2F8D" w:rsidRPr="00BA2F8D">
        <w:lastRenderedPageBreak/>
        <w:t>complex regulates cell cycle progression through phosphorylation of the retinoblastoma protein (</w:t>
      </w:r>
      <w:proofErr w:type="spellStart"/>
      <w:r w:rsidR="00E13D1D">
        <w:t>p</w:t>
      </w:r>
      <w:r w:rsidR="001543C7">
        <w:t>Rb</w:t>
      </w:r>
      <w:proofErr w:type="spellEnd"/>
      <w:r w:rsidR="001543C7">
        <w:t>).</w:t>
      </w:r>
    </w:p>
    <w:p w14:paraId="0980D1FF" w14:textId="6E16DDDC" w:rsidR="00EF29F0" w:rsidRDefault="00E13D1D" w:rsidP="00BA2F8D">
      <w:pPr>
        <w:autoSpaceDE w:val="0"/>
        <w:autoSpaceDN w:val="0"/>
        <w:adjustRightInd w:val="0"/>
        <w:spacing w:after="120" w:line="300" w:lineRule="exact"/>
        <w:jc w:val="both"/>
      </w:pPr>
      <w:r w:rsidRPr="00E13D1D">
        <w:rPr>
          <w:i/>
        </w:rPr>
        <w:t>In vitro</w:t>
      </w:r>
      <w:r>
        <w:t xml:space="preserve">, </w:t>
      </w:r>
      <w:proofErr w:type="spellStart"/>
      <w:r w:rsidR="00EF29F0" w:rsidRPr="00EF29F0">
        <w:t>ribociclib</w:t>
      </w:r>
      <w:proofErr w:type="spellEnd"/>
      <w:r w:rsidR="00EF29F0" w:rsidRPr="00EF29F0">
        <w:t xml:space="preserve"> decreased </w:t>
      </w:r>
      <w:proofErr w:type="spellStart"/>
      <w:r w:rsidR="00EF29F0" w:rsidRPr="00EF29F0">
        <w:t>pRb</w:t>
      </w:r>
      <w:proofErr w:type="spellEnd"/>
      <w:r w:rsidR="00EF29F0" w:rsidRPr="00EF29F0">
        <w:t xml:space="preserve"> phosphorylation leading to arrest in the G1 phase of the cell cycle and reduced cell proliferation in </w:t>
      </w:r>
      <w:proofErr w:type="gramStart"/>
      <w:r w:rsidR="00EF29F0" w:rsidRPr="00EF29F0">
        <w:t>breast cancer cell lines</w:t>
      </w:r>
      <w:proofErr w:type="gramEnd"/>
      <w:r w:rsidR="00EF29F0" w:rsidRPr="00EF29F0">
        <w:t xml:space="preserve">. </w:t>
      </w:r>
      <w:r w:rsidR="00EF29F0" w:rsidRPr="00601285">
        <w:rPr>
          <w:i/>
        </w:rPr>
        <w:t>In vivo</w:t>
      </w:r>
      <w:r w:rsidR="00EF29F0" w:rsidRPr="00601285">
        <w:t xml:space="preserve">, treatment with single agent </w:t>
      </w:r>
      <w:proofErr w:type="spellStart"/>
      <w:r w:rsidR="00EF29F0" w:rsidRPr="00601285">
        <w:t>ribociclib</w:t>
      </w:r>
      <w:proofErr w:type="spellEnd"/>
      <w:r w:rsidR="00EF29F0" w:rsidRPr="00601285">
        <w:t xml:space="preserve"> le</w:t>
      </w:r>
      <w:r w:rsidR="009C01F3">
        <w:t>a</w:t>
      </w:r>
      <w:r w:rsidR="00EF29F0" w:rsidRPr="00601285">
        <w:t xml:space="preserve">d to </w:t>
      </w:r>
      <w:r w:rsidR="00B96098" w:rsidRPr="00601285">
        <w:t>tumour</w:t>
      </w:r>
      <w:r w:rsidR="00EF29F0" w:rsidRPr="00601285">
        <w:t xml:space="preserve"> </w:t>
      </w:r>
      <w:proofErr w:type="gramStart"/>
      <w:r w:rsidR="00EF29F0" w:rsidRPr="00601285">
        <w:t>regressions which</w:t>
      </w:r>
      <w:proofErr w:type="gramEnd"/>
      <w:r w:rsidR="00EF29F0" w:rsidRPr="00601285">
        <w:t xml:space="preserve"> correlated with inhibition of </w:t>
      </w:r>
      <w:proofErr w:type="spellStart"/>
      <w:r w:rsidR="00EF29F0" w:rsidRPr="00601285">
        <w:t>pRb</w:t>
      </w:r>
      <w:proofErr w:type="spellEnd"/>
      <w:r w:rsidR="00EF29F0" w:rsidRPr="00601285">
        <w:t xml:space="preserve"> phosphorylation at well tolerated doses.</w:t>
      </w:r>
    </w:p>
    <w:p w14:paraId="4691F3B3" w14:textId="46835604" w:rsidR="00BA2F8D" w:rsidRPr="00BA2F8D" w:rsidRDefault="00EF29F0" w:rsidP="00BA2F8D">
      <w:pPr>
        <w:autoSpaceDE w:val="0"/>
        <w:autoSpaceDN w:val="0"/>
        <w:adjustRightInd w:val="0"/>
        <w:spacing w:after="120" w:line="300" w:lineRule="exact"/>
        <w:jc w:val="both"/>
      </w:pPr>
      <w:r w:rsidRPr="00567B86">
        <w:rPr>
          <w:i/>
        </w:rPr>
        <w:t>In</w:t>
      </w:r>
      <w:r w:rsidRPr="00EF29F0">
        <w:t xml:space="preserve"> </w:t>
      </w:r>
      <w:r w:rsidR="00BA2F8D" w:rsidRPr="00AA53FA">
        <w:rPr>
          <w:i/>
        </w:rPr>
        <w:t>vivo</w:t>
      </w:r>
      <w:r w:rsidR="00BA2F8D" w:rsidRPr="00BA2F8D">
        <w:t xml:space="preserve"> stud</w:t>
      </w:r>
      <w:r w:rsidR="00567B86">
        <w:t xml:space="preserve">ies </w:t>
      </w:r>
      <w:r w:rsidR="00BA2F8D" w:rsidRPr="00BA2F8D">
        <w:t xml:space="preserve">using a patient-derived </w:t>
      </w:r>
      <w:proofErr w:type="spellStart"/>
      <w:r w:rsidRPr="00EF29F0">
        <w:t>estrogen</w:t>
      </w:r>
      <w:proofErr w:type="spellEnd"/>
      <w:r w:rsidRPr="00EF29F0">
        <w:t xml:space="preserve"> positive </w:t>
      </w:r>
      <w:proofErr w:type="gramStart"/>
      <w:r w:rsidR="00BA2F8D" w:rsidRPr="00BA2F8D">
        <w:t>breast cancer xenograft model</w:t>
      </w:r>
      <w:proofErr w:type="gramEnd"/>
      <w:r>
        <w:t xml:space="preserve">, </w:t>
      </w:r>
      <w:r w:rsidR="00BA2F8D" w:rsidRPr="00BA2F8D">
        <w:t xml:space="preserve">the combination of </w:t>
      </w:r>
      <w:proofErr w:type="spellStart"/>
      <w:r w:rsidR="00BA2F8D" w:rsidRPr="00BA2F8D">
        <w:t>ribociclib</w:t>
      </w:r>
      <w:proofErr w:type="spellEnd"/>
      <w:r w:rsidR="00BA2F8D" w:rsidRPr="00BA2F8D">
        <w:t xml:space="preserve"> and </w:t>
      </w:r>
      <w:r w:rsidRPr="00EF29F0">
        <w:t xml:space="preserve">antiestrogen </w:t>
      </w:r>
      <w:r>
        <w:t xml:space="preserve">(i.e. </w:t>
      </w:r>
      <w:proofErr w:type="spellStart"/>
      <w:r w:rsidR="00BA2F8D" w:rsidRPr="00BA2F8D">
        <w:t>letrozole</w:t>
      </w:r>
      <w:proofErr w:type="spellEnd"/>
      <w:r>
        <w:t>)</w:t>
      </w:r>
      <w:r w:rsidR="00BA2F8D" w:rsidRPr="00BA2F8D">
        <w:t xml:space="preserve"> resulted in superior tumo</w:t>
      </w:r>
      <w:r>
        <w:t>u</w:t>
      </w:r>
      <w:r w:rsidR="00BA2F8D" w:rsidRPr="00BA2F8D">
        <w:t>r growth inhibition compared to each drug alone.</w:t>
      </w:r>
      <w:r w:rsidRPr="00EF29F0">
        <w:t xml:space="preserve"> Tumo</w:t>
      </w:r>
      <w:r>
        <w:t>u</w:t>
      </w:r>
      <w:r w:rsidRPr="00EF29F0">
        <w:t xml:space="preserve">r regrowth </w:t>
      </w:r>
      <w:proofErr w:type="gramStart"/>
      <w:r w:rsidRPr="00EF29F0">
        <w:t>was delayed</w:t>
      </w:r>
      <w:proofErr w:type="gramEnd"/>
      <w:r w:rsidRPr="00EF29F0">
        <w:t xml:space="preserve"> for 33 days after stopping dosing</w:t>
      </w:r>
      <w:r w:rsidR="001543C7">
        <w:t>.</w:t>
      </w:r>
    </w:p>
    <w:p w14:paraId="5553BAAC" w14:textId="683EFA3C" w:rsidR="006A22C7" w:rsidRDefault="006A22C7" w:rsidP="009A3C6C">
      <w:pPr>
        <w:autoSpaceDE w:val="0"/>
        <w:autoSpaceDN w:val="0"/>
        <w:adjustRightInd w:val="0"/>
        <w:spacing w:after="120" w:line="300" w:lineRule="exact"/>
        <w:rPr>
          <w:b/>
          <w:u w:val="single"/>
        </w:rPr>
      </w:pPr>
      <w:proofErr w:type="spellStart"/>
      <w:r w:rsidRPr="005E2608">
        <w:rPr>
          <w:b/>
          <w:u w:val="single"/>
        </w:rPr>
        <w:t>Pharmacodynamic</w:t>
      </w:r>
      <w:proofErr w:type="spellEnd"/>
      <w:r w:rsidRPr="005E2608">
        <w:rPr>
          <w:b/>
          <w:u w:val="single"/>
        </w:rPr>
        <w:t xml:space="preserve"> Effects</w:t>
      </w:r>
    </w:p>
    <w:p w14:paraId="065A97AA" w14:textId="5D1A1E7F" w:rsidR="00C64D30" w:rsidRDefault="00BA2F8D" w:rsidP="00BA2F8D">
      <w:pPr>
        <w:autoSpaceDE w:val="0"/>
        <w:autoSpaceDN w:val="0"/>
        <w:adjustRightInd w:val="0"/>
        <w:spacing w:after="120" w:line="300" w:lineRule="exact"/>
        <w:jc w:val="both"/>
      </w:pPr>
      <w:proofErr w:type="spellStart"/>
      <w:r w:rsidRPr="00BA2F8D">
        <w:t>Ribociclib</w:t>
      </w:r>
      <w:proofErr w:type="spellEnd"/>
      <w:r w:rsidRPr="00BA2F8D">
        <w:t xml:space="preserve"> inhibits the CDK4/cyclin-D1 and CDK6/cyclin-D3 enzyme complexes with concentration resulting in 50</w:t>
      </w:r>
      <w:r w:rsidR="00C64D30">
        <w:t xml:space="preserve"> </w:t>
      </w:r>
      <w:r w:rsidRPr="00BA2F8D">
        <w:t>% inhibition (IC</w:t>
      </w:r>
      <w:r w:rsidRPr="00C64D30">
        <w:rPr>
          <w:vertAlign w:val="subscript"/>
        </w:rPr>
        <w:t>50</w:t>
      </w:r>
      <w:r w:rsidRPr="00BA2F8D">
        <w:t xml:space="preserve">) values of 0.01 </w:t>
      </w:r>
      <w:proofErr w:type="spellStart"/>
      <w:r w:rsidR="0017529F">
        <w:t>micromolar</w:t>
      </w:r>
      <w:proofErr w:type="spellEnd"/>
      <w:r w:rsidR="0017529F">
        <w:t xml:space="preserve"> (</w:t>
      </w:r>
      <w:proofErr w:type="spellStart"/>
      <w:r w:rsidR="00C64D30" w:rsidRPr="00C64D30">
        <w:t>μM</w:t>
      </w:r>
      <w:proofErr w:type="spellEnd"/>
      <w:r w:rsidR="00B96098">
        <w:t>)</w:t>
      </w:r>
      <w:r w:rsidR="00B96098" w:rsidRPr="00C64D30">
        <w:t xml:space="preserve"> </w:t>
      </w:r>
      <w:r w:rsidR="00B96098">
        <w:t>(</w:t>
      </w:r>
      <w:r w:rsidR="00C64D30">
        <w:t xml:space="preserve">4.3 ng/mL) </w:t>
      </w:r>
      <w:r w:rsidRPr="00BA2F8D">
        <w:t xml:space="preserve">and 0.039 </w:t>
      </w:r>
      <w:proofErr w:type="spellStart"/>
      <w:r w:rsidRPr="00BA2F8D">
        <w:t>μM</w:t>
      </w:r>
      <w:proofErr w:type="spellEnd"/>
      <w:r w:rsidRPr="00BA2F8D">
        <w:t xml:space="preserve"> </w:t>
      </w:r>
      <w:r w:rsidR="00C64D30">
        <w:t xml:space="preserve">(16.9 ng/mL) </w:t>
      </w:r>
      <w:r w:rsidRPr="00BA2F8D">
        <w:t>in bi</w:t>
      </w:r>
      <w:r w:rsidR="001543C7">
        <w:t>ochemical assays, respectively.</w:t>
      </w:r>
    </w:p>
    <w:p w14:paraId="4392F893" w14:textId="3CAF8EA8" w:rsidR="00BA2F8D" w:rsidRDefault="00BA2F8D" w:rsidP="00BA2F8D">
      <w:pPr>
        <w:autoSpaceDE w:val="0"/>
        <w:autoSpaceDN w:val="0"/>
        <w:adjustRightInd w:val="0"/>
        <w:spacing w:after="120" w:line="300" w:lineRule="exact"/>
        <w:jc w:val="both"/>
      </w:pPr>
      <w:r w:rsidRPr="00BA2F8D">
        <w:t>In</w:t>
      </w:r>
      <w:r w:rsidR="00C64D30">
        <w:t xml:space="preserve"> </w:t>
      </w:r>
      <w:proofErr w:type="gramStart"/>
      <w:r w:rsidR="00C64D30">
        <w:t>cell based</w:t>
      </w:r>
      <w:proofErr w:type="gramEnd"/>
      <w:r w:rsidR="00C64D30">
        <w:t xml:space="preserve"> assays</w:t>
      </w:r>
      <w:r w:rsidR="00DC0709">
        <w:t xml:space="preserve"> </w:t>
      </w:r>
      <w:r w:rsidR="00DC0709" w:rsidRPr="00DC0709">
        <w:t xml:space="preserve">with </w:t>
      </w:r>
      <w:proofErr w:type="spellStart"/>
      <w:r w:rsidR="00DC0709" w:rsidRPr="00DC0709">
        <w:t>pRb</w:t>
      </w:r>
      <w:proofErr w:type="spellEnd"/>
      <w:r w:rsidR="00DC0709" w:rsidRPr="00DC0709">
        <w:t xml:space="preserve"> positive breast cancer cell lines</w:t>
      </w:r>
      <w:r w:rsidRPr="00BA2F8D">
        <w:t xml:space="preserve">, </w:t>
      </w:r>
      <w:proofErr w:type="spellStart"/>
      <w:r w:rsidR="00C64D30">
        <w:t>ribociclib</w:t>
      </w:r>
      <w:proofErr w:type="spellEnd"/>
      <w:r w:rsidR="00C64D30">
        <w:t xml:space="preserve"> </w:t>
      </w:r>
      <w:r w:rsidRPr="00BA2F8D">
        <w:t xml:space="preserve">inhibits CDK4/6-dependent </w:t>
      </w:r>
      <w:proofErr w:type="spellStart"/>
      <w:r w:rsidR="00C64D30">
        <w:t>p</w:t>
      </w:r>
      <w:r w:rsidRPr="00BA2F8D">
        <w:t>Rb</w:t>
      </w:r>
      <w:proofErr w:type="spellEnd"/>
      <w:r w:rsidRPr="00BA2F8D">
        <w:t xml:space="preserve"> phosphorylation with an IC</w:t>
      </w:r>
      <w:r w:rsidRPr="00C64D30">
        <w:rPr>
          <w:vertAlign w:val="subscript"/>
        </w:rPr>
        <w:t>50</w:t>
      </w:r>
      <w:r w:rsidRPr="00BA2F8D">
        <w:t xml:space="preserve"> of 0.06</w:t>
      </w:r>
      <w:r w:rsidR="005D7BAD">
        <w:t>-1.2</w:t>
      </w:r>
      <w:r w:rsidRPr="00BA2F8D">
        <w:t xml:space="preserve"> </w:t>
      </w:r>
      <w:proofErr w:type="spellStart"/>
      <w:r w:rsidRPr="00BA2F8D">
        <w:t>μM</w:t>
      </w:r>
      <w:proofErr w:type="spellEnd"/>
      <w:r w:rsidR="00C64D30">
        <w:t xml:space="preserve"> (26</w:t>
      </w:r>
      <w:r w:rsidR="005D7BAD">
        <w:t>-521</w:t>
      </w:r>
      <w:r w:rsidR="00C64D30">
        <w:t xml:space="preserve"> ng/mL)</w:t>
      </w:r>
      <w:r w:rsidRPr="00BA2F8D">
        <w:t xml:space="preserve">. </w:t>
      </w:r>
      <w:proofErr w:type="spellStart"/>
      <w:r w:rsidR="00256FE2" w:rsidRPr="00256FE2">
        <w:t>Ribociclib</w:t>
      </w:r>
      <w:proofErr w:type="spellEnd"/>
      <w:r w:rsidR="00256FE2" w:rsidRPr="00256FE2">
        <w:t xml:space="preserve"> halts G1 to S phase cell cycle progression measured by flow cytometry with IC</w:t>
      </w:r>
      <w:r w:rsidR="00256FE2" w:rsidRPr="00256FE2">
        <w:rPr>
          <w:vertAlign w:val="subscript"/>
        </w:rPr>
        <w:t>50</w:t>
      </w:r>
      <w:r w:rsidR="00256FE2" w:rsidRPr="00256FE2">
        <w:t xml:space="preserve"> of </w:t>
      </w:r>
      <w:r w:rsidR="005D7BAD" w:rsidRPr="005D7BAD">
        <w:t>0.07-0.89</w:t>
      </w:r>
      <w:r w:rsidR="00256FE2" w:rsidRPr="00256FE2">
        <w:t xml:space="preserve"> </w:t>
      </w:r>
      <w:proofErr w:type="spellStart"/>
      <w:r w:rsidR="00256FE2" w:rsidRPr="00256FE2">
        <w:t>μM</w:t>
      </w:r>
      <w:proofErr w:type="spellEnd"/>
      <w:r w:rsidR="00256FE2" w:rsidRPr="00256FE2">
        <w:t xml:space="preserve"> (</w:t>
      </w:r>
      <w:r w:rsidR="005D7BAD" w:rsidRPr="005D7BAD">
        <w:t>30-387</w:t>
      </w:r>
      <w:r w:rsidR="0015176D">
        <w:t xml:space="preserve"> </w:t>
      </w:r>
      <w:r w:rsidR="00256FE2" w:rsidRPr="00256FE2">
        <w:t xml:space="preserve">ng/mL). </w:t>
      </w:r>
      <w:proofErr w:type="spellStart"/>
      <w:r w:rsidR="00C64D30">
        <w:t>R</w:t>
      </w:r>
      <w:r w:rsidRPr="00BA2F8D">
        <w:t>ibociclib</w:t>
      </w:r>
      <w:proofErr w:type="spellEnd"/>
      <w:r w:rsidRPr="00BA2F8D">
        <w:t xml:space="preserve"> also inhibit</w:t>
      </w:r>
      <w:r w:rsidR="00C64D30">
        <w:t xml:space="preserve">s cellular </w:t>
      </w:r>
      <w:r w:rsidR="00256FE2" w:rsidRPr="00256FE2">
        <w:t>proliferation measured by</w:t>
      </w:r>
      <w:r w:rsidR="00256FE2">
        <w:t xml:space="preserve"> </w:t>
      </w:r>
      <w:proofErr w:type="spellStart"/>
      <w:r w:rsidRPr="00BA2F8D">
        <w:t>bromodeoxyuridine</w:t>
      </w:r>
      <w:proofErr w:type="spellEnd"/>
      <w:r w:rsidRPr="00BA2F8D">
        <w:t xml:space="preserve"> (</w:t>
      </w:r>
      <w:proofErr w:type="spellStart"/>
      <w:r w:rsidRPr="00BA2F8D">
        <w:t>BrdU</w:t>
      </w:r>
      <w:proofErr w:type="spellEnd"/>
      <w:r w:rsidRPr="00BA2F8D">
        <w:t xml:space="preserve">) uptake </w:t>
      </w:r>
      <w:r w:rsidR="00256FE2">
        <w:t xml:space="preserve">with </w:t>
      </w:r>
      <w:r w:rsidRPr="00BA2F8D">
        <w:t>IC</w:t>
      </w:r>
      <w:r w:rsidRPr="00256FE2">
        <w:rPr>
          <w:vertAlign w:val="subscript"/>
        </w:rPr>
        <w:t>50</w:t>
      </w:r>
      <w:r w:rsidRPr="00BA2F8D">
        <w:t xml:space="preserve"> of </w:t>
      </w:r>
      <w:r w:rsidR="005D7BAD" w:rsidRPr="005D7BAD">
        <w:t>0.04-3.3</w:t>
      </w:r>
      <w:r w:rsidRPr="00BA2F8D">
        <w:t>μM</w:t>
      </w:r>
      <w:r w:rsidR="00256FE2">
        <w:t xml:space="preserve"> (</w:t>
      </w:r>
      <w:r w:rsidR="005D7BAD" w:rsidRPr="005D7BAD">
        <w:t>17-1434</w:t>
      </w:r>
      <w:r w:rsidR="00256FE2">
        <w:t>ng/mL</w:t>
      </w:r>
      <w:r w:rsidRPr="00BA2F8D">
        <w:t>)</w:t>
      </w:r>
      <w:r w:rsidR="00256FE2">
        <w:t xml:space="preserve">. </w:t>
      </w:r>
      <w:r w:rsidR="00256FE2" w:rsidRPr="00256FE2">
        <w:t>The similar IC</w:t>
      </w:r>
      <w:r w:rsidR="00256FE2" w:rsidRPr="00256FE2">
        <w:rPr>
          <w:vertAlign w:val="subscript"/>
        </w:rPr>
        <w:t>50</w:t>
      </w:r>
      <w:r w:rsidR="00256FE2" w:rsidRPr="00256FE2">
        <w:t xml:space="preserve"> values obtained from the target modulation, cell cycle and proliferation assays confirms that blockade of the </w:t>
      </w:r>
      <w:proofErr w:type="spellStart"/>
      <w:r w:rsidR="00256FE2" w:rsidRPr="00256FE2">
        <w:t>pRb</w:t>
      </w:r>
      <w:proofErr w:type="spellEnd"/>
      <w:r w:rsidR="00256FE2" w:rsidRPr="00256FE2">
        <w:t xml:space="preserve"> phosphorylation by </w:t>
      </w:r>
      <w:proofErr w:type="spellStart"/>
      <w:r w:rsidR="00256FE2" w:rsidRPr="00256FE2">
        <w:t>ribociclib</w:t>
      </w:r>
      <w:proofErr w:type="spellEnd"/>
      <w:r w:rsidR="00256FE2" w:rsidRPr="00256FE2">
        <w:t xml:space="preserve"> </w:t>
      </w:r>
      <w:r w:rsidR="00AF4993">
        <w:t xml:space="preserve">in cell-based assays </w:t>
      </w:r>
      <w:r w:rsidR="00256FE2" w:rsidRPr="00256FE2">
        <w:t xml:space="preserve">directly leads to G1 to S phase arrest and subsequent inhibition of cellular proliferation. When tested in a panel of </w:t>
      </w:r>
      <w:proofErr w:type="gramStart"/>
      <w:r w:rsidR="00256FE2" w:rsidRPr="00256FE2">
        <w:t>breast cancer cell lines</w:t>
      </w:r>
      <w:proofErr w:type="gramEnd"/>
      <w:r w:rsidR="00256FE2" w:rsidRPr="00256FE2">
        <w:t xml:space="preserve"> with known ER status, ER+ cell lines </w:t>
      </w:r>
      <w:r w:rsidR="00AF4993">
        <w:t xml:space="preserve">were more sensitive </w:t>
      </w:r>
      <w:r w:rsidR="00256FE2" w:rsidRPr="00256FE2">
        <w:t xml:space="preserve">than ER- </w:t>
      </w:r>
      <w:r w:rsidR="00AF4993">
        <w:t xml:space="preserve">cell lines to the anti-proliferation effects of </w:t>
      </w:r>
      <w:proofErr w:type="spellStart"/>
      <w:r w:rsidR="00AF4993">
        <w:t>ribociclib</w:t>
      </w:r>
      <w:proofErr w:type="spellEnd"/>
      <w:r w:rsidR="00256FE2">
        <w:t xml:space="preserve">. </w:t>
      </w:r>
      <w:proofErr w:type="spellStart"/>
      <w:r w:rsidR="005D7BAD" w:rsidRPr="005D7BAD">
        <w:t>Ribociclib</w:t>
      </w:r>
      <w:proofErr w:type="spellEnd"/>
      <w:r w:rsidR="005D7BAD" w:rsidRPr="005D7BAD">
        <w:t xml:space="preserve"> had no inhibitory activity against </w:t>
      </w:r>
      <w:proofErr w:type="spellStart"/>
      <w:r w:rsidR="005D7BAD" w:rsidRPr="005D7BAD">
        <w:t>pRb</w:t>
      </w:r>
      <w:proofErr w:type="spellEnd"/>
      <w:r w:rsidR="005D7BAD" w:rsidRPr="005D7BAD">
        <w:t xml:space="preserve"> negative </w:t>
      </w:r>
      <w:proofErr w:type="gramStart"/>
      <w:r w:rsidR="005D7BAD" w:rsidRPr="005D7BAD">
        <w:t>breast cancer cell lines</w:t>
      </w:r>
      <w:proofErr w:type="gramEnd"/>
      <w:r w:rsidR="005D7BAD" w:rsidRPr="005D7BAD">
        <w:t>.</w:t>
      </w:r>
    </w:p>
    <w:p w14:paraId="552621E1" w14:textId="77777777" w:rsidR="00C5681B" w:rsidRPr="00C5681B" w:rsidRDefault="00C5681B" w:rsidP="00C5681B">
      <w:pPr>
        <w:autoSpaceDE w:val="0"/>
        <w:autoSpaceDN w:val="0"/>
        <w:adjustRightInd w:val="0"/>
        <w:spacing w:after="120" w:line="300" w:lineRule="exact"/>
        <w:jc w:val="both"/>
        <w:rPr>
          <w:b/>
        </w:rPr>
      </w:pPr>
      <w:r w:rsidRPr="00C5681B">
        <w:rPr>
          <w:b/>
        </w:rPr>
        <w:t>Cardiac electrophysiology</w:t>
      </w:r>
    </w:p>
    <w:p w14:paraId="61FAF7DD" w14:textId="36009A06" w:rsidR="0017529F" w:rsidRDefault="0017529F" w:rsidP="00D61FB4">
      <w:pPr>
        <w:widowControl w:val="0"/>
        <w:autoSpaceDE w:val="0"/>
        <w:autoSpaceDN w:val="0"/>
        <w:adjustRightInd w:val="0"/>
        <w:spacing w:after="120" w:line="300" w:lineRule="exact"/>
        <w:jc w:val="both"/>
      </w:pPr>
      <w:r w:rsidRPr="0017529F">
        <w:t xml:space="preserve">Serial, triplicate </w:t>
      </w:r>
      <w:r w:rsidR="001F38D3" w:rsidRPr="001F38D3">
        <w:t>electrocardiogram</w:t>
      </w:r>
      <w:r w:rsidR="001F38D3">
        <w:t>s (</w:t>
      </w:r>
      <w:r w:rsidRPr="0017529F">
        <w:t>ECGs</w:t>
      </w:r>
      <w:r w:rsidR="001F38D3">
        <w:t>)</w:t>
      </w:r>
      <w:r w:rsidRPr="0017529F">
        <w:t xml:space="preserve"> were collected following a single dose and at </w:t>
      </w:r>
      <w:proofErr w:type="gramStart"/>
      <w:r w:rsidRPr="0017529F">
        <w:t>steady-state</w:t>
      </w:r>
      <w:proofErr w:type="gramEnd"/>
      <w:r w:rsidRPr="0017529F">
        <w:t xml:space="preserve"> to evaluate the effect of </w:t>
      </w:r>
      <w:proofErr w:type="spellStart"/>
      <w:r w:rsidRPr="0017529F">
        <w:t>ribociclib</w:t>
      </w:r>
      <w:proofErr w:type="spellEnd"/>
      <w:r w:rsidRPr="0017529F">
        <w:t xml:space="preserve"> on the </w:t>
      </w:r>
      <w:proofErr w:type="spellStart"/>
      <w:r w:rsidRPr="0017529F">
        <w:t>QTc</w:t>
      </w:r>
      <w:proofErr w:type="spellEnd"/>
      <w:r w:rsidRPr="0017529F">
        <w:t xml:space="preserve"> interval in patients with advanced cancer.</w:t>
      </w:r>
      <w:r w:rsidR="004B6CC9">
        <w:t xml:space="preserve"> </w:t>
      </w:r>
      <w:r w:rsidR="00AF4993" w:rsidRPr="00AF4993">
        <w:rPr>
          <w:i/>
        </w:rPr>
        <w:t>In vitro</w:t>
      </w:r>
      <w:r w:rsidR="00AF4993">
        <w:t xml:space="preserve"> studies have shown that both </w:t>
      </w:r>
      <w:proofErr w:type="spellStart"/>
      <w:r w:rsidR="00AF4993">
        <w:t>ribociclib</w:t>
      </w:r>
      <w:proofErr w:type="spellEnd"/>
      <w:r w:rsidR="00AF4993">
        <w:t xml:space="preserve"> and its major metabolite, LEQ803, interact with </w:t>
      </w:r>
      <w:proofErr w:type="spellStart"/>
      <w:r w:rsidR="00AF4993">
        <w:t>hERG</w:t>
      </w:r>
      <w:proofErr w:type="spellEnd"/>
      <w:r w:rsidR="00AF4993">
        <w:t xml:space="preserve"> channels. </w:t>
      </w:r>
      <w:r w:rsidR="00AF4993" w:rsidRPr="00AF4993">
        <w:rPr>
          <w:i/>
        </w:rPr>
        <w:t>In vivo</w:t>
      </w:r>
      <w:r w:rsidR="00AF4993">
        <w:t xml:space="preserve"> cardiac safety studies in dogs demonstrated</w:t>
      </w:r>
      <w:r w:rsidR="003122D0">
        <w:t xml:space="preserve"> </w:t>
      </w:r>
      <w:proofErr w:type="spellStart"/>
      <w:r w:rsidR="003122D0">
        <w:t>ribociclib</w:t>
      </w:r>
      <w:proofErr w:type="spellEnd"/>
      <w:r w:rsidR="006D7C92">
        <w:t xml:space="preserve"> </w:t>
      </w:r>
      <w:r w:rsidR="00AF4993">
        <w:t>dose</w:t>
      </w:r>
      <w:r w:rsidR="003122D0">
        <w:t>-</w:t>
      </w:r>
      <w:r w:rsidR="00AF4993">
        <w:t xml:space="preserve"> and concentration</w:t>
      </w:r>
      <w:r w:rsidR="003122D0">
        <w:t>-</w:t>
      </w:r>
      <w:r w:rsidR="00AF4993">
        <w:t xml:space="preserve">related </w:t>
      </w:r>
      <w:proofErr w:type="spellStart"/>
      <w:r w:rsidR="00AF4993">
        <w:t>QTc</w:t>
      </w:r>
      <w:proofErr w:type="spellEnd"/>
      <w:r w:rsidR="00AF4993">
        <w:t xml:space="preserve"> interval prolongation at clinically relevant exposure. </w:t>
      </w:r>
      <w:r w:rsidRPr="0017529F">
        <w:t>A pharmacokinetic-</w:t>
      </w:r>
      <w:proofErr w:type="spellStart"/>
      <w:r w:rsidRPr="0017529F">
        <w:t>pharmacodynamic</w:t>
      </w:r>
      <w:proofErr w:type="spellEnd"/>
      <w:r w:rsidRPr="0017529F">
        <w:t xml:space="preserve"> analysis included </w:t>
      </w:r>
      <w:proofErr w:type="gramStart"/>
      <w:r w:rsidRPr="0017529F">
        <w:t>a total of 2</w:t>
      </w:r>
      <w:r w:rsidR="002D23BA">
        <w:t>67</w:t>
      </w:r>
      <w:proofErr w:type="gramEnd"/>
      <w:r w:rsidRPr="0017529F">
        <w:t xml:space="preserve"> patients treated with </w:t>
      </w:r>
      <w:proofErr w:type="spellStart"/>
      <w:r w:rsidRPr="0017529F">
        <w:t>ribociclib</w:t>
      </w:r>
      <w:proofErr w:type="spellEnd"/>
      <w:r w:rsidRPr="0017529F">
        <w:t xml:space="preserve"> at doses ranging from 50 </w:t>
      </w:r>
      <w:r>
        <w:t xml:space="preserve">mg </w:t>
      </w:r>
      <w:r w:rsidRPr="0017529F">
        <w:t>to 1,200 mg, including 1</w:t>
      </w:r>
      <w:r w:rsidR="00F33BEA">
        <w:t>93</w:t>
      </w:r>
      <w:r w:rsidRPr="0017529F">
        <w:t xml:space="preserve"> patients treated with </w:t>
      </w:r>
      <w:proofErr w:type="spellStart"/>
      <w:r w:rsidRPr="0017529F">
        <w:t>ribociclib</w:t>
      </w:r>
      <w:proofErr w:type="spellEnd"/>
      <w:r w:rsidRPr="0017529F">
        <w:t xml:space="preserve"> 600 mg. The analysis suggested that </w:t>
      </w:r>
      <w:proofErr w:type="spellStart"/>
      <w:r w:rsidRPr="0017529F">
        <w:t>ribociclib</w:t>
      </w:r>
      <w:proofErr w:type="spellEnd"/>
      <w:r w:rsidRPr="0017529F">
        <w:t xml:space="preserve"> causes concentration-dependent increases in the </w:t>
      </w:r>
      <w:proofErr w:type="spellStart"/>
      <w:r w:rsidRPr="0017529F">
        <w:t>QTc</w:t>
      </w:r>
      <w:proofErr w:type="spellEnd"/>
      <w:r w:rsidRPr="0017529F">
        <w:t xml:space="preserve"> interval. The estimated mean change from baseline in </w:t>
      </w:r>
      <w:proofErr w:type="spellStart"/>
      <w:r w:rsidRPr="0017529F">
        <w:t>QTcF</w:t>
      </w:r>
      <w:proofErr w:type="spellEnd"/>
      <w:r w:rsidRPr="0017529F">
        <w:t xml:space="preserve"> was 22.</w:t>
      </w:r>
      <w:r w:rsidR="005B09E8">
        <w:t>8</w:t>
      </w:r>
      <w:r w:rsidRPr="0017529F">
        <w:t xml:space="preserve">7 </w:t>
      </w:r>
      <w:proofErr w:type="spellStart"/>
      <w:r w:rsidRPr="0017529F">
        <w:t>ms</w:t>
      </w:r>
      <w:proofErr w:type="spellEnd"/>
      <w:r w:rsidRPr="0017529F">
        <w:t xml:space="preserve"> (90</w:t>
      </w:r>
      <w:r w:rsidR="005E6617">
        <w:t xml:space="preserve"> </w:t>
      </w:r>
      <w:r w:rsidRPr="0017529F">
        <w:t>% CI: 21.</w:t>
      </w:r>
      <w:r w:rsidR="005B09E8">
        <w:t>6</w:t>
      </w:r>
      <w:r w:rsidRPr="0017529F">
        <w:t>, 24.</w:t>
      </w:r>
      <w:r w:rsidR="005B09E8">
        <w:t>1</w:t>
      </w:r>
      <w:r w:rsidRPr="0017529F">
        <w:t xml:space="preserve">) at the mean observed </w:t>
      </w:r>
      <w:proofErr w:type="spellStart"/>
      <w:r w:rsidRPr="0017529F">
        <w:t>C</w:t>
      </w:r>
      <w:r w:rsidRPr="0017529F">
        <w:rPr>
          <w:vertAlign w:val="subscript"/>
        </w:rPr>
        <w:t>max</w:t>
      </w:r>
      <w:proofErr w:type="spellEnd"/>
      <w:r w:rsidRPr="0017529F">
        <w:t xml:space="preserve"> at </w:t>
      </w:r>
      <w:proofErr w:type="gramStart"/>
      <w:r w:rsidRPr="0017529F">
        <w:t>steady-state</w:t>
      </w:r>
      <w:proofErr w:type="gramEnd"/>
      <w:r w:rsidRPr="0017529F">
        <w:t xml:space="preserve"> </w:t>
      </w:r>
      <w:r w:rsidR="003B65CB" w:rsidRPr="003B65CB">
        <w:t>(2237 ng/mL)</w:t>
      </w:r>
      <w:r w:rsidR="003B65CB">
        <w:t xml:space="preserve"> </w:t>
      </w:r>
      <w:r w:rsidRPr="0017529F">
        <w:t>following administration at the recommended 600 mg dose (see PRECAUTIONS).</w:t>
      </w:r>
    </w:p>
    <w:p w14:paraId="5553BAAF" w14:textId="030812A4" w:rsidR="006A22C7" w:rsidRPr="005E2608" w:rsidRDefault="006A22C7" w:rsidP="009A3C6C">
      <w:pPr>
        <w:autoSpaceDE w:val="0"/>
        <w:autoSpaceDN w:val="0"/>
        <w:adjustRightInd w:val="0"/>
        <w:spacing w:after="120" w:line="300" w:lineRule="exact"/>
        <w:rPr>
          <w:b/>
          <w:u w:val="single"/>
        </w:rPr>
      </w:pPr>
      <w:r w:rsidRPr="005E2608">
        <w:rPr>
          <w:b/>
          <w:u w:val="single"/>
        </w:rPr>
        <w:t>Pharmacokinetics</w:t>
      </w:r>
      <w:r w:rsidR="0085333C">
        <w:rPr>
          <w:b/>
          <w:u w:val="single"/>
        </w:rPr>
        <w:t xml:space="preserve"> (PK)</w:t>
      </w:r>
    </w:p>
    <w:p w14:paraId="12283D3A" w14:textId="5017DA92" w:rsidR="005A3B3C" w:rsidRPr="005A3B3C" w:rsidRDefault="005A3B3C" w:rsidP="005A3B3C">
      <w:pPr>
        <w:autoSpaceDE w:val="0"/>
        <w:autoSpaceDN w:val="0"/>
        <w:adjustRightInd w:val="0"/>
        <w:spacing w:after="120" w:line="300" w:lineRule="exact"/>
        <w:jc w:val="both"/>
      </w:pPr>
      <w:r w:rsidRPr="005A3B3C">
        <w:t xml:space="preserve">The pharmacokinetics of </w:t>
      </w:r>
      <w:proofErr w:type="spellStart"/>
      <w:r w:rsidRPr="005A3B3C">
        <w:t>ribociclib</w:t>
      </w:r>
      <w:proofErr w:type="spellEnd"/>
      <w:r w:rsidRPr="005A3B3C">
        <w:t xml:space="preserve"> was investigated in patients </w:t>
      </w:r>
      <w:r w:rsidR="00920AD8" w:rsidRPr="00920AD8">
        <w:t xml:space="preserve">with advanced cancer </w:t>
      </w:r>
      <w:r w:rsidR="00920AD8">
        <w:t xml:space="preserve">following </w:t>
      </w:r>
      <w:r w:rsidRPr="005A3B3C">
        <w:t>oral daily doses ranging from 50 mg to 1</w:t>
      </w:r>
      <w:r w:rsidR="007D4846">
        <w:t>,</w:t>
      </w:r>
      <w:r w:rsidRPr="005A3B3C">
        <w:t>200 mg. Healthy subjects received single oral dose</w:t>
      </w:r>
      <w:r w:rsidR="00920AD8">
        <w:t xml:space="preserve">s </w:t>
      </w:r>
      <w:r w:rsidR="00920AD8">
        <w:lastRenderedPageBreak/>
        <w:t xml:space="preserve">ranging from 400 mg to 600 mg or </w:t>
      </w:r>
      <w:r w:rsidR="00920AD8" w:rsidRPr="00920AD8">
        <w:t xml:space="preserve"> repeated daily oral doses (8 days) at 400 mg</w:t>
      </w:r>
      <w:r w:rsidR="00920AD8">
        <w:t xml:space="preserve">. </w:t>
      </w:r>
      <w:r w:rsidR="00103C02">
        <w:t>A</w:t>
      </w:r>
      <w:r w:rsidR="00103C02" w:rsidRPr="006D7C92">
        <w:t xml:space="preserve">t the recommended dose of </w:t>
      </w:r>
      <w:proofErr w:type="spellStart"/>
      <w:r w:rsidR="00103C02">
        <w:t>ribociclib</w:t>
      </w:r>
      <w:proofErr w:type="spellEnd"/>
      <w:r w:rsidR="00103C02" w:rsidRPr="006D7C92">
        <w:t xml:space="preserve"> 600 mg</w:t>
      </w:r>
      <w:r w:rsidR="00103C02">
        <w:t>, the inter-patient variability in pharmacoki</w:t>
      </w:r>
      <w:r w:rsidR="001543C7">
        <w:t>netics was approximately 60 %.</w:t>
      </w:r>
    </w:p>
    <w:p w14:paraId="5553BAF3" w14:textId="46E2A105" w:rsidR="006A22C7" w:rsidRDefault="00020CA6" w:rsidP="009A3C6C">
      <w:pPr>
        <w:pStyle w:val="NoNumHead5"/>
        <w:spacing w:after="120" w:line="300" w:lineRule="atLeast"/>
        <w:jc w:val="both"/>
        <w:rPr>
          <w:rFonts w:ascii="Times New Roman" w:hAnsi="Times New Roman"/>
          <w:i w:val="0"/>
          <w:sz w:val="24"/>
        </w:rPr>
      </w:pPr>
      <w:r>
        <w:rPr>
          <w:rFonts w:ascii="Times New Roman" w:hAnsi="Times New Roman"/>
          <w:i w:val="0"/>
          <w:sz w:val="24"/>
        </w:rPr>
        <w:t>Absorption</w:t>
      </w:r>
    </w:p>
    <w:p w14:paraId="68B86BF6" w14:textId="64AC96E3" w:rsidR="00920AD8" w:rsidRDefault="000A18C3" w:rsidP="00801823">
      <w:pPr>
        <w:widowControl w:val="0"/>
        <w:spacing w:after="120" w:line="300" w:lineRule="exact"/>
        <w:jc w:val="both"/>
        <w:rPr>
          <w:rFonts w:eastAsia="MS Mincho"/>
          <w:szCs w:val="20"/>
          <w:lang w:val="en-US" w:eastAsia="zh-CN"/>
        </w:rPr>
      </w:pPr>
      <w:r w:rsidRPr="000A18C3">
        <w:rPr>
          <w:rFonts w:eastAsia="MS Mincho"/>
          <w:szCs w:val="20"/>
          <w:lang w:val="en-US" w:eastAsia="zh-CN"/>
        </w:rPr>
        <w:t>Following oral administration</w:t>
      </w:r>
      <w:r w:rsidR="00920AD8" w:rsidRPr="00920AD8">
        <w:t xml:space="preserve"> </w:t>
      </w:r>
      <w:r w:rsidR="00920AD8" w:rsidRPr="00920AD8">
        <w:rPr>
          <w:rFonts w:eastAsia="MS Mincho"/>
          <w:szCs w:val="20"/>
          <w:lang w:val="en-US" w:eastAsia="zh-CN"/>
        </w:rPr>
        <w:t xml:space="preserve">of </w:t>
      </w:r>
      <w:r w:rsidR="004969A3">
        <w:rPr>
          <w:rFonts w:eastAsia="MS Mincho"/>
          <w:szCs w:val="20"/>
          <w:lang w:val="en-US" w:eastAsia="zh-CN"/>
        </w:rPr>
        <w:t>KISQALI</w:t>
      </w:r>
      <w:r w:rsidR="00920AD8" w:rsidRPr="00920AD8">
        <w:rPr>
          <w:rFonts w:eastAsia="MS Mincho"/>
          <w:szCs w:val="20"/>
          <w:lang w:val="en-US" w:eastAsia="zh-CN"/>
        </w:rPr>
        <w:t xml:space="preserve"> to patients with advanced solid </w:t>
      </w:r>
      <w:proofErr w:type="spellStart"/>
      <w:r w:rsidR="00920AD8" w:rsidRPr="00920AD8">
        <w:rPr>
          <w:rFonts w:eastAsia="MS Mincho"/>
          <w:szCs w:val="20"/>
          <w:lang w:val="en-US" w:eastAsia="zh-CN"/>
        </w:rPr>
        <w:t>tumo</w:t>
      </w:r>
      <w:r w:rsidR="0085333C">
        <w:rPr>
          <w:rFonts w:eastAsia="MS Mincho"/>
          <w:szCs w:val="20"/>
          <w:lang w:val="en-US" w:eastAsia="zh-CN"/>
        </w:rPr>
        <w:t>u</w:t>
      </w:r>
      <w:r w:rsidR="00920AD8" w:rsidRPr="00920AD8">
        <w:rPr>
          <w:rFonts w:eastAsia="MS Mincho"/>
          <w:szCs w:val="20"/>
          <w:lang w:val="en-US" w:eastAsia="zh-CN"/>
        </w:rPr>
        <w:t>rs</w:t>
      </w:r>
      <w:proofErr w:type="spellEnd"/>
      <w:r w:rsidR="00920AD8" w:rsidRPr="00920AD8">
        <w:rPr>
          <w:rFonts w:eastAsia="MS Mincho"/>
          <w:szCs w:val="20"/>
          <w:lang w:val="en-US" w:eastAsia="zh-CN"/>
        </w:rPr>
        <w:t xml:space="preserve"> or lymphomas</w:t>
      </w:r>
      <w:r w:rsidRPr="000A18C3">
        <w:rPr>
          <w:rFonts w:eastAsia="MS Mincho"/>
          <w:szCs w:val="20"/>
          <w:lang w:val="en-US" w:eastAsia="zh-CN"/>
        </w:rPr>
        <w:t>, peak plasma levels (</w:t>
      </w:r>
      <w:proofErr w:type="spellStart"/>
      <w:r w:rsidRPr="000A18C3">
        <w:rPr>
          <w:rFonts w:eastAsia="MS Mincho"/>
          <w:szCs w:val="20"/>
          <w:lang w:val="en-US" w:eastAsia="zh-CN"/>
        </w:rPr>
        <w:t>C</w:t>
      </w:r>
      <w:r w:rsidRPr="0085333C">
        <w:rPr>
          <w:rFonts w:eastAsia="MS Mincho"/>
          <w:szCs w:val="20"/>
          <w:vertAlign w:val="subscript"/>
          <w:lang w:val="en-US" w:eastAsia="zh-CN"/>
        </w:rPr>
        <w:t>max</w:t>
      </w:r>
      <w:proofErr w:type="spellEnd"/>
      <w:r w:rsidRPr="000A18C3">
        <w:rPr>
          <w:rFonts w:eastAsia="MS Mincho"/>
          <w:szCs w:val="20"/>
          <w:lang w:val="en-US" w:eastAsia="zh-CN"/>
        </w:rPr>
        <w:t xml:space="preserve">) of </w:t>
      </w:r>
      <w:proofErr w:type="spellStart"/>
      <w:r w:rsidRPr="000A18C3">
        <w:rPr>
          <w:rFonts w:eastAsia="MS Mincho"/>
          <w:szCs w:val="20"/>
          <w:lang w:val="en-US" w:eastAsia="zh-CN"/>
        </w:rPr>
        <w:t>ribociclib</w:t>
      </w:r>
      <w:proofErr w:type="spellEnd"/>
      <w:r w:rsidRPr="000A18C3">
        <w:rPr>
          <w:rFonts w:eastAsia="MS Mincho"/>
          <w:szCs w:val="20"/>
          <w:lang w:val="en-US" w:eastAsia="zh-CN"/>
        </w:rPr>
        <w:t xml:space="preserve"> were achieved between </w:t>
      </w:r>
      <w:proofErr w:type="gramStart"/>
      <w:r w:rsidRPr="000A18C3">
        <w:rPr>
          <w:rFonts w:eastAsia="MS Mincho"/>
          <w:szCs w:val="20"/>
          <w:lang w:val="en-US" w:eastAsia="zh-CN"/>
        </w:rPr>
        <w:t>1</w:t>
      </w:r>
      <w:proofErr w:type="gramEnd"/>
      <w:r w:rsidRPr="000A18C3">
        <w:rPr>
          <w:rFonts w:eastAsia="MS Mincho"/>
          <w:szCs w:val="20"/>
          <w:lang w:val="en-US" w:eastAsia="zh-CN"/>
        </w:rPr>
        <w:t xml:space="preserve"> and 4 hours</w:t>
      </w:r>
      <w:r w:rsidRPr="000A18C3">
        <w:rPr>
          <w:rFonts w:eastAsia="MS Mincho"/>
          <w:color w:val="FF0000"/>
          <w:szCs w:val="20"/>
          <w:lang w:val="en-US" w:eastAsia="zh-CN"/>
        </w:rPr>
        <w:t xml:space="preserve"> </w:t>
      </w:r>
      <w:r w:rsidRPr="000A18C3">
        <w:rPr>
          <w:rFonts w:eastAsia="MS Mincho"/>
          <w:szCs w:val="20"/>
          <w:lang w:val="en-US" w:eastAsia="zh-CN"/>
        </w:rPr>
        <w:t>(time to reach maximum concentration, T</w:t>
      </w:r>
      <w:r w:rsidRPr="000A18C3">
        <w:rPr>
          <w:rFonts w:eastAsia="MS Mincho"/>
          <w:szCs w:val="20"/>
          <w:vertAlign w:val="subscript"/>
          <w:lang w:val="en-US" w:eastAsia="zh-CN"/>
        </w:rPr>
        <w:t xml:space="preserve"> max</w:t>
      </w:r>
      <w:r w:rsidR="00042E7E" w:rsidRPr="00042E7E">
        <w:rPr>
          <w:rFonts w:eastAsia="MS Mincho"/>
          <w:szCs w:val="20"/>
          <w:lang w:val="en-US" w:eastAsia="zh-CN"/>
        </w:rPr>
        <w:t>)</w:t>
      </w:r>
      <w:r w:rsidR="00042E7E">
        <w:rPr>
          <w:rFonts w:eastAsia="MS Mincho"/>
          <w:szCs w:val="20"/>
          <w:vertAlign w:val="subscript"/>
          <w:lang w:val="en-US" w:eastAsia="zh-CN"/>
        </w:rPr>
        <w:t>.</w:t>
      </w:r>
      <w:r w:rsidR="00920AD8" w:rsidRPr="00920AD8">
        <w:t xml:space="preserve"> </w:t>
      </w:r>
      <w:r w:rsidR="00920AD8" w:rsidRPr="00920AD8">
        <w:rPr>
          <w:rFonts w:eastAsia="MS Mincho"/>
          <w:szCs w:val="20"/>
          <w:lang w:val="en-US" w:eastAsia="zh-CN"/>
        </w:rPr>
        <w:t xml:space="preserve">Following repeated once daily dosing, steady-state was generally achieved after 8 days and </w:t>
      </w:r>
      <w:proofErr w:type="spellStart"/>
      <w:r w:rsidR="00920AD8" w:rsidRPr="00920AD8">
        <w:rPr>
          <w:rFonts w:eastAsia="MS Mincho"/>
          <w:szCs w:val="20"/>
          <w:lang w:val="en-US" w:eastAsia="zh-CN"/>
        </w:rPr>
        <w:t>ribociclib</w:t>
      </w:r>
      <w:proofErr w:type="spellEnd"/>
      <w:r w:rsidR="00920AD8" w:rsidRPr="00920AD8">
        <w:rPr>
          <w:rFonts w:eastAsia="MS Mincho"/>
          <w:szCs w:val="20"/>
          <w:lang w:val="en-US" w:eastAsia="zh-CN"/>
        </w:rPr>
        <w:t xml:space="preserve"> accumulated with a geometric mean accumulation ratio of 2.51 (range: 0.97 to 6.40).</w:t>
      </w:r>
    </w:p>
    <w:p w14:paraId="6FE4CA13" w14:textId="77777777" w:rsidR="004F3FBD" w:rsidRPr="004F3FBD" w:rsidRDefault="004F3FBD" w:rsidP="004F3FBD">
      <w:pPr>
        <w:pStyle w:val="NoNumHead5"/>
        <w:keepNext w:val="0"/>
        <w:widowControl w:val="0"/>
        <w:spacing w:after="120" w:line="300" w:lineRule="atLeast"/>
        <w:jc w:val="both"/>
        <w:rPr>
          <w:rFonts w:ascii="Times New Roman" w:hAnsi="Times New Roman"/>
          <w:b w:val="0"/>
          <w:i w:val="0"/>
          <w:sz w:val="24"/>
          <w:u w:val="single"/>
        </w:rPr>
      </w:pPr>
      <w:r w:rsidRPr="004F3FBD">
        <w:rPr>
          <w:rFonts w:ascii="Times New Roman" w:hAnsi="Times New Roman"/>
          <w:b w:val="0"/>
          <w:i w:val="0"/>
          <w:sz w:val="24"/>
          <w:u w:val="single"/>
        </w:rPr>
        <w:t>Linearity/non-linearity</w:t>
      </w:r>
    </w:p>
    <w:p w14:paraId="28349461" w14:textId="2D09063A" w:rsidR="004F3FBD" w:rsidRPr="007D5421" w:rsidRDefault="004F3FBD" w:rsidP="004F3FBD">
      <w:pPr>
        <w:widowControl w:val="0"/>
        <w:spacing w:before="120" w:after="120"/>
        <w:jc w:val="both"/>
        <w:rPr>
          <w:rFonts w:eastAsia="MS Mincho"/>
          <w:i/>
          <w:szCs w:val="20"/>
          <w:lang w:val="en-US" w:eastAsia="zh-CN"/>
        </w:rPr>
      </w:pPr>
      <w:proofErr w:type="spellStart"/>
      <w:r w:rsidRPr="007D5421">
        <w:rPr>
          <w:rFonts w:eastAsia="MS Mincho"/>
          <w:szCs w:val="20"/>
          <w:lang w:val="en-US" w:eastAsia="zh-CN"/>
        </w:rPr>
        <w:t>Ribociclib</w:t>
      </w:r>
      <w:proofErr w:type="spellEnd"/>
      <w:r w:rsidRPr="007D5421">
        <w:rPr>
          <w:rFonts w:eastAsia="MS Mincho"/>
          <w:szCs w:val="20"/>
          <w:lang w:val="en-US" w:eastAsia="zh-CN"/>
        </w:rPr>
        <w:t xml:space="preserve"> exhibited slightly over-proportional increases in exposure (</w:t>
      </w:r>
      <w:proofErr w:type="spellStart"/>
      <w:r w:rsidRPr="007D5421">
        <w:rPr>
          <w:rFonts w:eastAsia="MS Mincho"/>
          <w:szCs w:val="20"/>
          <w:lang w:val="en-US" w:eastAsia="zh-CN"/>
        </w:rPr>
        <w:t>C</w:t>
      </w:r>
      <w:r w:rsidRPr="0017692B">
        <w:rPr>
          <w:rFonts w:eastAsia="MS Mincho"/>
          <w:szCs w:val="20"/>
          <w:vertAlign w:val="subscript"/>
          <w:lang w:val="en-US" w:eastAsia="zh-CN"/>
        </w:rPr>
        <w:t>max</w:t>
      </w:r>
      <w:proofErr w:type="spellEnd"/>
      <w:r w:rsidRPr="007D5421">
        <w:rPr>
          <w:rFonts w:eastAsia="MS Mincho"/>
          <w:szCs w:val="20"/>
          <w:lang w:val="en-US" w:eastAsia="zh-CN"/>
        </w:rPr>
        <w:t xml:space="preserve"> and AUC) across the dose range of 50 mg to 1</w:t>
      </w:r>
      <w:r>
        <w:rPr>
          <w:rFonts w:eastAsia="MS Mincho"/>
          <w:szCs w:val="20"/>
          <w:lang w:val="en-US" w:eastAsia="zh-CN"/>
        </w:rPr>
        <w:t>,</w:t>
      </w:r>
      <w:r w:rsidRPr="007D5421">
        <w:rPr>
          <w:rFonts w:eastAsia="MS Mincho"/>
          <w:szCs w:val="20"/>
          <w:lang w:val="en-US" w:eastAsia="zh-CN"/>
        </w:rPr>
        <w:t xml:space="preserve">200 mg following both single dose and repeated doses. </w:t>
      </w:r>
      <w:r w:rsidRPr="004F3FBD">
        <w:rPr>
          <w:rFonts w:eastAsia="MS Mincho"/>
          <w:szCs w:val="20"/>
          <w:lang w:val="en-US" w:eastAsia="zh-CN"/>
        </w:rPr>
        <w:t xml:space="preserve"> The observed over-proportional increases in exposure </w:t>
      </w:r>
      <w:proofErr w:type="gramStart"/>
      <w:r w:rsidR="00882111">
        <w:rPr>
          <w:rFonts w:eastAsia="MS Mincho"/>
          <w:szCs w:val="20"/>
          <w:lang w:val="en-US" w:eastAsia="zh-CN"/>
        </w:rPr>
        <w:t xml:space="preserve">might be </w:t>
      </w:r>
      <w:r w:rsidRPr="004F3FBD">
        <w:rPr>
          <w:rFonts w:eastAsia="MS Mincho"/>
          <w:szCs w:val="20"/>
          <w:lang w:val="en-US" w:eastAsia="zh-CN"/>
        </w:rPr>
        <w:t>attributed</w:t>
      </w:r>
      <w:proofErr w:type="gramEnd"/>
      <w:r w:rsidRPr="004F3FBD">
        <w:rPr>
          <w:rFonts w:eastAsia="MS Mincho"/>
          <w:szCs w:val="20"/>
          <w:lang w:val="en-US" w:eastAsia="zh-CN"/>
        </w:rPr>
        <w:t xml:space="preserve"> to auto-inhibition of CYP3A4</w:t>
      </w:r>
      <w:r>
        <w:rPr>
          <w:rFonts w:eastAsia="MS Mincho"/>
          <w:szCs w:val="20"/>
          <w:lang w:val="en-US" w:eastAsia="zh-CN"/>
        </w:rPr>
        <w:t xml:space="preserve">. </w:t>
      </w:r>
      <w:r w:rsidRPr="007D5421">
        <w:rPr>
          <w:rFonts w:eastAsia="MS Mincho"/>
          <w:szCs w:val="20"/>
          <w:lang w:val="en-US" w:eastAsia="zh-CN"/>
        </w:rPr>
        <w:t xml:space="preserve">This analysis </w:t>
      </w:r>
      <w:proofErr w:type="gramStart"/>
      <w:r w:rsidRPr="007D5421">
        <w:rPr>
          <w:rFonts w:eastAsia="MS Mincho"/>
          <w:szCs w:val="20"/>
          <w:lang w:val="en-US" w:eastAsia="zh-CN"/>
        </w:rPr>
        <w:t>is limited</w:t>
      </w:r>
      <w:proofErr w:type="gramEnd"/>
      <w:r w:rsidRPr="007D5421">
        <w:rPr>
          <w:rFonts w:eastAsia="MS Mincho"/>
          <w:szCs w:val="20"/>
          <w:lang w:val="en-US" w:eastAsia="zh-CN"/>
        </w:rPr>
        <w:t xml:space="preserve"> by the small sample sizes for most of the dose cohorts with a majority of the data comi</w:t>
      </w:r>
      <w:r w:rsidR="001543C7">
        <w:rPr>
          <w:rFonts w:eastAsia="MS Mincho"/>
          <w:szCs w:val="20"/>
          <w:lang w:val="en-US" w:eastAsia="zh-CN"/>
        </w:rPr>
        <w:t>ng from the 600 mg dose cohort.</w:t>
      </w:r>
    </w:p>
    <w:p w14:paraId="699C2F8D" w14:textId="0612A8CB" w:rsidR="000A18C3" w:rsidRPr="000A18C3" w:rsidRDefault="000A18C3" w:rsidP="00920AD8">
      <w:pPr>
        <w:spacing w:after="120" w:line="300" w:lineRule="exact"/>
        <w:jc w:val="both"/>
        <w:rPr>
          <w:b/>
          <w:i/>
          <w:u w:val="single"/>
        </w:rPr>
      </w:pPr>
      <w:r w:rsidRPr="00250E3A">
        <w:rPr>
          <w:u w:val="single"/>
        </w:rPr>
        <w:t>Food effect</w:t>
      </w:r>
    </w:p>
    <w:p w14:paraId="27D927B0" w14:textId="3F0C67A6" w:rsidR="000A18C3" w:rsidRPr="000A18C3" w:rsidRDefault="000A18C3" w:rsidP="000A18C3">
      <w:pPr>
        <w:spacing w:after="120" w:line="300" w:lineRule="exact"/>
        <w:jc w:val="both"/>
        <w:rPr>
          <w:rFonts w:eastAsia="MS Mincho"/>
          <w:szCs w:val="20"/>
          <w:lang w:val="en-US" w:eastAsia="zh-CN"/>
        </w:rPr>
      </w:pPr>
      <w:r w:rsidRPr="000A18C3">
        <w:rPr>
          <w:rFonts w:eastAsia="MS Mincho"/>
          <w:szCs w:val="20"/>
          <w:lang w:val="en-US" w:eastAsia="zh-CN"/>
        </w:rPr>
        <w:t xml:space="preserve">Compared to the fasted state, oral administration of a single 600 mg dose of </w:t>
      </w:r>
      <w:proofErr w:type="spellStart"/>
      <w:r w:rsidRPr="000A18C3">
        <w:rPr>
          <w:rFonts w:eastAsia="MS Mincho"/>
          <w:szCs w:val="20"/>
          <w:lang w:val="en-US" w:eastAsia="zh-CN"/>
        </w:rPr>
        <w:t>ribociclib</w:t>
      </w:r>
      <w:proofErr w:type="spellEnd"/>
      <w:r w:rsidRPr="000A18C3">
        <w:rPr>
          <w:rFonts w:eastAsia="MS Mincho"/>
          <w:szCs w:val="20"/>
          <w:lang w:val="en-US" w:eastAsia="zh-CN"/>
        </w:rPr>
        <w:t xml:space="preserve"> </w:t>
      </w:r>
      <w:proofErr w:type="spellStart"/>
      <w:r w:rsidRPr="000A18C3">
        <w:rPr>
          <w:rFonts w:eastAsia="MS Mincho"/>
          <w:szCs w:val="20"/>
          <w:lang w:val="en-US" w:eastAsia="zh-CN"/>
        </w:rPr>
        <w:t>DiC</w:t>
      </w:r>
      <w:proofErr w:type="spellEnd"/>
      <w:r w:rsidRPr="000A18C3">
        <w:rPr>
          <w:rFonts w:eastAsia="MS Mincho"/>
          <w:szCs w:val="20"/>
          <w:lang w:val="en-US" w:eastAsia="zh-CN"/>
        </w:rPr>
        <w:t xml:space="preserve"> with a high-fat, high-calorie meal </w:t>
      </w:r>
      <w:r w:rsidR="007F54E0">
        <w:rPr>
          <w:rFonts w:eastAsia="MS Mincho"/>
          <w:szCs w:val="20"/>
          <w:lang w:val="en-US" w:eastAsia="zh-CN"/>
        </w:rPr>
        <w:t xml:space="preserve">had no effect </w:t>
      </w:r>
      <w:r w:rsidRPr="000A18C3">
        <w:rPr>
          <w:rFonts w:eastAsia="MS Mincho"/>
          <w:szCs w:val="20"/>
          <w:lang w:val="en-US" w:eastAsia="zh-CN"/>
        </w:rPr>
        <w:t xml:space="preserve">on the </w:t>
      </w:r>
      <w:r w:rsidR="007F54E0">
        <w:rPr>
          <w:rFonts w:eastAsia="MS Mincho"/>
          <w:szCs w:val="20"/>
          <w:lang w:val="en-US" w:eastAsia="zh-CN"/>
        </w:rPr>
        <w:t xml:space="preserve">rate and </w:t>
      </w:r>
      <w:r w:rsidRPr="000A18C3">
        <w:rPr>
          <w:rFonts w:eastAsia="MS Mincho"/>
          <w:szCs w:val="20"/>
          <w:lang w:val="en-US" w:eastAsia="zh-CN"/>
        </w:rPr>
        <w:t xml:space="preserve">extent of absorption of </w:t>
      </w:r>
      <w:proofErr w:type="spellStart"/>
      <w:r w:rsidRPr="000A18C3">
        <w:rPr>
          <w:rFonts w:eastAsia="MS Mincho"/>
          <w:szCs w:val="20"/>
          <w:lang w:val="en-US" w:eastAsia="zh-CN"/>
        </w:rPr>
        <w:t>ribociclib</w:t>
      </w:r>
      <w:proofErr w:type="spellEnd"/>
      <w:r w:rsidR="007F54E0">
        <w:rPr>
          <w:rFonts w:eastAsia="MS Mincho"/>
          <w:szCs w:val="20"/>
          <w:lang w:val="en-US" w:eastAsia="zh-CN"/>
        </w:rPr>
        <w:t xml:space="preserve"> (</w:t>
      </w:r>
      <w:proofErr w:type="spellStart"/>
      <w:r w:rsidR="007F54E0">
        <w:rPr>
          <w:rFonts w:eastAsia="MS Mincho"/>
          <w:szCs w:val="20"/>
          <w:lang w:val="en-US" w:eastAsia="zh-CN"/>
        </w:rPr>
        <w:t>C</w:t>
      </w:r>
      <w:r w:rsidR="007F54E0" w:rsidRPr="0025042C">
        <w:rPr>
          <w:rFonts w:eastAsia="MS Mincho"/>
          <w:szCs w:val="20"/>
          <w:vertAlign w:val="subscript"/>
          <w:lang w:val="en-US" w:eastAsia="zh-CN"/>
        </w:rPr>
        <w:t>max</w:t>
      </w:r>
      <w:proofErr w:type="spellEnd"/>
      <w:r w:rsidR="007F54E0">
        <w:rPr>
          <w:rFonts w:eastAsia="MS Mincho"/>
          <w:szCs w:val="20"/>
          <w:lang w:val="en-US" w:eastAsia="zh-CN"/>
        </w:rPr>
        <w:t xml:space="preserve"> </w:t>
      </w:r>
      <w:r w:rsidRPr="000A18C3">
        <w:rPr>
          <w:rFonts w:eastAsia="MS Mincho"/>
          <w:szCs w:val="20"/>
          <w:lang w:val="en-US" w:eastAsia="zh-CN"/>
        </w:rPr>
        <w:t xml:space="preserve">GMR: </w:t>
      </w:r>
      <w:r w:rsidR="007F54E0">
        <w:rPr>
          <w:rFonts w:eastAsia="MS Mincho"/>
          <w:szCs w:val="20"/>
          <w:lang w:val="en-US" w:eastAsia="zh-CN"/>
        </w:rPr>
        <w:t>1.00</w:t>
      </w:r>
      <w:r w:rsidRPr="000A18C3">
        <w:rPr>
          <w:rFonts w:eastAsia="MS Mincho"/>
          <w:szCs w:val="20"/>
          <w:lang w:val="en-US" w:eastAsia="zh-CN"/>
        </w:rPr>
        <w:t>; 90</w:t>
      </w:r>
      <w:r w:rsidR="00222B3C">
        <w:rPr>
          <w:rFonts w:eastAsia="MS Mincho"/>
          <w:szCs w:val="20"/>
          <w:lang w:val="en-US" w:eastAsia="zh-CN"/>
        </w:rPr>
        <w:t xml:space="preserve"> </w:t>
      </w:r>
      <w:r w:rsidRPr="000A18C3">
        <w:rPr>
          <w:rFonts w:eastAsia="MS Mincho"/>
          <w:szCs w:val="20"/>
          <w:lang w:val="en-US" w:eastAsia="zh-CN"/>
        </w:rPr>
        <w:t>% CI: 0.</w:t>
      </w:r>
      <w:r w:rsidR="007F54E0">
        <w:rPr>
          <w:rFonts w:eastAsia="MS Mincho"/>
          <w:szCs w:val="20"/>
          <w:lang w:val="en-US" w:eastAsia="zh-CN"/>
        </w:rPr>
        <w:t>898</w:t>
      </w:r>
      <w:r w:rsidRPr="000A18C3">
        <w:rPr>
          <w:rFonts w:eastAsia="MS Mincho"/>
          <w:szCs w:val="20"/>
          <w:lang w:val="en-US" w:eastAsia="zh-CN"/>
        </w:rPr>
        <w:t>, 1</w:t>
      </w:r>
      <w:r w:rsidR="007F54E0">
        <w:rPr>
          <w:rFonts w:eastAsia="MS Mincho"/>
          <w:szCs w:val="20"/>
          <w:lang w:val="en-US" w:eastAsia="zh-CN"/>
        </w:rPr>
        <w:t xml:space="preserve">.11; </w:t>
      </w:r>
      <w:proofErr w:type="spellStart"/>
      <w:r w:rsidR="007F54E0" w:rsidRPr="007F54E0">
        <w:rPr>
          <w:rFonts w:eastAsia="MS Mincho"/>
          <w:szCs w:val="20"/>
          <w:lang w:val="en-US" w:eastAsia="zh-CN"/>
        </w:rPr>
        <w:t>AUCinf</w:t>
      </w:r>
      <w:proofErr w:type="spellEnd"/>
      <w:r w:rsidR="007F54E0" w:rsidRPr="007F54E0">
        <w:rPr>
          <w:rFonts w:eastAsia="MS Mincho"/>
          <w:szCs w:val="20"/>
          <w:lang w:val="en-US" w:eastAsia="zh-CN"/>
        </w:rPr>
        <w:t xml:space="preserve"> GMR: 1.06; 90</w:t>
      </w:r>
      <w:r w:rsidR="0099235B">
        <w:rPr>
          <w:rFonts w:eastAsia="MS Mincho"/>
          <w:szCs w:val="20"/>
          <w:lang w:val="en-US" w:eastAsia="zh-CN"/>
        </w:rPr>
        <w:t xml:space="preserve"> </w:t>
      </w:r>
      <w:r w:rsidR="007F54E0" w:rsidRPr="007F54E0">
        <w:rPr>
          <w:rFonts w:eastAsia="MS Mincho"/>
          <w:szCs w:val="20"/>
          <w:lang w:val="en-US" w:eastAsia="zh-CN"/>
        </w:rPr>
        <w:t>% CI: 1.01, 1.12)</w:t>
      </w:r>
      <w:r w:rsidRPr="000A18C3">
        <w:rPr>
          <w:rFonts w:eastAsia="MS Mincho"/>
          <w:szCs w:val="20"/>
          <w:lang w:val="en-US" w:eastAsia="zh-CN"/>
        </w:rPr>
        <w:t>.</w:t>
      </w:r>
    </w:p>
    <w:p w14:paraId="5801BB7C" w14:textId="59F11050" w:rsidR="00B76C4A" w:rsidRPr="00B76C4A" w:rsidRDefault="001A1B2F" w:rsidP="001A1B2F">
      <w:pPr>
        <w:shd w:val="clear" w:color="auto" w:fill="FFFFFF" w:themeFill="background1"/>
        <w:autoSpaceDE w:val="0"/>
        <w:autoSpaceDN w:val="0"/>
        <w:adjustRightInd w:val="0"/>
        <w:spacing w:after="120" w:line="300" w:lineRule="exact"/>
        <w:jc w:val="both"/>
      </w:pPr>
      <w:proofErr w:type="gramStart"/>
      <w:r>
        <w:t>Also</w:t>
      </w:r>
      <w:proofErr w:type="gramEnd"/>
      <w:r>
        <w:t xml:space="preserve"> see fruits and juices to avoid in </w:t>
      </w:r>
      <w:r w:rsidR="00830FCF">
        <w:rPr>
          <w:rFonts w:eastAsia="MS Mincho"/>
          <w:szCs w:val="20"/>
          <w:lang w:val="en-US" w:eastAsia="zh-CN"/>
        </w:rPr>
        <w:t>INTERACTIONS</w:t>
      </w:r>
      <w:r w:rsidR="0099235B">
        <w:rPr>
          <w:rFonts w:eastAsia="MS Mincho"/>
          <w:szCs w:val="20"/>
          <w:lang w:val="en-US" w:eastAsia="zh-CN"/>
        </w:rPr>
        <w:t xml:space="preserve"> WITH OTHER MEDICINES</w:t>
      </w:r>
      <w:r w:rsidR="00830FCF">
        <w:rPr>
          <w:rFonts w:eastAsia="MS Mincho"/>
          <w:szCs w:val="20"/>
          <w:lang w:val="en-US" w:eastAsia="zh-CN"/>
        </w:rPr>
        <w:t>.</w:t>
      </w:r>
    </w:p>
    <w:p w14:paraId="5553BAF6" w14:textId="77777777" w:rsidR="006A22C7" w:rsidRDefault="006A22C7" w:rsidP="009A3C6C">
      <w:pPr>
        <w:pStyle w:val="NoNumHead5"/>
        <w:spacing w:after="120" w:line="300" w:lineRule="atLeast"/>
        <w:jc w:val="both"/>
        <w:rPr>
          <w:rFonts w:ascii="Times New Roman" w:hAnsi="Times New Roman"/>
          <w:i w:val="0"/>
          <w:sz w:val="24"/>
        </w:rPr>
      </w:pPr>
      <w:r w:rsidRPr="005D2049">
        <w:rPr>
          <w:rFonts w:ascii="Times New Roman" w:hAnsi="Times New Roman"/>
          <w:i w:val="0"/>
          <w:sz w:val="24"/>
        </w:rPr>
        <w:t>Distribution</w:t>
      </w:r>
    </w:p>
    <w:p w14:paraId="0F61F4F6" w14:textId="670203EA" w:rsidR="00250E3A" w:rsidRPr="00250E3A" w:rsidRDefault="00250E3A" w:rsidP="00250E3A">
      <w:pPr>
        <w:spacing w:after="120" w:line="300" w:lineRule="exact"/>
        <w:jc w:val="both"/>
        <w:rPr>
          <w:rFonts w:eastAsia="MS Mincho"/>
          <w:szCs w:val="20"/>
          <w:lang w:val="en-US" w:eastAsia="zh-CN"/>
        </w:rPr>
      </w:pPr>
      <w:r w:rsidRPr="00250E3A">
        <w:rPr>
          <w:rFonts w:eastAsia="MS Mincho"/>
          <w:szCs w:val="20"/>
          <w:lang w:val="en-US" w:eastAsia="zh-CN"/>
        </w:rPr>
        <w:t xml:space="preserve">Binding of </w:t>
      </w:r>
      <w:proofErr w:type="spellStart"/>
      <w:r w:rsidRPr="00250E3A">
        <w:rPr>
          <w:rFonts w:eastAsia="MS Mincho"/>
          <w:szCs w:val="20"/>
          <w:lang w:val="en-US" w:eastAsia="zh-CN"/>
        </w:rPr>
        <w:t>ribociclib</w:t>
      </w:r>
      <w:proofErr w:type="spellEnd"/>
      <w:r w:rsidRPr="00250E3A">
        <w:rPr>
          <w:rFonts w:eastAsia="MS Mincho"/>
          <w:szCs w:val="20"/>
          <w:lang w:val="en-US" w:eastAsia="zh-CN"/>
        </w:rPr>
        <w:t xml:space="preserve"> to human plasma proteins in vitro was approximately 70</w:t>
      </w:r>
      <w:r w:rsidR="00222B3C">
        <w:rPr>
          <w:rFonts w:eastAsia="MS Mincho"/>
          <w:szCs w:val="20"/>
          <w:lang w:val="en-US" w:eastAsia="zh-CN"/>
        </w:rPr>
        <w:t xml:space="preserve"> </w:t>
      </w:r>
      <w:r w:rsidRPr="00250E3A">
        <w:rPr>
          <w:rFonts w:eastAsia="MS Mincho"/>
          <w:szCs w:val="20"/>
          <w:lang w:val="en-US" w:eastAsia="zh-CN"/>
        </w:rPr>
        <w:t xml:space="preserve">% and independent of concentration (10 </w:t>
      </w:r>
      <w:r w:rsidR="00E15D1F">
        <w:rPr>
          <w:rFonts w:eastAsia="MS Mincho"/>
          <w:szCs w:val="20"/>
          <w:lang w:val="en-US" w:eastAsia="zh-CN"/>
        </w:rPr>
        <w:t xml:space="preserve">ng/mL </w:t>
      </w:r>
      <w:r w:rsidRPr="00250E3A">
        <w:rPr>
          <w:rFonts w:eastAsia="MS Mincho"/>
          <w:szCs w:val="20"/>
          <w:lang w:val="en-US" w:eastAsia="zh-CN"/>
        </w:rPr>
        <w:t xml:space="preserve">to 10000 ng/mL). </w:t>
      </w:r>
      <w:proofErr w:type="spellStart"/>
      <w:r w:rsidRPr="00250E3A">
        <w:rPr>
          <w:rFonts w:eastAsia="MS Mincho"/>
          <w:szCs w:val="20"/>
          <w:lang w:val="en-US" w:eastAsia="zh-CN"/>
        </w:rPr>
        <w:t>Ribociclib</w:t>
      </w:r>
      <w:proofErr w:type="spellEnd"/>
      <w:r w:rsidRPr="00250E3A">
        <w:rPr>
          <w:rFonts w:eastAsia="MS Mincho"/>
          <w:szCs w:val="20"/>
          <w:lang w:val="en-US" w:eastAsia="zh-CN"/>
        </w:rPr>
        <w:t xml:space="preserve"> </w:t>
      </w:r>
      <w:proofErr w:type="gramStart"/>
      <w:r w:rsidRPr="00250E3A">
        <w:rPr>
          <w:rFonts w:eastAsia="MS Mincho"/>
          <w:szCs w:val="20"/>
          <w:lang w:val="en-US" w:eastAsia="zh-CN"/>
        </w:rPr>
        <w:t>was equally distributed</w:t>
      </w:r>
      <w:proofErr w:type="gramEnd"/>
      <w:r w:rsidRPr="00250E3A">
        <w:rPr>
          <w:rFonts w:eastAsia="MS Mincho"/>
          <w:szCs w:val="20"/>
          <w:lang w:val="en-US" w:eastAsia="zh-CN"/>
        </w:rPr>
        <w:t xml:space="preserve"> between red blood cells and plasma with a mean </w:t>
      </w:r>
      <w:r w:rsidRPr="00E15D1F">
        <w:rPr>
          <w:rFonts w:eastAsia="MS Mincho"/>
          <w:i/>
          <w:szCs w:val="20"/>
          <w:lang w:val="en-US" w:eastAsia="zh-CN"/>
        </w:rPr>
        <w:t>in vivo</w:t>
      </w:r>
      <w:r w:rsidRPr="00250E3A">
        <w:rPr>
          <w:rFonts w:eastAsia="MS Mincho"/>
          <w:szCs w:val="20"/>
          <w:lang w:val="en-US" w:eastAsia="zh-CN"/>
        </w:rPr>
        <w:t xml:space="preserve"> blood-to-plasma ratio of 1.04. The mean apparent volume of distribution </w:t>
      </w:r>
      <w:r w:rsidR="00222B3C" w:rsidRPr="00222B3C">
        <w:rPr>
          <w:rFonts w:eastAsia="MS Mincho"/>
          <w:szCs w:val="20"/>
          <w:lang w:val="en-US" w:eastAsia="zh-CN"/>
        </w:rPr>
        <w:t xml:space="preserve">at </w:t>
      </w:r>
      <w:proofErr w:type="gramStart"/>
      <w:r w:rsidR="00222B3C" w:rsidRPr="00222B3C">
        <w:rPr>
          <w:rFonts w:eastAsia="MS Mincho"/>
          <w:szCs w:val="20"/>
          <w:lang w:val="en-US" w:eastAsia="zh-CN"/>
        </w:rPr>
        <w:t>steady-state</w:t>
      </w:r>
      <w:proofErr w:type="gramEnd"/>
      <w:r w:rsidR="00222B3C" w:rsidRPr="00222B3C">
        <w:rPr>
          <w:rFonts w:eastAsia="MS Mincho"/>
          <w:szCs w:val="20"/>
          <w:lang w:val="en-US" w:eastAsia="zh-CN"/>
        </w:rPr>
        <w:t xml:space="preserve"> (</w:t>
      </w:r>
      <w:proofErr w:type="spellStart"/>
      <w:r w:rsidR="00222B3C" w:rsidRPr="00222B3C">
        <w:rPr>
          <w:rFonts w:eastAsia="MS Mincho"/>
          <w:szCs w:val="20"/>
          <w:lang w:val="en-US" w:eastAsia="zh-CN"/>
        </w:rPr>
        <w:t>Vss</w:t>
      </w:r>
      <w:proofErr w:type="spellEnd"/>
      <w:r w:rsidR="00222B3C" w:rsidRPr="00222B3C">
        <w:rPr>
          <w:rFonts w:eastAsia="MS Mincho"/>
          <w:szCs w:val="20"/>
          <w:lang w:val="en-US" w:eastAsia="zh-CN"/>
        </w:rPr>
        <w:t>/F) was 1</w:t>
      </w:r>
      <w:r w:rsidR="00E15D1F">
        <w:rPr>
          <w:rFonts w:eastAsia="MS Mincho"/>
          <w:szCs w:val="20"/>
          <w:lang w:val="en-US" w:eastAsia="zh-CN"/>
        </w:rPr>
        <w:t>,</w:t>
      </w:r>
      <w:r w:rsidR="00222B3C" w:rsidRPr="00222B3C">
        <w:rPr>
          <w:rFonts w:eastAsia="MS Mincho"/>
          <w:szCs w:val="20"/>
          <w:lang w:val="en-US" w:eastAsia="zh-CN"/>
        </w:rPr>
        <w:t>090 L based on population PK analysis</w:t>
      </w:r>
      <w:r w:rsidR="00222B3C">
        <w:rPr>
          <w:rFonts w:eastAsia="MS Mincho"/>
          <w:szCs w:val="20"/>
          <w:lang w:val="en-US" w:eastAsia="zh-CN"/>
        </w:rPr>
        <w:t xml:space="preserve">. </w:t>
      </w:r>
    </w:p>
    <w:p w14:paraId="5553BAF9" w14:textId="538252B5" w:rsidR="006A22C7" w:rsidRDefault="006B41A3" w:rsidP="009A3C6C">
      <w:pPr>
        <w:pStyle w:val="NoNumHead5"/>
        <w:spacing w:after="120" w:line="300" w:lineRule="atLeast"/>
        <w:jc w:val="both"/>
        <w:rPr>
          <w:rFonts w:ascii="Times New Roman" w:hAnsi="Times New Roman"/>
          <w:i w:val="0"/>
          <w:sz w:val="24"/>
        </w:rPr>
      </w:pPr>
      <w:r>
        <w:rPr>
          <w:rFonts w:ascii="Times New Roman" w:hAnsi="Times New Roman"/>
          <w:i w:val="0"/>
          <w:sz w:val="24"/>
        </w:rPr>
        <w:t xml:space="preserve">Biotransformation/ </w:t>
      </w:r>
      <w:r w:rsidR="006A22C7" w:rsidRPr="005D2049">
        <w:rPr>
          <w:rFonts w:ascii="Times New Roman" w:hAnsi="Times New Roman"/>
          <w:i w:val="0"/>
          <w:sz w:val="24"/>
        </w:rPr>
        <w:t>Metabolism</w:t>
      </w:r>
    </w:p>
    <w:p w14:paraId="3F9E7998" w14:textId="2DB8783D" w:rsidR="00B77C95" w:rsidRDefault="00E73276" w:rsidP="00E73276">
      <w:pPr>
        <w:spacing w:after="120" w:line="300" w:lineRule="exact"/>
        <w:jc w:val="both"/>
        <w:rPr>
          <w:rFonts w:eastAsia="MS Mincho"/>
          <w:szCs w:val="20"/>
          <w:lang w:val="en-US" w:eastAsia="zh-CN"/>
        </w:rPr>
      </w:pPr>
      <w:r w:rsidRPr="00E73276">
        <w:rPr>
          <w:rFonts w:eastAsia="MS Mincho"/>
          <w:i/>
          <w:szCs w:val="20"/>
          <w:lang w:val="en-US" w:eastAsia="zh-CN"/>
        </w:rPr>
        <w:t>In vitro</w:t>
      </w:r>
      <w:r w:rsidRPr="00E73276">
        <w:rPr>
          <w:rFonts w:eastAsia="MS Mincho"/>
          <w:szCs w:val="20"/>
          <w:lang w:val="en-US" w:eastAsia="zh-CN"/>
        </w:rPr>
        <w:t xml:space="preserve"> and </w:t>
      </w:r>
      <w:r w:rsidRPr="00E73276">
        <w:rPr>
          <w:rFonts w:eastAsia="MS Mincho"/>
          <w:i/>
          <w:szCs w:val="20"/>
          <w:lang w:val="en-US" w:eastAsia="zh-CN"/>
        </w:rPr>
        <w:t>in vivo</w:t>
      </w:r>
      <w:r w:rsidRPr="00E73276">
        <w:rPr>
          <w:rFonts w:eastAsia="MS Mincho"/>
          <w:szCs w:val="20"/>
          <w:lang w:val="en-US" w:eastAsia="zh-CN"/>
        </w:rPr>
        <w:t xml:space="preserve"> studies indicated </w:t>
      </w:r>
      <w:proofErr w:type="spellStart"/>
      <w:r w:rsidRPr="00E73276">
        <w:rPr>
          <w:rFonts w:eastAsia="MS Mincho"/>
          <w:szCs w:val="20"/>
          <w:lang w:val="en-US" w:eastAsia="zh-CN"/>
        </w:rPr>
        <w:t>ribociclib</w:t>
      </w:r>
      <w:proofErr w:type="spellEnd"/>
      <w:r w:rsidRPr="00E73276">
        <w:rPr>
          <w:rFonts w:eastAsia="MS Mincho"/>
          <w:szCs w:val="20"/>
          <w:lang w:val="en-US" w:eastAsia="zh-CN"/>
        </w:rPr>
        <w:t xml:space="preserve"> undergoes extensive hepatic metabolism </w:t>
      </w:r>
      <w:r w:rsidR="00B77C95" w:rsidRPr="00B77C95">
        <w:rPr>
          <w:rFonts w:eastAsia="MS Mincho"/>
          <w:szCs w:val="20"/>
          <w:lang w:val="en-US" w:eastAsia="zh-CN"/>
        </w:rPr>
        <w:t xml:space="preserve">mainly via CYP3A4 </w:t>
      </w:r>
      <w:r w:rsidRPr="00E73276">
        <w:rPr>
          <w:rFonts w:eastAsia="MS Mincho"/>
          <w:szCs w:val="20"/>
          <w:lang w:val="en-US" w:eastAsia="zh-CN"/>
        </w:rPr>
        <w:t>in humans. Following oral administration of a single 600 mg dose of [</w:t>
      </w:r>
      <w:r w:rsidRPr="00B77C95">
        <w:rPr>
          <w:rFonts w:eastAsia="MS Mincho"/>
          <w:szCs w:val="20"/>
          <w:vertAlign w:val="superscript"/>
          <w:lang w:val="en-US" w:eastAsia="zh-CN"/>
        </w:rPr>
        <w:t>14</w:t>
      </w:r>
      <w:r w:rsidRPr="00E73276">
        <w:rPr>
          <w:rFonts w:eastAsia="MS Mincho"/>
          <w:szCs w:val="20"/>
          <w:lang w:val="en-US" w:eastAsia="zh-CN"/>
        </w:rPr>
        <w:t xml:space="preserve">C] </w:t>
      </w:r>
      <w:proofErr w:type="spellStart"/>
      <w:r w:rsidRPr="00E73276">
        <w:rPr>
          <w:rFonts w:eastAsia="MS Mincho"/>
          <w:szCs w:val="20"/>
          <w:lang w:val="en-US" w:eastAsia="zh-CN"/>
        </w:rPr>
        <w:t>ribociclib</w:t>
      </w:r>
      <w:proofErr w:type="spellEnd"/>
      <w:r w:rsidRPr="00E73276">
        <w:rPr>
          <w:rFonts w:eastAsia="MS Mincho"/>
          <w:szCs w:val="20"/>
          <w:lang w:val="en-US" w:eastAsia="zh-CN"/>
        </w:rPr>
        <w:t xml:space="preserve"> to humans, the primary metabolic pathways for </w:t>
      </w:r>
      <w:proofErr w:type="spellStart"/>
      <w:r w:rsidRPr="00E73276">
        <w:rPr>
          <w:rFonts w:eastAsia="MS Mincho"/>
          <w:szCs w:val="20"/>
          <w:lang w:val="en-US" w:eastAsia="zh-CN"/>
        </w:rPr>
        <w:t>ribociclib</w:t>
      </w:r>
      <w:proofErr w:type="spellEnd"/>
      <w:r w:rsidRPr="00E73276">
        <w:rPr>
          <w:rFonts w:eastAsia="MS Mincho"/>
          <w:szCs w:val="20"/>
          <w:lang w:val="en-US" w:eastAsia="zh-CN"/>
        </w:rPr>
        <w:t xml:space="preserve"> involved oxidation </w:t>
      </w:r>
      <w:r w:rsidR="00C45D4D">
        <w:rPr>
          <w:rFonts w:eastAsia="MS Mincho"/>
          <w:szCs w:val="20"/>
          <w:lang w:val="en-US" w:eastAsia="zh-CN"/>
        </w:rPr>
        <w:t>{</w:t>
      </w:r>
      <w:proofErr w:type="spellStart"/>
      <w:r w:rsidRPr="00E73276">
        <w:rPr>
          <w:rFonts w:eastAsia="MS Mincho"/>
          <w:szCs w:val="20"/>
          <w:lang w:val="en-US" w:eastAsia="zh-CN"/>
        </w:rPr>
        <w:t>dealkylation</w:t>
      </w:r>
      <w:proofErr w:type="spellEnd"/>
      <w:r w:rsidRPr="00E73276">
        <w:rPr>
          <w:rFonts w:eastAsia="MS Mincho"/>
          <w:szCs w:val="20"/>
          <w:lang w:val="en-US" w:eastAsia="zh-CN"/>
        </w:rPr>
        <w:t>, C and/or N-oxygenation, oxidation (-2H)</w:t>
      </w:r>
      <w:r w:rsidR="00C45D4D">
        <w:rPr>
          <w:rFonts w:eastAsia="MS Mincho"/>
          <w:szCs w:val="20"/>
          <w:lang w:val="en-US" w:eastAsia="zh-CN"/>
        </w:rPr>
        <w:t>}</w:t>
      </w:r>
      <w:r w:rsidRPr="00E73276">
        <w:rPr>
          <w:rFonts w:eastAsia="MS Mincho"/>
          <w:szCs w:val="20"/>
          <w:lang w:val="en-US" w:eastAsia="zh-CN"/>
        </w:rPr>
        <w:t xml:space="preserve"> and combinations thereof. Phase II conjugates of </w:t>
      </w:r>
      <w:proofErr w:type="spellStart"/>
      <w:r w:rsidRPr="00E73276">
        <w:rPr>
          <w:rFonts w:eastAsia="MS Mincho"/>
          <w:szCs w:val="20"/>
          <w:lang w:val="en-US" w:eastAsia="zh-CN"/>
        </w:rPr>
        <w:t>ribociclib</w:t>
      </w:r>
      <w:proofErr w:type="spellEnd"/>
      <w:r w:rsidRPr="00E73276">
        <w:rPr>
          <w:rFonts w:eastAsia="MS Mincho"/>
          <w:szCs w:val="20"/>
          <w:lang w:val="en-US" w:eastAsia="zh-CN"/>
        </w:rPr>
        <w:t xml:space="preserve"> Phase </w:t>
      </w:r>
      <w:r w:rsidR="00B77C95">
        <w:rPr>
          <w:rFonts w:eastAsia="MS Mincho"/>
          <w:szCs w:val="20"/>
          <w:lang w:val="en-US" w:eastAsia="zh-CN"/>
        </w:rPr>
        <w:t>I</w:t>
      </w:r>
      <w:r w:rsidRPr="00E73276">
        <w:rPr>
          <w:rFonts w:eastAsia="MS Mincho"/>
          <w:szCs w:val="20"/>
          <w:lang w:val="en-US" w:eastAsia="zh-CN"/>
        </w:rPr>
        <w:t xml:space="preserve"> metabolites involved N-acetylation, </w:t>
      </w:r>
      <w:proofErr w:type="spellStart"/>
      <w:r w:rsidR="00B96098" w:rsidRPr="00E73276">
        <w:rPr>
          <w:rFonts w:eastAsia="MS Mincho"/>
          <w:szCs w:val="20"/>
          <w:lang w:val="en-US" w:eastAsia="zh-CN"/>
        </w:rPr>
        <w:t>sulphation</w:t>
      </w:r>
      <w:proofErr w:type="spellEnd"/>
      <w:r w:rsidRPr="00E73276">
        <w:rPr>
          <w:rFonts w:eastAsia="MS Mincho"/>
          <w:szCs w:val="20"/>
          <w:lang w:val="en-US" w:eastAsia="zh-CN"/>
        </w:rPr>
        <w:t xml:space="preserve">, cysteine conjugation, glycosylation and </w:t>
      </w:r>
      <w:proofErr w:type="spellStart"/>
      <w:r w:rsidRPr="00E73276">
        <w:rPr>
          <w:rFonts w:eastAsia="MS Mincho"/>
          <w:szCs w:val="20"/>
          <w:lang w:val="en-US" w:eastAsia="zh-CN"/>
        </w:rPr>
        <w:t>glucuronidation</w:t>
      </w:r>
      <w:proofErr w:type="spellEnd"/>
      <w:r w:rsidRPr="00E73276">
        <w:rPr>
          <w:rFonts w:eastAsia="MS Mincho"/>
          <w:szCs w:val="20"/>
          <w:lang w:val="en-US" w:eastAsia="zh-CN"/>
        </w:rPr>
        <w:t xml:space="preserve">. </w:t>
      </w:r>
      <w:proofErr w:type="spellStart"/>
      <w:r w:rsidRPr="00E73276">
        <w:rPr>
          <w:rFonts w:eastAsia="MS Mincho"/>
          <w:szCs w:val="20"/>
          <w:lang w:val="en-US" w:eastAsia="zh-CN"/>
        </w:rPr>
        <w:t>Ribociclib</w:t>
      </w:r>
      <w:proofErr w:type="spellEnd"/>
      <w:r w:rsidRPr="00E73276">
        <w:rPr>
          <w:rFonts w:eastAsia="MS Mincho"/>
          <w:szCs w:val="20"/>
          <w:lang w:val="en-US" w:eastAsia="zh-CN"/>
        </w:rPr>
        <w:t xml:space="preserve"> was the major circulating drug-derived entity in plasma (43.5</w:t>
      </w:r>
      <w:r w:rsidR="00B77C95">
        <w:rPr>
          <w:rFonts w:eastAsia="MS Mincho"/>
          <w:szCs w:val="20"/>
          <w:lang w:val="en-US" w:eastAsia="zh-CN"/>
        </w:rPr>
        <w:t xml:space="preserve"> </w:t>
      </w:r>
      <w:r w:rsidRPr="00E73276">
        <w:rPr>
          <w:rFonts w:eastAsia="MS Mincho"/>
          <w:szCs w:val="20"/>
          <w:lang w:val="en-US" w:eastAsia="zh-CN"/>
        </w:rPr>
        <w:t xml:space="preserve">%). The major circulating metabolites included metabolite </w:t>
      </w:r>
      <w:r w:rsidR="00B77C95" w:rsidRPr="00B77C95">
        <w:rPr>
          <w:rFonts w:eastAsia="MS Mincho"/>
          <w:szCs w:val="20"/>
          <w:lang w:val="en-US" w:eastAsia="zh-CN"/>
        </w:rPr>
        <w:t>M13 (CCI284, N-hydroxylation)</w:t>
      </w:r>
      <w:r w:rsidR="00B77C95">
        <w:rPr>
          <w:rFonts w:eastAsia="MS Mincho"/>
          <w:szCs w:val="20"/>
          <w:lang w:val="en-US" w:eastAsia="zh-CN"/>
        </w:rPr>
        <w:t xml:space="preserve">, M4 (LEQ803, N-demethylation), and </w:t>
      </w:r>
      <w:r w:rsidRPr="00E73276">
        <w:rPr>
          <w:rFonts w:eastAsia="MS Mincho"/>
          <w:szCs w:val="20"/>
          <w:lang w:val="en-US" w:eastAsia="zh-CN"/>
        </w:rPr>
        <w:t>M1 (</w:t>
      </w:r>
      <w:r w:rsidR="004E662E" w:rsidRPr="004E662E">
        <w:rPr>
          <w:rFonts w:eastAsia="MS Mincho"/>
          <w:szCs w:val="20"/>
          <w:lang w:val="en-US" w:eastAsia="zh-CN"/>
        </w:rPr>
        <w:t>secondary glucuronide</w:t>
      </w:r>
      <w:r w:rsidRPr="00E73276">
        <w:rPr>
          <w:rFonts w:eastAsia="MS Mincho"/>
          <w:szCs w:val="20"/>
          <w:lang w:val="en-US" w:eastAsia="zh-CN"/>
        </w:rPr>
        <w:t>)</w:t>
      </w:r>
      <w:r w:rsidR="00B96098" w:rsidRPr="00E73276">
        <w:rPr>
          <w:rFonts w:eastAsia="MS Mincho"/>
          <w:szCs w:val="20"/>
          <w:lang w:val="en-US" w:eastAsia="zh-CN"/>
        </w:rPr>
        <w:t>, each</w:t>
      </w:r>
      <w:r w:rsidRPr="00E73276">
        <w:rPr>
          <w:rFonts w:eastAsia="MS Mincho"/>
          <w:szCs w:val="20"/>
          <w:lang w:val="en-US" w:eastAsia="zh-CN"/>
        </w:rPr>
        <w:t xml:space="preserve"> representing an estimated </w:t>
      </w:r>
      <w:r w:rsidR="00B77C95" w:rsidRPr="00E73276">
        <w:rPr>
          <w:rFonts w:eastAsia="MS Mincho"/>
          <w:szCs w:val="20"/>
          <w:lang w:val="en-US" w:eastAsia="zh-CN"/>
        </w:rPr>
        <w:t>9.39</w:t>
      </w:r>
      <w:r w:rsidR="00B77C95">
        <w:rPr>
          <w:rFonts w:eastAsia="MS Mincho"/>
          <w:szCs w:val="20"/>
          <w:lang w:val="en-US" w:eastAsia="zh-CN"/>
        </w:rPr>
        <w:t xml:space="preserve"> </w:t>
      </w:r>
      <w:r w:rsidR="00B77C95" w:rsidRPr="00E73276">
        <w:rPr>
          <w:rFonts w:eastAsia="MS Mincho"/>
          <w:szCs w:val="20"/>
          <w:lang w:val="en-US" w:eastAsia="zh-CN"/>
        </w:rPr>
        <w:t>%</w:t>
      </w:r>
      <w:r w:rsidR="00B96098">
        <w:rPr>
          <w:rFonts w:eastAsia="MS Mincho"/>
          <w:szCs w:val="20"/>
          <w:lang w:val="en-US" w:eastAsia="zh-CN"/>
        </w:rPr>
        <w:t xml:space="preserve">, </w:t>
      </w:r>
      <w:r w:rsidR="00B96098" w:rsidRPr="00E73276">
        <w:rPr>
          <w:rFonts w:eastAsia="MS Mincho"/>
          <w:szCs w:val="20"/>
          <w:lang w:val="en-US" w:eastAsia="zh-CN"/>
        </w:rPr>
        <w:t>8.60</w:t>
      </w:r>
      <w:r w:rsidR="00B77C95">
        <w:rPr>
          <w:rFonts w:eastAsia="MS Mincho"/>
          <w:szCs w:val="20"/>
          <w:lang w:val="en-US" w:eastAsia="zh-CN"/>
        </w:rPr>
        <w:t xml:space="preserve"> </w:t>
      </w:r>
      <w:r w:rsidR="00B77C95" w:rsidRPr="00E73276">
        <w:rPr>
          <w:rFonts w:eastAsia="MS Mincho"/>
          <w:szCs w:val="20"/>
          <w:lang w:val="en-US" w:eastAsia="zh-CN"/>
        </w:rPr>
        <w:t>%</w:t>
      </w:r>
      <w:r w:rsidR="00B77C95">
        <w:rPr>
          <w:rFonts w:eastAsia="MS Mincho"/>
          <w:szCs w:val="20"/>
          <w:lang w:val="en-US" w:eastAsia="zh-CN"/>
        </w:rPr>
        <w:t xml:space="preserve">, and </w:t>
      </w:r>
      <w:r w:rsidRPr="00E73276">
        <w:rPr>
          <w:rFonts w:eastAsia="MS Mincho"/>
          <w:szCs w:val="20"/>
          <w:lang w:val="en-US" w:eastAsia="zh-CN"/>
        </w:rPr>
        <w:t>7.78</w:t>
      </w:r>
      <w:r w:rsidR="00B77C95">
        <w:rPr>
          <w:rFonts w:eastAsia="MS Mincho"/>
          <w:szCs w:val="20"/>
          <w:lang w:val="en-US" w:eastAsia="zh-CN"/>
        </w:rPr>
        <w:t xml:space="preserve"> </w:t>
      </w:r>
      <w:r w:rsidRPr="00E73276">
        <w:rPr>
          <w:rFonts w:eastAsia="MS Mincho"/>
          <w:szCs w:val="20"/>
          <w:lang w:val="en-US" w:eastAsia="zh-CN"/>
        </w:rPr>
        <w:t>%</w:t>
      </w:r>
      <w:r w:rsidR="00B77C95">
        <w:rPr>
          <w:rFonts w:eastAsia="MS Mincho"/>
          <w:szCs w:val="20"/>
          <w:lang w:val="en-US" w:eastAsia="zh-CN"/>
        </w:rPr>
        <w:t xml:space="preserve"> of </w:t>
      </w:r>
      <w:r w:rsidRPr="00E73276">
        <w:rPr>
          <w:rFonts w:eastAsia="MS Mincho"/>
          <w:szCs w:val="20"/>
          <w:lang w:val="en-US" w:eastAsia="zh-CN"/>
        </w:rPr>
        <w:t>total radioactivity, and</w:t>
      </w:r>
      <w:r w:rsidR="00B77C95" w:rsidRPr="00E73276">
        <w:rPr>
          <w:rFonts w:eastAsia="MS Mincho"/>
          <w:szCs w:val="20"/>
          <w:lang w:val="en-US" w:eastAsia="zh-CN"/>
        </w:rPr>
        <w:t xml:space="preserve"> 21.6</w:t>
      </w:r>
      <w:r w:rsidR="00B77C95">
        <w:rPr>
          <w:rFonts w:eastAsia="MS Mincho"/>
          <w:szCs w:val="20"/>
          <w:lang w:val="en-US" w:eastAsia="zh-CN"/>
        </w:rPr>
        <w:t xml:space="preserve"> </w:t>
      </w:r>
      <w:r w:rsidR="00B77C95" w:rsidRPr="00E73276">
        <w:rPr>
          <w:rFonts w:eastAsia="MS Mincho"/>
          <w:szCs w:val="20"/>
          <w:lang w:val="en-US" w:eastAsia="zh-CN"/>
        </w:rPr>
        <w:t>%</w:t>
      </w:r>
      <w:r w:rsidR="00B77C95">
        <w:rPr>
          <w:rFonts w:eastAsia="MS Mincho"/>
          <w:szCs w:val="20"/>
          <w:lang w:val="en-US" w:eastAsia="zh-CN"/>
        </w:rPr>
        <w:t xml:space="preserve">, </w:t>
      </w:r>
      <w:r w:rsidR="00B77C95" w:rsidRPr="00E73276">
        <w:rPr>
          <w:rFonts w:eastAsia="MS Mincho"/>
          <w:szCs w:val="20"/>
          <w:lang w:val="en-US" w:eastAsia="zh-CN"/>
        </w:rPr>
        <w:t>19.8</w:t>
      </w:r>
      <w:r w:rsidR="00B77C95">
        <w:rPr>
          <w:rFonts w:eastAsia="MS Mincho"/>
          <w:szCs w:val="20"/>
          <w:lang w:val="en-US" w:eastAsia="zh-CN"/>
        </w:rPr>
        <w:t xml:space="preserve"> </w:t>
      </w:r>
      <w:r w:rsidR="00B77C95" w:rsidRPr="00E73276">
        <w:rPr>
          <w:rFonts w:eastAsia="MS Mincho"/>
          <w:szCs w:val="20"/>
          <w:lang w:val="en-US" w:eastAsia="zh-CN"/>
        </w:rPr>
        <w:t>%</w:t>
      </w:r>
      <w:r w:rsidR="00B77C95">
        <w:rPr>
          <w:rFonts w:eastAsia="MS Mincho"/>
          <w:szCs w:val="20"/>
          <w:lang w:val="en-US" w:eastAsia="zh-CN"/>
        </w:rPr>
        <w:t xml:space="preserve">, and </w:t>
      </w:r>
      <w:r w:rsidRPr="00E73276">
        <w:rPr>
          <w:rFonts w:eastAsia="MS Mincho"/>
          <w:szCs w:val="20"/>
          <w:lang w:val="en-US" w:eastAsia="zh-CN"/>
        </w:rPr>
        <w:t>17.9</w:t>
      </w:r>
      <w:r>
        <w:rPr>
          <w:rFonts w:eastAsia="MS Mincho"/>
          <w:szCs w:val="20"/>
          <w:lang w:val="en-US" w:eastAsia="zh-CN"/>
        </w:rPr>
        <w:t xml:space="preserve"> </w:t>
      </w:r>
      <w:r w:rsidRPr="00E73276">
        <w:rPr>
          <w:rFonts w:eastAsia="MS Mincho"/>
          <w:szCs w:val="20"/>
          <w:lang w:val="en-US" w:eastAsia="zh-CN"/>
        </w:rPr>
        <w:t>%</w:t>
      </w:r>
      <w:r w:rsidR="00B77C95">
        <w:rPr>
          <w:rFonts w:eastAsia="MS Mincho"/>
          <w:szCs w:val="20"/>
          <w:lang w:val="en-US" w:eastAsia="zh-CN"/>
        </w:rPr>
        <w:t xml:space="preserve"> </w:t>
      </w:r>
      <w:r w:rsidRPr="00E73276">
        <w:rPr>
          <w:rFonts w:eastAsia="MS Mincho"/>
          <w:szCs w:val="20"/>
          <w:lang w:val="en-US" w:eastAsia="zh-CN"/>
        </w:rPr>
        <w:t xml:space="preserve">of </w:t>
      </w:r>
      <w:proofErr w:type="spellStart"/>
      <w:r w:rsidRPr="00E73276">
        <w:rPr>
          <w:rFonts w:eastAsia="MS Mincho"/>
          <w:szCs w:val="20"/>
          <w:lang w:val="en-US" w:eastAsia="zh-CN"/>
        </w:rPr>
        <w:t>ribociclib</w:t>
      </w:r>
      <w:proofErr w:type="spellEnd"/>
      <w:r w:rsidRPr="00E73276">
        <w:rPr>
          <w:rFonts w:eastAsia="MS Mincho"/>
          <w:szCs w:val="20"/>
          <w:lang w:val="en-US" w:eastAsia="zh-CN"/>
        </w:rPr>
        <w:t xml:space="preserve"> exposure</w:t>
      </w:r>
      <w:r w:rsidR="004E662E" w:rsidRPr="004E662E">
        <w:t xml:space="preserve"> </w:t>
      </w:r>
      <w:r w:rsidR="004E662E" w:rsidRPr="004E662E">
        <w:rPr>
          <w:rFonts w:eastAsia="MS Mincho"/>
          <w:szCs w:val="20"/>
          <w:lang w:val="en-US" w:eastAsia="zh-CN"/>
        </w:rPr>
        <w:t>respectively</w:t>
      </w:r>
      <w:r w:rsidRPr="00E73276">
        <w:rPr>
          <w:rFonts w:eastAsia="MS Mincho"/>
          <w:szCs w:val="20"/>
          <w:lang w:val="en-US" w:eastAsia="zh-CN"/>
        </w:rPr>
        <w:t xml:space="preserve">. </w:t>
      </w:r>
      <w:r w:rsidR="00B77C95" w:rsidRPr="00B77C95">
        <w:rPr>
          <w:rFonts w:eastAsia="MS Mincho"/>
          <w:szCs w:val="20"/>
          <w:lang w:val="en-US" w:eastAsia="zh-CN"/>
        </w:rPr>
        <w:t xml:space="preserve">Clinical activity (pharmacological and safety) of </w:t>
      </w:r>
      <w:proofErr w:type="spellStart"/>
      <w:r w:rsidR="00B77C95" w:rsidRPr="00B77C95">
        <w:rPr>
          <w:rFonts w:eastAsia="MS Mincho"/>
          <w:szCs w:val="20"/>
          <w:lang w:val="en-US" w:eastAsia="zh-CN"/>
        </w:rPr>
        <w:t>ribociclib</w:t>
      </w:r>
      <w:proofErr w:type="spellEnd"/>
      <w:r w:rsidR="00B77C95" w:rsidRPr="00B77C95">
        <w:rPr>
          <w:rFonts w:eastAsia="MS Mincho"/>
          <w:szCs w:val="20"/>
          <w:lang w:val="en-US" w:eastAsia="zh-CN"/>
        </w:rPr>
        <w:t xml:space="preserve"> was due primarily to </w:t>
      </w:r>
      <w:r w:rsidR="004E662E">
        <w:rPr>
          <w:rFonts w:eastAsia="MS Mincho"/>
          <w:szCs w:val="20"/>
          <w:lang w:val="en-US" w:eastAsia="zh-CN"/>
        </w:rPr>
        <w:t xml:space="preserve">the </w:t>
      </w:r>
      <w:r w:rsidR="00B77C95" w:rsidRPr="00B77C95">
        <w:rPr>
          <w:rFonts w:eastAsia="MS Mincho"/>
          <w:szCs w:val="20"/>
          <w:lang w:val="en-US" w:eastAsia="zh-CN"/>
        </w:rPr>
        <w:t xml:space="preserve">parent drug, with negligible contribution from </w:t>
      </w:r>
      <w:r w:rsidR="004E662E">
        <w:rPr>
          <w:rFonts w:eastAsia="MS Mincho"/>
          <w:szCs w:val="20"/>
          <w:lang w:val="en-US" w:eastAsia="zh-CN"/>
        </w:rPr>
        <w:t xml:space="preserve">the </w:t>
      </w:r>
      <w:r w:rsidR="00B77C95" w:rsidRPr="00B77C95">
        <w:rPr>
          <w:rFonts w:eastAsia="MS Mincho"/>
          <w:szCs w:val="20"/>
          <w:lang w:val="en-US" w:eastAsia="zh-CN"/>
        </w:rPr>
        <w:t>circulating metabolites</w:t>
      </w:r>
      <w:r w:rsidR="001543C7">
        <w:rPr>
          <w:rFonts w:eastAsia="MS Mincho"/>
          <w:szCs w:val="20"/>
          <w:lang w:val="en-US" w:eastAsia="zh-CN"/>
        </w:rPr>
        <w:t>.</w:t>
      </w:r>
    </w:p>
    <w:p w14:paraId="09A0AA10" w14:textId="6BFE7720" w:rsidR="00E73276" w:rsidRPr="00E73276" w:rsidRDefault="00E73276" w:rsidP="00E73276">
      <w:pPr>
        <w:spacing w:after="120" w:line="300" w:lineRule="exact"/>
        <w:jc w:val="both"/>
        <w:rPr>
          <w:rFonts w:eastAsia="MS Mincho"/>
          <w:szCs w:val="20"/>
          <w:lang w:val="en-US" w:eastAsia="zh-CN"/>
        </w:rPr>
      </w:pPr>
      <w:proofErr w:type="spellStart"/>
      <w:r w:rsidRPr="00E73276">
        <w:rPr>
          <w:rFonts w:eastAsia="MS Mincho"/>
          <w:szCs w:val="20"/>
          <w:lang w:val="en-US" w:eastAsia="zh-CN"/>
        </w:rPr>
        <w:lastRenderedPageBreak/>
        <w:t>Ribociclib</w:t>
      </w:r>
      <w:proofErr w:type="spellEnd"/>
      <w:r w:rsidRPr="00E73276">
        <w:rPr>
          <w:rFonts w:eastAsia="MS Mincho"/>
          <w:szCs w:val="20"/>
          <w:lang w:val="en-US" w:eastAsia="zh-CN"/>
        </w:rPr>
        <w:t xml:space="preserve"> </w:t>
      </w:r>
      <w:proofErr w:type="gramStart"/>
      <w:r w:rsidRPr="00E73276">
        <w:rPr>
          <w:rFonts w:eastAsia="MS Mincho"/>
          <w:szCs w:val="20"/>
          <w:lang w:val="en-US" w:eastAsia="zh-CN"/>
        </w:rPr>
        <w:t>was extensively metabolized</w:t>
      </w:r>
      <w:proofErr w:type="gramEnd"/>
      <w:r w:rsidRPr="00E73276">
        <w:rPr>
          <w:rFonts w:eastAsia="MS Mincho"/>
          <w:szCs w:val="20"/>
          <w:lang w:val="en-US" w:eastAsia="zh-CN"/>
        </w:rPr>
        <w:t xml:space="preserve"> with unchanged drug accounting for 17.3</w:t>
      </w:r>
      <w:r w:rsidR="00B77C95">
        <w:rPr>
          <w:rFonts w:eastAsia="MS Mincho"/>
          <w:szCs w:val="20"/>
          <w:lang w:val="en-US" w:eastAsia="zh-CN"/>
        </w:rPr>
        <w:t xml:space="preserve"> </w:t>
      </w:r>
      <w:r w:rsidRPr="00E73276">
        <w:rPr>
          <w:rFonts w:eastAsia="MS Mincho"/>
          <w:szCs w:val="20"/>
          <w:lang w:val="en-US" w:eastAsia="zh-CN"/>
        </w:rPr>
        <w:t>% and 12.1</w:t>
      </w:r>
      <w:r w:rsidR="00B77C95">
        <w:rPr>
          <w:rFonts w:eastAsia="MS Mincho"/>
          <w:szCs w:val="20"/>
          <w:lang w:val="en-US" w:eastAsia="zh-CN"/>
        </w:rPr>
        <w:t xml:space="preserve"> </w:t>
      </w:r>
      <w:r w:rsidRPr="00E73276">
        <w:rPr>
          <w:rFonts w:eastAsia="MS Mincho"/>
          <w:szCs w:val="20"/>
          <w:lang w:val="en-US" w:eastAsia="zh-CN"/>
        </w:rPr>
        <w:t xml:space="preserve">% in feces and urine respectively. Metabolite </w:t>
      </w:r>
      <w:r w:rsidR="00B77C95" w:rsidRPr="00B77C95">
        <w:rPr>
          <w:rFonts w:eastAsia="MS Mincho"/>
          <w:szCs w:val="20"/>
          <w:lang w:val="en-US" w:eastAsia="zh-CN"/>
        </w:rPr>
        <w:t xml:space="preserve">LEQ803 </w:t>
      </w:r>
      <w:r w:rsidRPr="00E73276">
        <w:rPr>
          <w:rFonts w:eastAsia="MS Mincho"/>
          <w:szCs w:val="20"/>
          <w:lang w:val="en-US" w:eastAsia="zh-CN"/>
        </w:rPr>
        <w:t>was a significant metabolite in excreta and represented approximately 13.9</w:t>
      </w:r>
      <w:r w:rsidR="00B77C95">
        <w:rPr>
          <w:rFonts w:eastAsia="MS Mincho"/>
          <w:szCs w:val="20"/>
          <w:lang w:val="en-US" w:eastAsia="zh-CN"/>
        </w:rPr>
        <w:t xml:space="preserve"> </w:t>
      </w:r>
      <w:r w:rsidRPr="00E73276">
        <w:rPr>
          <w:rFonts w:eastAsia="MS Mincho"/>
          <w:szCs w:val="20"/>
          <w:lang w:val="en-US" w:eastAsia="zh-CN"/>
        </w:rPr>
        <w:t>% and 3.74</w:t>
      </w:r>
      <w:r w:rsidR="00B77C95">
        <w:rPr>
          <w:rFonts w:eastAsia="MS Mincho"/>
          <w:szCs w:val="20"/>
          <w:lang w:val="en-US" w:eastAsia="zh-CN"/>
        </w:rPr>
        <w:t xml:space="preserve"> </w:t>
      </w:r>
      <w:r w:rsidRPr="00E73276">
        <w:rPr>
          <w:rFonts w:eastAsia="MS Mincho"/>
          <w:szCs w:val="20"/>
          <w:lang w:val="en-US" w:eastAsia="zh-CN"/>
        </w:rPr>
        <w:t xml:space="preserve">% of the administered dose in feces and urine, respectively. Numerous other metabolites </w:t>
      </w:r>
      <w:proofErr w:type="gramStart"/>
      <w:r w:rsidRPr="00E73276">
        <w:rPr>
          <w:rFonts w:eastAsia="MS Mincho"/>
          <w:szCs w:val="20"/>
          <w:lang w:val="en-US" w:eastAsia="zh-CN"/>
        </w:rPr>
        <w:t>were detected</w:t>
      </w:r>
      <w:proofErr w:type="gramEnd"/>
      <w:r w:rsidRPr="00E73276">
        <w:rPr>
          <w:rFonts w:eastAsia="MS Mincho"/>
          <w:szCs w:val="20"/>
          <w:lang w:val="en-US" w:eastAsia="zh-CN"/>
        </w:rPr>
        <w:t xml:space="preserve"> in both feces and urine in minor abundance (≤ 2.78</w:t>
      </w:r>
      <w:r w:rsidR="00B77C95">
        <w:rPr>
          <w:rFonts w:eastAsia="MS Mincho"/>
          <w:szCs w:val="20"/>
          <w:lang w:val="en-US" w:eastAsia="zh-CN"/>
        </w:rPr>
        <w:t xml:space="preserve"> </w:t>
      </w:r>
      <w:r w:rsidR="001543C7">
        <w:rPr>
          <w:rFonts w:eastAsia="MS Mincho"/>
          <w:szCs w:val="20"/>
          <w:lang w:val="en-US" w:eastAsia="zh-CN"/>
        </w:rPr>
        <w:t>% of the administered dose).</w:t>
      </w:r>
    </w:p>
    <w:p w14:paraId="5553BAFC" w14:textId="45C0E2E0" w:rsidR="006A22C7" w:rsidRDefault="00B77C95" w:rsidP="001543C7">
      <w:pPr>
        <w:pStyle w:val="NoNumHead5"/>
        <w:widowControl w:val="0"/>
        <w:spacing w:after="120" w:line="300" w:lineRule="atLeast"/>
        <w:jc w:val="both"/>
        <w:rPr>
          <w:rFonts w:ascii="Times New Roman" w:hAnsi="Times New Roman"/>
          <w:i w:val="0"/>
          <w:sz w:val="24"/>
        </w:rPr>
      </w:pPr>
      <w:r w:rsidRPr="00B77C95">
        <w:rPr>
          <w:rFonts w:ascii="Times New Roman" w:hAnsi="Times New Roman"/>
          <w:i w:val="0"/>
          <w:sz w:val="24"/>
        </w:rPr>
        <w:t>Elimination</w:t>
      </w:r>
    </w:p>
    <w:p w14:paraId="71792945" w14:textId="4043E9B6" w:rsidR="00F2621B" w:rsidRDefault="00F44023" w:rsidP="001543C7">
      <w:pPr>
        <w:keepNext/>
        <w:widowControl w:val="0"/>
        <w:spacing w:after="120" w:line="300" w:lineRule="exact"/>
        <w:jc w:val="both"/>
        <w:rPr>
          <w:rFonts w:eastAsia="MS Mincho"/>
          <w:szCs w:val="20"/>
          <w:lang w:val="en-US" w:eastAsia="zh-CN"/>
        </w:rPr>
      </w:pPr>
      <w:r w:rsidRPr="00F44023">
        <w:rPr>
          <w:rFonts w:eastAsia="MS Mincho"/>
          <w:szCs w:val="20"/>
          <w:lang w:val="en-US" w:eastAsia="zh-CN"/>
        </w:rPr>
        <w:t>The geometric mean plasma effective half-life (based on accumulation ratio) was 32.0 hours (63</w:t>
      </w:r>
      <w:r w:rsidR="00F2621B">
        <w:rPr>
          <w:rFonts w:eastAsia="MS Mincho"/>
          <w:szCs w:val="20"/>
          <w:lang w:val="en-US" w:eastAsia="zh-CN"/>
        </w:rPr>
        <w:t xml:space="preserve"> </w:t>
      </w:r>
      <w:r w:rsidRPr="00F44023">
        <w:rPr>
          <w:rFonts w:eastAsia="MS Mincho"/>
          <w:szCs w:val="20"/>
          <w:lang w:val="en-US" w:eastAsia="zh-CN"/>
        </w:rPr>
        <w:t>% CV) and the geometric mean apparent oral clearance (CL/F) was 25.5 L/</w:t>
      </w:r>
      <w:proofErr w:type="spellStart"/>
      <w:r w:rsidRPr="00F44023">
        <w:rPr>
          <w:rFonts w:eastAsia="MS Mincho"/>
          <w:szCs w:val="20"/>
          <w:lang w:val="en-US" w:eastAsia="zh-CN"/>
        </w:rPr>
        <w:t>hr</w:t>
      </w:r>
      <w:proofErr w:type="spellEnd"/>
      <w:r w:rsidRPr="00F44023">
        <w:rPr>
          <w:rFonts w:eastAsia="MS Mincho"/>
          <w:szCs w:val="20"/>
          <w:lang w:val="en-US" w:eastAsia="zh-CN"/>
        </w:rPr>
        <w:t xml:space="preserve"> (66</w:t>
      </w:r>
      <w:r w:rsidR="00F2621B">
        <w:rPr>
          <w:rFonts w:eastAsia="MS Mincho"/>
          <w:szCs w:val="20"/>
          <w:lang w:val="en-US" w:eastAsia="zh-CN"/>
        </w:rPr>
        <w:t xml:space="preserve"> </w:t>
      </w:r>
      <w:r w:rsidRPr="00F44023">
        <w:rPr>
          <w:rFonts w:eastAsia="MS Mincho"/>
          <w:szCs w:val="20"/>
          <w:lang w:val="en-US" w:eastAsia="zh-CN"/>
        </w:rPr>
        <w:t xml:space="preserve">% CV) at </w:t>
      </w:r>
      <w:proofErr w:type="gramStart"/>
      <w:r w:rsidRPr="00F44023">
        <w:rPr>
          <w:rFonts w:eastAsia="MS Mincho"/>
          <w:szCs w:val="20"/>
          <w:lang w:val="en-US" w:eastAsia="zh-CN"/>
        </w:rPr>
        <w:t>steady-state</w:t>
      </w:r>
      <w:proofErr w:type="gramEnd"/>
      <w:r w:rsidRPr="00F44023">
        <w:rPr>
          <w:rFonts w:eastAsia="MS Mincho"/>
          <w:szCs w:val="20"/>
          <w:lang w:val="en-US" w:eastAsia="zh-CN"/>
        </w:rPr>
        <w:t xml:space="preserve"> at 600 mg in patients with advanced cancer. The geometric mean apparent plasma terminal half-life (</w:t>
      </w:r>
      <w:r w:rsidR="0015176D">
        <w:rPr>
          <w:rFonts w:eastAsia="MS Mincho"/>
          <w:szCs w:val="20"/>
          <w:lang w:val="en-US" w:eastAsia="zh-CN"/>
        </w:rPr>
        <w:t>t</w:t>
      </w:r>
      <w:r w:rsidRPr="0015176D">
        <w:rPr>
          <w:rFonts w:eastAsia="MS Mincho"/>
          <w:szCs w:val="20"/>
          <w:vertAlign w:val="subscript"/>
          <w:lang w:val="en-US" w:eastAsia="zh-CN"/>
        </w:rPr>
        <w:t>1/2</w:t>
      </w:r>
      <w:r w:rsidRPr="00F44023">
        <w:rPr>
          <w:rFonts w:eastAsia="MS Mincho"/>
          <w:szCs w:val="20"/>
          <w:lang w:val="en-US" w:eastAsia="zh-CN"/>
        </w:rPr>
        <w:t xml:space="preserve">) of </w:t>
      </w:r>
      <w:proofErr w:type="spellStart"/>
      <w:r w:rsidRPr="00F44023">
        <w:rPr>
          <w:rFonts w:eastAsia="MS Mincho"/>
          <w:szCs w:val="20"/>
          <w:lang w:val="en-US" w:eastAsia="zh-CN"/>
        </w:rPr>
        <w:t>ribociclib</w:t>
      </w:r>
      <w:proofErr w:type="spellEnd"/>
      <w:r w:rsidRPr="00F44023">
        <w:rPr>
          <w:rFonts w:eastAsia="MS Mincho"/>
          <w:szCs w:val="20"/>
          <w:lang w:val="en-US" w:eastAsia="zh-CN"/>
        </w:rPr>
        <w:t xml:space="preserve"> ranged from 29.7 to 54.7 hours and the geometric mean CL/F of </w:t>
      </w:r>
      <w:proofErr w:type="spellStart"/>
      <w:r w:rsidRPr="00F44023">
        <w:rPr>
          <w:rFonts w:eastAsia="MS Mincho"/>
          <w:szCs w:val="20"/>
          <w:lang w:val="en-US" w:eastAsia="zh-CN"/>
        </w:rPr>
        <w:t>ribociclib</w:t>
      </w:r>
      <w:proofErr w:type="spellEnd"/>
      <w:r w:rsidRPr="00F44023">
        <w:rPr>
          <w:rFonts w:eastAsia="MS Mincho"/>
          <w:szCs w:val="20"/>
          <w:lang w:val="en-US" w:eastAsia="zh-CN"/>
        </w:rPr>
        <w:t xml:space="preserve"> ranged from 39.9 to 77.5 L/</w:t>
      </w:r>
      <w:proofErr w:type="spellStart"/>
      <w:r w:rsidRPr="00F44023">
        <w:rPr>
          <w:rFonts w:eastAsia="MS Mincho"/>
          <w:szCs w:val="20"/>
          <w:lang w:val="en-US" w:eastAsia="zh-CN"/>
        </w:rPr>
        <w:t>hr</w:t>
      </w:r>
      <w:proofErr w:type="spellEnd"/>
      <w:r w:rsidRPr="00F44023">
        <w:rPr>
          <w:rFonts w:eastAsia="MS Mincho"/>
          <w:szCs w:val="20"/>
          <w:lang w:val="en-US" w:eastAsia="zh-CN"/>
        </w:rPr>
        <w:t xml:space="preserve"> at 600 mg acro</w:t>
      </w:r>
      <w:r w:rsidR="001543C7">
        <w:rPr>
          <w:rFonts w:eastAsia="MS Mincho"/>
          <w:szCs w:val="20"/>
          <w:lang w:val="en-US" w:eastAsia="zh-CN"/>
        </w:rPr>
        <w:t>ss studies in healthy subjects.</w:t>
      </w:r>
    </w:p>
    <w:p w14:paraId="208BD9C3" w14:textId="1056B472" w:rsidR="00CE1D36" w:rsidRDefault="004B0AC0" w:rsidP="00CE1D36">
      <w:pPr>
        <w:spacing w:after="120" w:line="300" w:lineRule="exact"/>
        <w:jc w:val="both"/>
        <w:rPr>
          <w:rFonts w:eastAsia="MS Mincho"/>
          <w:szCs w:val="20"/>
          <w:lang w:val="en-US" w:eastAsia="zh-CN"/>
        </w:rPr>
      </w:pPr>
      <w:proofErr w:type="spellStart"/>
      <w:r w:rsidRPr="004B0AC0">
        <w:rPr>
          <w:rFonts w:eastAsia="MS Mincho"/>
          <w:szCs w:val="20"/>
          <w:lang w:val="en-US" w:eastAsia="zh-CN"/>
        </w:rPr>
        <w:t>Ribociclib</w:t>
      </w:r>
      <w:proofErr w:type="spellEnd"/>
      <w:r w:rsidRPr="004B0AC0">
        <w:rPr>
          <w:rFonts w:eastAsia="MS Mincho"/>
          <w:szCs w:val="20"/>
          <w:lang w:val="en-US" w:eastAsia="zh-CN"/>
        </w:rPr>
        <w:t xml:space="preserve"> is eliminated mainly via feces, </w:t>
      </w:r>
      <w:proofErr w:type="gramStart"/>
      <w:r w:rsidRPr="004B0AC0">
        <w:rPr>
          <w:rFonts w:eastAsia="MS Mincho"/>
          <w:szCs w:val="20"/>
          <w:lang w:val="en-US" w:eastAsia="zh-CN"/>
        </w:rPr>
        <w:t xml:space="preserve">with </w:t>
      </w:r>
      <w:r w:rsidR="00D61A50" w:rsidRPr="00D61A50">
        <w:t xml:space="preserve"> </w:t>
      </w:r>
      <w:r w:rsidR="00D61A50" w:rsidRPr="00D61A50">
        <w:rPr>
          <w:rFonts w:eastAsia="MS Mincho"/>
          <w:szCs w:val="20"/>
          <w:lang w:val="en-US" w:eastAsia="zh-CN"/>
        </w:rPr>
        <w:t>some</w:t>
      </w:r>
      <w:proofErr w:type="gramEnd"/>
      <w:r w:rsidR="00D61A50" w:rsidRPr="00D61A50">
        <w:rPr>
          <w:rFonts w:eastAsia="MS Mincho"/>
          <w:szCs w:val="20"/>
          <w:lang w:val="en-US" w:eastAsia="zh-CN"/>
        </w:rPr>
        <w:t xml:space="preserve"> elimination by</w:t>
      </w:r>
      <w:r w:rsidR="00D61A50">
        <w:rPr>
          <w:rFonts w:eastAsia="MS Mincho"/>
          <w:szCs w:val="20"/>
          <w:lang w:val="en-US" w:eastAsia="zh-CN"/>
        </w:rPr>
        <w:t xml:space="preserve"> </w:t>
      </w:r>
      <w:r w:rsidRPr="004B0AC0">
        <w:rPr>
          <w:rFonts w:eastAsia="MS Mincho"/>
          <w:szCs w:val="20"/>
          <w:lang w:val="en-US" w:eastAsia="zh-CN"/>
        </w:rPr>
        <w:t xml:space="preserve">the renal route. </w:t>
      </w:r>
      <w:r w:rsidR="00CE1D36" w:rsidRPr="004B0AC0">
        <w:rPr>
          <w:rFonts w:eastAsia="MS Mincho"/>
          <w:szCs w:val="20"/>
          <w:lang w:val="en-US" w:eastAsia="zh-CN"/>
        </w:rPr>
        <w:t xml:space="preserve">In </w:t>
      </w:r>
      <w:r w:rsidR="0017692B">
        <w:rPr>
          <w:rFonts w:eastAsia="MS Mincho"/>
          <w:szCs w:val="20"/>
          <w:lang w:val="en-US" w:eastAsia="zh-CN"/>
        </w:rPr>
        <w:t>six</w:t>
      </w:r>
      <w:r w:rsidR="00CE1D36" w:rsidRPr="004B0AC0">
        <w:rPr>
          <w:rFonts w:eastAsia="MS Mincho"/>
          <w:szCs w:val="20"/>
          <w:lang w:val="en-US" w:eastAsia="zh-CN"/>
        </w:rPr>
        <w:t xml:space="preserve"> healthy male subjects, following a single oral dose of [</w:t>
      </w:r>
      <w:r w:rsidR="00CE1D36" w:rsidRPr="004B0AC0">
        <w:rPr>
          <w:rFonts w:eastAsia="MS Mincho"/>
          <w:szCs w:val="20"/>
          <w:vertAlign w:val="superscript"/>
          <w:lang w:val="en-US" w:eastAsia="zh-CN"/>
        </w:rPr>
        <w:t>14</w:t>
      </w:r>
      <w:r w:rsidR="00CE1D36" w:rsidRPr="004B0AC0">
        <w:rPr>
          <w:rFonts w:eastAsia="MS Mincho"/>
          <w:szCs w:val="20"/>
          <w:lang w:val="en-US" w:eastAsia="zh-CN"/>
        </w:rPr>
        <w:t xml:space="preserve">C] </w:t>
      </w:r>
      <w:proofErr w:type="spellStart"/>
      <w:r w:rsidR="00CE1D36" w:rsidRPr="004B0AC0">
        <w:rPr>
          <w:rFonts w:eastAsia="MS Mincho"/>
          <w:szCs w:val="20"/>
          <w:lang w:val="en-US" w:eastAsia="zh-CN"/>
        </w:rPr>
        <w:t>ribociclib</w:t>
      </w:r>
      <w:proofErr w:type="spellEnd"/>
      <w:r w:rsidR="00CE1D36" w:rsidRPr="004B0AC0">
        <w:rPr>
          <w:rFonts w:eastAsia="MS Mincho"/>
          <w:szCs w:val="20"/>
          <w:lang w:val="en-US" w:eastAsia="zh-CN"/>
        </w:rPr>
        <w:t>, 91.7</w:t>
      </w:r>
      <w:r w:rsidR="00CE1D36">
        <w:rPr>
          <w:rFonts w:eastAsia="MS Mincho"/>
          <w:szCs w:val="20"/>
          <w:lang w:val="en-US" w:eastAsia="zh-CN"/>
        </w:rPr>
        <w:t xml:space="preserve"> </w:t>
      </w:r>
      <w:r w:rsidR="00CE1D36" w:rsidRPr="004B0AC0">
        <w:rPr>
          <w:rFonts w:eastAsia="MS Mincho"/>
          <w:szCs w:val="20"/>
          <w:lang w:val="en-US" w:eastAsia="zh-CN"/>
        </w:rPr>
        <w:t>% of the total administered radioactive dose was recovered within 22 days; feces was the major route of excretion (69.1</w:t>
      </w:r>
      <w:r w:rsidR="00CE1D36">
        <w:rPr>
          <w:rFonts w:eastAsia="MS Mincho"/>
          <w:szCs w:val="20"/>
          <w:lang w:val="en-US" w:eastAsia="zh-CN"/>
        </w:rPr>
        <w:t xml:space="preserve"> </w:t>
      </w:r>
      <w:r w:rsidR="00CE1D36" w:rsidRPr="004B0AC0">
        <w:rPr>
          <w:rFonts w:eastAsia="MS Mincho"/>
          <w:szCs w:val="20"/>
          <w:lang w:val="en-US" w:eastAsia="zh-CN"/>
        </w:rPr>
        <w:t>%), with 22.6</w:t>
      </w:r>
      <w:r w:rsidR="00CE1D36">
        <w:rPr>
          <w:rFonts w:eastAsia="MS Mincho"/>
          <w:szCs w:val="20"/>
          <w:lang w:val="en-US" w:eastAsia="zh-CN"/>
        </w:rPr>
        <w:t xml:space="preserve"> </w:t>
      </w:r>
      <w:r w:rsidR="00CE1D36" w:rsidRPr="004B0AC0">
        <w:rPr>
          <w:rFonts w:eastAsia="MS Mincho"/>
          <w:szCs w:val="20"/>
          <w:lang w:val="en-US" w:eastAsia="zh-CN"/>
        </w:rPr>
        <w:t>% of the dose recovered in urine</w:t>
      </w:r>
      <w:r w:rsidR="00A17587">
        <w:rPr>
          <w:rFonts w:eastAsia="MS Mincho"/>
          <w:szCs w:val="20"/>
          <w:lang w:val="en-US" w:eastAsia="zh-CN"/>
        </w:rPr>
        <w:t>. The</w:t>
      </w:r>
      <w:r w:rsidR="00D61A50">
        <w:rPr>
          <w:rFonts w:eastAsia="MS Mincho"/>
          <w:szCs w:val="20"/>
          <w:lang w:val="en-US" w:eastAsia="zh-CN"/>
        </w:rPr>
        <w:t xml:space="preserve"> </w:t>
      </w:r>
      <w:r w:rsidR="00BB314E">
        <w:rPr>
          <w:rFonts w:eastAsia="MS Mincho"/>
          <w:szCs w:val="20"/>
          <w:lang w:val="en-US" w:eastAsia="zh-CN"/>
        </w:rPr>
        <w:t>estimated oral absorption</w:t>
      </w:r>
      <w:r w:rsidR="00A17587">
        <w:rPr>
          <w:rFonts w:eastAsia="MS Mincho"/>
          <w:szCs w:val="20"/>
          <w:lang w:val="en-US" w:eastAsia="zh-CN"/>
        </w:rPr>
        <w:t xml:space="preserve"> of </w:t>
      </w:r>
      <w:proofErr w:type="spellStart"/>
      <w:r w:rsidR="00A17587">
        <w:rPr>
          <w:rFonts w:eastAsia="MS Mincho"/>
          <w:szCs w:val="20"/>
          <w:lang w:val="en-US" w:eastAsia="zh-CN"/>
        </w:rPr>
        <w:t>ribociclib</w:t>
      </w:r>
      <w:proofErr w:type="spellEnd"/>
      <w:r w:rsidR="00A17587">
        <w:rPr>
          <w:rFonts w:eastAsia="MS Mincho"/>
          <w:szCs w:val="20"/>
          <w:lang w:val="en-US" w:eastAsia="zh-CN"/>
        </w:rPr>
        <w:t xml:space="preserve"> was </w:t>
      </w:r>
      <w:r w:rsidR="00BB314E">
        <w:rPr>
          <w:rFonts w:eastAsia="MS Mincho"/>
          <w:szCs w:val="20"/>
          <w:lang w:val="en-US" w:eastAsia="zh-CN"/>
        </w:rPr>
        <w:t>59</w:t>
      </w:r>
      <w:r w:rsidR="00D61A50">
        <w:rPr>
          <w:rFonts w:eastAsia="MS Mincho"/>
          <w:szCs w:val="20"/>
          <w:lang w:val="en-US" w:eastAsia="zh-CN"/>
        </w:rPr>
        <w:t xml:space="preserve"> </w:t>
      </w:r>
      <w:r w:rsidR="00BB314E">
        <w:rPr>
          <w:rFonts w:eastAsia="MS Mincho"/>
          <w:szCs w:val="20"/>
          <w:lang w:val="en-US" w:eastAsia="zh-CN"/>
        </w:rPr>
        <w:t>%</w:t>
      </w:r>
      <w:r w:rsidR="00020CA6">
        <w:rPr>
          <w:rFonts w:eastAsia="MS Mincho"/>
          <w:szCs w:val="20"/>
          <w:lang w:val="en-US" w:eastAsia="zh-CN"/>
        </w:rPr>
        <w:t>.</w:t>
      </w:r>
    </w:p>
    <w:p w14:paraId="5553BAFF" w14:textId="77777777" w:rsidR="006A22C7" w:rsidRPr="005D2049" w:rsidRDefault="006A22C7" w:rsidP="009A3C6C">
      <w:pPr>
        <w:pStyle w:val="NoNumHead5"/>
        <w:spacing w:after="120" w:line="300" w:lineRule="atLeast"/>
        <w:jc w:val="both"/>
        <w:rPr>
          <w:rFonts w:ascii="Times New Roman" w:hAnsi="Times New Roman"/>
          <w:i w:val="0"/>
          <w:sz w:val="24"/>
        </w:rPr>
      </w:pPr>
      <w:r w:rsidRPr="005D2049">
        <w:rPr>
          <w:rFonts w:ascii="Times New Roman" w:hAnsi="Times New Roman"/>
          <w:i w:val="0"/>
          <w:sz w:val="24"/>
        </w:rPr>
        <w:t>Special Patient Populations</w:t>
      </w:r>
    </w:p>
    <w:p w14:paraId="5553BB00" w14:textId="77777777" w:rsidR="006A22C7" w:rsidRPr="005D2049" w:rsidRDefault="006A22C7" w:rsidP="009A3C6C">
      <w:pPr>
        <w:spacing w:after="120" w:line="300" w:lineRule="atLeast"/>
        <w:jc w:val="both"/>
        <w:rPr>
          <w:color w:val="000000"/>
          <w:u w:val="single"/>
        </w:rPr>
      </w:pPr>
      <w:r w:rsidRPr="005D2049">
        <w:rPr>
          <w:color w:val="000000"/>
          <w:u w:val="single"/>
        </w:rPr>
        <w:t>Renal Impairment</w:t>
      </w:r>
    </w:p>
    <w:p w14:paraId="69A5A231" w14:textId="297C58E2" w:rsidR="007A4DB9" w:rsidRPr="00694933" w:rsidRDefault="007A4DB9" w:rsidP="00C8534D">
      <w:pPr>
        <w:spacing w:after="120" w:line="300" w:lineRule="exact"/>
        <w:jc w:val="both"/>
        <w:rPr>
          <w:rFonts w:eastAsia="MS Mincho"/>
          <w:szCs w:val="20"/>
          <w:lang w:eastAsia="zh-CN"/>
        </w:rPr>
      </w:pPr>
      <w:proofErr w:type="gramStart"/>
      <w:r w:rsidRPr="007A4DB9">
        <w:rPr>
          <w:rFonts w:eastAsia="MS Mincho"/>
          <w:szCs w:val="20"/>
          <w:lang w:val="en-US" w:eastAsia="zh-CN"/>
        </w:rPr>
        <w:t>Based on a population pharmacokinetic analysis that included 77 patients with normal renal function (</w:t>
      </w:r>
      <w:proofErr w:type="spellStart"/>
      <w:r w:rsidRPr="007A4DB9">
        <w:rPr>
          <w:rFonts w:eastAsia="MS Mincho"/>
          <w:szCs w:val="20"/>
          <w:lang w:val="en-US" w:eastAsia="zh-CN"/>
        </w:rPr>
        <w:t>eGFR</w:t>
      </w:r>
      <w:proofErr w:type="spellEnd"/>
      <w:r w:rsidRPr="007A4DB9">
        <w:rPr>
          <w:rFonts w:eastAsia="MS Mincho"/>
          <w:szCs w:val="20"/>
          <w:lang w:val="en-US" w:eastAsia="zh-CN"/>
        </w:rPr>
        <w:t xml:space="preserve"> ≥</w:t>
      </w:r>
      <w:r>
        <w:rPr>
          <w:rFonts w:eastAsia="MS Mincho"/>
          <w:szCs w:val="20"/>
          <w:lang w:val="en-US" w:eastAsia="zh-CN"/>
        </w:rPr>
        <w:t xml:space="preserve"> </w:t>
      </w:r>
      <w:r w:rsidRPr="007A4DB9">
        <w:rPr>
          <w:rFonts w:eastAsia="MS Mincho"/>
          <w:szCs w:val="20"/>
          <w:lang w:val="en-US" w:eastAsia="zh-CN"/>
        </w:rPr>
        <w:t>90 m</w:t>
      </w:r>
      <w:r>
        <w:rPr>
          <w:rFonts w:eastAsia="MS Mincho"/>
          <w:szCs w:val="20"/>
          <w:lang w:val="en-US" w:eastAsia="zh-CN"/>
        </w:rPr>
        <w:t>L</w:t>
      </w:r>
      <w:r w:rsidRPr="007A4DB9">
        <w:rPr>
          <w:rFonts w:eastAsia="MS Mincho"/>
          <w:szCs w:val="20"/>
          <w:lang w:val="en-US" w:eastAsia="zh-CN"/>
        </w:rPr>
        <w:t>/min/1.73</w:t>
      </w:r>
      <w:r>
        <w:rPr>
          <w:rFonts w:eastAsia="MS Mincho"/>
          <w:szCs w:val="20"/>
          <w:lang w:val="en-US" w:eastAsia="zh-CN"/>
        </w:rPr>
        <w:t xml:space="preserve"> </w:t>
      </w:r>
      <w:r w:rsidRPr="007A4DB9">
        <w:rPr>
          <w:rFonts w:eastAsia="MS Mincho"/>
          <w:szCs w:val="20"/>
          <w:lang w:val="en-US" w:eastAsia="zh-CN"/>
        </w:rPr>
        <w:t>m</w:t>
      </w:r>
      <w:r w:rsidRPr="007A4DB9">
        <w:rPr>
          <w:rFonts w:eastAsia="MS Mincho"/>
          <w:szCs w:val="20"/>
          <w:vertAlign w:val="superscript"/>
          <w:lang w:val="en-US" w:eastAsia="zh-CN"/>
        </w:rPr>
        <w:t>2</w:t>
      </w:r>
      <w:r w:rsidRPr="007A4DB9">
        <w:rPr>
          <w:rFonts w:eastAsia="MS Mincho"/>
          <w:szCs w:val="20"/>
          <w:lang w:val="en-US" w:eastAsia="zh-CN"/>
        </w:rPr>
        <w:t>), 76 patients with mild renal impairment (</w:t>
      </w:r>
      <w:proofErr w:type="spellStart"/>
      <w:r w:rsidRPr="007A4DB9">
        <w:rPr>
          <w:rFonts w:eastAsia="MS Mincho"/>
          <w:szCs w:val="20"/>
          <w:lang w:val="en-US" w:eastAsia="zh-CN"/>
        </w:rPr>
        <w:t>eGFR</w:t>
      </w:r>
      <w:proofErr w:type="spellEnd"/>
      <w:r w:rsidRPr="007A4DB9">
        <w:rPr>
          <w:rFonts w:eastAsia="MS Mincho"/>
          <w:szCs w:val="20"/>
          <w:lang w:val="en-US" w:eastAsia="zh-CN"/>
        </w:rPr>
        <w:t xml:space="preserve"> 60 to &lt;</w:t>
      </w:r>
      <w:r>
        <w:rPr>
          <w:rFonts w:eastAsia="MS Mincho"/>
          <w:szCs w:val="20"/>
          <w:lang w:val="en-US" w:eastAsia="zh-CN"/>
        </w:rPr>
        <w:t xml:space="preserve"> </w:t>
      </w:r>
      <w:r w:rsidRPr="007A4DB9">
        <w:rPr>
          <w:rFonts w:eastAsia="MS Mincho"/>
          <w:szCs w:val="20"/>
          <w:lang w:val="en-US" w:eastAsia="zh-CN"/>
        </w:rPr>
        <w:t>90 m</w:t>
      </w:r>
      <w:r>
        <w:rPr>
          <w:rFonts w:eastAsia="MS Mincho"/>
          <w:szCs w:val="20"/>
          <w:lang w:val="en-US" w:eastAsia="zh-CN"/>
        </w:rPr>
        <w:t>L</w:t>
      </w:r>
      <w:r w:rsidRPr="007A4DB9">
        <w:rPr>
          <w:rFonts w:eastAsia="MS Mincho"/>
          <w:szCs w:val="20"/>
          <w:lang w:val="en-US" w:eastAsia="zh-CN"/>
        </w:rPr>
        <w:t>/min/1.73 m</w:t>
      </w:r>
      <w:r w:rsidRPr="007A4DB9">
        <w:rPr>
          <w:rFonts w:eastAsia="MS Mincho"/>
          <w:szCs w:val="20"/>
          <w:vertAlign w:val="superscript"/>
          <w:lang w:val="en-US" w:eastAsia="zh-CN"/>
        </w:rPr>
        <w:t>2</w:t>
      </w:r>
      <w:r w:rsidRPr="007A4DB9">
        <w:rPr>
          <w:rFonts w:eastAsia="MS Mincho"/>
          <w:szCs w:val="20"/>
          <w:lang w:val="en-US" w:eastAsia="zh-CN"/>
        </w:rPr>
        <w:t>) and 35 patients with moderate renal impairment (</w:t>
      </w:r>
      <w:proofErr w:type="spellStart"/>
      <w:r w:rsidRPr="007A4DB9">
        <w:rPr>
          <w:rFonts w:eastAsia="MS Mincho"/>
          <w:szCs w:val="20"/>
          <w:lang w:val="en-US" w:eastAsia="zh-CN"/>
        </w:rPr>
        <w:t>eGFR</w:t>
      </w:r>
      <w:proofErr w:type="spellEnd"/>
      <w:r w:rsidRPr="007A4DB9">
        <w:rPr>
          <w:rFonts w:eastAsia="MS Mincho"/>
          <w:szCs w:val="20"/>
          <w:lang w:val="en-US" w:eastAsia="zh-CN"/>
        </w:rPr>
        <w:t xml:space="preserve"> 30 to &lt;</w:t>
      </w:r>
      <w:r>
        <w:rPr>
          <w:rFonts w:eastAsia="MS Mincho"/>
          <w:szCs w:val="20"/>
          <w:lang w:val="en-US" w:eastAsia="zh-CN"/>
        </w:rPr>
        <w:t xml:space="preserve"> </w:t>
      </w:r>
      <w:r w:rsidRPr="007A4DB9">
        <w:rPr>
          <w:rFonts w:eastAsia="MS Mincho"/>
          <w:szCs w:val="20"/>
          <w:lang w:val="en-US" w:eastAsia="zh-CN"/>
        </w:rPr>
        <w:t>60 m</w:t>
      </w:r>
      <w:r>
        <w:rPr>
          <w:rFonts w:eastAsia="MS Mincho"/>
          <w:szCs w:val="20"/>
          <w:lang w:val="en-US" w:eastAsia="zh-CN"/>
        </w:rPr>
        <w:t>L</w:t>
      </w:r>
      <w:r w:rsidRPr="007A4DB9">
        <w:rPr>
          <w:rFonts w:eastAsia="MS Mincho"/>
          <w:szCs w:val="20"/>
          <w:lang w:val="en-US" w:eastAsia="zh-CN"/>
        </w:rPr>
        <w:t>/min/1.73 m</w:t>
      </w:r>
      <w:r w:rsidRPr="007A4DB9">
        <w:rPr>
          <w:rFonts w:eastAsia="MS Mincho"/>
          <w:szCs w:val="20"/>
          <w:vertAlign w:val="superscript"/>
          <w:lang w:val="en-US" w:eastAsia="zh-CN"/>
        </w:rPr>
        <w:t>2</w:t>
      </w:r>
      <w:r w:rsidRPr="007A4DB9">
        <w:rPr>
          <w:rFonts w:eastAsia="MS Mincho"/>
          <w:szCs w:val="20"/>
          <w:lang w:val="en-US" w:eastAsia="zh-CN"/>
        </w:rPr>
        <w:t xml:space="preserve">), mild and moderate renal impairment had no effect on the exposure of </w:t>
      </w:r>
      <w:proofErr w:type="spellStart"/>
      <w:r w:rsidRPr="007A4DB9">
        <w:rPr>
          <w:rFonts w:eastAsia="MS Mincho"/>
          <w:szCs w:val="20"/>
          <w:lang w:val="en-US" w:eastAsia="zh-CN"/>
        </w:rPr>
        <w:t>ribociclib</w:t>
      </w:r>
      <w:proofErr w:type="spellEnd"/>
      <w:r w:rsidR="00545843">
        <w:rPr>
          <w:rFonts w:eastAsia="MS Mincho"/>
          <w:szCs w:val="20"/>
          <w:lang w:val="en-US" w:eastAsia="zh-CN"/>
        </w:rPr>
        <w:t>, no dose adjustment is necessary in patients with mild or moderate renal impairment</w:t>
      </w:r>
      <w:r>
        <w:rPr>
          <w:rFonts w:eastAsia="MS Mincho"/>
          <w:szCs w:val="20"/>
          <w:lang w:val="en-US" w:eastAsia="zh-CN"/>
        </w:rPr>
        <w:t>.</w:t>
      </w:r>
      <w:proofErr w:type="gramEnd"/>
      <w:r w:rsidRPr="007A4DB9">
        <w:rPr>
          <w:rFonts w:eastAsia="MS Mincho"/>
          <w:szCs w:val="20"/>
          <w:lang w:val="en-US" w:eastAsia="zh-CN"/>
        </w:rPr>
        <w:t xml:space="preserve"> The pharmacokinetics of </w:t>
      </w:r>
      <w:proofErr w:type="spellStart"/>
      <w:r w:rsidRPr="007A4DB9">
        <w:rPr>
          <w:rFonts w:eastAsia="MS Mincho"/>
          <w:szCs w:val="20"/>
          <w:lang w:val="en-US" w:eastAsia="zh-CN"/>
        </w:rPr>
        <w:t>ribociclib</w:t>
      </w:r>
      <w:proofErr w:type="spellEnd"/>
      <w:r w:rsidRPr="007A4DB9">
        <w:rPr>
          <w:rFonts w:eastAsia="MS Mincho"/>
          <w:szCs w:val="20"/>
          <w:lang w:val="en-US" w:eastAsia="zh-CN"/>
        </w:rPr>
        <w:t xml:space="preserve"> in patients with severe renal impairment </w:t>
      </w:r>
      <w:proofErr w:type="gramStart"/>
      <w:r w:rsidRPr="007A4DB9">
        <w:rPr>
          <w:rFonts w:eastAsia="MS Mincho"/>
          <w:szCs w:val="20"/>
          <w:lang w:val="en-US" w:eastAsia="zh-CN"/>
        </w:rPr>
        <w:t>have not been studied</w:t>
      </w:r>
      <w:proofErr w:type="gramEnd"/>
      <w:r w:rsidR="00B77FC7">
        <w:rPr>
          <w:rFonts w:eastAsia="MS Mincho"/>
          <w:szCs w:val="20"/>
          <w:lang w:val="en-US" w:eastAsia="zh-CN"/>
        </w:rPr>
        <w:t xml:space="preserve"> (see DOSAGE AND ADMINISTRATION)</w:t>
      </w:r>
      <w:r w:rsidRPr="007A4DB9">
        <w:rPr>
          <w:rFonts w:eastAsia="MS Mincho"/>
          <w:szCs w:val="20"/>
          <w:lang w:val="en-US" w:eastAsia="zh-CN"/>
        </w:rPr>
        <w:t>.</w:t>
      </w:r>
    </w:p>
    <w:p w14:paraId="5553BB03" w14:textId="61B6B0AE" w:rsidR="006A22C7" w:rsidRDefault="006A22C7" w:rsidP="009A3C6C">
      <w:pPr>
        <w:spacing w:after="120" w:line="300" w:lineRule="atLeast"/>
        <w:jc w:val="both"/>
        <w:rPr>
          <w:color w:val="000000"/>
          <w:u w:val="single"/>
        </w:rPr>
      </w:pPr>
      <w:r w:rsidRPr="005D2049">
        <w:rPr>
          <w:color w:val="000000"/>
          <w:u w:val="single"/>
        </w:rPr>
        <w:t>Hepatic Impairment</w:t>
      </w:r>
    </w:p>
    <w:p w14:paraId="133B69F8" w14:textId="0B799E0A" w:rsidR="00614B05" w:rsidRDefault="00C8534D" w:rsidP="00614B05">
      <w:pPr>
        <w:spacing w:after="120" w:line="300" w:lineRule="exact"/>
        <w:jc w:val="both"/>
        <w:rPr>
          <w:rFonts w:eastAsia="MS Mincho"/>
          <w:szCs w:val="20"/>
          <w:lang w:val="en-US" w:eastAsia="zh-CN"/>
        </w:rPr>
      </w:pPr>
      <w:r w:rsidRPr="00C8534D">
        <w:rPr>
          <w:rFonts w:eastAsia="MS Mincho"/>
          <w:szCs w:val="20"/>
          <w:lang w:val="en-US" w:eastAsia="zh-CN"/>
        </w:rPr>
        <w:t>No dose adjustment is necessary in patients with mild hepatic impairment</w:t>
      </w:r>
      <w:r w:rsidR="00614B05">
        <w:rPr>
          <w:rFonts w:eastAsia="MS Mincho"/>
          <w:szCs w:val="20"/>
          <w:lang w:val="en-US" w:eastAsia="zh-CN"/>
        </w:rPr>
        <w:t xml:space="preserve"> </w:t>
      </w:r>
      <w:r w:rsidR="00614B05" w:rsidRPr="00614B05">
        <w:rPr>
          <w:rFonts w:eastAsia="MS Mincho"/>
          <w:szCs w:val="20"/>
          <w:lang w:val="en-US" w:eastAsia="zh-CN"/>
        </w:rPr>
        <w:t>(Child-Pugh A)</w:t>
      </w:r>
      <w:r w:rsidRPr="00C8534D">
        <w:rPr>
          <w:rFonts w:eastAsia="MS Mincho"/>
          <w:szCs w:val="20"/>
          <w:lang w:val="en-US" w:eastAsia="zh-CN"/>
        </w:rPr>
        <w:t>; a dose adjustment is required in patients with moderate</w:t>
      </w:r>
      <w:r w:rsidR="00614B05">
        <w:rPr>
          <w:rFonts w:eastAsia="MS Mincho"/>
          <w:szCs w:val="20"/>
          <w:lang w:val="en-US" w:eastAsia="zh-CN"/>
        </w:rPr>
        <w:t xml:space="preserve"> </w:t>
      </w:r>
      <w:r w:rsidR="00614B05" w:rsidRPr="00614B05">
        <w:rPr>
          <w:rFonts w:eastAsia="MS Mincho"/>
          <w:szCs w:val="20"/>
          <w:lang w:val="en-US" w:eastAsia="zh-CN"/>
        </w:rPr>
        <w:t xml:space="preserve">(Child-Pugh </w:t>
      </w:r>
      <w:r w:rsidR="00614B05">
        <w:rPr>
          <w:rFonts w:eastAsia="MS Mincho"/>
          <w:szCs w:val="20"/>
          <w:lang w:val="en-US" w:eastAsia="zh-CN"/>
        </w:rPr>
        <w:t>B</w:t>
      </w:r>
      <w:r w:rsidR="00614B05" w:rsidRPr="00614B05">
        <w:rPr>
          <w:rFonts w:eastAsia="MS Mincho"/>
          <w:szCs w:val="20"/>
          <w:lang w:val="en-US" w:eastAsia="zh-CN"/>
        </w:rPr>
        <w:t>)</w:t>
      </w:r>
      <w:r w:rsidRPr="00C8534D">
        <w:rPr>
          <w:rFonts w:eastAsia="MS Mincho"/>
          <w:szCs w:val="20"/>
          <w:lang w:val="en-US" w:eastAsia="zh-CN"/>
        </w:rPr>
        <w:t>, or severe hepatic impairment</w:t>
      </w:r>
      <w:r w:rsidR="004969A3">
        <w:rPr>
          <w:rFonts w:eastAsia="MS Mincho"/>
          <w:szCs w:val="20"/>
          <w:lang w:val="en-US" w:eastAsia="zh-CN"/>
        </w:rPr>
        <w:t xml:space="preserve"> (Child-Pugh </w:t>
      </w:r>
      <w:r w:rsidR="00614B05">
        <w:rPr>
          <w:rFonts w:eastAsia="MS Mincho"/>
          <w:szCs w:val="20"/>
          <w:lang w:val="en-US" w:eastAsia="zh-CN"/>
        </w:rPr>
        <w:t>C</w:t>
      </w:r>
      <w:r w:rsidR="00614B05" w:rsidRPr="00614B05">
        <w:rPr>
          <w:rFonts w:eastAsia="MS Mincho"/>
          <w:szCs w:val="20"/>
          <w:lang w:val="en-US" w:eastAsia="zh-CN"/>
        </w:rPr>
        <w:t>)</w:t>
      </w:r>
      <w:r w:rsidR="00614B05" w:rsidRPr="00614B05">
        <w:t xml:space="preserve"> </w:t>
      </w:r>
      <w:r w:rsidR="00614B05" w:rsidRPr="00614B05">
        <w:rPr>
          <w:rFonts w:eastAsia="MS Mincho"/>
          <w:szCs w:val="20"/>
          <w:lang w:val="en-US" w:eastAsia="zh-CN"/>
        </w:rPr>
        <w:t>and starting dose of 400 mg is recommended</w:t>
      </w:r>
      <w:r w:rsidR="00614B05">
        <w:rPr>
          <w:rFonts w:eastAsia="MS Mincho"/>
          <w:szCs w:val="20"/>
          <w:lang w:val="en-US" w:eastAsia="zh-CN"/>
        </w:rPr>
        <w:t xml:space="preserve"> (see DOSAGE AND ADMINISTRATION)</w:t>
      </w:r>
      <w:r w:rsidRPr="00C8534D">
        <w:rPr>
          <w:rFonts w:eastAsia="MS Mincho"/>
          <w:szCs w:val="20"/>
          <w:lang w:val="en-US" w:eastAsia="zh-CN"/>
        </w:rPr>
        <w:t xml:space="preserve">. Based on a </w:t>
      </w:r>
      <w:r w:rsidR="00342C22">
        <w:rPr>
          <w:rFonts w:eastAsia="MS Mincho"/>
          <w:szCs w:val="20"/>
          <w:lang w:val="en-US" w:eastAsia="zh-CN"/>
        </w:rPr>
        <w:t>PK</w:t>
      </w:r>
      <w:r w:rsidRPr="00C8534D">
        <w:rPr>
          <w:rFonts w:eastAsia="MS Mincho"/>
          <w:szCs w:val="20"/>
          <w:lang w:val="en-US" w:eastAsia="zh-CN"/>
        </w:rPr>
        <w:t xml:space="preserve"> trial in patients with hepatic impairment, </w:t>
      </w:r>
      <w:r w:rsidR="00B96098" w:rsidRPr="00C8534D">
        <w:rPr>
          <w:rFonts w:eastAsia="MS Mincho"/>
          <w:szCs w:val="20"/>
          <w:lang w:val="en-US" w:eastAsia="zh-CN"/>
        </w:rPr>
        <w:t>mild</w:t>
      </w:r>
      <w:r w:rsidR="00B96098">
        <w:rPr>
          <w:rFonts w:eastAsia="MS Mincho"/>
          <w:szCs w:val="20"/>
          <w:lang w:val="en-US" w:eastAsia="zh-CN"/>
        </w:rPr>
        <w:t xml:space="preserve"> hepatic</w:t>
      </w:r>
      <w:r w:rsidR="00342C22">
        <w:rPr>
          <w:rFonts w:eastAsia="MS Mincho"/>
          <w:szCs w:val="20"/>
          <w:lang w:val="en-US" w:eastAsia="zh-CN"/>
        </w:rPr>
        <w:t xml:space="preserve"> impairm</w:t>
      </w:r>
      <w:r w:rsidRPr="00C8534D">
        <w:rPr>
          <w:rFonts w:eastAsia="MS Mincho"/>
          <w:szCs w:val="20"/>
          <w:lang w:val="en-US" w:eastAsia="zh-CN"/>
        </w:rPr>
        <w:t xml:space="preserve">ent had no effect on the exposure of </w:t>
      </w:r>
      <w:proofErr w:type="spellStart"/>
      <w:r w:rsidRPr="00C8534D">
        <w:rPr>
          <w:rFonts w:eastAsia="MS Mincho"/>
          <w:szCs w:val="20"/>
          <w:lang w:val="en-US" w:eastAsia="zh-CN"/>
        </w:rPr>
        <w:t>ribociclib</w:t>
      </w:r>
      <w:proofErr w:type="spellEnd"/>
      <w:r w:rsidRPr="00C8534D">
        <w:rPr>
          <w:rFonts w:eastAsia="MS Mincho"/>
          <w:szCs w:val="20"/>
          <w:lang w:val="en-US" w:eastAsia="zh-CN"/>
        </w:rPr>
        <w:t xml:space="preserve"> (see </w:t>
      </w:r>
      <w:r w:rsidR="00614B05" w:rsidRPr="00614B05">
        <w:rPr>
          <w:rFonts w:eastAsia="MS Mincho"/>
          <w:szCs w:val="20"/>
          <w:lang w:val="en-US" w:eastAsia="zh-CN"/>
        </w:rPr>
        <w:t>DOSAGE AND ADMINISTRATION</w:t>
      </w:r>
      <w:r w:rsidRPr="00C8534D">
        <w:rPr>
          <w:rFonts w:eastAsia="MS Mincho"/>
          <w:szCs w:val="20"/>
          <w:lang w:val="en-US" w:eastAsia="zh-CN"/>
        </w:rPr>
        <w:t xml:space="preserve">). </w:t>
      </w:r>
      <w:r w:rsidR="00614B05">
        <w:rPr>
          <w:rFonts w:eastAsia="MS Mincho"/>
          <w:szCs w:val="20"/>
          <w:lang w:val="en-US" w:eastAsia="zh-CN"/>
        </w:rPr>
        <w:t xml:space="preserve">The mean </w:t>
      </w:r>
      <w:r w:rsidRPr="00C8534D">
        <w:rPr>
          <w:rFonts w:eastAsia="MS Mincho"/>
          <w:szCs w:val="20"/>
          <w:lang w:val="en-US" w:eastAsia="zh-CN"/>
        </w:rPr>
        <w:t xml:space="preserve">exposure </w:t>
      </w:r>
      <w:r w:rsidR="00614B05">
        <w:rPr>
          <w:rFonts w:eastAsia="MS Mincho"/>
          <w:szCs w:val="20"/>
          <w:lang w:val="en-US" w:eastAsia="zh-CN"/>
        </w:rPr>
        <w:t xml:space="preserve">for </w:t>
      </w:r>
      <w:proofErr w:type="spellStart"/>
      <w:r w:rsidR="00614B05">
        <w:rPr>
          <w:rFonts w:eastAsia="MS Mincho"/>
          <w:szCs w:val="20"/>
          <w:lang w:val="en-US" w:eastAsia="zh-CN"/>
        </w:rPr>
        <w:t>r</w:t>
      </w:r>
      <w:r w:rsidR="00614B05" w:rsidRPr="00C8534D">
        <w:rPr>
          <w:rFonts w:eastAsia="MS Mincho"/>
          <w:szCs w:val="20"/>
          <w:lang w:val="en-US" w:eastAsia="zh-CN"/>
        </w:rPr>
        <w:t>ibociclib</w:t>
      </w:r>
      <w:proofErr w:type="spellEnd"/>
      <w:r w:rsidR="00614B05" w:rsidRPr="00C8534D">
        <w:rPr>
          <w:rFonts w:eastAsia="MS Mincho"/>
          <w:szCs w:val="20"/>
          <w:lang w:val="en-US" w:eastAsia="zh-CN"/>
        </w:rPr>
        <w:t xml:space="preserve"> </w:t>
      </w:r>
      <w:r w:rsidRPr="00C8534D">
        <w:rPr>
          <w:rFonts w:eastAsia="MS Mincho"/>
          <w:szCs w:val="20"/>
          <w:lang w:val="en-US" w:eastAsia="zh-CN"/>
        </w:rPr>
        <w:t>was increased less than 2-fold in patients with moderate (geometric mean ratio [GMR]: 1.5</w:t>
      </w:r>
      <w:r w:rsidR="00614B05">
        <w:rPr>
          <w:rFonts w:eastAsia="MS Mincho"/>
          <w:szCs w:val="20"/>
          <w:lang w:val="en-US" w:eastAsia="zh-CN"/>
        </w:rPr>
        <w:t>0</w:t>
      </w:r>
      <w:r w:rsidRPr="00C8534D">
        <w:rPr>
          <w:rFonts w:eastAsia="MS Mincho"/>
          <w:szCs w:val="20"/>
          <w:lang w:val="en-US" w:eastAsia="zh-CN"/>
        </w:rPr>
        <w:t xml:space="preserve"> for </w:t>
      </w:r>
      <w:proofErr w:type="spellStart"/>
      <w:r w:rsidRPr="00C8534D">
        <w:rPr>
          <w:rFonts w:eastAsia="MS Mincho"/>
          <w:szCs w:val="20"/>
          <w:lang w:val="en-US" w:eastAsia="zh-CN"/>
        </w:rPr>
        <w:t>C</w:t>
      </w:r>
      <w:r w:rsidRPr="004969A3">
        <w:rPr>
          <w:rFonts w:eastAsia="MS Mincho"/>
          <w:szCs w:val="20"/>
          <w:vertAlign w:val="subscript"/>
          <w:lang w:val="en-US" w:eastAsia="zh-CN"/>
        </w:rPr>
        <w:t>max</w:t>
      </w:r>
      <w:proofErr w:type="spellEnd"/>
      <w:r w:rsidRPr="00C8534D">
        <w:rPr>
          <w:rFonts w:eastAsia="MS Mincho"/>
          <w:szCs w:val="20"/>
          <w:lang w:val="en-US" w:eastAsia="zh-CN"/>
        </w:rPr>
        <w:t>; 1.3</w:t>
      </w:r>
      <w:r w:rsidR="00614B05">
        <w:rPr>
          <w:rFonts w:eastAsia="MS Mincho"/>
          <w:szCs w:val="20"/>
          <w:lang w:val="en-US" w:eastAsia="zh-CN"/>
        </w:rPr>
        <w:t>2</w:t>
      </w:r>
      <w:r w:rsidRPr="00C8534D">
        <w:rPr>
          <w:rFonts w:eastAsia="MS Mincho"/>
          <w:szCs w:val="20"/>
          <w:lang w:val="en-US" w:eastAsia="zh-CN"/>
        </w:rPr>
        <w:t xml:space="preserve"> </w:t>
      </w:r>
      <w:r w:rsidR="00614B05">
        <w:rPr>
          <w:rFonts w:eastAsia="MS Mincho"/>
          <w:szCs w:val="20"/>
          <w:lang w:val="en-US" w:eastAsia="zh-CN"/>
        </w:rPr>
        <w:t xml:space="preserve">for </w:t>
      </w:r>
      <w:proofErr w:type="spellStart"/>
      <w:r w:rsidR="00614B05">
        <w:rPr>
          <w:rFonts w:eastAsia="MS Mincho"/>
          <w:szCs w:val="20"/>
          <w:lang w:val="en-US" w:eastAsia="zh-CN"/>
        </w:rPr>
        <w:t>AUC</w:t>
      </w:r>
      <w:r w:rsidR="00614B05" w:rsidRPr="004969A3">
        <w:rPr>
          <w:rFonts w:eastAsia="MS Mincho"/>
          <w:szCs w:val="20"/>
          <w:vertAlign w:val="subscript"/>
          <w:lang w:val="en-US" w:eastAsia="zh-CN"/>
        </w:rPr>
        <w:t>inf</w:t>
      </w:r>
      <w:proofErr w:type="spellEnd"/>
      <w:r w:rsidR="00614B05">
        <w:rPr>
          <w:rFonts w:eastAsia="MS Mincho"/>
          <w:szCs w:val="20"/>
          <w:lang w:val="en-US" w:eastAsia="zh-CN"/>
        </w:rPr>
        <w:t>) and severe (GMR: 1.3</w:t>
      </w:r>
      <w:r w:rsidRPr="00C8534D">
        <w:rPr>
          <w:rFonts w:eastAsia="MS Mincho"/>
          <w:szCs w:val="20"/>
          <w:lang w:val="en-US" w:eastAsia="zh-CN"/>
        </w:rPr>
        <w:t xml:space="preserve">4 for </w:t>
      </w:r>
      <w:proofErr w:type="spellStart"/>
      <w:r w:rsidRPr="00C8534D">
        <w:rPr>
          <w:rFonts w:eastAsia="MS Mincho"/>
          <w:szCs w:val="20"/>
          <w:lang w:val="en-US" w:eastAsia="zh-CN"/>
        </w:rPr>
        <w:t>C</w:t>
      </w:r>
      <w:r w:rsidRPr="004969A3">
        <w:rPr>
          <w:rFonts w:eastAsia="MS Mincho"/>
          <w:szCs w:val="20"/>
          <w:vertAlign w:val="subscript"/>
          <w:lang w:val="en-US" w:eastAsia="zh-CN"/>
        </w:rPr>
        <w:t>max</w:t>
      </w:r>
      <w:proofErr w:type="spellEnd"/>
      <w:r w:rsidRPr="00C8534D">
        <w:rPr>
          <w:rFonts w:eastAsia="MS Mincho"/>
          <w:szCs w:val="20"/>
          <w:lang w:val="en-US" w:eastAsia="zh-CN"/>
        </w:rPr>
        <w:t>; 1.2</w:t>
      </w:r>
      <w:r w:rsidR="00614B05">
        <w:rPr>
          <w:rFonts w:eastAsia="MS Mincho"/>
          <w:szCs w:val="20"/>
          <w:lang w:val="en-US" w:eastAsia="zh-CN"/>
        </w:rPr>
        <w:t>9</w:t>
      </w:r>
      <w:r w:rsidRPr="00C8534D">
        <w:rPr>
          <w:rFonts w:eastAsia="MS Mincho"/>
          <w:szCs w:val="20"/>
          <w:lang w:val="en-US" w:eastAsia="zh-CN"/>
        </w:rPr>
        <w:t xml:space="preserve"> for </w:t>
      </w:r>
      <w:proofErr w:type="spellStart"/>
      <w:r w:rsidRPr="00C8534D">
        <w:rPr>
          <w:rFonts w:eastAsia="MS Mincho"/>
          <w:szCs w:val="20"/>
          <w:lang w:val="en-US" w:eastAsia="zh-CN"/>
        </w:rPr>
        <w:t>AUC</w:t>
      </w:r>
      <w:r w:rsidRPr="004969A3">
        <w:rPr>
          <w:rFonts w:eastAsia="MS Mincho"/>
          <w:szCs w:val="20"/>
          <w:vertAlign w:val="subscript"/>
          <w:lang w:val="en-US" w:eastAsia="zh-CN"/>
        </w:rPr>
        <w:t>inf</w:t>
      </w:r>
      <w:proofErr w:type="spellEnd"/>
      <w:r w:rsidRPr="00C8534D">
        <w:rPr>
          <w:rFonts w:eastAsia="MS Mincho"/>
          <w:szCs w:val="20"/>
          <w:lang w:val="en-US" w:eastAsia="zh-CN"/>
        </w:rPr>
        <w:t>) hepatic impairment</w:t>
      </w:r>
      <w:r w:rsidR="00614B05">
        <w:rPr>
          <w:rFonts w:eastAsia="MS Mincho"/>
          <w:szCs w:val="20"/>
          <w:lang w:val="en-US" w:eastAsia="zh-CN"/>
        </w:rPr>
        <w:t>.</w:t>
      </w:r>
      <w:r w:rsidR="00614B05" w:rsidRPr="00614B05">
        <w:t xml:space="preserve"> </w:t>
      </w:r>
      <w:r w:rsidR="00614B05" w:rsidRPr="00614B05">
        <w:rPr>
          <w:rFonts w:eastAsia="MS Mincho"/>
          <w:szCs w:val="20"/>
          <w:lang w:val="en-US" w:eastAsia="zh-CN"/>
        </w:rPr>
        <w:t xml:space="preserve">Based on a population </w:t>
      </w:r>
      <w:r w:rsidR="002B525D">
        <w:rPr>
          <w:rFonts w:eastAsia="MS Mincho"/>
          <w:szCs w:val="20"/>
          <w:lang w:val="en-US" w:eastAsia="zh-CN"/>
        </w:rPr>
        <w:t>PK</w:t>
      </w:r>
      <w:r w:rsidR="00614B05" w:rsidRPr="00614B05">
        <w:rPr>
          <w:rFonts w:eastAsia="MS Mincho"/>
          <w:szCs w:val="20"/>
          <w:lang w:val="en-US" w:eastAsia="zh-CN"/>
        </w:rPr>
        <w:t xml:space="preserve"> analysis that included 160 patients with normal hepatic function and 47 patients with mild hepatic impairment, mild hepatic impairment had no effect on the exposure of </w:t>
      </w:r>
      <w:proofErr w:type="spellStart"/>
      <w:r w:rsidR="00614B05" w:rsidRPr="00614B05">
        <w:rPr>
          <w:rFonts w:eastAsia="MS Mincho"/>
          <w:szCs w:val="20"/>
          <w:lang w:val="en-US" w:eastAsia="zh-CN"/>
        </w:rPr>
        <w:t>ribociclib</w:t>
      </w:r>
      <w:proofErr w:type="spellEnd"/>
      <w:r w:rsidR="00614B05" w:rsidRPr="00614B05">
        <w:rPr>
          <w:rFonts w:eastAsia="MS Mincho"/>
          <w:szCs w:val="20"/>
          <w:lang w:val="en-US" w:eastAsia="zh-CN"/>
        </w:rPr>
        <w:t xml:space="preserve">, further supporting the findings from the dedicated hepatic impairment study </w:t>
      </w:r>
      <w:r w:rsidR="00614B05">
        <w:rPr>
          <w:rFonts w:eastAsia="MS Mincho"/>
          <w:szCs w:val="20"/>
          <w:lang w:val="en-US" w:eastAsia="zh-CN"/>
        </w:rPr>
        <w:t>(</w:t>
      </w:r>
      <w:r w:rsidR="00614B05" w:rsidRPr="00614B05">
        <w:rPr>
          <w:rFonts w:eastAsia="MS Mincho"/>
          <w:szCs w:val="20"/>
          <w:lang w:val="en-US" w:eastAsia="zh-CN"/>
        </w:rPr>
        <w:t>see DOSAGE AND ADMINISTRATION</w:t>
      </w:r>
      <w:r w:rsidR="00614B05">
        <w:rPr>
          <w:rFonts w:eastAsia="MS Mincho"/>
          <w:szCs w:val="20"/>
          <w:lang w:val="en-US" w:eastAsia="zh-CN"/>
        </w:rPr>
        <w:t>)</w:t>
      </w:r>
      <w:r w:rsidR="00020CA6">
        <w:rPr>
          <w:rFonts w:eastAsia="MS Mincho"/>
          <w:szCs w:val="20"/>
          <w:lang w:val="en-US" w:eastAsia="zh-CN"/>
        </w:rPr>
        <w:t>.</w:t>
      </w:r>
    </w:p>
    <w:p w14:paraId="21AB29B5" w14:textId="77777777" w:rsidR="002B525D" w:rsidRPr="002B525D" w:rsidRDefault="002B525D" w:rsidP="00844684">
      <w:pPr>
        <w:keepNext/>
        <w:spacing w:after="120" w:line="300" w:lineRule="exact"/>
        <w:jc w:val="both"/>
        <w:rPr>
          <w:color w:val="000000"/>
          <w:u w:val="single"/>
        </w:rPr>
      </w:pPr>
      <w:r w:rsidRPr="002B525D">
        <w:rPr>
          <w:color w:val="000000"/>
          <w:u w:val="single"/>
        </w:rPr>
        <w:lastRenderedPageBreak/>
        <w:t>Geriatric use</w:t>
      </w:r>
    </w:p>
    <w:p w14:paraId="4995326B" w14:textId="5DD78E6F" w:rsidR="002B525D" w:rsidRDefault="002B525D" w:rsidP="002B525D">
      <w:pPr>
        <w:spacing w:after="120" w:line="300" w:lineRule="exact"/>
        <w:jc w:val="both"/>
        <w:rPr>
          <w:rFonts w:eastAsia="MS Mincho"/>
          <w:szCs w:val="20"/>
          <w:lang w:val="en-US" w:eastAsia="zh-CN"/>
        </w:rPr>
      </w:pPr>
      <w:proofErr w:type="gramStart"/>
      <w:r w:rsidRPr="002B525D">
        <w:rPr>
          <w:rFonts w:eastAsia="MS Mincho"/>
          <w:szCs w:val="20"/>
          <w:lang w:val="en-US" w:eastAsia="zh-CN"/>
        </w:rPr>
        <w:t xml:space="preserve">Of 334 patients who received KISQALI in the phase III study (in </w:t>
      </w:r>
      <w:proofErr w:type="spellStart"/>
      <w:r w:rsidR="00B96098" w:rsidRPr="002B525D">
        <w:rPr>
          <w:rFonts w:eastAsia="MS Mincho"/>
          <w:szCs w:val="20"/>
          <w:lang w:val="en-US" w:eastAsia="zh-CN"/>
        </w:rPr>
        <w:t>ribociclib</w:t>
      </w:r>
      <w:proofErr w:type="spellEnd"/>
      <w:r w:rsidRPr="002B525D">
        <w:rPr>
          <w:rFonts w:eastAsia="MS Mincho"/>
          <w:szCs w:val="20"/>
          <w:lang w:val="en-US" w:eastAsia="zh-CN"/>
        </w:rPr>
        <w:t xml:space="preserve"> plus </w:t>
      </w:r>
      <w:proofErr w:type="spellStart"/>
      <w:r w:rsidRPr="002B525D">
        <w:rPr>
          <w:rFonts w:eastAsia="MS Mincho"/>
          <w:szCs w:val="20"/>
          <w:lang w:val="en-US" w:eastAsia="zh-CN"/>
        </w:rPr>
        <w:t>letrozole</w:t>
      </w:r>
      <w:proofErr w:type="spellEnd"/>
      <w:r w:rsidRPr="002B525D">
        <w:rPr>
          <w:rFonts w:eastAsia="MS Mincho"/>
          <w:szCs w:val="20"/>
          <w:lang w:val="en-US" w:eastAsia="zh-CN"/>
        </w:rPr>
        <w:t xml:space="preserve"> arm), 150 patients (44.9</w:t>
      </w:r>
      <w:r w:rsidR="005E6617">
        <w:rPr>
          <w:rFonts w:eastAsia="MS Mincho"/>
          <w:szCs w:val="20"/>
          <w:lang w:val="en-US" w:eastAsia="zh-CN"/>
        </w:rPr>
        <w:t xml:space="preserve"> </w:t>
      </w:r>
      <w:r w:rsidRPr="002B525D">
        <w:rPr>
          <w:rFonts w:eastAsia="MS Mincho"/>
          <w:szCs w:val="20"/>
          <w:lang w:val="en-US" w:eastAsia="zh-CN"/>
        </w:rPr>
        <w:t>%) were ≥</w:t>
      </w:r>
      <w:r>
        <w:rPr>
          <w:rFonts w:eastAsia="MS Mincho"/>
          <w:szCs w:val="20"/>
          <w:lang w:val="en-US" w:eastAsia="zh-CN"/>
        </w:rPr>
        <w:t xml:space="preserve"> </w:t>
      </w:r>
      <w:r w:rsidRPr="002B525D">
        <w:rPr>
          <w:rFonts w:eastAsia="MS Mincho"/>
          <w:szCs w:val="20"/>
          <w:lang w:val="en-US" w:eastAsia="zh-CN"/>
        </w:rPr>
        <w:t>65 years of age and 35 patients (10.5</w:t>
      </w:r>
      <w:r w:rsidR="005E6617">
        <w:rPr>
          <w:rFonts w:eastAsia="MS Mincho"/>
          <w:szCs w:val="20"/>
          <w:lang w:val="en-US" w:eastAsia="zh-CN"/>
        </w:rPr>
        <w:t xml:space="preserve"> </w:t>
      </w:r>
      <w:r w:rsidRPr="002B525D">
        <w:rPr>
          <w:rFonts w:eastAsia="MS Mincho"/>
          <w:szCs w:val="20"/>
          <w:lang w:val="en-US" w:eastAsia="zh-CN"/>
        </w:rPr>
        <w:t>%) were ≥</w:t>
      </w:r>
      <w:r>
        <w:rPr>
          <w:rFonts w:eastAsia="MS Mincho"/>
          <w:szCs w:val="20"/>
          <w:lang w:val="en-US" w:eastAsia="zh-CN"/>
        </w:rPr>
        <w:t xml:space="preserve"> </w:t>
      </w:r>
      <w:r w:rsidRPr="002B525D">
        <w:rPr>
          <w:rFonts w:eastAsia="MS Mincho"/>
          <w:szCs w:val="20"/>
          <w:lang w:val="en-US" w:eastAsia="zh-CN"/>
        </w:rPr>
        <w:t>75 years of age.</w:t>
      </w:r>
      <w:proofErr w:type="gramEnd"/>
      <w:r w:rsidRPr="002B525D">
        <w:rPr>
          <w:rFonts w:eastAsia="MS Mincho"/>
          <w:szCs w:val="20"/>
          <w:lang w:val="en-US" w:eastAsia="zh-CN"/>
        </w:rPr>
        <w:t xml:space="preserve"> No overall differences in safety or effectiveness of </w:t>
      </w:r>
      <w:r w:rsidR="00291985">
        <w:rPr>
          <w:rFonts w:eastAsia="MS Mincho"/>
          <w:szCs w:val="20"/>
          <w:lang w:val="en-US" w:eastAsia="zh-CN"/>
        </w:rPr>
        <w:t>KISQALI</w:t>
      </w:r>
      <w:r w:rsidRPr="002B525D">
        <w:rPr>
          <w:rFonts w:eastAsia="MS Mincho"/>
          <w:szCs w:val="20"/>
          <w:lang w:val="en-US" w:eastAsia="zh-CN"/>
        </w:rPr>
        <w:t xml:space="preserve"> </w:t>
      </w:r>
      <w:proofErr w:type="gramStart"/>
      <w:r w:rsidRPr="002B525D">
        <w:rPr>
          <w:rFonts w:eastAsia="MS Mincho"/>
          <w:szCs w:val="20"/>
          <w:lang w:val="en-US" w:eastAsia="zh-CN"/>
        </w:rPr>
        <w:t>were observed</w:t>
      </w:r>
      <w:proofErr w:type="gramEnd"/>
      <w:r w:rsidRPr="002B525D">
        <w:rPr>
          <w:rFonts w:eastAsia="MS Mincho"/>
          <w:szCs w:val="20"/>
          <w:lang w:val="en-US" w:eastAsia="zh-CN"/>
        </w:rPr>
        <w:t xml:space="preserve"> between these patients and younger patients (see DOSAGE AND ADMINISTRATION).</w:t>
      </w:r>
    </w:p>
    <w:p w14:paraId="4F8FA50C" w14:textId="77777777" w:rsidR="002B525D" w:rsidRPr="001B3A24" w:rsidRDefault="002B525D" w:rsidP="002B525D">
      <w:pPr>
        <w:spacing w:after="120" w:line="300" w:lineRule="exact"/>
        <w:jc w:val="both"/>
        <w:rPr>
          <w:u w:val="single"/>
        </w:rPr>
      </w:pPr>
      <w:r w:rsidRPr="001B3A24">
        <w:rPr>
          <w:u w:val="single"/>
        </w:rPr>
        <w:t>Effect of age, weight, gender and race:</w:t>
      </w:r>
    </w:p>
    <w:p w14:paraId="353CC79B" w14:textId="2CBA1B8A" w:rsidR="001B3A24" w:rsidRPr="00020CA6" w:rsidRDefault="001B3A24" w:rsidP="002B525D">
      <w:pPr>
        <w:spacing w:after="120" w:line="300" w:lineRule="exact"/>
        <w:jc w:val="both"/>
        <w:rPr>
          <w:rFonts w:eastAsia="MS Mincho"/>
          <w:szCs w:val="20"/>
          <w:lang w:val="en-US" w:eastAsia="zh-CN"/>
        </w:rPr>
      </w:pPr>
      <w:r w:rsidRPr="001B3A24">
        <w:rPr>
          <w:rFonts w:eastAsia="MS Mincho"/>
          <w:szCs w:val="20"/>
          <w:lang w:val="en-US" w:eastAsia="zh-CN"/>
        </w:rPr>
        <w:t xml:space="preserve">Population PK analysis showed that there are no clinically relevant effects of age, body weight, gender, or race on the systemic exposure of </w:t>
      </w:r>
      <w:proofErr w:type="spellStart"/>
      <w:r w:rsidRPr="001B3A24">
        <w:rPr>
          <w:rFonts w:eastAsia="MS Mincho"/>
          <w:szCs w:val="20"/>
          <w:lang w:val="en-US" w:eastAsia="zh-CN"/>
        </w:rPr>
        <w:t>ribociclib</w:t>
      </w:r>
      <w:proofErr w:type="spellEnd"/>
      <w:r w:rsidR="00A402DA" w:rsidRPr="00A402DA">
        <w:t xml:space="preserve"> </w:t>
      </w:r>
      <w:r w:rsidR="00A402DA" w:rsidRPr="00A402DA">
        <w:rPr>
          <w:rFonts w:eastAsia="MS Mincho"/>
          <w:szCs w:val="20"/>
          <w:lang w:val="en-US" w:eastAsia="zh-CN"/>
        </w:rPr>
        <w:t>that would require a dose adjustment</w:t>
      </w:r>
      <w:r w:rsidRPr="001B3A24">
        <w:rPr>
          <w:rFonts w:eastAsia="MS Mincho"/>
          <w:szCs w:val="20"/>
          <w:lang w:val="en-US" w:eastAsia="zh-CN"/>
        </w:rPr>
        <w:t>.</w:t>
      </w:r>
    </w:p>
    <w:p w14:paraId="5553BB1A" w14:textId="2680D233" w:rsidR="006C4A20" w:rsidRPr="005D2049" w:rsidRDefault="006C4A20" w:rsidP="001F6BB4">
      <w:pPr>
        <w:pStyle w:val="Heading2"/>
        <w:spacing w:before="120" w:after="120" w:line="276" w:lineRule="auto"/>
        <w:jc w:val="left"/>
        <w:rPr>
          <w:rFonts w:eastAsiaTheme="minorHAnsi"/>
          <w:caps/>
          <w:sz w:val="30"/>
          <w:lang w:val="en-GB"/>
        </w:rPr>
      </w:pPr>
      <w:r w:rsidRPr="005D2049">
        <w:rPr>
          <w:rFonts w:eastAsiaTheme="minorHAnsi"/>
          <w:caps/>
          <w:sz w:val="30"/>
          <w:lang w:val="en-GB"/>
        </w:rPr>
        <w:t>CLINICAL TRIALS</w:t>
      </w:r>
    </w:p>
    <w:p w14:paraId="1C700340" w14:textId="77777777" w:rsidR="008557A2" w:rsidRPr="00F17ABE" w:rsidRDefault="00BE3AFB" w:rsidP="005D2049">
      <w:pPr>
        <w:spacing w:after="120" w:line="300" w:lineRule="atLeast"/>
        <w:jc w:val="both"/>
        <w:rPr>
          <w:b/>
          <w:u w:val="single"/>
        </w:rPr>
      </w:pPr>
      <w:r w:rsidRPr="00F17ABE">
        <w:rPr>
          <w:b/>
          <w:u w:val="single"/>
        </w:rPr>
        <w:t>Dou</w:t>
      </w:r>
      <w:r w:rsidR="008C2C67" w:rsidRPr="00F17ABE">
        <w:rPr>
          <w:b/>
          <w:u w:val="single"/>
        </w:rPr>
        <w:t>ble-Blind Placebo-Controlled St</w:t>
      </w:r>
      <w:r w:rsidRPr="00F17ABE">
        <w:rPr>
          <w:b/>
          <w:u w:val="single"/>
        </w:rPr>
        <w:t>udies</w:t>
      </w:r>
    </w:p>
    <w:p w14:paraId="1DDD6747" w14:textId="41862BD5" w:rsidR="00F17ABE" w:rsidRPr="00F17ABE" w:rsidRDefault="00F17ABE" w:rsidP="00C65FC0">
      <w:pPr>
        <w:widowControl w:val="0"/>
        <w:spacing w:after="120" w:line="300" w:lineRule="exact"/>
        <w:rPr>
          <w:rFonts w:eastAsia="MS Mincho"/>
          <w:b/>
          <w:szCs w:val="20"/>
          <w:lang w:val="en-US" w:eastAsia="zh-CN"/>
        </w:rPr>
      </w:pPr>
      <w:r w:rsidRPr="00F17ABE">
        <w:rPr>
          <w:rFonts w:eastAsia="MS Mincho"/>
          <w:b/>
          <w:szCs w:val="20"/>
          <w:lang w:val="en-US" w:eastAsia="zh-CN"/>
        </w:rPr>
        <w:t>Study CLEE011A2301</w:t>
      </w:r>
      <w:r w:rsidR="00B23BA6">
        <w:rPr>
          <w:rFonts w:eastAsia="MS Mincho"/>
          <w:b/>
          <w:szCs w:val="20"/>
          <w:lang w:val="en-US" w:eastAsia="zh-CN"/>
        </w:rPr>
        <w:t xml:space="preserve"> </w:t>
      </w:r>
      <w:r w:rsidR="00B23BA6" w:rsidRPr="00B23BA6">
        <w:rPr>
          <w:rFonts w:eastAsia="MS Mincho"/>
          <w:b/>
          <w:szCs w:val="20"/>
          <w:lang w:val="en-US" w:eastAsia="zh-CN"/>
        </w:rPr>
        <w:t>(MONALEESA 2)</w:t>
      </w:r>
    </w:p>
    <w:p w14:paraId="090F6FAD" w14:textId="5978EF9B" w:rsidR="000B3055" w:rsidRPr="000B3055" w:rsidRDefault="00F17ABE" w:rsidP="0015290C">
      <w:pPr>
        <w:widowControl w:val="0"/>
        <w:spacing w:after="120" w:line="300" w:lineRule="exact"/>
        <w:jc w:val="both"/>
        <w:rPr>
          <w:rFonts w:eastAsia="MS Mincho"/>
          <w:szCs w:val="20"/>
          <w:lang w:val="en-US" w:eastAsia="zh-CN"/>
        </w:rPr>
      </w:pPr>
      <w:r>
        <w:rPr>
          <w:rFonts w:eastAsia="MS Mincho"/>
          <w:szCs w:val="20"/>
          <w:lang w:val="en-US" w:eastAsia="zh-CN"/>
        </w:rPr>
        <w:t>KISQALI</w:t>
      </w:r>
      <w:r w:rsidR="000B3055" w:rsidRPr="000B3055">
        <w:rPr>
          <w:rFonts w:eastAsia="MS Mincho"/>
          <w:szCs w:val="20"/>
          <w:lang w:val="en-US" w:eastAsia="zh-CN"/>
        </w:rPr>
        <w:t xml:space="preserve"> was evaluated </w:t>
      </w:r>
      <w:r w:rsidR="003F1040" w:rsidRPr="003F1040">
        <w:rPr>
          <w:rFonts w:eastAsia="MS Mincho"/>
          <w:szCs w:val="20"/>
          <w:lang w:val="en-US" w:eastAsia="zh-CN"/>
        </w:rPr>
        <w:t xml:space="preserve">in a randomized, double-blind, placebo-controlled, multicenter phase III clinical study in the treatment of postmenopausal women with HR positive, HER2-negative, advanced breast cancer who received no prior therapy for advanced disease in combination with </w:t>
      </w:r>
      <w:proofErr w:type="spellStart"/>
      <w:r w:rsidR="003F1040" w:rsidRPr="003F1040">
        <w:rPr>
          <w:rFonts w:eastAsia="MS Mincho"/>
          <w:szCs w:val="20"/>
          <w:lang w:val="en-US" w:eastAsia="zh-CN"/>
        </w:rPr>
        <w:t>letrozole</w:t>
      </w:r>
      <w:proofErr w:type="spellEnd"/>
      <w:r w:rsidR="003F1040" w:rsidRPr="003F1040">
        <w:rPr>
          <w:rFonts w:eastAsia="MS Mincho"/>
          <w:szCs w:val="20"/>
          <w:lang w:val="en-US" w:eastAsia="zh-CN"/>
        </w:rPr>
        <w:t xml:space="preserve"> versus </w:t>
      </w:r>
      <w:proofErr w:type="spellStart"/>
      <w:r w:rsidR="003F1040" w:rsidRPr="003F1040">
        <w:rPr>
          <w:rFonts w:eastAsia="MS Mincho"/>
          <w:szCs w:val="20"/>
          <w:lang w:val="en-US" w:eastAsia="zh-CN"/>
        </w:rPr>
        <w:t>letrozole</w:t>
      </w:r>
      <w:proofErr w:type="spellEnd"/>
      <w:r w:rsidR="003F1040" w:rsidRPr="003F1040">
        <w:rPr>
          <w:rFonts w:eastAsia="MS Mincho"/>
          <w:szCs w:val="20"/>
          <w:lang w:val="en-US" w:eastAsia="zh-CN"/>
        </w:rPr>
        <w:t xml:space="preserve"> alone</w:t>
      </w:r>
      <w:r w:rsidR="000B3055" w:rsidRPr="000B3055">
        <w:rPr>
          <w:rFonts w:eastAsia="MS Mincho"/>
          <w:szCs w:val="20"/>
          <w:lang w:val="en-US" w:eastAsia="zh-CN"/>
        </w:rPr>
        <w:t xml:space="preserve">. </w:t>
      </w:r>
      <w:r w:rsidR="00990F59" w:rsidRPr="00990F59">
        <w:rPr>
          <w:rFonts w:eastAsia="MS Mincho"/>
          <w:szCs w:val="20"/>
          <w:lang w:val="en-US" w:eastAsia="zh-CN"/>
        </w:rPr>
        <w:t xml:space="preserve">The primary endpoint for the study was progression-free survival (PFS) using Response Evaluation Criteria in Solid Tumors (RECIST v1.1), based on the investigator assessment in the full population (all </w:t>
      </w:r>
      <w:proofErr w:type="spellStart"/>
      <w:r w:rsidR="00990F59" w:rsidRPr="00990F59">
        <w:rPr>
          <w:rFonts w:eastAsia="MS Mincho"/>
          <w:szCs w:val="20"/>
          <w:lang w:val="en-US" w:eastAsia="zh-CN"/>
        </w:rPr>
        <w:t>randomised</w:t>
      </w:r>
      <w:proofErr w:type="spellEnd"/>
      <w:r w:rsidR="00990F59" w:rsidRPr="00990F59">
        <w:rPr>
          <w:rFonts w:eastAsia="MS Mincho"/>
          <w:szCs w:val="20"/>
          <w:lang w:val="en-US" w:eastAsia="zh-CN"/>
        </w:rPr>
        <w:t xml:space="preserve"> patients).</w:t>
      </w:r>
    </w:p>
    <w:p w14:paraId="76890641" w14:textId="74B7B69E" w:rsidR="00F17ABE" w:rsidRPr="00F17ABE" w:rsidRDefault="00F17ABE" w:rsidP="00F17ABE">
      <w:pPr>
        <w:spacing w:after="120" w:line="300" w:lineRule="exact"/>
        <w:jc w:val="both"/>
        <w:rPr>
          <w:rFonts w:eastAsia="MS Mincho"/>
          <w:szCs w:val="20"/>
          <w:lang w:val="en-US" w:eastAsia="zh-CN"/>
        </w:rPr>
      </w:pPr>
      <w:r>
        <w:rPr>
          <w:rFonts w:eastAsia="MS Mincho"/>
          <w:szCs w:val="20"/>
          <w:lang w:val="en-US" w:eastAsia="zh-CN"/>
        </w:rPr>
        <w:t xml:space="preserve">Six hundred and sixty eight </w:t>
      </w:r>
      <w:r w:rsidR="00F56EF3">
        <w:rPr>
          <w:rFonts w:eastAsia="MS Mincho"/>
          <w:szCs w:val="20"/>
          <w:lang w:val="en-US" w:eastAsia="zh-CN"/>
        </w:rPr>
        <w:t>(6</w:t>
      </w:r>
      <w:r w:rsidR="005A4FF3">
        <w:rPr>
          <w:rFonts w:eastAsia="MS Mincho"/>
          <w:szCs w:val="20"/>
          <w:lang w:val="en-US" w:eastAsia="zh-CN"/>
        </w:rPr>
        <w:t>6</w:t>
      </w:r>
      <w:r w:rsidR="00F56EF3">
        <w:rPr>
          <w:rFonts w:eastAsia="MS Mincho"/>
          <w:szCs w:val="20"/>
          <w:lang w:val="en-US" w:eastAsia="zh-CN"/>
        </w:rPr>
        <w:t xml:space="preserve">8) </w:t>
      </w:r>
      <w:r w:rsidR="000B3055" w:rsidRPr="000B3055">
        <w:rPr>
          <w:rFonts w:eastAsia="MS Mincho"/>
          <w:szCs w:val="20"/>
          <w:lang w:val="en-US" w:eastAsia="zh-CN"/>
        </w:rPr>
        <w:t xml:space="preserve">patients were randomized </w:t>
      </w:r>
      <w:r>
        <w:rPr>
          <w:rFonts w:eastAsia="MS Mincho"/>
          <w:szCs w:val="20"/>
          <w:lang w:val="en-US" w:eastAsia="zh-CN"/>
        </w:rPr>
        <w:t xml:space="preserve">1:1 </w:t>
      </w:r>
      <w:r w:rsidR="000B3055" w:rsidRPr="000B3055">
        <w:rPr>
          <w:rFonts w:eastAsia="MS Mincho"/>
          <w:szCs w:val="20"/>
          <w:lang w:val="en-US" w:eastAsia="zh-CN"/>
        </w:rPr>
        <w:t xml:space="preserve">to receive </w:t>
      </w:r>
      <w:proofErr w:type="gramStart"/>
      <w:r w:rsidR="000B3055" w:rsidRPr="000B3055">
        <w:rPr>
          <w:rFonts w:eastAsia="MS Mincho"/>
          <w:szCs w:val="20"/>
          <w:lang w:val="en-US" w:eastAsia="zh-CN"/>
        </w:rPr>
        <w:t xml:space="preserve">either </w:t>
      </w:r>
      <w:r w:rsidRPr="00F17ABE">
        <w:rPr>
          <w:rFonts w:eastAsia="MS Mincho"/>
          <w:szCs w:val="20"/>
          <w:lang w:val="en-US" w:eastAsia="zh-CN"/>
        </w:rPr>
        <w:t xml:space="preserve">KISQALI </w:t>
      </w:r>
      <w:r w:rsidR="000B3055" w:rsidRPr="000B3055">
        <w:rPr>
          <w:rFonts w:eastAsia="MS Mincho"/>
          <w:szCs w:val="20"/>
          <w:lang w:val="en-US" w:eastAsia="zh-CN"/>
        </w:rPr>
        <w:t xml:space="preserve">600 mg </w:t>
      </w:r>
      <w:r>
        <w:rPr>
          <w:rFonts w:eastAsia="MS Mincho"/>
          <w:szCs w:val="20"/>
          <w:lang w:val="en-US" w:eastAsia="zh-CN"/>
        </w:rPr>
        <w:t>and</w:t>
      </w:r>
      <w:proofErr w:type="gramEnd"/>
      <w:r>
        <w:rPr>
          <w:rFonts w:eastAsia="MS Mincho"/>
          <w:szCs w:val="20"/>
          <w:lang w:val="en-US" w:eastAsia="zh-CN"/>
        </w:rPr>
        <w:t xml:space="preserve"> </w:t>
      </w:r>
      <w:proofErr w:type="spellStart"/>
      <w:r>
        <w:rPr>
          <w:rFonts w:eastAsia="MS Mincho"/>
          <w:szCs w:val="20"/>
          <w:lang w:val="en-US" w:eastAsia="zh-CN"/>
        </w:rPr>
        <w:t>letrozole</w:t>
      </w:r>
      <w:proofErr w:type="spellEnd"/>
      <w:r>
        <w:rPr>
          <w:rFonts w:eastAsia="MS Mincho"/>
          <w:szCs w:val="20"/>
          <w:lang w:val="en-US" w:eastAsia="zh-CN"/>
        </w:rPr>
        <w:t xml:space="preserve"> 2.5 mg</w:t>
      </w:r>
      <w:r w:rsidRPr="000B3055">
        <w:rPr>
          <w:rFonts w:eastAsia="MS Mincho"/>
          <w:szCs w:val="20"/>
          <w:lang w:val="en-US" w:eastAsia="zh-CN"/>
        </w:rPr>
        <w:t xml:space="preserve"> </w:t>
      </w:r>
      <w:r w:rsidR="000B3055" w:rsidRPr="000B3055">
        <w:rPr>
          <w:rFonts w:eastAsia="MS Mincho"/>
          <w:szCs w:val="20"/>
          <w:lang w:val="en-US" w:eastAsia="zh-CN"/>
        </w:rPr>
        <w:t xml:space="preserve">(n= </w:t>
      </w:r>
      <w:r>
        <w:rPr>
          <w:rFonts w:eastAsia="MS Mincho"/>
          <w:szCs w:val="20"/>
          <w:lang w:val="en-US" w:eastAsia="zh-CN"/>
        </w:rPr>
        <w:t xml:space="preserve">334) </w:t>
      </w:r>
      <w:r w:rsidR="000B3055" w:rsidRPr="000B3055">
        <w:rPr>
          <w:rFonts w:eastAsia="MS Mincho"/>
          <w:szCs w:val="20"/>
          <w:lang w:val="en-US" w:eastAsia="zh-CN"/>
        </w:rPr>
        <w:t xml:space="preserve">or placebo </w:t>
      </w:r>
      <w:r>
        <w:rPr>
          <w:rFonts w:eastAsia="MS Mincho"/>
          <w:szCs w:val="20"/>
          <w:lang w:val="en-US" w:eastAsia="zh-CN"/>
        </w:rPr>
        <w:t xml:space="preserve">and </w:t>
      </w:r>
      <w:proofErr w:type="spellStart"/>
      <w:r w:rsidR="000B3055" w:rsidRPr="000B3055">
        <w:rPr>
          <w:rFonts w:eastAsia="MS Mincho"/>
          <w:szCs w:val="20"/>
          <w:lang w:val="en-US" w:eastAsia="zh-CN"/>
        </w:rPr>
        <w:t>letrozole</w:t>
      </w:r>
      <w:proofErr w:type="spellEnd"/>
      <w:r w:rsidR="000B3055" w:rsidRPr="000B3055">
        <w:rPr>
          <w:rFonts w:eastAsia="MS Mincho"/>
          <w:szCs w:val="20"/>
          <w:lang w:val="en-US" w:eastAsia="zh-CN"/>
        </w:rPr>
        <w:t xml:space="preserve"> 2.5 mg</w:t>
      </w:r>
      <w:r>
        <w:rPr>
          <w:rFonts w:eastAsia="MS Mincho"/>
          <w:szCs w:val="20"/>
          <w:lang w:val="en-US" w:eastAsia="zh-CN"/>
        </w:rPr>
        <w:t xml:space="preserve"> (n=334), </w:t>
      </w:r>
      <w:r w:rsidR="000B3055" w:rsidRPr="000B3055">
        <w:rPr>
          <w:rFonts w:eastAsia="MS Mincho"/>
          <w:szCs w:val="20"/>
          <w:lang w:val="en-US" w:eastAsia="zh-CN"/>
        </w:rPr>
        <w:t xml:space="preserve">stratified according to the presence of liver and/or lung metastases </w:t>
      </w:r>
      <w:r w:rsidRPr="00F17ABE">
        <w:rPr>
          <w:rFonts w:eastAsia="MS Mincho"/>
          <w:szCs w:val="20"/>
          <w:lang w:val="en-US" w:eastAsia="zh-CN"/>
        </w:rPr>
        <w:t>[Yes (n=292 (44</w:t>
      </w:r>
      <w:r w:rsidR="004C7058">
        <w:rPr>
          <w:rFonts w:eastAsia="MS Mincho"/>
          <w:szCs w:val="20"/>
          <w:lang w:val="en-US" w:eastAsia="zh-CN"/>
        </w:rPr>
        <w:t xml:space="preserve"> </w:t>
      </w:r>
      <w:r w:rsidRPr="00F17ABE">
        <w:rPr>
          <w:rFonts w:eastAsia="MS Mincho"/>
          <w:szCs w:val="20"/>
          <w:lang w:val="en-US" w:eastAsia="zh-CN"/>
        </w:rPr>
        <w:t>%))] v</w:t>
      </w:r>
      <w:r w:rsidR="00C71668">
        <w:rPr>
          <w:rFonts w:eastAsia="MS Mincho"/>
          <w:szCs w:val="20"/>
          <w:lang w:val="en-US" w:eastAsia="zh-CN"/>
        </w:rPr>
        <w:t>ersu</w:t>
      </w:r>
      <w:r w:rsidRPr="00F17ABE">
        <w:rPr>
          <w:rFonts w:eastAsia="MS Mincho"/>
          <w:szCs w:val="20"/>
          <w:lang w:val="en-US" w:eastAsia="zh-CN"/>
        </w:rPr>
        <w:t>s No [n=376 (56</w:t>
      </w:r>
      <w:r w:rsidR="004C7058">
        <w:rPr>
          <w:rFonts w:eastAsia="MS Mincho"/>
          <w:szCs w:val="20"/>
          <w:lang w:val="en-US" w:eastAsia="zh-CN"/>
        </w:rPr>
        <w:t xml:space="preserve"> </w:t>
      </w:r>
      <w:r w:rsidRPr="00F17ABE">
        <w:rPr>
          <w:rFonts w:eastAsia="MS Mincho"/>
          <w:szCs w:val="20"/>
          <w:lang w:val="en-US" w:eastAsia="zh-CN"/>
        </w:rPr>
        <w:t>%))])</w:t>
      </w:r>
      <w:r w:rsidR="000B3055" w:rsidRPr="000B3055">
        <w:rPr>
          <w:rFonts w:eastAsia="MS Mincho"/>
          <w:szCs w:val="20"/>
          <w:lang w:val="en-US" w:eastAsia="zh-CN"/>
        </w:rPr>
        <w:t xml:space="preserve">. </w:t>
      </w:r>
      <w:r w:rsidRPr="00F17ABE">
        <w:rPr>
          <w:rFonts w:eastAsia="MS Mincho"/>
          <w:szCs w:val="20"/>
          <w:lang w:val="en-US" w:eastAsia="zh-CN"/>
        </w:rPr>
        <w:t>Demographics and baseline disease characteristics were balanced and</w:t>
      </w:r>
      <w:r>
        <w:rPr>
          <w:rFonts w:eastAsia="MS Mincho"/>
          <w:szCs w:val="20"/>
          <w:lang w:val="en-US" w:eastAsia="zh-CN"/>
        </w:rPr>
        <w:t xml:space="preserve"> comparable between study arms</w:t>
      </w:r>
      <w:r w:rsidRPr="00F17ABE">
        <w:rPr>
          <w:rFonts w:eastAsia="MS Mincho"/>
          <w:szCs w:val="20"/>
          <w:lang w:val="en-US" w:eastAsia="zh-CN"/>
        </w:rPr>
        <w:t xml:space="preserve">. KISQALI </w:t>
      </w:r>
      <w:proofErr w:type="gramStart"/>
      <w:r w:rsidRPr="00F17ABE">
        <w:rPr>
          <w:rFonts w:eastAsia="MS Mincho"/>
          <w:szCs w:val="20"/>
          <w:lang w:val="en-US" w:eastAsia="zh-CN"/>
        </w:rPr>
        <w:t>was given</w:t>
      </w:r>
      <w:proofErr w:type="gramEnd"/>
      <w:r w:rsidRPr="00F17ABE">
        <w:rPr>
          <w:rFonts w:eastAsia="MS Mincho"/>
          <w:szCs w:val="20"/>
          <w:lang w:val="en-US" w:eastAsia="zh-CN"/>
        </w:rPr>
        <w:t xml:space="preserve"> orally at a dose of 600 mg daily for 21 consecutive days followed by 7 days off treatment in combination with </w:t>
      </w:r>
      <w:proofErr w:type="spellStart"/>
      <w:r w:rsidRPr="00F17ABE">
        <w:rPr>
          <w:rFonts w:eastAsia="MS Mincho"/>
          <w:szCs w:val="20"/>
          <w:lang w:val="en-US" w:eastAsia="zh-CN"/>
        </w:rPr>
        <w:t>letrozole</w:t>
      </w:r>
      <w:proofErr w:type="spellEnd"/>
      <w:r w:rsidRPr="00F17ABE">
        <w:rPr>
          <w:rFonts w:eastAsia="MS Mincho"/>
          <w:szCs w:val="20"/>
          <w:lang w:val="en-US" w:eastAsia="zh-CN"/>
        </w:rPr>
        <w:t xml:space="preserve"> 2.5 mg once daily for 28 days. Patients </w:t>
      </w:r>
      <w:proofErr w:type="gramStart"/>
      <w:r w:rsidRPr="00F17ABE">
        <w:rPr>
          <w:rFonts w:eastAsia="MS Mincho"/>
          <w:szCs w:val="20"/>
          <w:lang w:val="en-US" w:eastAsia="zh-CN"/>
        </w:rPr>
        <w:t>were not allowed</w:t>
      </w:r>
      <w:proofErr w:type="gramEnd"/>
      <w:r w:rsidRPr="00F17ABE">
        <w:rPr>
          <w:rFonts w:eastAsia="MS Mincho"/>
          <w:szCs w:val="20"/>
          <w:lang w:val="en-US" w:eastAsia="zh-CN"/>
        </w:rPr>
        <w:t xml:space="preserve"> to cross over from placebo to </w:t>
      </w:r>
      <w:r w:rsidR="004969A3">
        <w:rPr>
          <w:rFonts w:eastAsia="MS Mincho"/>
          <w:szCs w:val="20"/>
          <w:lang w:val="en-US" w:eastAsia="zh-CN"/>
        </w:rPr>
        <w:t>KISQALI</w:t>
      </w:r>
      <w:r w:rsidRPr="00F17ABE">
        <w:rPr>
          <w:rFonts w:eastAsia="MS Mincho"/>
          <w:szCs w:val="20"/>
          <w:lang w:val="en-US" w:eastAsia="zh-CN"/>
        </w:rPr>
        <w:t xml:space="preserve"> during the study o</w:t>
      </w:r>
      <w:r w:rsidR="00020CA6">
        <w:rPr>
          <w:rFonts w:eastAsia="MS Mincho"/>
          <w:szCs w:val="20"/>
          <w:lang w:val="en-US" w:eastAsia="zh-CN"/>
        </w:rPr>
        <w:t>r after progression of disease.</w:t>
      </w:r>
    </w:p>
    <w:p w14:paraId="01C1D38B" w14:textId="38A4E884" w:rsidR="00F17ABE" w:rsidRPr="00F17ABE" w:rsidRDefault="00F17ABE" w:rsidP="00F17ABE">
      <w:pPr>
        <w:spacing w:after="120" w:line="300" w:lineRule="exact"/>
        <w:jc w:val="both"/>
        <w:rPr>
          <w:rFonts w:eastAsia="MS Mincho"/>
          <w:szCs w:val="20"/>
          <w:lang w:val="en-US" w:eastAsia="zh-CN"/>
        </w:rPr>
      </w:pPr>
      <w:r w:rsidRPr="00F17ABE">
        <w:rPr>
          <w:rFonts w:eastAsia="MS Mincho"/>
          <w:szCs w:val="20"/>
          <w:lang w:val="en-US" w:eastAsia="zh-CN"/>
        </w:rPr>
        <w:t>Patients enrolled in this study had a median age of 62 years (range 23 to 91)</w:t>
      </w:r>
      <w:r w:rsidR="00A036D7">
        <w:rPr>
          <w:rFonts w:eastAsia="MS Mincho"/>
          <w:szCs w:val="20"/>
          <w:lang w:val="en-US" w:eastAsia="zh-CN"/>
        </w:rPr>
        <w:t xml:space="preserve">; </w:t>
      </w:r>
      <w:r w:rsidRPr="00F17ABE">
        <w:rPr>
          <w:rFonts w:eastAsia="MS Mincho"/>
          <w:szCs w:val="20"/>
          <w:lang w:val="en-US" w:eastAsia="zh-CN"/>
        </w:rPr>
        <w:t>44.</w:t>
      </w:r>
      <w:r w:rsidR="001D2A30">
        <w:rPr>
          <w:rFonts w:eastAsia="MS Mincho"/>
          <w:szCs w:val="20"/>
          <w:lang w:val="en-US" w:eastAsia="zh-CN"/>
        </w:rPr>
        <w:t>2</w:t>
      </w:r>
      <w:r w:rsidR="004C7058">
        <w:rPr>
          <w:rFonts w:eastAsia="MS Mincho"/>
          <w:szCs w:val="20"/>
          <w:lang w:val="en-US" w:eastAsia="zh-CN"/>
        </w:rPr>
        <w:t xml:space="preserve"> </w:t>
      </w:r>
      <w:r w:rsidRPr="00F17ABE">
        <w:rPr>
          <w:rFonts w:eastAsia="MS Mincho"/>
          <w:szCs w:val="20"/>
          <w:lang w:val="en-US" w:eastAsia="zh-CN"/>
        </w:rPr>
        <w:t>% patients were 65 years</w:t>
      </w:r>
      <w:r w:rsidR="001D2A30">
        <w:rPr>
          <w:rFonts w:eastAsia="MS Mincho"/>
          <w:szCs w:val="20"/>
          <w:lang w:val="en-US" w:eastAsia="zh-CN"/>
        </w:rPr>
        <w:t xml:space="preserve"> or older</w:t>
      </w:r>
      <w:r w:rsidRPr="00F17ABE">
        <w:rPr>
          <w:rFonts w:eastAsia="MS Mincho"/>
          <w:szCs w:val="20"/>
          <w:lang w:val="en-US" w:eastAsia="zh-CN"/>
        </w:rPr>
        <w:t xml:space="preserve">. The patients included were </w:t>
      </w:r>
      <w:r w:rsidR="00504A18" w:rsidRPr="00F17ABE">
        <w:rPr>
          <w:rFonts w:eastAsia="MS Mincho"/>
          <w:szCs w:val="20"/>
          <w:lang w:val="en-US" w:eastAsia="zh-CN"/>
        </w:rPr>
        <w:t>Caucasian</w:t>
      </w:r>
      <w:r w:rsidRPr="00F17ABE">
        <w:rPr>
          <w:rFonts w:eastAsia="MS Mincho"/>
          <w:szCs w:val="20"/>
          <w:lang w:val="en-US" w:eastAsia="zh-CN"/>
        </w:rPr>
        <w:t xml:space="preserve"> (82.2</w:t>
      </w:r>
      <w:r w:rsidR="004C7058">
        <w:rPr>
          <w:rFonts w:eastAsia="MS Mincho"/>
          <w:szCs w:val="20"/>
          <w:lang w:val="en-US" w:eastAsia="zh-CN"/>
        </w:rPr>
        <w:t xml:space="preserve"> </w:t>
      </w:r>
      <w:r w:rsidRPr="00F17ABE">
        <w:rPr>
          <w:rFonts w:eastAsia="MS Mincho"/>
          <w:szCs w:val="20"/>
          <w:lang w:val="en-US" w:eastAsia="zh-CN"/>
        </w:rPr>
        <w:t xml:space="preserve">%), </w:t>
      </w:r>
      <w:r w:rsidR="00504A18" w:rsidRPr="00F17ABE">
        <w:rPr>
          <w:rFonts w:eastAsia="MS Mincho"/>
          <w:szCs w:val="20"/>
          <w:lang w:val="en-US" w:eastAsia="zh-CN"/>
        </w:rPr>
        <w:t>Asians</w:t>
      </w:r>
      <w:r w:rsidRPr="00F17ABE">
        <w:rPr>
          <w:rFonts w:eastAsia="MS Mincho"/>
          <w:szCs w:val="20"/>
          <w:lang w:val="en-US" w:eastAsia="zh-CN"/>
        </w:rPr>
        <w:t xml:space="preserve"> (7.6</w:t>
      </w:r>
      <w:r w:rsidR="004C7058">
        <w:rPr>
          <w:rFonts w:eastAsia="MS Mincho"/>
          <w:szCs w:val="20"/>
          <w:lang w:val="en-US" w:eastAsia="zh-CN"/>
        </w:rPr>
        <w:t xml:space="preserve"> </w:t>
      </w:r>
      <w:r w:rsidRPr="00F17ABE">
        <w:rPr>
          <w:rFonts w:eastAsia="MS Mincho"/>
          <w:szCs w:val="20"/>
          <w:lang w:val="en-US" w:eastAsia="zh-CN"/>
        </w:rPr>
        <w:t xml:space="preserve">%), and </w:t>
      </w:r>
      <w:r w:rsidR="00316B8D">
        <w:rPr>
          <w:rFonts w:eastAsia="MS Mincho"/>
          <w:szCs w:val="20"/>
          <w:lang w:val="en-US" w:eastAsia="zh-CN"/>
        </w:rPr>
        <w:t>B</w:t>
      </w:r>
      <w:r w:rsidRPr="00F17ABE">
        <w:rPr>
          <w:rFonts w:eastAsia="MS Mincho"/>
          <w:szCs w:val="20"/>
          <w:lang w:val="en-US" w:eastAsia="zh-CN"/>
        </w:rPr>
        <w:t>lack (2.5</w:t>
      </w:r>
      <w:r w:rsidR="004C7058">
        <w:rPr>
          <w:rFonts w:eastAsia="MS Mincho"/>
          <w:szCs w:val="20"/>
          <w:lang w:val="en-US" w:eastAsia="zh-CN"/>
        </w:rPr>
        <w:t xml:space="preserve"> </w:t>
      </w:r>
      <w:r w:rsidRPr="00F17ABE">
        <w:rPr>
          <w:rFonts w:eastAsia="MS Mincho"/>
          <w:szCs w:val="20"/>
          <w:lang w:val="en-US" w:eastAsia="zh-CN"/>
        </w:rPr>
        <w:t xml:space="preserve">%). All patients had an ECOG performance status </w:t>
      </w:r>
      <w:r w:rsidR="00504A18" w:rsidRPr="00F17ABE">
        <w:rPr>
          <w:rFonts w:eastAsia="MS Mincho"/>
          <w:szCs w:val="20"/>
          <w:lang w:val="en-US" w:eastAsia="zh-CN"/>
        </w:rPr>
        <w:t xml:space="preserve">of </w:t>
      </w:r>
      <w:proofErr w:type="gramStart"/>
      <w:r w:rsidR="00504A18">
        <w:rPr>
          <w:rFonts w:eastAsia="MS Mincho"/>
          <w:szCs w:val="20"/>
          <w:lang w:val="en-US" w:eastAsia="zh-CN"/>
        </w:rPr>
        <w:t>0</w:t>
      </w:r>
      <w:proofErr w:type="gramEnd"/>
      <w:r w:rsidRPr="00F17ABE">
        <w:rPr>
          <w:rFonts w:eastAsia="MS Mincho"/>
          <w:szCs w:val="20"/>
          <w:lang w:val="en-US" w:eastAsia="zh-CN"/>
        </w:rPr>
        <w:t xml:space="preserve"> or 1</w:t>
      </w:r>
      <w:r>
        <w:rPr>
          <w:rFonts w:eastAsia="MS Mincho"/>
          <w:szCs w:val="20"/>
          <w:lang w:val="en-US" w:eastAsia="zh-CN"/>
        </w:rPr>
        <w:t>.</w:t>
      </w:r>
      <w:r w:rsidRPr="00F17ABE">
        <w:rPr>
          <w:rFonts w:eastAsia="MS Mincho"/>
          <w:szCs w:val="20"/>
          <w:lang w:val="en-US" w:eastAsia="zh-CN"/>
        </w:rPr>
        <w:t xml:space="preserve"> </w:t>
      </w:r>
      <w:r w:rsidR="009A6B40" w:rsidRPr="009A6B40">
        <w:rPr>
          <w:rFonts w:eastAsia="MS Mincho"/>
          <w:szCs w:val="20"/>
          <w:lang w:val="en-US" w:eastAsia="zh-CN"/>
        </w:rPr>
        <w:t>Almost all patients had metastatic breast cancer (99.6</w:t>
      </w:r>
      <w:r w:rsidR="009A6B40">
        <w:rPr>
          <w:rFonts w:eastAsia="MS Mincho"/>
          <w:szCs w:val="20"/>
          <w:lang w:val="en-US" w:eastAsia="zh-CN"/>
        </w:rPr>
        <w:t xml:space="preserve"> </w:t>
      </w:r>
      <w:r w:rsidR="009A6B40" w:rsidRPr="009A6B40">
        <w:rPr>
          <w:rFonts w:eastAsia="MS Mincho"/>
          <w:szCs w:val="20"/>
          <w:lang w:val="en-US" w:eastAsia="zh-CN"/>
        </w:rPr>
        <w:t>%) at study entry.</w:t>
      </w:r>
      <w:r w:rsidRPr="00F17ABE">
        <w:rPr>
          <w:rFonts w:eastAsia="MS Mincho"/>
          <w:szCs w:val="20"/>
          <w:lang w:val="en-US" w:eastAsia="zh-CN"/>
        </w:rPr>
        <w:t xml:space="preserve"> </w:t>
      </w:r>
      <w:proofErr w:type="gramStart"/>
      <w:r w:rsidR="00E81888">
        <w:rPr>
          <w:rFonts w:eastAsia="MS Mincho"/>
          <w:szCs w:val="20"/>
          <w:lang w:val="en-US" w:eastAsia="zh-CN"/>
        </w:rPr>
        <w:t xml:space="preserve">A total of </w:t>
      </w:r>
      <w:r w:rsidR="00504A18" w:rsidRPr="00F17ABE">
        <w:rPr>
          <w:rFonts w:eastAsia="MS Mincho"/>
          <w:szCs w:val="20"/>
          <w:lang w:val="en-US" w:eastAsia="zh-CN"/>
        </w:rPr>
        <w:t>4</w:t>
      </w:r>
      <w:r w:rsidR="001D2A30">
        <w:rPr>
          <w:rFonts w:eastAsia="MS Mincho"/>
          <w:szCs w:val="20"/>
          <w:lang w:val="en-US" w:eastAsia="zh-CN"/>
        </w:rPr>
        <w:t>3</w:t>
      </w:r>
      <w:r w:rsidR="00504A18" w:rsidRPr="00F17ABE">
        <w:rPr>
          <w:rFonts w:eastAsia="MS Mincho"/>
          <w:szCs w:val="20"/>
          <w:lang w:val="en-US" w:eastAsia="zh-CN"/>
        </w:rPr>
        <w:t>.</w:t>
      </w:r>
      <w:r w:rsidR="001D2A30">
        <w:rPr>
          <w:rFonts w:eastAsia="MS Mincho"/>
          <w:szCs w:val="20"/>
          <w:lang w:val="en-US" w:eastAsia="zh-CN"/>
        </w:rPr>
        <w:t>7</w:t>
      </w:r>
      <w:proofErr w:type="gramEnd"/>
      <w:r w:rsidR="00504A18">
        <w:rPr>
          <w:rFonts w:eastAsia="MS Mincho"/>
          <w:szCs w:val="20"/>
          <w:lang w:val="en-US" w:eastAsia="zh-CN"/>
        </w:rPr>
        <w:t xml:space="preserve"> %</w:t>
      </w:r>
      <w:r w:rsidRPr="00F17ABE">
        <w:rPr>
          <w:rFonts w:eastAsia="MS Mincho"/>
          <w:szCs w:val="20"/>
          <w:lang w:val="en-US" w:eastAsia="zh-CN"/>
        </w:rPr>
        <w:t xml:space="preserve"> of patients had received chemotherapy in the </w:t>
      </w:r>
      <w:proofErr w:type="spellStart"/>
      <w:r w:rsidRPr="00F17ABE">
        <w:rPr>
          <w:rFonts w:eastAsia="MS Mincho"/>
          <w:szCs w:val="20"/>
          <w:lang w:val="en-US" w:eastAsia="zh-CN"/>
        </w:rPr>
        <w:t>neoadjuvant</w:t>
      </w:r>
      <w:proofErr w:type="spellEnd"/>
      <w:r w:rsidRPr="00F17ABE">
        <w:rPr>
          <w:rFonts w:eastAsia="MS Mincho"/>
          <w:szCs w:val="20"/>
          <w:lang w:val="en-US" w:eastAsia="zh-CN"/>
        </w:rPr>
        <w:t xml:space="preserve"> or adjuvant setting</w:t>
      </w:r>
      <w:r w:rsidR="00990F59">
        <w:rPr>
          <w:rFonts w:eastAsia="MS Mincho"/>
          <w:szCs w:val="20"/>
          <w:lang w:val="en-US" w:eastAsia="zh-CN"/>
        </w:rPr>
        <w:t>,</w:t>
      </w:r>
      <w:r w:rsidRPr="00F17ABE">
        <w:rPr>
          <w:rFonts w:eastAsia="MS Mincho"/>
          <w:szCs w:val="20"/>
          <w:lang w:val="en-US" w:eastAsia="zh-CN"/>
        </w:rPr>
        <w:t xml:space="preserve"> and 5</w:t>
      </w:r>
      <w:r w:rsidR="001D2A30">
        <w:rPr>
          <w:rFonts w:eastAsia="MS Mincho"/>
          <w:szCs w:val="20"/>
          <w:lang w:val="en-US" w:eastAsia="zh-CN"/>
        </w:rPr>
        <w:t>2</w:t>
      </w:r>
      <w:r w:rsidRPr="00F17ABE">
        <w:rPr>
          <w:rFonts w:eastAsia="MS Mincho"/>
          <w:szCs w:val="20"/>
          <w:lang w:val="en-US" w:eastAsia="zh-CN"/>
        </w:rPr>
        <w:t>.</w:t>
      </w:r>
      <w:r w:rsidR="001D2A30">
        <w:rPr>
          <w:rFonts w:eastAsia="MS Mincho"/>
          <w:szCs w:val="20"/>
          <w:lang w:val="en-US" w:eastAsia="zh-CN"/>
        </w:rPr>
        <w:t>4</w:t>
      </w:r>
      <w:r w:rsidR="004C7058">
        <w:rPr>
          <w:rFonts w:eastAsia="MS Mincho"/>
          <w:szCs w:val="20"/>
          <w:lang w:val="en-US" w:eastAsia="zh-CN"/>
        </w:rPr>
        <w:t xml:space="preserve"> </w:t>
      </w:r>
      <w:r w:rsidRPr="00F17ABE">
        <w:rPr>
          <w:rFonts w:eastAsia="MS Mincho"/>
          <w:szCs w:val="20"/>
          <w:lang w:val="en-US" w:eastAsia="zh-CN"/>
        </w:rPr>
        <w:t xml:space="preserve">% had received </w:t>
      </w:r>
      <w:proofErr w:type="spellStart"/>
      <w:r w:rsidRPr="00F17ABE">
        <w:rPr>
          <w:rFonts w:eastAsia="MS Mincho"/>
          <w:szCs w:val="20"/>
          <w:lang w:val="en-US" w:eastAsia="zh-CN"/>
        </w:rPr>
        <w:t>antihormonal</w:t>
      </w:r>
      <w:proofErr w:type="spellEnd"/>
      <w:r w:rsidRPr="00F17ABE">
        <w:rPr>
          <w:rFonts w:eastAsia="MS Mincho"/>
          <w:szCs w:val="20"/>
          <w:lang w:val="en-US" w:eastAsia="zh-CN"/>
        </w:rPr>
        <w:t xml:space="preserve"> therapy in the neo/adjuvant setting prior to study entry. </w:t>
      </w:r>
      <w:r w:rsidR="007C5F42">
        <w:rPr>
          <w:rFonts w:eastAsia="MS Mincho"/>
          <w:szCs w:val="20"/>
          <w:lang w:val="en-US" w:eastAsia="zh-CN"/>
        </w:rPr>
        <w:t xml:space="preserve">Also </w:t>
      </w:r>
      <w:r w:rsidRPr="00F17ABE">
        <w:rPr>
          <w:rFonts w:eastAsia="MS Mincho"/>
          <w:szCs w:val="20"/>
          <w:lang w:val="en-US" w:eastAsia="zh-CN"/>
        </w:rPr>
        <w:t>34.1</w:t>
      </w:r>
      <w:r w:rsidR="005E6617">
        <w:rPr>
          <w:rFonts w:eastAsia="MS Mincho"/>
          <w:szCs w:val="20"/>
          <w:lang w:val="en-US" w:eastAsia="zh-CN"/>
        </w:rPr>
        <w:t xml:space="preserve"> </w:t>
      </w:r>
      <w:r w:rsidRPr="00F17ABE">
        <w:rPr>
          <w:rFonts w:eastAsia="MS Mincho"/>
          <w:szCs w:val="20"/>
          <w:lang w:val="en-US" w:eastAsia="zh-CN"/>
        </w:rPr>
        <w:t xml:space="preserve">% of patients had </w:t>
      </w:r>
      <w:r w:rsidRPr="00A036D7">
        <w:rPr>
          <w:rFonts w:eastAsia="MS Mincho"/>
          <w:i/>
          <w:szCs w:val="20"/>
          <w:lang w:val="en-US" w:eastAsia="zh-CN"/>
        </w:rPr>
        <w:t>de novo</w:t>
      </w:r>
      <w:r w:rsidRPr="00F17ABE">
        <w:rPr>
          <w:rFonts w:eastAsia="MS Mincho"/>
          <w:szCs w:val="20"/>
          <w:lang w:val="en-US" w:eastAsia="zh-CN"/>
        </w:rPr>
        <w:t xml:space="preserve"> metastatic disease. 20.7</w:t>
      </w:r>
      <w:r w:rsidR="00A036D7">
        <w:rPr>
          <w:rFonts w:eastAsia="MS Mincho"/>
          <w:szCs w:val="20"/>
          <w:lang w:val="en-US" w:eastAsia="zh-CN"/>
        </w:rPr>
        <w:t xml:space="preserve"> </w:t>
      </w:r>
      <w:r w:rsidRPr="00F17ABE">
        <w:rPr>
          <w:rFonts w:eastAsia="MS Mincho"/>
          <w:szCs w:val="20"/>
          <w:lang w:val="en-US" w:eastAsia="zh-CN"/>
        </w:rPr>
        <w:t>% of patients had bone only disease and 59.0</w:t>
      </w:r>
      <w:r w:rsidR="00A036D7">
        <w:rPr>
          <w:rFonts w:eastAsia="MS Mincho"/>
          <w:szCs w:val="20"/>
          <w:lang w:val="en-US" w:eastAsia="zh-CN"/>
        </w:rPr>
        <w:t xml:space="preserve"> </w:t>
      </w:r>
      <w:r w:rsidRPr="00F17ABE">
        <w:rPr>
          <w:rFonts w:eastAsia="MS Mincho"/>
          <w:szCs w:val="20"/>
          <w:lang w:val="en-US" w:eastAsia="zh-CN"/>
        </w:rPr>
        <w:t>% of patients had visceral disease</w:t>
      </w:r>
      <w:r w:rsidR="009A6B40">
        <w:rPr>
          <w:rFonts w:eastAsia="MS Mincho"/>
          <w:szCs w:val="20"/>
          <w:lang w:val="en-US" w:eastAsia="zh-CN"/>
        </w:rPr>
        <w:t xml:space="preserve"> (lung and/or liver)</w:t>
      </w:r>
      <w:r w:rsidRPr="00F17ABE">
        <w:rPr>
          <w:rFonts w:eastAsia="MS Mincho"/>
          <w:szCs w:val="20"/>
          <w:lang w:val="en-US" w:eastAsia="zh-CN"/>
        </w:rPr>
        <w:t xml:space="preserve">. </w:t>
      </w:r>
      <w:r w:rsidR="00C71668" w:rsidRPr="00C71668">
        <w:rPr>
          <w:rFonts w:eastAsia="MS Mincho"/>
          <w:szCs w:val="20"/>
          <w:lang w:val="en-US" w:eastAsia="zh-CN"/>
        </w:rPr>
        <w:t>Patients with prior (neo)</w:t>
      </w:r>
      <w:r w:rsidR="00C71668">
        <w:rPr>
          <w:rFonts w:eastAsia="MS Mincho"/>
          <w:szCs w:val="20"/>
          <w:lang w:val="en-US" w:eastAsia="zh-CN"/>
        </w:rPr>
        <w:t xml:space="preserve"> </w:t>
      </w:r>
      <w:r w:rsidR="00C71668" w:rsidRPr="00C71668">
        <w:rPr>
          <w:rFonts w:eastAsia="MS Mincho"/>
          <w:szCs w:val="20"/>
          <w:lang w:val="en-US" w:eastAsia="zh-CN"/>
        </w:rPr>
        <w:t xml:space="preserve">adjuvant therapy with </w:t>
      </w:r>
      <w:proofErr w:type="spellStart"/>
      <w:r w:rsidR="00C71668" w:rsidRPr="00C71668">
        <w:rPr>
          <w:rFonts w:eastAsia="MS Mincho"/>
          <w:szCs w:val="20"/>
          <w:lang w:val="en-US" w:eastAsia="zh-CN"/>
        </w:rPr>
        <w:t>anastrozole</w:t>
      </w:r>
      <w:proofErr w:type="spellEnd"/>
      <w:r w:rsidR="00C71668" w:rsidRPr="00C71668">
        <w:rPr>
          <w:rFonts w:eastAsia="MS Mincho"/>
          <w:szCs w:val="20"/>
          <w:lang w:val="en-US" w:eastAsia="zh-CN"/>
        </w:rPr>
        <w:t xml:space="preserve"> or </w:t>
      </w:r>
      <w:proofErr w:type="spellStart"/>
      <w:r w:rsidR="00C71668" w:rsidRPr="00C71668">
        <w:rPr>
          <w:rFonts w:eastAsia="MS Mincho"/>
          <w:szCs w:val="20"/>
          <w:lang w:val="en-US" w:eastAsia="zh-CN"/>
        </w:rPr>
        <w:t>letrozole</w:t>
      </w:r>
      <w:proofErr w:type="spellEnd"/>
      <w:r w:rsidR="00C71668" w:rsidRPr="00C71668">
        <w:rPr>
          <w:rFonts w:eastAsia="MS Mincho"/>
          <w:szCs w:val="20"/>
          <w:lang w:val="en-US" w:eastAsia="zh-CN"/>
        </w:rPr>
        <w:t xml:space="preserve"> must have completed this therapy at least 12 months before study </w:t>
      </w:r>
      <w:proofErr w:type="spellStart"/>
      <w:r w:rsidR="00C71668" w:rsidRPr="00C71668">
        <w:rPr>
          <w:rFonts w:eastAsia="MS Mincho"/>
          <w:szCs w:val="20"/>
          <w:lang w:val="en-US" w:eastAsia="zh-CN"/>
        </w:rPr>
        <w:t>randomisation</w:t>
      </w:r>
      <w:proofErr w:type="spellEnd"/>
      <w:r w:rsidR="00C71668" w:rsidRPr="00C71668">
        <w:rPr>
          <w:rFonts w:eastAsia="MS Mincho"/>
          <w:szCs w:val="20"/>
          <w:lang w:val="en-US" w:eastAsia="zh-CN"/>
        </w:rPr>
        <w:t>.</w:t>
      </w:r>
    </w:p>
    <w:p w14:paraId="7A5820A2" w14:textId="0A1DB8C5" w:rsidR="004700D5" w:rsidRPr="004700D5" w:rsidRDefault="00DB313A" w:rsidP="004700D5">
      <w:pPr>
        <w:spacing w:after="120"/>
        <w:jc w:val="both"/>
        <w:rPr>
          <w:rFonts w:eastAsia="MS Mincho"/>
          <w:szCs w:val="20"/>
          <w:u w:val="single"/>
          <w:lang w:eastAsia="zh-CN"/>
        </w:rPr>
      </w:pPr>
      <w:r w:rsidRPr="004700D5">
        <w:rPr>
          <w:rFonts w:eastAsia="MS Mincho"/>
          <w:szCs w:val="20"/>
          <w:u w:val="single"/>
          <w:lang w:val="en-US" w:eastAsia="zh-CN"/>
        </w:rPr>
        <w:t xml:space="preserve">First </w:t>
      </w:r>
      <w:r w:rsidR="007E7D40" w:rsidRPr="004700D5">
        <w:rPr>
          <w:rFonts w:eastAsia="MS Mincho"/>
          <w:szCs w:val="20"/>
          <w:u w:val="single"/>
          <w:lang w:eastAsia="zh-CN"/>
        </w:rPr>
        <w:t>interim analysis</w:t>
      </w:r>
    </w:p>
    <w:p w14:paraId="16C5F495" w14:textId="0632FDD2" w:rsidR="009D0910" w:rsidRPr="009D0910" w:rsidRDefault="004700D5" w:rsidP="009D0910">
      <w:pPr>
        <w:spacing w:after="120" w:line="300" w:lineRule="exact"/>
        <w:jc w:val="both"/>
        <w:rPr>
          <w:rFonts w:eastAsia="MS Mincho"/>
          <w:szCs w:val="20"/>
          <w:lang w:val="en-US" w:eastAsia="zh-CN"/>
        </w:rPr>
      </w:pPr>
      <w:r>
        <w:rPr>
          <w:rFonts w:eastAsia="MS Mincho"/>
          <w:szCs w:val="20"/>
          <w:lang w:eastAsia="zh-CN"/>
        </w:rPr>
        <w:t>Th</w:t>
      </w:r>
      <w:r w:rsidR="00081973">
        <w:rPr>
          <w:rFonts w:eastAsia="MS Mincho"/>
          <w:szCs w:val="20"/>
          <w:lang w:eastAsia="zh-CN"/>
        </w:rPr>
        <w:t xml:space="preserve">e first interim analysis </w:t>
      </w:r>
      <w:proofErr w:type="gramStart"/>
      <w:r w:rsidR="007E7D40" w:rsidRPr="00CF26E3">
        <w:rPr>
          <w:rFonts w:eastAsia="MS Mincho"/>
          <w:szCs w:val="20"/>
          <w:lang w:eastAsia="zh-CN"/>
        </w:rPr>
        <w:t>was performed</w:t>
      </w:r>
      <w:proofErr w:type="gramEnd"/>
      <w:r w:rsidR="007E7D40" w:rsidRPr="00CF26E3">
        <w:rPr>
          <w:rFonts w:eastAsia="MS Mincho"/>
          <w:szCs w:val="20"/>
          <w:lang w:eastAsia="zh-CN"/>
        </w:rPr>
        <w:t xml:space="preserve"> after a median duration of PFS follow-up of 1</w:t>
      </w:r>
      <w:r w:rsidR="00934870">
        <w:rPr>
          <w:rFonts w:eastAsia="MS Mincho"/>
          <w:szCs w:val="20"/>
          <w:lang w:eastAsia="zh-CN"/>
        </w:rPr>
        <w:t>5.3</w:t>
      </w:r>
      <w:r w:rsidR="007E7D40" w:rsidRPr="00CF26E3">
        <w:rPr>
          <w:rFonts w:eastAsia="MS Mincho"/>
          <w:szCs w:val="20"/>
          <w:lang w:eastAsia="zh-CN"/>
        </w:rPr>
        <w:t xml:space="preserve"> months</w:t>
      </w:r>
      <w:r w:rsidR="007C626F">
        <w:rPr>
          <w:rFonts w:eastAsia="MS Mincho"/>
          <w:szCs w:val="20"/>
          <w:lang w:eastAsia="zh-CN"/>
        </w:rPr>
        <w:t xml:space="preserve"> (</w:t>
      </w:r>
      <w:r w:rsidR="007C626F" w:rsidRPr="007C626F">
        <w:rPr>
          <w:rFonts w:eastAsia="MS Mincho"/>
          <w:szCs w:val="20"/>
          <w:lang w:eastAsia="zh-CN"/>
        </w:rPr>
        <w:t>29 January 2016 data cut off</w:t>
      </w:r>
      <w:r w:rsidR="007C626F">
        <w:rPr>
          <w:rFonts w:eastAsia="MS Mincho"/>
          <w:szCs w:val="20"/>
          <w:lang w:eastAsia="zh-CN"/>
        </w:rPr>
        <w:t>)</w:t>
      </w:r>
      <w:r w:rsidR="007E7D40" w:rsidRPr="00CF26E3">
        <w:rPr>
          <w:rFonts w:eastAsia="MS Mincho"/>
          <w:szCs w:val="20"/>
          <w:lang w:eastAsia="zh-CN"/>
        </w:rPr>
        <w:t xml:space="preserve">. </w:t>
      </w:r>
      <w:r w:rsidR="00990F59" w:rsidRPr="000B3055">
        <w:rPr>
          <w:rFonts w:eastAsia="MS Mincho"/>
          <w:szCs w:val="20"/>
          <w:lang w:val="en-US" w:eastAsia="zh-CN"/>
        </w:rPr>
        <w:t xml:space="preserve">The </w:t>
      </w:r>
      <w:r w:rsidR="00B04E38">
        <w:rPr>
          <w:rFonts w:eastAsia="MS Mincho"/>
          <w:szCs w:val="20"/>
          <w:lang w:val="en-US" w:eastAsia="zh-CN"/>
        </w:rPr>
        <w:t xml:space="preserve">efficacy </w:t>
      </w:r>
      <w:r w:rsidR="00990F59" w:rsidRPr="000B3055">
        <w:rPr>
          <w:rFonts w:eastAsia="MS Mincho"/>
          <w:szCs w:val="20"/>
          <w:lang w:val="en-US" w:eastAsia="zh-CN"/>
        </w:rPr>
        <w:t xml:space="preserve">results </w:t>
      </w:r>
      <w:r w:rsidR="00990F59">
        <w:rPr>
          <w:rFonts w:eastAsia="MS Mincho"/>
          <w:szCs w:val="20"/>
          <w:lang w:val="en-US" w:eastAsia="zh-CN"/>
        </w:rPr>
        <w:t xml:space="preserve">are </w:t>
      </w:r>
      <w:proofErr w:type="spellStart"/>
      <w:r w:rsidR="00990F59">
        <w:rPr>
          <w:rFonts w:eastAsia="MS Mincho"/>
          <w:szCs w:val="20"/>
          <w:lang w:val="en-US" w:eastAsia="zh-CN"/>
        </w:rPr>
        <w:t>summarised</w:t>
      </w:r>
      <w:proofErr w:type="spellEnd"/>
      <w:r w:rsidR="00990F59">
        <w:rPr>
          <w:rFonts w:eastAsia="MS Mincho"/>
          <w:szCs w:val="20"/>
          <w:lang w:val="en-US" w:eastAsia="zh-CN"/>
        </w:rPr>
        <w:t xml:space="preserve"> in Table 1</w:t>
      </w:r>
      <w:r w:rsidR="00990F59" w:rsidRPr="009D0910">
        <w:rPr>
          <w:rFonts w:eastAsia="MS Mincho"/>
          <w:szCs w:val="20"/>
          <w:lang w:val="en-US" w:eastAsia="zh-CN"/>
        </w:rPr>
        <w:t xml:space="preserve">. </w:t>
      </w:r>
      <w:r w:rsidR="007E7D40" w:rsidRPr="00CF26E3">
        <w:rPr>
          <w:rFonts w:eastAsia="MS Mincho"/>
          <w:szCs w:val="20"/>
          <w:lang w:eastAsia="zh-CN"/>
        </w:rPr>
        <w:t xml:space="preserve">The analysis for the primary end-point met the pre-specified criteria for superiority for patients receiving </w:t>
      </w:r>
      <w:proofErr w:type="spellStart"/>
      <w:r w:rsidR="007E7D40" w:rsidRPr="00CF26E3">
        <w:rPr>
          <w:rFonts w:eastAsia="MS Mincho"/>
          <w:szCs w:val="20"/>
          <w:lang w:eastAsia="zh-CN"/>
        </w:rPr>
        <w:t>ribociclib</w:t>
      </w:r>
      <w:proofErr w:type="spellEnd"/>
      <w:r w:rsidR="007E7D40" w:rsidRPr="00CF26E3">
        <w:rPr>
          <w:rFonts w:eastAsia="MS Mincho"/>
          <w:szCs w:val="20"/>
          <w:lang w:eastAsia="zh-CN"/>
        </w:rPr>
        <w:t xml:space="preserve"> plus </w:t>
      </w:r>
      <w:proofErr w:type="spellStart"/>
      <w:r w:rsidR="007E7D40" w:rsidRPr="00CF26E3">
        <w:rPr>
          <w:rFonts w:eastAsia="MS Mincho"/>
          <w:szCs w:val="20"/>
          <w:lang w:eastAsia="zh-CN"/>
        </w:rPr>
        <w:t>letrozole</w:t>
      </w:r>
      <w:proofErr w:type="spellEnd"/>
      <w:r w:rsidR="007E7D40" w:rsidRPr="00CF26E3">
        <w:rPr>
          <w:rFonts w:eastAsia="MS Mincho"/>
          <w:szCs w:val="20"/>
          <w:lang w:eastAsia="zh-CN"/>
        </w:rPr>
        <w:t xml:space="preserve"> compared to patients receiving placebo plus </w:t>
      </w:r>
      <w:proofErr w:type="spellStart"/>
      <w:r w:rsidR="007E7D40" w:rsidRPr="00CF26E3">
        <w:rPr>
          <w:rFonts w:eastAsia="MS Mincho"/>
          <w:szCs w:val="20"/>
          <w:lang w:eastAsia="zh-CN"/>
        </w:rPr>
        <w:t>letrozole</w:t>
      </w:r>
      <w:proofErr w:type="spellEnd"/>
      <w:r w:rsidR="007E7D40">
        <w:rPr>
          <w:rFonts w:eastAsia="MS Mincho"/>
          <w:szCs w:val="20"/>
          <w:lang w:eastAsia="zh-CN"/>
        </w:rPr>
        <w:t xml:space="preserve">. </w:t>
      </w:r>
      <w:r w:rsidR="00B04E38">
        <w:rPr>
          <w:rFonts w:eastAsia="MS Mincho"/>
          <w:szCs w:val="20"/>
          <w:lang w:eastAsia="zh-CN"/>
        </w:rPr>
        <w:t xml:space="preserve">There was </w:t>
      </w:r>
      <w:r w:rsidR="00F17ABE" w:rsidRPr="00F17ABE">
        <w:rPr>
          <w:rFonts w:eastAsia="MS Mincho"/>
          <w:szCs w:val="20"/>
          <w:lang w:val="en-US" w:eastAsia="zh-CN"/>
        </w:rPr>
        <w:t>an estimated 44</w:t>
      </w:r>
      <w:r w:rsidR="005E6617">
        <w:rPr>
          <w:rFonts w:eastAsia="MS Mincho"/>
          <w:szCs w:val="20"/>
          <w:lang w:val="en-US" w:eastAsia="zh-CN"/>
        </w:rPr>
        <w:t xml:space="preserve"> </w:t>
      </w:r>
      <w:r w:rsidR="00F17ABE" w:rsidRPr="00F17ABE">
        <w:rPr>
          <w:rFonts w:eastAsia="MS Mincho"/>
          <w:szCs w:val="20"/>
          <w:lang w:val="en-US" w:eastAsia="zh-CN"/>
        </w:rPr>
        <w:t xml:space="preserve">% </w:t>
      </w:r>
      <w:r w:rsidR="00F17ABE" w:rsidRPr="00F17ABE">
        <w:rPr>
          <w:rFonts w:eastAsia="MS Mincho"/>
          <w:szCs w:val="20"/>
          <w:lang w:val="en-US" w:eastAsia="zh-CN"/>
        </w:rPr>
        <w:lastRenderedPageBreak/>
        <w:t xml:space="preserve">reduction in risk of progression for patients treated with the combination of reduction in </w:t>
      </w:r>
      <w:proofErr w:type="spellStart"/>
      <w:r w:rsidR="007E7D40" w:rsidRPr="007E7D40">
        <w:rPr>
          <w:rFonts w:eastAsia="MS Mincho"/>
          <w:szCs w:val="20"/>
          <w:lang w:val="en-US" w:eastAsia="zh-CN"/>
        </w:rPr>
        <w:t>ribociclib</w:t>
      </w:r>
      <w:proofErr w:type="spellEnd"/>
      <w:r w:rsidR="007E7D40" w:rsidRPr="007E7D40">
        <w:rPr>
          <w:rFonts w:eastAsia="MS Mincho"/>
          <w:szCs w:val="20"/>
          <w:lang w:val="en-US" w:eastAsia="zh-CN"/>
        </w:rPr>
        <w:t xml:space="preserve"> </w:t>
      </w:r>
      <w:r w:rsidR="00F17ABE" w:rsidRPr="00F17ABE">
        <w:rPr>
          <w:rFonts w:eastAsia="MS Mincho"/>
          <w:szCs w:val="20"/>
          <w:lang w:val="en-US" w:eastAsia="zh-CN"/>
        </w:rPr>
        <w:t xml:space="preserve">plus </w:t>
      </w:r>
      <w:proofErr w:type="spellStart"/>
      <w:r w:rsidR="00F17ABE" w:rsidRPr="00F17ABE">
        <w:rPr>
          <w:rFonts w:eastAsia="MS Mincho"/>
          <w:szCs w:val="20"/>
          <w:lang w:val="en-US" w:eastAsia="zh-CN"/>
        </w:rPr>
        <w:t>letrozole</w:t>
      </w:r>
      <w:proofErr w:type="spellEnd"/>
      <w:r w:rsidR="00E100F1">
        <w:rPr>
          <w:rFonts w:eastAsia="MS Mincho"/>
          <w:szCs w:val="20"/>
          <w:lang w:val="en-US" w:eastAsia="zh-CN"/>
        </w:rPr>
        <w:t xml:space="preserve">. </w:t>
      </w:r>
      <w:r w:rsidR="00073EF2" w:rsidRPr="00073EF2">
        <w:rPr>
          <w:rFonts w:eastAsia="MS Mincho"/>
          <w:szCs w:val="20"/>
          <w:lang w:val="en-US" w:eastAsia="zh-CN"/>
        </w:rPr>
        <w:t xml:space="preserve">The median PFS was </w:t>
      </w:r>
      <w:r w:rsidR="00081973" w:rsidRPr="00073EF2">
        <w:rPr>
          <w:rFonts w:eastAsia="MS Mincho"/>
          <w:szCs w:val="20"/>
          <w:lang w:val="en-US" w:eastAsia="zh-CN"/>
        </w:rPr>
        <w:t xml:space="preserve">14.7 months for placebo </w:t>
      </w:r>
      <w:r w:rsidR="00081973">
        <w:rPr>
          <w:rFonts w:eastAsia="MS Mincho"/>
          <w:szCs w:val="20"/>
          <w:lang w:val="en-US" w:eastAsia="zh-CN"/>
        </w:rPr>
        <w:t>plus</w:t>
      </w:r>
      <w:r w:rsidR="00081973" w:rsidRPr="00073EF2">
        <w:rPr>
          <w:rFonts w:eastAsia="MS Mincho"/>
          <w:szCs w:val="20"/>
          <w:lang w:val="en-US" w:eastAsia="zh-CN"/>
        </w:rPr>
        <w:t xml:space="preserve"> </w:t>
      </w:r>
      <w:proofErr w:type="spellStart"/>
      <w:r w:rsidR="00081973" w:rsidRPr="00073EF2">
        <w:rPr>
          <w:rFonts w:eastAsia="MS Mincho"/>
          <w:szCs w:val="20"/>
          <w:lang w:val="en-US" w:eastAsia="zh-CN"/>
        </w:rPr>
        <w:t>letrozole</w:t>
      </w:r>
      <w:proofErr w:type="spellEnd"/>
      <w:r w:rsidR="00081973" w:rsidRPr="00073EF2">
        <w:rPr>
          <w:rFonts w:eastAsia="MS Mincho"/>
          <w:szCs w:val="20"/>
          <w:lang w:val="en-US" w:eastAsia="zh-CN"/>
        </w:rPr>
        <w:t xml:space="preserve"> arm </w:t>
      </w:r>
      <w:r w:rsidR="00081973">
        <w:rPr>
          <w:rFonts w:eastAsia="MS Mincho"/>
          <w:szCs w:val="20"/>
          <w:lang w:val="en-US" w:eastAsia="zh-CN"/>
        </w:rPr>
        <w:t xml:space="preserve">and </w:t>
      </w:r>
      <w:proofErr w:type="gramStart"/>
      <w:r w:rsidR="00081973">
        <w:rPr>
          <w:rFonts w:eastAsia="MS Mincho"/>
          <w:szCs w:val="20"/>
          <w:lang w:val="en-US" w:eastAsia="zh-CN"/>
        </w:rPr>
        <w:t xml:space="preserve">was </w:t>
      </w:r>
      <w:r w:rsidR="00073EF2" w:rsidRPr="00073EF2">
        <w:rPr>
          <w:rFonts w:eastAsia="MS Mincho"/>
          <w:szCs w:val="20"/>
          <w:lang w:val="en-US" w:eastAsia="zh-CN"/>
        </w:rPr>
        <w:t>not reached</w:t>
      </w:r>
      <w:proofErr w:type="gramEnd"/>
      <w:r w:rsidR="00073EF2" w:rsidRPr="00073EF2">
        <w:rPr>
          <w:rFonts w:eastAsia="MS Mincho"/>
          <w:szCs w:val="20"/>
          <w:lang w:val="en-US" w:eastAsia="zh-CN"/>
        </w:rPr>
        <w:t xml:space="preserve"> </w:t>
      </w:r>
      <w:r w:rsidR="00A036D7">
        <w:rPr>
          <w:rFonts w:eastAsia="MS Mincho"/>
          <w:szCs w:val="20"/>
          <w:lang w:val="en-US" w:eastAsia="zh-CN"/>
        </w:rPr>
        <w:t xml:space="preserve">in the </w:t>
      </w:r>
      <w:r w:rsidR="00073EF2" w:rsidRPr="00073EF2">
        <w:rPr>
          <w:rFonts w:eastAsia="MS Mincho"/>
          <w:szCs w:val="20"/>
          <w:lang w:val="en-US" w:eastAsia="zh-CN"/>
        </w:rPr>
        <w:t xml:space="preserve">KISQALI plus </w:t>
      </w:r>
      <w:proofErr w:type="spellStart"/>
      <w:r w:rsidR="00073EF2" w:rsidRPr="00073EF2">
        <w:rPr>
          <w:rFonts w:eastAsia="MS Mincho"/>
          <w:szCs w:val="20"/>
          <w:lang w:val="en-US" w:eastAsia="zh-CN"/>
        </w:rPr>
        <w:t>letrozole</w:t>
      </w:r>
      <w:proofErr w:type="spellEnd"/>
      <w:r w:rsidR="00073EF2" w:rsidRPr="00073EF2">
        <w:rPr>
          <w:rFonts w:eastAsia="MS Mincho"/>
          <w:szCs w:val="20"/>
          <w:lang w:val="en-US" w:eastAsia="zh-CN"/>
        </w:rPr>
        <w:t xml:space="preserve"> arm</w:t>
      </w:r>
      <w:r w:rsidR="00A036D7" w:rsidRPr="00A036D7">
        <w:rPr>
          <w:rFonts w:eastAsia="MS Mincho"/>
          <w:szCs w:val="20"/>
          <w:lang w:val="en-US" w:eastAsia="zh-CN"/>
        </w:rPr>
        <w:t xml:space="preserve">. </w:t>
      </w:r>
      <w:r w:rsidR="009D0910" w:rsidRPr="009D0910">
        <w:rPr>
          <w:rFonts w:eastAsia="MS Mincho"/>
          <w:szCs w:val="20"/>
          <w:lang w:val="en-US" w:eastAsia="zh-CN"/>
        </w:rPr>
        <w:t>The results for PFS based on the blinded independent central</w:t>
      </w:r>
      <w:r w:rsidR="000A5D08">
        <w:rPr>
          <w:rFonts w:eastAsia="MS Mincho"/>
          <w:szCs w:val="20"/>
          <w:lang w:val="en-US" w:eastAsia="zh-CN"/>
        </w:rPr>
        <w:t xml:space="preserve"> </w:t>
      </w:r>
      <w:r w:rsidR="00E36ED1">
        <w:rPr>
          <w:rFonts w:eastAsia="MS Mincho"/>
          <w:szCs w:val="20"/>
          <w:lang w:val="en-US" w:eastAsia="zh-CN"/>
        </w:rPr>
        <w:t>(BIRC)</w:t>
      </w:r>
      <w:r w:rsidR="009D0910" w:rsidRPr="009D0910">
        <w:rPr>
          <w:rFonts w:eastAsia="MS Mincho"/>
          <w:szCs w:val="20"/>
          <w:lang w:val="en-US" w:eastAsia="zh-CN"/>
        </w:rPr>
        <w:t xml:space="preserve"> radiological assessment were supportive of the primary efficacy results based on the investigator’s assessment </w:t>
      </w:r>
      <w:r w:rsidR="00081973">
        <w:rPr>
          <w:rFonts w:eastAsia="MS Mincho"/>
          <w:szCs w:val="20"/>
          <w:lang w:val="en-US" w:eastAsia="zh-CN"/>
        </w:rPr>
        <w:t xml:space="preserve">with </w:t>
      </w:r>
      <w:r w:rsidR="00990F59">
        <w:rPr>
          <w:rFonts w:eastAsia="MS Mincho"/>
          <w:szCs w:val="20"/>
          <w:lang w:val="en-US" w:eastAsia="zh-CN"/>
        </w:rPr>
        <w:t xml:space="preserve">an estimated 41 % reduction in risk </w:t>
      </w:r>
      <w:r w:rsidR="00990F59" w:rsidRPr="00990F59">
        <w:rPr>
          <w:rFonts w:eastAsia="MS Mincho"/>
          <w:szCs w:val="20"/>
          <w:lang w:val="en-US" w:eastAsia="zh-CN"/>
        </w:rPr>
        <w:t xml:space="preserve">of progression for patients treated with the combination of </w:t>
      </w:r>
      <w:proofErr w:type="spellStart"/>
      <w:r w:rsidR="00990F59" w:rsidRPr="00990F59">
        <w:rPr>
          <w:rFonts w:eastAsia="MS Mincho"/>
          <w:szCs w:val="20"/>
          <w:lang w:val="en-US" w:eastAsia="zh-CN"/>
        </w:rPr>
        <w:t>ribociclib</w:t>
      </w:r>
      <w:proofErr w:type="spellEnd"/>
      <w:r w:rsidR="00990F59" w:rsidRPr="00990F59">
        <w:rPr>
          <w:rFonts w:eastAsia="MS Mincho"/>
          <w:szCs w:val="20"/>
          <w:lang w:val="en-US" w:eastAsia="zh-CN"/>
        </w:rPr>
        <w:t xml:space="preserve"> plus </w:t>
      </w:r>
      <w:proofErr w:type="spellStart"/>
      <w:r w:rsidR="00990F59" w:rsidRPr="00990F59">
        <w:rPr>
          <w:rFonts w:eastAsia="MS Mincho"/>
          <w:szCs w:val="20"/>
          <w:lang w:val="en-US" w:eastAsia="zh-CN"/>
        </w:rPr>
        <w:t>letrozole</w:t>
      </w:r>
      <w:proofErr w:type="spellEnd"/>
      <w:r w:rsidR="00844684">
        <w:rPr>
          <w:rFonts w:eastAsia="MS Mincho"/>
          <w:szCs w:val="20"/>
          <w:lang w:val="en-US" w:eastAsia="zh-CN"/>
        </w:rPr>
        <w:t>.</w:t>
      </w:r>
    </w:p>
    <w:p w14:paraId="484AC417" w14:textId="4F012396" w:rsidR="00CE5FD3" w:rsidRPr="00926A1C" w:rsidRDefault="00CE5FD3" w:rsidP="00E435A1">
      <w:pPr>
        <w:widowControl w:val="0"/>
        <w:spacing w:after="120" w:line="300" w:lineRule="atLeast"/>
        <w:jc w:val="both"/>
      </w:pPr>
      <w:bookmarkStart w:id="0" w:name="_Toc456881095"/>
      <w:r w:rsidRPr="00490995">
        <w:rPr>
          <w:lang w:val="en-US"/>
        </w:rPr>
        <w:t xml:space="preserve">Overall survival (OS) is a key secondary endpoint. At the time of </w:t>
      </w:r>
      <w:r w:rsidR="007C626F">
        <w:rPr>
          <w:lang w:val="en-US"/>
        </w:rPr>
        <w:t xml:space="preserve">first </w:t>
      </w:r>
      <w:r>
        <w:rPr>
          <w:lang w:val="en-US"/>
        </w:rPr>
        <w:t>interim</w:t>
      </w:r>
      <w:r w:rsidRPr="00490995">
        <w:rPr>
          <w:lang w:val="en-US"/>
        </w:rPr>
        <w:t xml:space="preserve"> PFS analysis, </w:t>
      </w:r>
      <w:r>
        <w:rPr>
          <w:lang w:val="en-US"/>
        </w:rPr>
        <w:t>OS</w:t>
      </w:r>
      <w:r w:rsidRPr="00490995">
        <w:rPr>
          <w:lang w:val="en-US"/>
        </w:rPr>
        <w:t xml:space="preserve"> was not mature</w:t>
      </w:r>
      <w:r w:rsidR="000638A5">
        <w:rPr>
          <w:lang w:val="en-US"/>
        </w:rPr>
        <w:t xml:space="preserve"> (43 events had occurred)</w:t>
      </w:r>
      <w:r w:rsidRPr="00490995">
        <w:rPr>
          <w:lang w:val="en-US"/>
        </w:rPr>
        <w:t>.</w:t>
      </w:r>
      <w:r w:rsidR="000638A5">
        <w:rPr>
          <w:lang w:val="en-US"/>
        </w:rPr>
        <w:t xml:space="preserve"> The final OS</w:t>
      </w:r>
      <w:r w:rsidR="00D35055">
        <w:rPr>
          <w:lang w:val="en-US"/>
        </w:rPr>
        <w:t xml:space="preserve"> </w:t>
      </w:r>
      <w:proofErr w:type="gramStart"/>
      <w:r w:rsidR="00D35055">
        <w:rPr>
          <w:lang w:val="en-US"/>
        </w:rPr>
        <w:t>is planned</w:t>
      </w:r>
      <w:proofErr w:type="gramEnd"/>
      <w:r w:rsidR="00D35055">
        <w:rPr>
          <w:lang w:val="en-US"/>
        </w:rPr>
        <w:t xml:space="preserve"> after 400 deaths have occurred</w:t>
      </w:r>
      <w:r w:rsidR="00844684">
        <w:rPr>
          <w:lang w:val="en-US"/>
        </w:rPr>
        <w:t>.</w:t>
      </w:r>
    </w:p>
    <w:p w14:paraId="77F93991" w14:textId="164BD2FE" w:rsidR="00E60B2A" w:rsidRDefault="00CE5FD3" w:rsidP="00E60B2A">
      <w:pPr>
        <w:spacing w:after="120" w:line="300" w:lineRule="atLeast"/>
        <w:jc w:val="both"/>
        <w:rPr>
          <w:lang w:val="en-US"/>
        </w:rPr>
      </w:pPr>
      <w:r w:rsidRPr="00350E84">
        <w:rPr>
          <w:lang w:val="en-US"/>
        </w:rPr>
        <w:t>The global health status/</w:t>
      </w:r>
      <w:proofErr w:type="spellStart"/>
      <w:r w:rsidRPr="00350E84">
        <w:rPr>
          <w:lang w:val="en-US"/>
        </w:rPr>
        <w:t>QoL</w:t>
      </w:r>
      <w:proofErr w:type="spellEnd"/>
      <w:r w:rsidRPr="00350E84">
        <w:rPr>
          <w:lang w:val="en-US"/>
        </w:rPr>
        <w:t xml:space="preserve"> showed no relevant difference between the </w:t>
      </w:r>
      <w:proofErr w:type="spellStart"/>
      <w:r w:rsidRPr="00350E84">
        <w:rPr>
          <w:lang w:val="en-US"/>
        </w:rPr>
        <w:t>ribociclib</w:t>
      </w:r>
      <w:proofErr w:type="spellEnd"/>
      <w:r w:rsidRPr="00350E84">
        <w:rPr>
          <w:lang w:val="en-US"/>
        </w:rPr>
        <w:t xml:space="preserve"> plus </w:t>
      </w:r>
      <w:proofErr w:type="spellStart"/>
      <w:r w:rsidRPr="00350E84">
        <w:rPr>
          <w:lang w:val="en-US"/>
        </w:rPr>
        <w:t>letrozole</w:t>
      </w:r>
      <w:proofErr w:type="spellEnd"/>
      <w:r w:rsidRPr="00350E84">
        <w:rPr>
          <w:lang w:val="en-US"/>
        </w:rPr>
        <w:t xml:space="preserve"> arm</w:t>
      </w:r>
      <w:r w:rsidR="00844684">
        <w:rPr>
          <w:lang w:val="en-US"/>
        </w:rPr>
        <w:t xml:space="preserve"> and the </w:t>
      </w:r>
      <w:proofErr w:type="spellStart"/>
      <w:r w:rsidR="00844684">
        <w:rPr>
          <w:lang w:val="en-US"/>
        </w:rPr>
        <w:t>letrozole</w:t>
      </w:r>
      <w:proofErr w:type="spellEnd"/>
      <w:r w:rsidR="00844684">
        <w:rPr>
          <w:lang w:val="en-US"/>
        </w:rPr>
        <w:t xml:space="preserve"> control arm.</w:t>
      </w:r>
    </w:p>
    <w:p w14:paraId="5D61199D" w14:textId="77777777" w:rsidR="00446967" w:rsidRPr="004700D5" w:rsidRDefault="00446967" w:rsidP="001F6BB4">
      <w:pPr>
        <w:keepNext/>
        <w:jc w:val="both"/>
        <w:rPr>
          <w:rFonts w:eastAsia="MS Mincho"/>
          <w:szCs w:val="20"/>
          <w:u w:val="single"/>
          <w:lang w:eastAsia="zh-CN"/>
        </w:rPr>
      </w:pPr>
      <w:r>
        <w:rPr>
          <w:rFonts w:eastAsia="MS Mincho"/>
          <w:szCs w:val="20"/>
          <w:u w:val="single"/>
          <w:lang w:eastAsia="zh-CN"/>
        </w:rPr>
        <w:t xml:space="preserve">Second </w:t>
      </w:r>
      <w:r w:rsidRPr="004700D5">
        <w:rPr>
          <w:rFonts w:eastAsia="MS Mincho"/>
          <w:szCs w:val="20"/>
          <w:u w:val="single"/>
          <w:lang w:eastAsia="zh-CN"/>
        </w:rPr>
        <w:t>interim analysis</w:t>
      </w:r>
    </w:p>
    <w:p w14:paraId="0044394F" w14:textId="7DF82605" w:rsidR="002462BD" w:rsidRDefault="00446967" w:rsidP="00446967">
      <w:pPr>
        <w:spacing w:after="120" w:line="300" w:lineRule="atLeast"/>
        <w:jc w:val="both"/>
      </w:pPr>
      <w:r w:rsidRPr="007C626F">
        <w:rPr>
          <w:lang w:val="en-US"/>
        </w:rPr>
        <w:t xml:space="preserve">A more mature </w:t>
      </w:r>
      <w:r>
        <w:rPr>
          <w:lang w:val="en-US"/>
        </w:rPr>
        <w:t xml:space="preserve">interim analysis </w:t>
      </w:r>
      <w:proofErr w:type="gramStart"/>
      <w:r w:rsidRPr="004700D5">
        <w:rPr>
          <w:lang w:val="en-US"/>
        </w:rPr>
        <w:t>was performed</w:t>
      </w:r>
      <w:proofErr w:type="gramEnd"/>
      <w:r w:rsidRPr="004700D5">
        <w:rPr>
          <w:lang w:val="en-US"/>
        </w:rPr>
        <w:t xml:space="preserve"> after a median duration of follow-up</w:t>
      </w:r>
      <w:r>
        <w:rPr>
          <w:lang w:val="en-US"/>
        </w:rPr>
        <w:t xml:space="preserve"> of 26.4 months (2 January 2017 data cut off). The median PFS was </w:t>
      </w:r>
      <w:r w:rsidRPr="007C626F">
        <w:rPr>
          <w:lang w:val="en-US"/>
        </w:rPr>
        <w:t xml:space="preserve">25.3 months for </w:t>
      </w:r>
      <w:r w:rsidRPr="00885D84">
        <w:rPr>
          <w:lang w:val="en-US"/>
        </w:rPr>
        <w:t xml:space="preserve">patients receiving </w:t>
      </w:r>
      <w:proofErr w:type="spellStart"/>
      <w:r w:rsidRPr="007C626F">
        <w:rPr>
          <w:lang w:val="en-US"/>
        </w:rPr>
        <w:t>ribociclib</w:t>
      </w:r>
      <w:proofErr w:type="spellEnd"/>
      <w:r w:rsidRPr="007C626F">
        <w:rPr>
          <w:lang w:val="en-US"/>
        </w:rPr>
        <w:t xml:space="preserve"> plus </w:t>
      </w:r>
      <w:proofErr w:type="spellStart"/>
      <w:r w:rsidRPr="007C626F">
        <w:rPr>
          <w:lang w:val="en-US"/>
        </w:rPr>
        <w:t>letrozole</w:t>
      </w:r>
      <w:proofErr w:type="spellEnd"/>
      <w:r>
        <w:rPr>
          <w:lang w:val="en-US"/>
        </w:rPr>
        <w:t xml:space="preserve"> and 16.0 months for patients receiving placebo plus </w:t>
      </w:r>
      <w:proofErr w:type="spellStart"/>
      <w:r>
        <w:rPr>
          <w:lang w:val="en-US"/>
        </w:rPr>
        <w:t>letrozole</w:t>
      </w:r>
      <w:proofErr w:type="spellEnd"/>
      <w:r>
        <w:rPr>
          <w:lang w:val="en-US"/>
        </w:rPr>
        <w:t>.</w:t>
      </w:r>
      <w:r w:rsidRPr="007C626F">
        <w:rPr>
          <w:lang w:val="en-US"/>
        </w:rPr>
        <w:t xml:space="preserve"> </w:t>
      </w:r>
      <w:r w:rsidR="001F6BB4">
        <w:rPr>
          <w:lang w:val="en-US"/>
        </w:rPr>
        <w:t xml:space="preserve">Efficacy data </w:t>
      </w:r>
      <w:r w:rsidRPr="004700D5">
        <w:rPr>
          <w:lang w:val="en-US"/>
        </w:rPr>
        <w:t xml:space="preserve">are </w:t>
      </w:r>
      <w:proofErr w:type="spellStart"/>
      <w:r w:rsidRPr="004700D5">
        <w:rPr>
          <w:lang w:val="en-US"/>
        </w:rPr>
        <w:t>summarised</w:t>
      </w:r>
      <w:proofErr w:type="spellEnd"/>
      <w:r w:rsidRPr="004700D5">
        <w:rPr>
          <w:lang w:val="en-US"/>
        </w:rPr>
        <w:t xml:space="preserve"> in </w:t>
      </w:r>
      <w:r w:rsidRPr="00446967">
        <w:rPr>
          <w:lang w:val="en-US"/>
        </w:rPr>
        <w:t>Table 1</w:t>
      </w:r>
      <w:r w:rsidR="00963AFE">
        <w:rPr>
          <w:lang w:val="en-US"/>
        </w:rPr>
        <w:t xml:space="preserve"> (PFS, OS</w:t>
      </w:r>
      <w:r w:rsidR="005C5D87">
        <w:rPr>
          <w:lang w:val="en-US"/>
        </w:rPr>
        <w:t>, ORR, CBR</w:t>
      </w:r>
      <w:r w:rsidR="00220F9F">
        <w:rPr>
          <w:lang w:val="en-US"/>
        </w:rPr>
        <w:t>)</w:t>
      </w:r>
      <w:r w:rsidRPr="00446967">
        <w:rPr>
          <w:lang w:val="en-US"/>
        </w:rPr>
        <w:t xml:space="preserve">, </w:t>
      </w:r>
      <w:r w:rsidRPr="001F6BB4">
        <w:rPr>
          <w:lang w:val="en-US"/>
        </w:rPr>
        <w:t xml:space="preserve">Figure </w:t>
      </w:r>
      <w:r w:rsidR="001F6BB4" w:rsidRPr="001F6BB4">
        <w:rPr>
          <w:lang w:val="en-US"/>
        </w:rPr>
        <w:t>1</w:t>
      </w:r>
      <w:r>
        <w:rPr>
          <w:lang w:val="en-US"/>
        </w:rPr>
        <w:t xml:space="preserve"> (</w:t>
      </w:r>
      <w:r w:rsidRPr="009D0910">
        <w:rPr>
          <w:rFonts w:eastAsia="MS Mincho"/>
          <w:szCs w:val="20"/>
          <w:lang w:val="en-US" w:eastAsia="zh-CN"/>
        </w:rPr>
        <w:t>Kaplan-Meier curve for PFS</w:t>
      </w:r>
      <w:r>
        <w:rPr>
          <w:rFonts w:eastAsia="MS Mincho"/>
          <w:szCs w:val="20"/>
          <w:lang w:val="en-US" w:eastAsia="zh-CN"/>
        </w:rPr>
        <w:t>)</w:t>
      </w:r>
      <w:r w:rsidR="001F6BB4">
        <w:rPr>
          <w:rFonts w:eastAsia="MS Mincho"/>
          <w:szCs w:val="20"/>
          <w:lang w:val="en-US" w:eastAsia="zh-CN"/>
        </w:rPr>
        <w:t xml:space="preserve">, and </w:t>
      </w:r>
      <w:r>
        <w:rPr>
          <w:rFonts w:eastAsia="MS Mincho"/>
          <w:szCs w:val="20"/>
          <w:lang w:val="en-US" w:eastAsia="zh-CN"/>
        </w:rPr>
        <w:t xml:space="preserve">Figure </w:t>
      </w:r>
      <w:r w:rsidR="000D0D1E">
        <w:rPr>
          <w:rFonts w:eastAsia="MS Mincho"/>
          <w:szCs w:val="20"/>
          <w:lang w:val="en-US" w:eastAsia="zh-CN"/>
        </w:rPr>
        <w:t>2</w:t>
      </w:r>
      <w:r w:rsidR="001F6BB4">
        <w:rPr>
          <w:rFonts w:eastAsia="MS Mincho"/>
          <w:szCs w:val="20"/>
          <w:lang w:val="en-US" w:eastAsia="zh-CN"/>
        </w:rPr>
        <w:t xml:space="preserve"> </w:t>
      </w:r>
      <w:r w:rsidR="001F6BB4" w:rsidRPr="001F6BB4">
        <w:rPr>
          <w:rFonts w:eastAsia="MS Mincho"/>
          <w:szCs w:val="20"/>
          <w:lang w:val="en-US" w:eastAsia="zh-CN"/>
        </w:rPr>
        <w:t xml:space="preserve">(Kaplan-Meier curve for </w:t>
      </w:r>
      <w:r w:rsidR="001F6BB4">
        <w:rPr>
          <w:rFonts w:eastAsia="MS Mincho"/>
          <w:szCs w:val="20"/>
          <w:lang w:val="en-US" w:eastAsia="zh-CN"/>
        </w:rPr>
        <w:t>OS</w:t>
      </w:r>
      <w:r w:rsidR="001F6BB4" w:rsidRPr="001F6BB4">
        <w:rPr>
          <w:rFonts w:eastAsia="MS Mincho"/>
          <w:szCs w:val="20"/>
          <w:lang w:val="en-US" w:eastAsia="zh-CN"/>
        </w:rPr>
        <w:t>)</w:t>
      </w:r>
      <w:r w:rsidRPr="007C626F">
        <w:rPr>
          <w:lang w:val="en-US"/>
        </w:rPr>
        <w:t>.</w:t>
      </w:r>
      <w:r w:rsidRPr="007C626F">
        <w:t xml:space="preserve"> </w:t>
      </w:r>
      <w:r w:rsidRPr="007C626F">
        <w:rPr>
          <w:lang w:val="en-US"/>
        </w:rPr>
        <w:t>54.7</w:t>
      </w:r>
      <w:r>
        <w:rPr>
          <w:lang w:val="en-US"/>
        </w:rPr>
        <w:t xml:space="preserve"> </w:t>
      </w:r>
      <w:r w:rsidRPr="007C626F">
        <w:rPr>
          <w:lang w:val="en-US"/>
        </w:rPr>
        <w:t xml:space="preserve">% of patients receiving </w:t>
      </w:r>
      <w:proofErr w:type="spellStart"/>
      <w:r w:rsidRPr="007C626F">
        <w:rPr>
          <w:lang w:val="en-US"/>
        </w:rPr>
        <w:t>ribociclib</w:t>
      </w:r>
      <w:proofErr w:type="spellEnd"/>
      <w:r w:rsidRPr="007C626F">
        <w:rPr>
          <w:lang w:val="en-US"/>
        </w:rPr>
        <w:t xml:space="preserve"> plus </w:t>
      </w:r>
      <w:proofErr w:type="spellStart"/>
      <w:r w:rsidRPr="007C626F">
        <w:rPr>
          <w:lang w:val="en-US"/>
        </w:rPr>
        <w:t>letrozole</w:t>
      </w:r>
      <w:proofErr w:type="spellEnd"/>
      <w:r w:rsidRPr="007C626F">
        <w:rPr>
          <w:lang w:val="en-US"/>
        </w:rPr>
        <w:t xml:space="preserve"> </w:t>
      </w:r>
      <w:proofErr w:type="gramStart"/>
      <w:r w:rsidRPr="007C626F">
        <w:rPr>
          <w:lang w:val="en-US"/>
        </w:rPr>
        <w:t>were estimated</w:t>
      </w:r>
      <w:proofErr w:type="gramEnd"/>
      <w:r w:rsidRPr="007C626F">
        <w:rPr>
          <w:lang w:val="en-US"/>
        </w:rPr>
        <w:t xml:space="preserve"> to be progression</w:t>
      </w:r>
      <w:r>
        <w:rPr>
          <w:lang w:val="en-US"/>
        </w:rPr>
        <w:t xml:space="preserve"> </w:t>
      </w:r>
      <w:r w:rsidRPr="007C626F">
        <w:rPr>
          <w:lang w:val="en-US"/>
        </w:rPr>
        <w:t>free</w:t>
      </w:r>
      <w:r>
        <w:rPr>
          <w:lang w:val="en-US"/>
        </w:rPr>
        <w:t xml:space="preserve"> </w:t>
      </w:r>
      <w:r w:rsidRPr="007C626F">
        <w:rPr>
          <w:lang w:val="en-US"/>
        </w:rPr>
        <w:t>at 24 months compared with 35.9</w:t>
      </w:r>
      <w:r>
        <w:rPr>
          <w:lang w:val="en-US"/>
        </w:rPr>
        <w:t xml:space="preserve"> </w:t>
      </w:r>
      <w:r w:rsidRPr="007C626F">
        <w:rPr>
          <w:lang w:val="en-US"/>
        </w:rPr>
        <w:t xml:space="preserve">% in the placebo plus </w:t>
      </w:r>
      <w:proofErr w:type="spellStart"/>
      <w:r w:rsidRPr="007C626F">
        <w:rPr>
          <w:lang w:val="en-US"/>
        </w:rPr>
        <w:t>letrozole</w:t>
      </w:r>
      <w:proofErr w:type="spellEnd"/>
      <w:r w:rsidRPr="007C626F">
        <w:rPr>
          <w:lang w:val="en-US"/>
        </w:rPr>
        <w:t xml:space="preserve"> arm.</w:t>
      </w:r>
    </w:p>
    <w:p w14:paraId="04F24894" w14:textId="3C92A6AD" w:rsidR="00446967" w:rsidRDefault="002462BD" w:rsidP="00801823">
      <w:pPr>
        <w:widowControl w:val="0"/>
        <w:spacing w:after="120" w:line="300" w:lineRule="atLeast"/>
        <w:jc w:val="both"/>
        <w:rPr>
          <w:lang w:val="en-US"/>
        </w:rPr>
      </w:pPr>
      <w:r w:rsidRPr="006238AB">
        <w:rPr>
          <w:lang w:val="en-US"/>
        </w:rPr>
        <w:t xml:space="preserve">A series of pre-specified </w:t>
      </w:r>
      <w:r w:rsidRPr="00DB313A">
        <w:rPr>
          <w:lang w:val="en-US"/>
        </w:rPr>
        <w:t xml:space="preserve">subgroup PFS analyses </w:t>
      </w:r>
      <w:proofErr w:type="gramStart"/>
      <w:r w:rsidRPr="00DB313A">
        <w:rPr>
          <w:lang w:val="en-US"/>
        </w:rPr>
        <w:t>was performed</w:t>
      </w:r>
      <w:proofErr w:type="gramEnd"/>
      <w:r w:rsidRPr="00DB313A">
        <w:rPr>
          <w:lang w:val="en-US"/>
        </w:rPr>
        <w:t xml:space="preserve"> based on prognostic factors and baseline characteristics to investigate the internal consistency of treatment effect</w:t>
      </w:r>
      <w:r w:rsidRPr="002462BD">
        <w:rPr>
          <w:rFonts w:eastAsia="MS Mincho"/>
          <w:szCs w:val="20"/>
          <w:lang w:val="en-US" w:eastAsia="zh-CN"/>
        </w:rPr>
        <w:t xml:space="preserve"> </w:t>
      </w:r>
      <w:r>
        <w:rPr>
          <w:rFonts w:eastAsia="MS Mincho"/>
          <w:szCs w:val="20"/>
          <w:lang w:val="en-US" w:eastAsia="zh-CN"/>
        </w:rPr>
        <w:t xml:space="preserve">(see Figure </w:t>
      </w:r>
      <w:r w:rsidR="000D0D1E">
        <w:rPr>
          <w:rFonts w:eastAsia="MS Mincho"/>
          <w:szCs w:val="20"/>
          <w:lang w:val="en-US" w:eastAsia="zh-CN"/>
        </w:rPr>
        <w:t>3</w:t>
      </w:r>
      <w:r>
        <w:rPr>
          <w:rFonts w:eastAsia="MS Mincho"/>
          <w:szCs w:val="20"/>
          <w:lang w:val="en-US" w:eastAsia="zh-CN"/>
        </w:rPr>
        <w:t>)</w:t>
      </w:r>
      <w:r w:rsidRPr="00DB313A">
        <w:rPr>
          <w:lang w:val="en-US"/>
        </w:rPr>
        <w:t>.</w:t>
      </w:r>
      <w:r w:rsidRPr="006238AB">
        <w:rPr>
          <w:lang w:val="en-US"/>
        </w:rPr>
        <w:t xml:space="preserve"> </w:t>
      </w:r>
      <w:r w:rsidRPr="006238AB">
        <w:rPr>
          <w:rFonts w:eastAsia="MS Mincho"/>
          <w:szCs w:val="20"/>
          <w:lang w:val="en-US" w:eastAsia="zh-CN"/>
        </w:rPr>
        <w:t xml:space="preserve">A reduction in the risk of disease progression or death in </w:t>
      </w:r>
      <w:proofErr w:type="spellStart"/>
      <w:r w:rsidRPr="006238AB">
        <w:rPr>
          <w:rFonts w:eastAsia="MS Mincho"/>
          <w:szCs w:val="20"/>
          <w:lang w:val="en-US" w:eastAsia="zh-CN"/>
        </w:rPr>
        <w:t>favour</w:t>
      </w:r>
      <w:proofErr w:type="spellEnd"/>
      <w:r w:rsidRPr="006238AB">
        <w:rPr>
          <w:rFonts w:eastAsia="MS Mincho"/>
          <w:szCs w:val="20"/>
          <w:lang w:val="en-US" w:eastAsia="zh-CN"/>
        </w:rPr>
        <w:t xml:space="preserve"> of the </w:t>
      </w:r>
      <w:proofErr w:type="spellStart"/>
      <w:r w:rsidRPr="006238AB">
        <w:rPr>
          <w:rFonts w:eastAsia="MS Mincho"/>
          <w:szCs w:val="20"/>
          <w:lang w:val="en-US" w:eastAsia="zh-CN"/>
        </w:rPr>
        <w:t>ribociclib</w:t>
      </w:r>
      <w:proofErr w:type="spellEnd"/>
      <w:r w:rsidRPr="006238AB">
        <w:rPr>
          <w:rFonts w:eastAsia="MS Mincho"/>
          <w:szCs w:val="20"/>
          <w:lang w:val="en-US" w:eastAsia="zh-CN"/>
        </w:rPr>
        <w:t xml:space="preserve"> plus </w:t>
      </w:r>
      <w:proofErr w:type="spellStart"/>
      <w:r w:rsidRPr="006238AB">
        <w:rPr>
          <w:rFonts w:eastAsia="MS Mincho"/>
          <w:szCs w:val="20"/>
          <w:lang w:val="en-US" w:eastAsia="zh-CN"/>
        </w:rPr>
        <w:t>letrozole</w:t>
      </w:r>
      <w:proofErr w:type="spellEnd"/>
      <w:r w:rsidRPr="006238AB">
        <w:rPr>
          <w:rFonts w:eastAsia="MS Mincho"/>
          <w:szCs w:val="20"/>
          <w:lang w:val="en-US" w:eastAsia="zh-CN"/>
        </w:rPr>
        <w:t xml:space="preserve"> arm </w:t>
      </w:r>
      <w:proofErr w:type="gramStart"/>
      <w:r w:rsidRPr="006238AB">
        <w:rPr>
          <w:rFonts w:eastAsia="MS Mincho"/>
          <w:szCs w:val="20"/>
          <w:lang w:val="en-US" w:eastAsia="zh-CN"/>
        </w:rPr>
        <w:t>was observed</w:t>
      </w:r>
      <w:proofErr w:type="gramEnd"/>
      <w:r w:rsidRPr="006238AB">
        <w:rPr>
          <w:rFonts w:eastAsia="MS Mincho"/>
          <w:szCs w:val="20"/>
          <w:lang w:val="en-US" w:eastAsia="zh-CN"/>
        </w:rPr>
        <w:t xml:space="preserve"> in all individual patient subgroups of age, race, prior adjuvant or neo-adjuvant chemotherapy or hormonal</w:t>
      </w:r>
      <w:r>
        <w:rPr>
          <w:rFonts w:eastAsia="MS Mincho"/>
          <w:szCs w:val="20"/>
          <w:lang w:val="en-US" w:eastAsia="zh-CN"/>
        </w:rPr>
        <w:t xml:space="preserve"> </w:t>
      </w:r>
      <w:r w:rsidRPr="006238AB">
        <w:rPr>
          <w:rFonts w:eastAsia="MS Mincho"/>
          <w:szCs w:val="20"/>
          <w:lang w:val="en-US" w:eastAsia="zh-CN"/>
        </w:rPr>
        <w:t>therapies, liver and/or lung involvement and bone-only metastatic disease.</w:t>
      </w:r>
      <w:r>
        <w:rPr>
          <w:rFonts w:eastAsia="MS Mincho"/>
          <w:szCs w:val="20"/>
          <w:lang w:val="en-US" w:eastAsia="zh-CN"/>
        </w:rPr>
        <w:t xml:space="preserve"> </w:t>
      </w:r>
      <w:r w:rsidRPr="00DB313A">
        <w:rPr>
          <w:rFonts w:eastAsia="MS Mincho"/>
          <w:szCs w:val="20"/>
          <w:lang w:val="en-US" w:eastAsia="zh-CN"/>
        </w:rPr>
        <w:t>This was evident for patients with liver and/or lung metastases (HR of 0.561 [95% CI: 0.424, 0.743], median progression free survival [</w:t>
      </w:r>
      <w:proofErr w:type="spellStart"/>
      <w:r w:rsidRPr="00DB313A">
        <w:rPr>
          <w:rFonts w:eastAsia="MS Mincho"/>
          <w:szCs w:val="20"/>
          <w:lang w:val="en-US" w:eastAsia="zh-CN"/>
        </w:rPr>
        <w:t>mPFS</w:t>
      </w:r>
      <w:proofErr w:type="spellEnd"/>
      <w:r w:rsidRPr="00DB313A">
        <w:rPr>
          <w:rFonts w:eastAsia="MS Mincho"/>
          <w:szCs w:val="20"/>
          <w:lang w:val="en-US" w:eastAsia="zh-CN"/>
        </w:rPr>
        <w:t xml:space="preserve">] 24.8 months for </w:t>
      </w:r>
      <w:proofErr w:type="spellStart"/>
      <w:r w:rsidRPr="00DB313A">
        <w:rPr>
          <w:rFonts w:eastAsia="MS Mincho"/>
          <w:szCs w:val="20"/>
          <w:lang w:val="en-US" w:eastAsia="zh-CN"/>
        </w:rPr>
        <w:t>ribociclib</w:t>
      </w:r>
      <w:proofErr w:type="spellEnd"/>
      <w:r w:rsidRPr="00DB313A">
        <w:rPr>
          <w:rFonts w:eastAsia="MS Mincho"/>
          <w:szCs w:val="20"/>
          <w:lang w:val="en-US" w:eastAsia="zh-CN"/>
        </w:rPr>
        <w:t xml:space="preserve"> plus </w:t>
      </w:r>
      <w:proofErr w:type="spellStart"/>
      <w:r w:rsidRPr="00DB313A">
        <w:rPr>
          <w:rFonts w:eastAsia="MS Mincho"/>
          <w:szCs w:val="20"/>
          <w:lang w:val="en-US" w:eastAsia="zh-CN"/>
        </w:rPr>
        <w:t>letrozole</w:t>
      </w:r>
      <w:proofErr w:type="spellEnd"/>
      <w:r w:rsidRPr="00DB313A">
        <w:rPr>
          <w:rFonts w:eastAsia="MS Mincho"/>
          <w:szCs w:val="20"/>
          <w:lang w:val="en-US" w:eastAsia="zh-CN"/>
        </w:rPr>
        <w:t xml:space="preserve"> versus 13.4 months for </w:t>
      </w:r>
      <w:proofErr w:type="spellStart"/>
      <w:r w:rsidRPr="00DB313A">
        <w:rPr>
          <w:rFonts w:eastAsia="MS Mincho"/>
          <w:szCs w:val="20"/>
          <w:lang w:val="en-US" w:eastAsia="zh-CN"/>
        </w:rPr>
        <w:t>letrozole</w:t>
      </w:r>
      <w:proofErr w:type="spellEnd"/>
      <w:r w:rsidRPr="00DB313A">
        <w:rPr>
          <w:rFonts w:eastAsia="MS Mincho"/>
          <w:szCs w:val="20"/>
          <w:lang w:val="en-US" w:eastAsia="zh-CN"/>
        </w:rPr>
        <w:t xml:space="preserve"> alone), or without liver and/or lung metastases (HR of 0.597 [95% CI: 0.426, 0.837], </w:t>
      </w:r>
      <w:proofErr w:type="spellStart"/>
      <w:r w:rsidRPr="00DB313A">
        <w:rPr>
          <w:rFonts w:eastAsia="MS Mincho"/>
          <w:szCs w:val="20"/>
          <w:lang w:val="en-US" w:eastAsia="zh-CN"/>
        </w:rPr>
        <w:t>mPFS</w:t>
      </w:r>
      <w:proofErr w:type="spellEnd"/>
      <w:r w:rsidRPr="00DB313A">
        <w:rPr>
          <w:rFonts w:eastAsia="MS Mincho"/>
          <w:szCs w:val="20"/>
          <w:lang w:val="en-US" w:eastAsia="zh-CN"/>
        </w:rPr>
        <w:t xml:space="preserve"> 27.6 months versus 18.2 months).</w:t>
      </w:r>
      <w:r w:rsidR="00801823">
        <w:rPr>
          <w:rFonts w:eastAsia="MS Mincho"/>
          <w:szCs w:val="20"/>
          <w:lang w:val="en-US" w:eastAsia="zh-CN"/>
        </w:rPr>
        <w:t xml:space="preserve"> </w:t>
      </w:r>
      <w:r w:rsidRPr="00DB313A">
        <w:rPr>
          <w:lang w:val="en-US"/>
        </w:rPr>
        <w:t>OS data remain immature.</w:t>
      </w:r>
      <w:r>
        <w:rPr>
          <w:lang w:val="en-US"/>
        </w:rPr>
        <w:t xml:space="preserve"> </w:t>
      </w:r>
      <w:r w:rsidR="00446967" w:rsidRPr="00DB313A">
        <w:rPr>
          <w:lang w:val="en-US"/>
        </w:rPr>
        <w:t xml:space="preserve">There was no statistically significant difference in overall survival (OS) between the </w:t>
      </w:r>
      <w:proofErr w:type="spellStart"/>
      <w:r w:rsidR="00446967" w:rsidRPr="00DB313A">
        <w:rPr>
          <w:lang w:val="en-US"/>
        </w:rPr>
        <w:t>Kisqali</w:t>
      </w:r>
      <w:proofErr w:type="spellEnd"/>
      <w:r w:rsidR="00446967" w:rsidRPr="00DB313A">
        <w:rPr>
          <w:lang w:val="en-US"/>
        </w:rPr>
        <w:t xml:space="preserve"> plus </w:t>
      </w:r>
      <w:proofErr w:type="spellStart"/>
      <w:r w:rsidR="00446967" w:rsidRPr="00DB313A">
        <w:rPr>
          <w:lang w:val="en-US"/>
        </w:rPr>
        <w:t>letrozole</w:t>
      </w:r>
      <w:proofErr w:type="spellEnd"/>
      <w:r w:rsidR="00446967" w:rsidRPr="00DB313A">
        <w:rPr>
          <w:lang w:val="en-US"/>
        </w:rPr>
        <w:t xml:space="preserve"> arm and the placebo</w:t>
      </w:r>
      <w:r w:rsidR="001543C7">
        <w:rPr>
          <w:lang w:val="en-US"/>
        </w:rPr>
        <w:t xml:space="preserve"> plus </w:t>
      </w:r>
      <w:proofErr w:type="spellStart"/>
      <w:r w:rsidR="001543C7">
        <w:rPr>
          <w:lang w:val="en-US"/>
        </w:rPr>
        <w:t>letrozole</w:t>
      </w:r>
      <w:proofErr w:type="spellEnd"/>
      <w:r w:rsidR="001543C7">
        <w:rPr>
          <w:lang w:val="en-US"/>
        </w:rPr>
        <w:t xml:space="preserve"> arm (HR 0.746).</w:t>
      </w:r>
    </w:p>
    <w:p w14:paraId="00E3D271" w14:textId="5FE83BF2" w:rsidR="00830736" w:rsidRDefault="00830736" w:rsidP="00844684">
      <w:pPr>
        <w:keepNext/>
        <w:ind w:left="1440" w:hanging="1440"/>
        <w:rPr>
          <w:rFonts w:ascii="Arial" w:eastAsia="MS Gothic" w:hAnsi="Arial" w:cs="Arial"/>
          <w:b/>
          <w:sz w:val="22"/>
          <w:szCs w:val="20"/>
          <w:lang w:val="en-US" w:eastAsia="zh-CN"/>
        </w:rPr>
      </w:pPr>
      <w:r w:rsidRPr="00830736">
        <w:rPr>
          <w:rFonts w:ascii="Arial" w:eastAsia="MS Gothic" w:hAnsi="Arial" w:cs="Arial"/>
          <w:b/>
          <w:sz w:val="22"/>
          <w:szCs w:val="20"/>
          <w:lang w:val="en-US" w:eastAsia="zh-CN"/>
        </w:rPr>
        <w:lastRenderedPageBreak/>
        <w:t xml:space="preserve">Table </w:t>
      </w:r>
      <w:r w:rsidRPr="00830736">
        <w:rPr>
          <w:rFonts w:ascii="Arial" w:eastAsia="MS Gothic" w:hAnsi="Arial" w:cs="Arial"/>
          <w:b/>
          <w:sz w:val="22"/>
          <w:szCs w:val="20"/>
          <w:lang w:val="en-US" w:eastAsia="zh-CN"/>
        </w:rPr>
        <w:fldChar w:fldCharType="begin"/>
      </w:r>
      <w:r w:rsidRPr="00830736">
        <w:rPr>
          <w:rFonts w:ascii="Arial" w:eastAsia="MS Gothic" w:hAnsi="Arial" w:cs="Arial"/>
          <w:b/>
          <w:sz w:val="22"/>
          <w:szCs w:val="20"/>
          <w:lang w:val="en-US" w:eastAsia="zh-CN"/>
        </w:rPr>
        <w:instrText xml:space="preserve">  SEQ Table \s 1 \* ARABIC  \* MERGEFORMAT </w:instrText>
      </w:r>
      <w:r w:rsidRPr="00830736">
        <w:rPr>
          <w:rFonts w:ascii="Arial" w:eastAsia="MS Gothic" w:hAnsi="Arial" w:cs="Arial"/>
          <w:b/>
          <w:sz w:val="22"/>
          <w:szCs w:val="20"/>
          <w:lang w:val="en-US" w:eastAsia="zh-CN"/>
        </w:rPr>
        <w:fldChar w:fldCharType="separate"/>
      </w:r>
      <w:r w:rsidR="006927D6">
        <w:rPr>
          <w:rFonts w:ascii="Arial" w:eastAsia="MS Gothic" w:hAnsi="Arial" w:cs="Arial"/>
          <w:b/>
          <w:noProof/>
          <w:sz w:val="22"/>
          <w:szCs w:val="20"/>
          <w:lang w:val="en-US" w:eastAsia="zh-CN"/>
        </w:rPr>
        <w:t>1</w:t>
      </w:r>
      <w:r w:rsidRPr="00830736">
        <w:rPr>
          <w:rFonts w:ascii="Arial" w:eastAsia="MS Gothic" w:hAnsi="Arial" w:cs="Arial"/>
          <w:b/>
          <w:noProof/>
          <w:sz w:val="22"/>
          <w:szCs w:val="20"/>
          <w:lang w:val="en-US" w:eastAsia="zh-CN"/>
        </w:rPr>
        <w:fldChar w:fldCharType="end"/>
      </w:r>
      <w:r w:rsidRPr="00830736">
        <w:rPr>
          <w:rFonts w:ascii="Arial" w:eastAsia="MS Gothic" w:hAnsi="Arial" w:cs="Arial"/>
          <w:b/>
          <w:sz w:val="22"/>
          <w:szCs w:val="20"/>
          <w:lang w:val="en-US" w:eastAsia="zh-CN"/>
        </w:rPr>
        <w:tab/>
      </w:r>
      <w:r w:rsidR="00A628C9">
        <w:rPr>
          <w:rFonts w:ascii="Arial" w:eastAsia="MS Gothic" w:hAnsi="Arial" w:cs="Arial"/>
          <w:b/>
          <w:sz w:val="22"/>
          <w:szCs w:val="20"/>
          <w:lang w:val="en-US" w:eastAsia="zh-CN"/>
        </w:rPr>
        <w:t>E</w:t>
      </w:r>
      <w:r w:rsidR="003667E6">
        <w:rPr>
          <w:rFonts w:ascii="Arial" w:eastAsia="MS Gothic" w:hAnsi="Arial" w:cs="Arial"/>
          <w:b/>
          <w:sz w:val="22"/>
          <w:szCs w:val="20"/>
          <w:lang w:val="en-US" w:eastAsia="zh-CN"/>
        </w:rPr>
        <w:t xml:space="preserve">fficacy </w:t>
      </w:r>
      <w:r w:rsidR="00A628C9">
        <w:rPr>
          <w:rFonts w:ascii="Arial" w:eastAsia="MS Gothic" w:hAnsi="Arial" w:cs="Arial"/>
          <w:b/>
          <w:sz w:val="22"/>
          <w:szCs w:val="20"/>
          <w:lang w:val="en-US" w:eastAsia="zh-CN"/>
        </w:rPr>
        <w:t>results</w:t>
      </w:r>
      <w:r w:rsidR="003667E6">
        <w:rPr>
          <w:rFonts w:ascii="Arial" w:eastAsia="MS Gothic" w:hAnsi="Arial" w:cs="Arial"/>
          <w:b/>
          <w:sz w:val="22"/>
          <w:szCs w:val="20"/>
          <w:lang w:val="en-US" w:eastAsia="zh-CN"/>
        </w:rPr>
        <w:t>,</w:t>
      </w:r>
      <w:r w:rsidR="003667E6" w:rsidRPr="00E60B2A">
        <w:rPr>
          <w:rFonts w:ascii="Arial" w:eastAsia="MS Gothic" w:hAnsi="Arial" w:cs="Arial"/>
          <w:b/>
          <w:sz w:val="22"/>
          <w:szCs w:val="20"/>
          <w:lang w:val="en-US" w:eastAsia="zh-CN"/>
        </w:rPr>
        <w:t xml:space="preserve"> Progression free survival</w:t>
      </w:r>
      <w:r w:rsidR="003667E6">
        <w:rPr>
          <w:rFonts w:ascii="Arial" w:eastAsia="MS Gothic" w:hAnsi="Arial" w:cs="Arial"/>
          <w:b/>
          <w:sz w:val="22"/>
          <w:szCs w:val="20"/>
          <w:lang w:val="en-US" w:eastAsia="zh-CN"/>
        </w:rPr>
        <w:t xml:space="preserve"> (</w:t>
      </w:r>
      <w:r w:rsidR="003667E6" w:rsidRPr="00003FC5">
        <w:rPr>
          <w:rFonts w:ascii="Arial" w:eastAsia="MS Gothic" w:hAnsi="Arial" w:cs="Arial"/>
          <w:b/>
          <w:sz w:val="22"/>
          <w:szCs w:val="20"/>
          <w:lang w:val="en-US" w:eastAsia="zh-CN"/>
        </w:rPr>
        <w:t>PFS</w:t>
      </w:r>
      <w:r w:rsidR="003667E6">
        <w:rPr>
          <w:rFonts w:ascii="Arial" w:eastAsia="MS Gothic" w:hAnsi="Arial" w:cs="Arial"/>
          <w:b/>
          <w:sz w:val="22"/>
          <w:szCs w:val="20"/>
          <w:lang w:val="en-US" w:eastAsia="zh-CN"/>
        </w:rPr>
        <w:t xml:space="preserve">) </w:t>
      </w:r>
      <w:r w:rsidR="00A628C9">
        <w:rPr>
          <w:rFonts w:ascii="Arial" w:eastAsia="MS Gothic" w:hAnsi="Arial" w:cs="Arial"/>
          <w:b/>
          <w:sz w:val="22"/>
          <w:szCs w:val="20"/>
          <w:lang w:val="en-US" w:eastAsia="zh-CN"/>
        </w:rPr>
        <w:t xml:space="preserve">and Overall survival (OS) </w:t>
      </w:r>
      <w:r w:rsidR="003667E6">
        <w:rPr>
          <w:rFonts w:ascii="Arial" w:eastAsia="MS Gothic" w:hAnsi="Arial" w:cs="Arial"/>
          <w:b/>
          <w:sz w:val="22"/>
          <w:szCs w:val="20"/>
          <w:lang w:val="en-US" w:eastAsia="zh-CN"/>
        </w:rPr>
        <w:t xml:space="preserve">for study </w:t>
      </w:r>
      <w:r w:rsidR="00F51FB0" w:rsidRPr="00F51FB0">
        <w:rPr>
          <w:rFonts w:ascii="Arial" w:eastAsia="MS Gothic" w:hAnsi="Arial" w:cs="Arial"/>
          <w:b/>
          <w:sz w:val="22"/>
          <w:szCs w:val="20"/>
          <w:lang w:val="en-US" w:eastAsia="zh-CN"/>
        </w:rPr>
        <w:t>CLEE011</w:t>
      </w:r>
      <w:r w:rsidRPr="00830736">
        <w:rPr>
          <w:rFonts w:ascii="Arial" w:eastAsia="MS Gothic" w:hAnsi="Arial" w:cs="Arial"/>
          <w:b/>
          <w:sz w:val="22"/>
          <w:szCs w:val="20"/>
          <w:lang w:val="en-US" w:eastAsia="zh-CN"/>
        </w:rPr>
        <w:t>A2301</w:t>
      </w:r>
      <w:r w:rsidR="00003FC5" w:rsidRPr="00003FC5">
        <w:rPr>
          <w:rFonts w:ascii="Arial" w:eastAsia="MS Gothic" w:hAnsi="Arial" w:cs="Arial"/>
          <w:b/>
          <w:sz w:val="22"/>
          <w:szCs w:val="20"/>
          <w:lang w:val="en-US" w:eastAsia="zh-CN"/>
        </w:rPr>
        <w:t xml:space="preserve"> </w:t>
      </w:r>
      <w:bookmarkEnd w:id="0"/>
      <w:r w:rsidR="00F51FB0" w:rsidRPr="00F51FB0">
        <w:rPr>
          <w:rFonts w:ascii="Arial" w:eastAsia="MS Gothic" w:hAnsi="Arial" w:cs="Arial"/>
          <w:b/>
          <w:sz w:val="22"/>
          <w:szCs w:val="20"/>
          <w:lang w:val="en-US" w:eastAsia="zh-CN"/>
        </w:rPr>
        <w:t>(MONALEESA 2)</w:t>
      </w:r>
    </w:p>
    <w:p w14:paraId="48C719BA" w14:textId="0CF6FAA2" w:rsidR="00200C8A" w:rsidRDefault="00200C8A" w:rsidP="00844684">
      <w:pPr>
        <w:keepNext/>
        <w:ind w:left="1440" w:hanging="1440"/>
        <w:rPr>
          <w:rFonts w:ascii="Arial" w:eastAsia="MS Gothic" w:hAnsi="Arial" w:cs="Arial"/>
          <w:b/>
          <w:sz w:val="22"/>
          <w:szCs w:val="20"/>
          <w:lang w:val="en-US" w:eastAsia="zh-CN"/>
        </w:rPr>
      </w:pPr>
    </w:p>
    <w:tbl>
      <w:tblPr>
        <w:tblStyle w:val="TableGrid"/>
        <w:tblW w:w="9974" w:type="dxa"/>
        <w:tblInd w:w="-108" w:type="dxa"/>
        <w:tblLook w:val="04A0" w:firstRow="1" w:lastRow="0" w:firstColumn="1" w:lastColumn="0" w:noHBand="0" w:noVBand="1"/>
      </w:tblPr>
      <w:tblGrid>
        <w:gridCol w:w="2810"/>
        <w:gridCol w:w="1791"/>
        <w:gridCol w:w="1791"/>
        <w:gridCol w:w="1791"/>
        <w:gridCol w:w="1791"/>
      </w:tblGrid>
      <w:tr w:rsidR="0084015D" w:rsidRPr="0084015D" w14:paraId="35E4DAF2" w14:textId="77777777" w:rsidTr="009F7F0A">
        <w:trPr>
          <w:tblHeader/>
        </w:trPr>
        <w:tc>
          <w:tcPr>
            <w:tcW w:w="2810" w:type="dxa"/>
            <w:tcBorders>
              <w:top w:val="single" w:sz="4" w:space="0" w:color="auto"/>
              <w:left w:val="nil"/>
              <w:bottom w:val="nil"/>
              <w:right w:val="nil"/>
            </w:tcBorders>
          </w:tcPr>
          <w:p w14:paraId="1DBAECE6" w14:textId="77777777" w:rsidR="0084015D" w:rsidRPr="0084015D" w:rsidRDefault="0084015D" w:rsidP="00844684">
            <w:pPr>
              <w:keepNext/>
              <w:rPr>
                <w:rFonts w:ascii="Arial" w:eastAsia="MS Gothic" w:hAnsi="Arial" w:cs="Arial"/>
                <w:b/>
                <w:sz w:val="18"/>
                <w:szCs w:val="18"/>
                <w:lang w:val="en-US" w:eastAsia="zh-CN"/>
              </w:rPr>
            </w:pPr>
          </w:p>
        </w:tc>
        <w:tc>
          <w:tcPr>
            <w:tcW w:w="3582" w:type="dxa"/>
            <w:gridSpan w:val="2"/>
            <w:tcBorders>
              <w:top w:val="single" w:sz="4" w:space="0" w:color="auto"/>
              <w:left w:val="nil"/>
              <w:bottom w:val="nil"/>
              <w:right w:val="nil"/>
            </w:tcBorders>
          </w:tcPr>
          <w:p w14:paraId="672A743B" w14:textId="55216B4D" w:rsidR="0084015D" w:rsidRPr="0084015D" w:rsidRDefault="00DA5DDE" w:rsidP="00844684">
            <w:pPr>
              <w:keepNext/>
              <w:jc w:val="center"/>
              <w:rPr>
                <w:rFonts w:ascii="Arial" w:eastAsia="MS Gothic" w:hAnsi="Arial" w:cs="Arial"/>
                <w:b/>
                <w:sz w:val="18"/>
                <w:szCs w:val="18"/>
                <w:lang w:val="en-US" w:eastAsia="zh-CN"/>
              </w:rPr>
            </w:pPr>
            <w:r w:rsidRPr="00DA5DDE">
              <w:rPr>
                <w:rFonts w:ascii="Arial" w:eastAsia="MS Gothic" w:hAnsi="Arial" w:cs="Arial"/>
                <w:b/>
                <w:sz w:val="18"/>
                <w:szCs w:val="18"/>
                <w:lang w:val="en-US" w:eastAsia="zh-CN"/>
              </w:rPr>
              <w:t xml:space="preserve">First interim analysis                           </w:t>
            </w:r>
            <w:r w:rsidRPr="00855C50">
              <w:rPr>
                <w:rFonts w:ascii="Arial" w:eastAsia="MS Gothic" w:hAnsi="Arial" w:cs="Arial"/>
                <w:sz w:val="18"/>
                <w:szCs w:val="18"/>
                <w:lang w:val="en-US" w:eastAsia="zh-CN"/>
              </w:rPr>
              <w:t>(29 Jan 2016 cut off)</w:t>
            </w:r>
          </w:p>
        </w:tc>
        <w:tc>
          <w:tcPr>
            <w:tcW w:w="3582" w:type="dxa"/>
            <w:gridSpan w:val="2"/>
            <w:tcBorders>
              <w:top w:val="single" w:sz="4" w:space="0" w:color="auto"/>
              <w:left w:val="nil"/>
              <w:bottom w:val="nil"/>
              <w:right w:val="nil"/>
            </w:tcBorders>
          </w:tcPr>
          <w:p w14:paraId="1322B776" w14:textId="14D1E3F7" w:rsidR="0084015D" w:rsidRPr="0084015D" w:rsidRDefault="000A66C0" w:rsidP="00844684">
            <w:pPr>
              <w:keepNext/>
              <w:jc w:val="center"/>
              <w:rPr>
                <w:rFonts w:ascii="Arial" w:eastAsia="MS Gothic" w:hAnsi="Arial" w:cs="Arial"/>
                <w:b/>
                <w:sz w:val="18"/>
                <w:szCs w:val="18"/>
                <w:lang w:val="en-US" w:eastAsia="zh-CN"/>
              </w:rPr>
            </w:pPr>
            <w:r w:rsidRPr="0084015D">
              <w:rPr>
                <w:rFonts w:ascii="Arial" w:eastAsia="MS Gothic" w:hAnsi="Arial" w:cs="Arial"/>
                <w:b/>
                <w:sz w:val="18"/>
                <w:szCs w:val="18"/>
                <w:lang w:val="en-US" w:eastAsia="zh-CN"/>
              </w:rPr>
              <w:t xml:space="preserve">Second interim analysis </w:t>
            </w:r>
            <w:r>
              <w:rPr>
                <w:rFonts w:ascii="Arial" w:eastAsia="MS Gothic" w:hAnsi="Arial" w:cs="Arial"/>
                <w:b/>
                <w:sz w:val="18"/>
                <w:szCs w:val="18"/>
                <w:lang w:val="en-US" w:eastAsia="zh-CN"/>
              </w:rPr>
              <w:t xml:space="preserve">                            </w:t>
            </w:r>
            <w:r w:rsidRPr="00704D36">
              <w:rPr>
                <w:rFonts w:ascii="Arial" w:eastAsia="MS Gothic" w:hAnsi="Arial" w:cs="Arial"/>
                <w:sz w:val="18"/>
                <w:szCs w:val="18"/>
                <w:lang w:val="en-US" w:eastAsia="zh-CN"/>
              </w:rPr>
              <w:t>(2 Jan 2017 cut off)</w:t>
            </w:r>
          </w:p>
        </w:tc>
      </w:tr>
      <w:tr w:rsidR="0084015D" w:rsidRPr="0084015D" w14:paraId="5DC8662D" w14:textId="77777777" w:rsidTr="009F7F0A">
        <w:trPr>
          <w:tblHeader/>
        </w:trPr>
        <w:tc>
          <w:tcPr>
            <w:tcW w:w="2810" w:type="dxa"/>
            <w:tcBorders>
              <w:top w:val="nil"/>
              <w:left w:val="nil"/>
              <w:bottom w:val="single" w:sz="4" w:space="0" w:color="auto"/>
              <w:right w:val="nil"/>
            </w:tcBorders>
          </w:tcPr>
          <w:p w14:paraId="6CA09390" w14:textId="77777777" w:rsidR="0084015D" w:rsidRPr="0084015D" w:rsidRDefault="0084015D" w:rsidP="00844684">
            <w:pPr>
              <w:keepNext/>
              <w:rPr>
                <w:rFonts w:ascii="Arial" w:eastAsia="MS Gothic" w:hAnsi="Arial" w:cs="Arial"/>
                <w:b/>
                <w:sz w:val="18"/>
                <w:szCs w:val="18"/>
                <w:lang w:val="en-US" w:eastAsia="zh-CN"/>
              </w:rPr>
            </w:pPr>
          </w:p>
        </w:tc>
        <w:tc>
          <w:tcPr>
            <w:tcW w:w="1791" w:type="dxa"/>
            <w:tcBorders>
              <w:top w:val="nil"/>
              <w:left w:val="nil"/>
              <w:bottom w:val="single" w:sz="4" w:space="0" w:color="auto"/>
              <w:right w:val="nil"/>
            </w:tcBorders>
          </w:tcPr>
          <w:p w14:paraId="6749EBC7" w14:textId="270E4715" w:rsidR="0084015D" w:rsidRPr="0084015D" w:rsidRDefault="0084015D" w:rsidP="00844684">
            <w:pPr>
              <w:keepNext/>
              <w:jc w:val="center"/>
              <w:rPr>
                <w:rFonts w:ascii="Arial" w:eastAsia="MS Gothic" w:hAnsi="Arial" w:cs="Arial"/>
                <w:b/>
                <w:sz w:val="18"/>
                <w:szCs w:val="18"/>
                <w:lang w:val="en-US" w:eastAsia="zh-CN"/>
              </w:rPr>
            </w:pPr>
            <w:r w:rsidRPr="0084015D">
              <w:rPr>
                <w:rFonts w:ascii="Arial" w:eastAsia="MS Gothic" w:hAnsi="Arial" w:cs="Arial"/>
                <w:b/>
                <w:sz w:val="18"/>
                <w:szCs w:val="18"/>
                <w:lang w:val="en-US" w:eastAsia="zh-CN"/>
              </w:rPr>
              <w:t xml:space="preserve">KISQALI plus </w:t>
            </w:r>
            <w:proofErr w:type="spellStart"/>
            <w:r w:rsidRPr="0084015D">
              <w:rPr>
                <w:rFonts w:ascii="Arial" w:eastAsia="MS Gothic" w:hAnsi="Arial" w:cs="Arial"/>
                <w:b/>
                <w:sz w:val="18"/>
                <w:szCs w:val="18"/>
                <w:lang w:val="en-US" w:eastAsia="zh-CN"/>
              </w:rPr>
              <w:t>letrozole</w:t>
            </w:r>
            <w:proofErr w:type="spellEnd"/>
          </w:p>
        </w:tc>
        <w:tc>
          <w:tcPr>
            <w:tcW w:w="1791" w:type="dxa"/>
            <w:tcBorders>
              <w:top w:val="nil"/>
              <w:left w:val="nil"/>
              <w:bottom w:val="single" w:sz="4" w:space="0" w:color="auto"/>
              <w:right w:val="nil"/>
            </w:tcBorders>
          </w:tcPr>
          <w:p w14:paraId="19E723DC" w14:textId="143046A3" w:rsidR="0084015D" w:rsidRPr="0084015D" w:rsidRDefault="0084015D" w:rsidP="00844684">
            <w:pPr>
              <w:keepNext/>
              <w:jc w:val="center"/>
              <w:rPr>
                <w:rFonts w:ascii="Arial" w:eastAsia="MS Gothic" w:hAnsi="Arial" w:cs="Arial"/>
                <w:b/>
                <w:sz w:val="18"/>
                <w:szCs w:val="18"/>
                <w:lang w:val="en-US" w:eastAsia="zh-CN"/>
              </w:rPr>
            </w:pPr>
            <w:r w:rsidRPr="0084015D">
              <w:rPr>
                <w:rFonts w:ascii="Arial" w:eastAsia="MS Gothic" w:hAnsi="Arial" w:cs="Arial"/>
                <w:b/>
                <w:sz w:val="18"/>
                <w:szCs w:val="18"/>
                <w:lang w:val="en-US" w:eastAsia="zh-CN"/>
              </w:rPr>
              <w:t xml:space="preserve">Placebo plus </w:t>
            </w:r>
            <w:proofErr w:type="spellStart"/>
            <w:r w:rsidRPr="0084015D">
              <w:rPr>
                <w:rFonts w:ascii="Arial" w:eastAsia="MS Gothic" w:hAnsi="Arial" w:cs="Arial"/>
                <w:b/>
                <w:sz w:val="18"/>
                <w:szCs w:val="18"/>
                <w:lang w:val="en-US" w:eastAsia="zh-CN"/>
              </w:rPr>
              <w:t>letrozole</w:t>
            </w:r>
            <w:proofErr w:type="spellEnd"/>
          </w:p>
        </w:tc>
        <w:tc>
          <w:tcPr>
            <w:tcW w:w="1791" w:type="dxa"/>
            <w:tcBorders>
              <w:top w:val="nil"/>
              <w:left w:val="nil"/>
              <w:bottom w:val="single" w:sz="4" w:space="0" w:color="auto"/>
              <w:right w:val="nil"/>
            </w:tcBorders>
          </w:tcPr>
          <w:p w14:paraId="53577E58" w14:textId="3C34D1F4" w:rsidR="0084015D" w:rsidRPr="0084015D" w:rsidRDefault="0066605B" w:rsidP="00844684">
            <w:pPr>
              <w:keepNext/>
              <w:jc w:val="center"/>
              <w:rPr>
                <w:rFonts w:ascii="Arial" w:eastAsia="MS Gothic" w:hAnsi="Arial" w:cs="Arial"/>
                <w:b/>
                <w:sz w:val="18"/>
                <w:szCs w:val="18"/>
                <w:lang w:val="en-US" w:eastAsia="zh-CN"/>
              </w:rPr>
            </w:pPr>
            <w:r w:rsidRPr="0084015D">
              <w:rPr>
                <w:rFonts w:ascii="Arial" w:eastAsia="MS Gothic" w:hAnsi="Arial" w:cs="Arial"/>
                <w:b/>
                <w:sz w:val="18"/>
                <w:szCs w:val="18"/>
                <w:lang w:val="en-US" w:eastAsia="zh-CN"/>
              </w:rPr>
              <w:t xml:space="preserve">KISQALI plus </w:t>
            </w:r>
            <w:proofErr w:type="spellStart"/>
            <w:r w:rsidRPr="0084015D">
              <w:rPr>
                <w:rFonts w:ascii="Arial" w:eastAsia="MS Gothic" w:hAnsi="Arial" w:cs="Arial"/>
                <w:b/>
                <w:sz w:val="18"/>
                <w:szCs w:val="18"/>
                <w:lang w:val="en-US" w:eastAsia="zh-CN"/>
              </w:rPr>
              <w:t>letrozole</w:t>
            </w:r>
            <w:proofErr w:type="spellEnd"/>
          </w:p>
        </w:tc>
        <w:tc>
          <w:tcPr>
            <w:tcW w:w="1791" w:type="dxa"/>
            <w:tcBorders>
              <w:top w:val="nil"/>
              <w:left w:val="nil"/>
              <w:bottom w:val="single" w:sz="4" w:space="0" w:color="auto"/>
              <w:right w:val="nil"/>
            </w:tcBorders>
          </w:tcPr>
          <w:p w14:paraId="5E96E47D" w14:textId="5FD2DF61" w:rsidR="0084015D" w:rsidRPr="0084015D" w:rsidRDefault="0066605B" w:rsidP="00844684">
            <w:pPr>
              <w:keepNext/>
              <w:jc w:val="center"/>
              <w:rPr>
                <w:rFonts w:ascii="Arial" w:eastAsia="MS Gothic" w:hAnsi="Arial" w:cs="Arial"/>
                <w:b/>
                <w:sz w:val="18"/>
                <w:szCs w:val="18"/>
                <w:lang w:val="en-US" w:eastAsia="zh-CN"/>
              </w:rPr>
            </w:pPr>
            <w:r w:rsidRPr="0084015D">
              <w:rPr>
                <w:rFonts w:ascii="Arial" w:eastAsia="MS Gothic" w:hAnsi="Arial" w:cs="Arial"/>
                <w:b/>
                <w:sz w:val="18"/>
                <w:szCs w:val="18"/>
                <w:lang w:val="en-US" w:eastAsia="zh-CN"/>
              </w:rPr>
              <w:t xml:space="preserve">Placebo plus </w:t>
            </w:r>
            <w:proofErr w:type="spellStart"/>
            <w:r w:rsidRPr="0084015D">
              <w:rPr>
                <w:rFonts w:ascii="Arial" w:eastAsia="MS Gothic" w:hAnsi="Arial" w:cs="Arial"/>
                <w:b/>
                <w:sz w:val="18"/>
                <w:szCs w:val="18"/>
                <w:lang w:val="en-US" w:eastAsia="zh-CN"/>
              </w:rPr>
              <w:t>letrozole</w:t>
            </w:r>
            <w:proofErr w:type="spellEnd"/>
          </w:p>
        </w:tc>
      </w:tr>
      <w:tr w:rsidR="008C520D" w:rsidRPr="0084015D" w14:paraId="724AD827" w14:textId="77777777" w:rsidTr="009F7F0A">
        <w:tc>
          <w:tcPr>
            <w:tcW w:w="2810" w:type="dxa"/>
            <w:tcBorders>
              <w:top w:val="single" w:sz="4" w:space="0" w:color="auto"/>
              <w:left w:val="nil"/>
              <w:bottom w:val="single" w:sz="4" w:space="0" w:color="auto"/>
              <w:right w:val="nil"/>
            </w:tcBorders>
          </w:tcPr>
          <w:p w14:paraId="10775F5C" w14:textId="37965455" w:rsidR="008C520D" w:rsidRPr="0084015D" w:rsidRDefault="004741F5" w:rsidP="00844684">
            <w:pPr>
              <w:keepNext/>
              <w:rPr>
                <w:rFonts w:ascii="Arial" w:eastAsia="MS Gothic" w:hAnsi="Arial" w:cs="Arial"/>
                <w:b/>
                <w:sz w:val="18"/>
                <w:szCs w:val="18"/>
                <w:lang w:val="en-US" w:eastAsia="zh-CN"/>
              </w:rPr>
            </w:pPr>
            <w:r w:rsidRPr="004741F5">
              <w:rPr>
                <w:rFonts w:ascii="Arial" w:eastAsia="MS Gothic" w:hAnsi="Arial" w:cs="Arial"/>
                <w:b/>
                <w:sz w:val="18"/>
                <w:szCs w:val="18"/>
                <w:lang w:val="en-US" w:eastAsia="zh-CN"/>
              </w:rPr>
              <w:t>Full analysis set, n</w:t>
            </w:r>
          </w:p>
        </w:tc>
        <w:tc>
          <w:tcPr>
            <w:tcW w:w="1791" w:type="dxa"/>
            <w:tcBorders>
              <w:top w:val="single" w:sz="4" w:space="0" w:color="auto"/>
              <w:left w:val="nil"/>
              <w:bottom w:val="single" w:sz="4" w:space="0" w:color="auto"/>
              <w:right w:val="nil"/>
            </w:tcBorders>
          </w:tcPr>
          <w:p w14:paraId="4E9206F1" w14:textId="00B8E579" w:rsidR="008C520D" w:rsidRPr="0084015D" w:rsidRDefault="008C520D" w:rsidP="00844684">
            <w:pPr>
              <w:keepNext/>
              <w:jc w:val="center"/>
              <w:rPr>
                <w:rFonts w:ascii="Arial" w:eastAsia="MS Gothic" w:hAnsi="Arial" w:cs="Arial"/>
                <w:b/>
                <w:sz w:val="18"/>
                <w:szCs w:val="18"/>
                <w:lang w:val="en-US" w:eastAsia="zh-CN"/>
              </w:rPr>
            </w:pPr>
            <w:r w:rsidRPr="0084015D">
              <w:rPr>
                <w:rFonts w:ascii="Arial" w:eastAsia="MS Gothic" w:hAnsi="Arial" w:cs="Arial"/>
                <w:b/>
                <w:sz w:val="18"/>
                <w:szCs w:val="18"/>
                <w:lang w:val="en-US" w:eastAsia="zh-CN"/>
              </w:rPr>
              <w:t>334</w:t>
            </w:r>
          </w:p>
        </w:tc>
        <w:tc>
          <w:tcPr>
            <w:tcW w:w="1791" w:type="dxa"/>
            <w:tcBorders>
              <w:top w:val="single" w:sz="4" w:space="0" w:color="auto"/>
              <w:left w:val="nil"/>
              <w:bottom w:val="single" w:sz="4" w:space="0" w:color="auto"/>
              <w:right w:val="nil"/>
            </w:tcBorders>
          </w:tcPr>
          <w:p w14:paraId="53212012" w14:textId="504810D9" w:rsidR="008C520D" w:rsidRPr="0084015D" w:rsidRDefault="008C520D" w:rsidP="00844684">
            <w:pPr>
              <w:keepNext/>
              <w:jc w:val="center"/>
              <w:rPr>
                <w:rFonts w:ascii="Arial" w:eastAsia="MS Gothic" w:hAnsi="Arial" w:cs="Arial"/>
                <w:b/>
                <w:sz w:val="18"/>
                <w:szCs w:val="18"/>
                <w:lang w:val="en-US" w:eastAsia="zh-CN"/>
              </w:rPr>
            </w:pPr>
            <w:r w:rsidRPr="0084015D">
              <w:rPr>
                <w:rFonts w:ascii="Arial" w:eastAsia="MS Gothic" w:hAnsi="Arial" w:cs="Arial"/>
                <w:b/>
                <w:sz w:val="18"/>
                <w:szCs w:val="18"/>
                <w:lang w:val="en-US" w:eastAsia="zh-CN"/>
              </w:rPr>
              <w:t>334</w:t>
            </w:r>
          </w:p>
        </w:tc>
        <w:tc>
          <w:tcPr>
            <w:tcW w:w="1791" w:type="dxa"/>
            <w:tcBorders>
              <w:top w:val="single" w:sz="4" w:space="0" w:color="auto"/>
              <w:left w:val="nil"/>
              <w:bottom w:val="single" w:sz="4" w:space="0" w:color="auto"/>
              <w:right w:val="nil"/>
            </w:tcBorders>
          </w:tcPr>
          <w:p w14:paraId="38D8282F" w14:textId="6974D2B3" w:rsidR="008C520D" w:rsidRPr="0084015D" w:rsidRDefault="000C68F3" w:rsidP="00844684">
            <w:pPr>
              <w:keepNext/>
              <w:jc w:val="center"/>
              <w:rPr>
                <w:rFonts w:ascii="Arial" w:eastAsia="MS Gothic" w:hAnsi="Arial" w:cs="Arial"/>
                <w:b/>
                <w:sz w:val="18"/>
                <w:szCs w:val="18"/>
                <w:lang w:val="en-US" w:eastAsia="zh-CN"/>
              </w:rPr>
            </w:pPr>
            <w:r w:rsidRPr="000C68F3">
              <w:rPr>
                <w:rFonts w:ascii="Arial" w:eastAsia="MS Gothic" w:hAnsi="Arial" w:cs="Arial"/>
                <w:b/>
                <w:sz w:val="18"/>
                <w:szCs w:val="18"/>
                <w:lang w:val="en-US" w:eastAsia="zh-CN"/>
              </w:rPr>
              <w:t>334</w:t>
            </w:r>
          </w:p>
        </w:tc>
        <w:tc>
          <w:tcPr>
            <w:tcW w:w="1791" w:type="dxa"/>
            <w:tcBorders>
              <w:top w:val="single" w:sz="4" w:space="0" w:color="auto"/>
              <w:left w:val="nil"/>
              <w:bottom w:val="single" w:sz="4" w:space="0" w:color="auto"/>
              <w:right w:val="nil"/>
            </w:tcBorders>
          </w:tcPr>
          <w:p w14:paraId="578A5E27" w14:textId="1D0A8C26" w:rsidR="008C520D" w:rsidRPr="0084015D" w:rsidRDefault="00BB3C9E" w:rsidP="00844684">
            <w:pPr>
              <w:keepNext/>
              <w:jc w:val="center"/>
              <w:rPr>
                <w:rFonts w:ascii="Arial" w:eastAsia="MS Gothic" w:hAnsi="Arial" w:cs="Arial"/>
                <w:b/>
                <w:sz w:val="18"/>
                <w:szCs w:val="18"/>
                <w:lang w:val="en-US" w:eastAsia="zh-CN"/>
              </w:rPr>
            </w:pPr>
            <w:r w:rsidRPr="00BB3C9E">
              <w:rPr>
                <w:rFonts w:ascii="Arial" w:eastAsia="MS Gothic" w:hAnsi="Arial" w:cs="Arial"/>
                <w:b/>
                <w:sz w:val="18"/>
                <w:szCs w:val="18"/>
                <w:lang w:val="en-US" w:eastAsia="zh-CN"/>
              </w:rPr>
              <w:t>334</w:t>
            </w:r>
          </w:p>
        </w:tc>
      </w:tr>
      <w:tr w:rsidR="00200C8A" w:rsidRPr="0084015D" w14:paraId="21DC48E8" w14:textId="77777777" w:rsidTr="009F7F0A">
        <w:tc>
          <w:tcPr>
            <w:tcW w:w="9974" w:type="dxa"/>
            <w:gridSpan w:val="5"/>
            <w:tcBorders>
              <w:top w:val="single" w:sz="4" w:space="0" w:color="auto"/>
              <w:left w:val="nil"/>
              <w:bottom w:val="nil"/>
              <w:right w:val="nil"/>
            </w:tcBorders>
          </w:tcPr>
          <w:p w14:paraId="0E4FAE3E" w14:textId="0E60E5E0" w:rsidR="00200C8A" w:rsidRPr="0084015D" w:rsidRDefault="00200C8A" w:rsidP="00844684">
            <w:pPr>
              <w:keepNext/>
              <w:rPr>
                <w:rFonts w:ascii="Arial" w:eastAsia="MS Gothic" w:hAnsi="Arial" w:cs="Arial"/>
                <w:b/>
                <w:sz w:val="18"/>
                <w:szCs w:val="18"/>
                <w:lang w:val="en-US" w:eastAsia="zh-CN"/>
              </w:rPr>
            </w:pPr>
            <w:r w:rsidRPr="0084015D">
              <w:rPr>
                <w:rFonts w:ascii="Arial" w:eastAsia="MS Gothic" w:hAnsi="Arial" w:cs="Arial"/>
                <w:b/>
                <w:sz w:val="18"/>
                <w:szCs w:val="18"/>
                <w:lang w:val="en-US" w:eastAsia="zh-CN"/>
              </w:rPr>
              <w:t>PFS (Investigator radiological assessment)</w:t>
            </w:r>
          </w:p>
        </w:tc>
      </w:tr>
      <w:tr w:rsidR="00F47ADA" w:rsidRPr="0084015D" w14:paraId="07E56FAF" w14:textId="77777777" w:rsidTr="009F7F0A">
        <w:tc>
          <w:tcPr>
            <w:tcW w:w="2810" w:type="dxa"/>
            <w:tcBorders>
              <w:top w:val="nil"/>
              <w:left w:val="nil"/>
              <w:bottom w:val="nil"/>
              <w:right w:val="nil"/>
            </w:tcBorders>
          </w:tcPr>
          <w:p w14:paraId="690F5000" w14:textId="3F9ED10F" w:rsidR="00F47ADA" w:rsidRPr="0084015D" w:rsidRDefault="00714559" w:rsidP="00844684">
            <w:pPr>
              <w:keepNext/>
              <w:rPr>
                <w:rFonts w:ascii="Arial" w:eastAsia="MS Mincho" w:hAnsi="Arial" w:cs="Arial"/>
                <w:sz w:val="18"/>
                <w:szCs w:val="18"/>
                <w:lang w:val="en-US" w:eastAsia="zh-CN"/>
              </w:rPr>
            </w:pPr>
            <w:r w:rsidRPr="00F47ADA">
              <w:rPr>
                <w:rFonts w:ascii="Arial" w:eastAsia="MS Mincho" w:hAnsi="Arial" w:cs="Arial"/>
                <w:sz w:val="18"/>
                <w:szCs w:val="18"/>
                <w:lang w:val="en-US" w:eastAsia="zh-CN"/>
              </w:rPr>
              <w:t>Number of events, n (%)</w:t>
            </w:r>
          </w:p>
        </w:tc>
        <w:tc>
          <w:tcPr>
            <w:tcW w:w="1791" w:type="dxa"/>
            <w:tcBorders>
              <w:top w:val="nil"/>
              <w:left w:val="nil"/>
              <w:bottom w:val="nil"/>
              <w:right w:val="nil"/>
            </w:tcBorders>
          </w:tcPr>
          <w:p w14:paraId="0B7CF54E" w14:textId="663B108A" w:rsidR="00F47ADA" w:rsidRPr="0084015D" w:rsidRDefault="00A204DC" w:rsidP="00844684">
            <w:pPr>
              <w:keepNext/>
              <w:jc w:val="center"/>
              <w:rPr>
                <w:rFonts w:ascii="Arial" w:eastAsia="MS Mincho" w:hAnsi="Arial" w:cs="Arial"/>
                <w:sz w:val="18"/>
                <w:szCs w:val="18"/>
                <w:lang w:val="fr-FR" w:eastAsia="zh-CN"/>
              </w:rPr>
            </w:pPr>
            <w:r w:rsidRPr="00F566D7">
              <w:rPr>
                <w:rFonts w:ascii="Arial" w:eastAsia="MS Mincho" w:hAnsi="Arial" w:cs="Arial"/>
                <w:sz w:val="18"/>
                <w:szCs w:val="18"/>
                <w:lang w:val="fr-FR" w:eastAsia="zh-CN"/>
              </w:rPr>
              <w:t>93 (27.8)</w:t>
            </w:r>
          </w:p>
        </w:tc>
        <w:tc>
          <w:tcPr>
            <w:tcW w:w="1791" w:type="dxa"/>
            <w:tcBorders>
              <w:top w:val="nil"/>
              <w:left w:val="nil"/>
              <w:bottom w:val="nil"/>
              <w:right w:val="nil"/>
            </w:tcBorders>
          </w:tcPr>
          <w:p w14:paraId="53DB7AFD" w14:textId="214EFC6A" w:rsidR="00F47ADA" w:rsidRPr="0084015D" w:rsidRDefault="00823A7B" w:rsidP="00844684">
            <w:pPr>
              <w:keepNext/>
              <w:jc w:val="center"/>
              <w:rPr>
                <w:rFonts w:ascii="Arial" w:eastAsia="MS Mincho" w:hAnsi="Arial" w:cs="Arial"/>
                <w:sz w:val="18"/>
                <w:szCs w:val="18"/>
                <w:lang w:val="en-US" w:eastAsia="zh-CN"/>
              </w:rPr>
            </w:pPr>
            <w:r w:rsidRPr="00F566D7">
              <w:rPr>
                <w:rFonts w:ascii="Arial" w:eastAsia="MS Mincho" w:hAnsi="Arial" w:cs="Arial"/>
                <w:sz w:val="18"/>
                <w:szCs w:val="18"/>
                <w:lang w:val="en-US" w:eastAsia="zh-CN"/>
              </w:rPr>
              <w:t>150 (44.9)</w:t>
            </w:r>
          </w:p>
        </w:tc>
        <w:tc>
          <w:tcPr>
            <w:tcW w:w="1791" w:type="dxa"/>
            <w:tcBorders>
              <w:top w:val="nil"/>
              <w:left w:val="nil"/>
              <w:bottom w:val="nil"/>
              <w:right w:val="nil"/>
            </w:tcBorders>
          </w:tcPr>
          <w:p w14:paraId="260A2AF5" w14:textId="0E82B288" w:rsidR="00F47ADA" w:rsidRPr="00C16239" w:rsidRDefault="00CB6585" w:rsidP="00844684">
            <w:pPr>
              <w:keepNext/>
              <w:jc w:val="center"/>
              <w:rPr>
                <w:rFonts w:ascii="Arial" w:eastAsia="MS Mincho" w:hAnsi="Arial" w:cs="Arial"/>
                <w:sz w:val="18"/>
                <w:szCs w:val="18"/>
                <w:lang w:val="fr-FR" w:eastAsia="zh-CN"/>
              </w:rPr>
            </w:pPr>
            <w:r w:rsidRPr="00F47ADA">
              <w:rPr>
                <w:rFonts w:ascii="Arial" w:eastAsia="MS Mincho" w:hAnsi="Arial" w:cs="Arial"/>
                <w:sz w:val="18"/>
                <w:szCs w:val="18"/>
                <w:lang w:val="fr-FR" w:eastAsia="zh-CN"/>
              </w:rPr>
              <w:t>140 (41.9)</w:t>
            </w:r>
          </w:p>
        </w:tc>
        <w:tc>
          <w:tcPr>
            <w:tcW w:w="1791" w:type="dxa"/>
            <w:tcBorders>
              <w:top w:val="nil"/>
              <w:left w:val="nil"/>
              <w:bottom w:val="nil"/>
              <w:right w:val="nil"/>
            </w:tcBorders>
          </w:tcPr>
          <w:p w14:paraId="6F1EB3D2" w14:textId="719902A8" w:rsidR="00F47ADA" w:rsidRPr="00C16239" w:rsidRDefault="00E349FB" w:rsidP="00844684">
            <w:pPr>
              <w:keepNext/>
              <w:jc w:val="center"/>
              <w:rPr>
                <w:rFonts w:ascii="Arial" w:eastAsia="MS Mincho" w:hAnsi="Arial" w:cs="Arial"/>
                <w:sz w:val="18"/>
                <w:szCs w:val="18"/>
                <w:lang w:val="fr-FR" w:eastAsia="zh-CN"/>
              </w:rPr>
            </w:pPr>
            <w:r w:rsidRPr="00F47ADA">
              <w:rPr>
                <w:rFonts w:ascii="Arial" w:eastAsia="MS Mincho" w:hAnsi="Arial" w:cs="Arial"/>
                <w:sz w:val="18"/>
                <w:szCs w:val="18"/>
                <w:lang w:val="fr-FR" w:eastAsia="zh-CN"/>
              </w:rPr>
              <w:t>205 (61.4)</w:t>
            </w:r>
          </w:p>
        </w:tc>
      </w:tr>
      <w:tr w:rsidR="00200C8A" w:rsidRPr="0084015D" w14:paraId="7A7AD119" w14:textId="77777777" w:rsidTr="009F7F0A">
        <w:tc>
          <w:tcPr>
            <w:tcW w:w="2810" w:type="dxa"/>
            <w:tcBorders>
              <w:top w:val="nil"/>
              <w:left w:val="nil"/>
              <w:bottom w:val="nil"/>
              <w:right w:val="nil"/>
            </w:tcBorders>
          </w:tcPr>
          <w:p w14:paraId="1AE5B198" w14:textId="6D1357BF" w:rsidR="00200C8A" w:rsidRPr="0084015D" w:rsidRDefault="00430A31" w:rsidP="00844684">
            <w:pPr>
              <w:keepNext/>
              <w:rPr>
                <w:rFonts w:ascii="Arial" w:eastAsia="MS Gothic" w:hAnsi="Arial" w:cs="Arial"/>
                <w:b/>
                <w:sz w:val="18"/>
                <w:szCs w:val="18"/>
                <w:lang w:val="en-US" w:eastAsia="zh-CN"/>
              </w:rPr>
            </w:pPr>
            <w:r w:rsidRPr="0084015D">
              <w:rPr>
                <w:rFonts w:ascii="Arial" w:eastAsia="MS Mincho" w:hAnsi="Arial" w:cs="Arial"/>
                <w:sz w:val="18"/>
                <w:szCs w:val="18"/>
                <w:lang w:val="en-US" w:eastAsia="zh-CN"/>
              </w:rPr>
              <w:t>Median PFS [months] (95 % CI)</w:t>
            </w:r>
          </w:p>
        </w:tc>
        <w:tc>
          <w:tcPr>
            <w:tcW w:w="1791" w:type="dxa"/>
            <w:tcBorders>
              <w:top w:val="nil"/>
              <w:left w:val="nil"/>
              <w:bottom w:val="nil"/>
              <w:right w:val="nil"/>
            </w:tcBorders>
          </w:tcPr>
          <w:p w14:paraId="78DAC85E" w14:textId="0C3C7FE9" w:rsidR="00200C8A" w:rsidRPr="0084015D" w:rsidRDefault="00430A31" w:rsidP="00844684">
            <w:pPr>
              <w:keepNext/>
              <w:jc w:val="center"/>
              <w:rPr>
                <w:rFonts w:ascii="Arial" w:eastAsia="MS Gothic" w:hAnsi="Arial" w:cs="Arial"/>
                <w:b/>
                <w:sz w:val="18"/>
                <w:szCs w:val="18"/>
                <w:lang w:val="en-US" w:eastAsia="zh-CN"/>
              </w:rPr>
            </w:pPr>
            <w:r w:rsidRPr="0084015D">
              <w:rPr>
                <w:rFonts w:ascii="Arial" w:eastAsia="MS Mincho" w:hAnsi="Arial" w:cs="Arial"/>
                <w:sz w:val="18"/>
                <w:szCs w:val="18"/>
                <w:lang w:val="fr-FR" w:eastAsia="zh-CN"/>
              </w:rPr>
              <w:t>NE (19.3 – NE)</w:t>
            </w:r>
          </w:p>
        </w:tc>
        <w:tc>
          <w:tcPr>
            <w:tcW w:w="1791" w:type="dxa"/>
            <w:tcBorders>
              <w:top w:val="nil"/>
              <w:left w:val="nil"/>
              <w:bottom w:val="nil"/>
              <w:right w:val="nil"/>
            </w:tcBorders>
          </w:tcPr>
          <w:p w14:paraId="7C45A82B" w14:textId="57E070E9" w:rsidR="00200C8A" w:rsidRPr="0084015D" w:rsidRDefault="00430A31" w:rsidP="00844684">
            <w:pPr>
              <w:keepNext/>
              <w:jc w:val="center"/>
              <w:rPr>
                <w:rFonts w:ascii="Arial" w:eastAsia="MS Gothic" w:hAnsi="Arial" w:cs="Arial"/>
                <w:b/>
                <w:sz w:val="18"/>
                <w:szCs w:val="18"/>
                <w:lang w:val="en-US" w:eastAsia="zh-CN"/>
              </w:rPr>
            </w:pPr>
            <w:r w:rsidRPr="0084015D">
              <w:rPr>
                <w:rFonts w:ascii="Arial" w:eastAsia="MS Mincho" w:hAnsi="Arial" w:cs="Arial"/>
                <w:sz w:val="18"/>
                <w:szCs w:val="18"/>
                <w:lang w:val="en-US" w:eastAsia="zh-CN"/>
              </w:rPr>
              <w:t>14.7 (13.0 – 16.5)</w:t>
            </w:r>
          </w:p>
        </w:tc>
        <w:tc>
          <w:tcPr>
            <w:tcW w:w="1791" w:type="dxa"/>
            <w:tcBorders>
              <w:top w:val="nil"/>
              <w:left w:val="nil"/>
              <w:bottom w:val="nil"/>
              <w:right w:val="nil"/>
            </w:tcBorders>
          </w:tcPr>
          <w:p w14:paraId="17517ABA" w14:textId="36A88A8B" w:rsidR="00200C8A" w:rsidRPr="00C16239" w:rsidRDefault="0083276E" w:rsidP="00844684">
            <w:pPr>
              <w:keepNext/>
              <w:jc w:val="center"/>
              <w:rPr>
                <w:rFonts w:ascii="Arial" w:eastAsia="MS Mincho" w:hAnsi="Arial" w:cs="Arial"/>
                <w:sz w:val="18"/>
                <w:szCs w:val="18"/>
                <w:lang w:val="fr-FR" w:eastAsia="zh-CN"/>
              </w:rPr>
            </w:pPr>
            <w:r w:rsidRPr="00C16239">
              <w:rPr>
                <w:rFonts w:ascii="Arial" w:eastAsia="MS Mincho" w:hAnsi="Arial" w:cs="Arial"/>
                <w:sz w:val="18"/>
                <w:szCs w:val="18"/>
                <w:lang w:val="fr-FR" w:eastAsia="zh-CN"/>
              </w:rPr>
              <w:t>25.3 (23.0 – 30.3)</w:t>
            </w:r>
          </w:p>
        </w:tc>
        <w:tc>
          <w:tcPr>
            <w:tcW w:w="1791" w:type="dxa"/>
            <w:tcBorders>
              <w:top w:val="nil"/>
              <w:left w:val="nil"/>
              <w:bottom w:val="nil"/>
              <w:right w:val="nil"/>
            </w:tcBorders>
          </w:tcPr>
          <w:p w14:paraId="2BDDE3D9" w14:textId="53A77BF3" w:rsidR="00200C8A" w:rsidRPr="00C16239" w:rsidRDefault="00F46EC9" w:rsidP="00844684">
            <w:pPr>
              <w:keepNext/>
              <w:jc w:val="center"/>
              <w:rPr>
                <w:rFonts w:ascii="Arial" w:eastAsia="MS Mincho" w:hAnsi="Arial" w:cs="Arial"/>
                <w:sz w:val="18"/>
                <w:szCs w:val="18"/>
                <w:lang w:val="fr-FR" w:eastAsia="zh-CN"/>
              </w:rPr>
            </w:pPr>
            <w:r w:rsidRPr="00C16239">
              <w:rPr>
                <w:rFonts w:ascii="Arial" w:eastAsia="MS Mincho" w:hAnsi="Arial" w:cs="Arial"/>
                <w:sz w:val="18"/>
                <w:szCs w:val="18"/>
                <w:lang w:val="fr-FR" w:eastAsia="zh-CN"/>
              </w:rPr>
              <w:t>16.0 (13.4 – 18.2)</w:t>
            </w:r>
          </w:p>
        </w:tc>
      </w:tr>
      <w:tr w:rsidR="00910E6E" w:rsidRPr="0084015D" w14:paraId="3478B3FE" w14:textId="77777777" w:rsidTr="009F7F0A">
        <w:tc>
          <w:tcPr>
            <w:tcW w:w="2810" w:type="dxa"/>
            <w:tcBorders>
              <w:top w:val="nil"/>
              <w:left w:val="nil"/>
              <w:bottom w:val="nil"/>
              <w:right w:val="nil"/>
            </w:tcBorders>
          </w:tcPr>
          <w:p w14:paraId="54B4A10B" w14:textId="769CB514" w:rsidR="00910E6E" w:rsidRPr="0084015D" w:rsidRDefault="00910E6E" w:rsidP="0079598A">
            <w:pPr>
              <w:rPr>
                <w:rFonts w:ascii="Arial" w:eastAsia="MS Gothic" w:hAnsi="Arial" w:cs="Arial"/>
                <w:b/>
                <w:sz w:val="18"/>
                <w:szCs w:val="18"/>
                <w:lang w:val="en-US" w:eastAsia="zh-CN"/>
              </w:rPr>
            </w:pPr>
            <w:r w:rsidRPr="0084015D">
              <w:rPr>
                <w:rFonts w:ascii="Arial" w:eastAsia="MS Mincho" w:hAnsi="Arial" w:cs="Arial"/>
                <w:sz w:val="18"/>
                <w:szCs w:val="18"/>
                <w:lang w:val="en-US" w:eastAsia="zh-CN"/>
              </w:rPr>
              <w:t>Hazard ratio</w:t>
            </w:r>
            <w:r w:rsidR="0079598A" w:rsidRPr="0084015D">
              <w:rPr>
                <w:rFonts w:ascii="Arial" w:eastAsia="MS Mincho" w:hAnsi="Arial" w:cs="Arial"/>
                <w:sz w:val="18"/>
                <w:szCs w:val="18"/>
                <w:lang w:val="en-US" w:eastAsia="zh-CN"/>
              </w:rPr>
              <w:t>, HR</w:t>
            </w:r>
            <w:r w:rsidRPr="0084015D">
              <w:rPr>
                <w:rFonts w:ascii="Arial" w:eastAsia="MS Mincho" w:hAnsi="Arial" w:cs="Arial"/>
                <w:sz w:val="18"/>
                <w:szCs w:val="18"/>
                <w:lang w:val="en-US" w:eastAsia="zh-CN"/>
              </w:rPr>
              <w:t xml:space="preserve"> (95 % CI)</w:t>
            </w:r>
          </w:p>
        </w:tc>
        <w:tc>
          <w:tcPr>
            <w:tcW w:w="3582" w:type="dxa"/>
            <w:gridSpan w:val="2"/>
            <w:tcBorders>
              <w:top w:val="nil"/>
              <w:left w:val="nil"/>
              <w:bottom w:val="nil"/>
              <w:right w:val="nil"/>
            </w:tcBorders>
          </w:tcPr>
          <w:p w14:paraId="15198B77" w14:textId="4DC23D71" w:rsidR="00910E6E" w:rsidRPr="0084015D" w:rsidRDefault="00910E6E" w:rsidP="00C16239">
            <w:pPr>
              <w:jc w:val="center"/>
              <w:rPr>
                <w:rFonts w:ascii="Arial" w:eastAsia="MS Gothic" w:hAnsi="Arial" w:cs="Arial"/>
                <w:b/>
                <w:sz w:val="18"/>
                <w:szCs w:val="18"/>
                <w:lang w:val="en-US" w:eastAsia="zh-CN"/>
              </w:rPr>
            </w:pPr>
            <w:r w:rsidRPr="0084015D">
              <w:rPr>
                <w:rFonts w:ascii="Arial" w:eastAsia="MS Gothic" w:hAnsi="Arial" w:cs="Arial"/>
                <w:sz w:val="18"/>
                <w:szCs w:val="18"/>
                <w:lang w:val="en-US" w:eastAsia="zh-CN"/>
              </w:rPr>
              <w:t>0</w:t>
            </w:r>
            <w:r w:rsidRPr="0084015D">
              <w:rPr>
                <w:rFonts w:ascii="Arial" w:eastAsia="MS Mincho" w:hAnsi="Arial" w:cs="Arial"/>
                <w:sz w:val="18"/>
                <w:szCs w:val="18"/>
                <w:lang w:val="fr-FR" w:eastAsia="zh-CN"/>
              </w:rPr>
              <w:t>.556 (0.429 to 0.720)</w:t>
            </w:r>
          </w:p>
        </w:tc>
        <w:tc>
          <w:tcPr>
            <w:tcW w:w="3582" w:type="dxa"/>
            <w:gridSpan w:val="2"/>
            <w:tcBorders>
              <w:top w:val="nil"/>
              <w:left w:val="nil"/>
              <w:bottom w:val="nil"/>
              <w:right w:val="nil"/>
            </w:tcBorders>
          </w:tcPr>
          <w:p w14:paraId="1FD47427" w14:textId="4924FCC0" w:rsidR="00910E6E" w:rsidRPr="00910E6E" w:rsidRDefault="003A5D93" w:rsidP="00910E6E">
            <w:pPr>
              <w:jc w:val="center"/>
              <w:rPr>
                <w:rFonts w:ascii="Arial" w:eastAsia="MS Gothic" w:hAnsi="Arial" w:cs="Arial"/>
                <w:sz w:val="18"/>
                <w:szCs w:val="18"/>
                <w:lang w:val="en-US" w:eastAsia="zh-CN"/>
              </w:rPr>
            </w:pPr>
            <w:r w:rsidRPr="00910E6E">
              <w:rPr>
                <w:rFonts w:ascii="Arial" w:eastAsia="MS Gothic" w:hAnsi="Arial" w:cs="Arial"/>
                <w:sz w:val="18"/>
                <w:szCs w:val="18"/>
                <w:lang w:val="en-US" w:eastAsia="zh-CN"/>
              </w:rPr>
              <w:t>0.568 (0.457 to 0.704)</w:t>
            </w:r>
          </w:p>
        </w:tc>
      </w:tr>
      <w:tr w:rsidR="00910E6E" w:rsidRPr="0084015D" w14:paraId="79BEC850" w14:textId="77777777" w:rsidTr="009F7F0A">
        <w:tc>
          <w:tcPr>
            <w:tcW w:w="2810" w:type="dxa"/>
            <w:tcBorders>
              <w:top w:val="nil"/>
              <w:left w:val="nil"/>
              <w:bottom w:val="single" w:sz="4" w:space="0" w:color="auto"/>
              <w:right w:val="nil"/>
            </w:tcBorders>
          </w:tcPr>
          <w:p w14:paraId="159DD71E" w14:textId="253484E9" w:rsidR="00910E6E" w:rsidRPr="0084015D" w:rsidRDefault="00910E6E" w:rsidP="001C2DAA">
            <w:pPr>
              <w:rPr>
                <w:rFonts w:ascii="Arial" w:eastAsia="MS Gothic" w:hAnsi="Arial" w:cs="Arial"/>
                <w:b/>
                <w:sz w:val="18"/>
                <w:szCs w:val="18"/>
                <w:lang w:val="en-US" w:eastAsia="zh-CN"/>
              </w:rPr>
            </w:pPr>
            <w:r w:rsidRPr="0084015D">
              <w:rPr>
                <w:rFonts w:ascii="Arial" w:eastAsia="MS Mincho" w:hAnsi="Arial" w:cs="Arial"/>
                <w:sz w:val="18"/>
                <w:szCs w:val="18"/>
                <w:lang w:val="en-US" w:eastAsia="zh-CN"/>
              </w:rPr>
              <w:t>p-</w:t>
            </w:r>
            <w:proofErr w:type="spellStart"/>
            <w:r w:rsidRPr="0084015D">
              <w:rPr>
                <w:rFonts w:ascii="Arial" w:eastAsia="MS Mincho" w:hAnsi="Arial" w:cs="Arial"/>
                <w:sz w:val="18"/>
                <w:szCs w:val="18"/>
                <w:lang w:val="en-US" w:eastAsia="zh-CN"/>
              </w:rPr>
              <w:t>value</w:t>
            </w:r>
            <w:r w:rsidRPr="0084015D">
              <w:rPr>
                <w:rFonts w:ascii="Arial" w:eastAsia="MS Mincho" w:hAnsi="Arial" w:cs="Arial"/>
                <w:sz w:val="18"/>
                <w:szCs w:val="18"/>
                <w:vertAlign w:val="superscript"/>
                <w:lang w:val="en-US" w:eastAsia="zh-CN"/>
              </w:rPr>
              <w:t>a</w:t>
            </w:r>
            <w:proofErr w:type="spellEnd"/>
          </w:p>
        </w:tc>
        <w:tc>
          <w:tcPr>
            <w:tcW w:w="3582" w:type="dxa"/>
            <w:gridSpan w:val="2"/>
            <w:tcBorders>
              <w:top w:val="nil"/>
              <w:left w:val="nil"/>
              <w:bottom w:val="single" w:sz="4" w:space="0" w:color="auto"/>
              <w:right w:val="nil"/>
            </w:tcBorders>
          </w:tcPr>
          <w:p w14:paraId="660ABD95" w14:textId="7D28908C" w:rsidR="00910E6E" w:rsidRPr="0084015D" w:rsidRDefault="00C64548" w:rsidP="00C64548">
            <w:pPr>
              <w:jc w:val="center"/>
              <w:rPr>
                <w:rFonts w:ascii="Arial" w:eastAsia="MS Gothic" w:hAnsi="Arial" w:cs="Arial"/>
                <w:b/>
                <w:sz w:val="18"/>
                <w:szCs w:val="18"/>
                <w:lang w:val="en-US" w:eastAsia="zh-CN"/>
              </w:rPr>
            </w:pPr>
            <w:r>
              <w:rPr>
                <w:rFonts w:ascii="Arial" w:eastAsia="MS Mincho" w:hAnsi="Arial" w:cs="Arial"/>
                <w:sz w:val="18"/>
                <w:szCs w:val="18"/>
                <w:lang w:val="en-US" w:eastAsia="zh-CN"/>
              </w:rPr>
              <w:t>0.00000</w:t>
            </w:r>
            <w:r w:rsidR="00910E6E" w:rsidRPr="0084015D">
              <w:rPr>
                <w:rFonts w:ascii="Arial" w:eastAsia="MS Mincho" w:hAnsi="Arial" w:cs="Arial"/>
                <w:sz w:val="18"/>
                <w:szCs w:val="18"/>
                <w:lang w:val="en-US" w:eastAsia="zh-CN"/>
              </w:rPr>
              <w:t>329</w:t>
            </w:r>
          </w:p>
        </w:tc>
        <w:tc>
          <w:tcPr>
            <w:tcW w:w="3582" w:type="dxa"/>
            <w:gridSpan w:val="2"/>
            <w:tcBorders>
              <w:top w:val="nil"/>
              <w:left w:val="nil"/>
              <w:bottom w:val="single" w:sz="4" w:space="0" w:color="auto"/>
              <w:right w:val="nil"/>
            </w:tcBorders>
          </w:tcPr>
          <w:p w14:paraId="4064E555" w14:textId="3F313510" w:rsidR="00910E6E" w:rsidRPr="00910E6E" w:rsidRDefault="00367EE7" w:rsidP="00C64548">
            <w:pPr>
              <w:jc w:val="center"/>
              <w:rPr>
                <w:rFonts w:ascii="Arial" w:eastAsia="MS Gothic" w:hAnsi="Arial" w:cs="Arial"/>
                <w:b/>
                <w:sz w:val="18"/>
                <w:szCs w:val="18"/>
                <w:lang w:val="en-US" w:eastAsia="zh-CN"/>
              </w:rPr>
            </w:pPr>
            <w:r>
              <w:rPr>
                <w:rFonts w:ascii="Arial" w:eastAsia="MS Mincho" w:hAnsi="Arial" w:cs="Arial"/>
                <w:sz w:val="18"/>
                <w:szCs w:val="18"/>
                <w:lang w:val="en-US" w:eastAsia="zh-CN"/>
              </w:rPr>
              <w:t>0.0000000</w:t>
            </w:r>
            <w:r w:rsidRPr="00910E6E">
              <w:rPr>
                <w:rFonts w:ascii="Arial" w:eastAsia="MS Mincho" w:hAnsi="Arial" w:cs="Arial"/>
                <w:sz w:val="18"/>
                <w:szCs w:val="18"/>
                <w:lang w:val="en-US" w:eastAsia="zh-CN"/>
              </w:rPr>
              <w:t>963</w:t>
            </w:r>
          </w:p>
        </w:tc>
      </w:tr>
      <w:tr w:rsidR="00430A31" w:rsidRPr="0084015D" w14:paraId="5A39B930" w14:textId="77777777" w:rsidTr="009F7F0A">
        <w:tc>
          <w:tcPr>
            <w:tcW w:w="9974" w:type="dxa"/>
            <w:gridSpan w:val="5"/>
            <w:tcBorders>
              <w:top w:val="single" w:sz="4" w:space="0" w:color="auto"/>
              <w:left w:val="nil"/>
              <w:bottom w:val="nil"/>
              <w:right w:val="nil"/>
            </w:tcBorders>
          </w:tcPr>
          <w:p w14:paraId="6E80B201" w14:textId="6B9A2926" w:rsidR="00430A31" w:rsidRPr="0084015D" w:rsidRDefault="00430A31" w:rsidP="0084015D">
            <w:pPr>
              <w:rPr>
                <w:rFonts w:ascii="Arial" w:eastAsia="MS Gothic" w:hAnsi="Arial" w:cs="Arial"/>
                <w:b/>
                <w:sz w:val="18"/>
                <w:szCs w:val="18"/>
                <w:lang w:val="en-US" w:eastAsia="zh-CN"/>
              </w:rPr>
            </w:pPr>
            <w:r w:rsidRPr="0084015D">
              <w:rPr>
                <w:rFonts w:ascii="Arial" w:eastAsia="MS Mincho" w:hAnsi="Arial" w:cs="Arial"/>
                <w:b/>
                <w:sz w:val="18"/>
                <w:szCs w:val="18"/>
                <w:lang w:val="en-US" w:eastAsia="zh-CN"/>
              </w:rPr>
              <w:t>PFS (Blinded independent review committee radiological assessment)</w:t>
            </w:r>
          </w:p>
        </w:tc>
      </w:tr>
      <w:tr w:rsidR="00E955C3" w:rsidRPr="0084015D" w14:paraId="6C2887AA" w14:textId="77777777" w:rsidTr="009F7F0A">
        <w:tc>
          <w:tcPr>
            <w:tcW w:w="2810" w:type="dxa"/>
            <w:tcBorders>
              <w:top w:val="nil"/>
              <w:left w:val="nil"/>
              <w:bottom w:val="nil"/>
              <w:right w:val="nil"/>
            </w:tcBorders>
          </w:tcPr>
          <w:p w14:paraId="36AD45DC" w14:textId="1A70F4E2" w:rsidR="00E955C3" w:rsidRPr="0084015D" w:rsidRDefault="00E955C3" w:rsidP="001C2DAA">
            <w:pPr>
              <w:rPr>
                <w:rFonts w:ascii="Arial" w:eastAsia="MS Mincho" w:hAnsi="Arial" w:cs="Arial"/>
                <w:sz w:val="18"/>
                <w:szCs w:val="18"/>
                <w:lang w:val="en-US" w:eastAsia="zh-CN"/>
              </w:rPr>
            </w:pPr>
            <w:r w:rsidRPr="006E4AB1">
              <w:rPr>
                <w:rFonts w:ascii="Arial" w:eastAsia="MS Mincho" w:hAnsi="Arial" w:cs="Arial"/>
                <w:sz w:val="18"/>
                <w:szCs w:val="18"/>
                <w:lang w:val="en-US" w:eastAsia="zh-CN"/>
              </w:rPr>
              <w:t>Number of events, n (%)</w:t>
            </w:r>
          </w:p>
        </w:tc>
        <w:tc>
          <w:tcPr>
            <w:tcW w:w="1791" w:type="dxa"/>
            <w:tcBorders>
              <w:top w:val="nil"/>
              <w:left w:val="nil"/>
              <w:bottom w:val="nil"/>
              <w:right w:val="nil"/>
            </w:tcBorders>
          </w:tcPr>
          <w:p w14:paraId="305DE72F" w14:textId="7A6F465C" w:rsidR="00E955C3" w:rsidRPr="0084015D" w:rsidRDefault="00E955C3" w:rsidP="00C16239">
            <w:pPr>
              <w:jc w:val="center"/>
              <w:rPr>
                <w:rFonts w:ascii="Arial" w:eastAsia="MS Mincho" w:hAnsi="Arial" w:cs="Arial"/>
                <w:sz w:val="18"/>
                <w:szCs w:val="18"/>
                <w:lang w:val="en-US" w:eastAsia="zh-CN"/>
              </w:rPr>
            </w:pPr>
            <w:r>
              <w:rPr>
                <w:rFonts w:ascii="Arial" w:eastAsia="MS Mincho" w:hAnsi="Arial" w:cs="Arial"/>
                <w:sz w:val="18"/>
                <w:szCs w:val="18"/>
                <w:lang w:val="en-US" w:eastAsia="zh-CN"/>
              </w:rPr>
              <w:t>50 (15.0)</w:t>
            </w:r>
          </w:p>
        </w:tc>
        <w:tc>
          <w:tcPr>
            <w:tcW w:w="1791" w:type="dxa"/>
            <w:tcBorders>
              <w:top w:val="nil"/>
              <w:left w:val="nil"/>
              <w:bottom w:val="nil"/>
              <w:right w:val="nil"/>
            </w:tcBorders>
          </w:tcPr>
          <w:p w14:paraId="1D7ABCE2" w14:textId="19EB2379" w:rsidR="00E955C3" w:rsidRPr="0084015D" w:rsidRDefault="00E955C3" w:rsidP="00C16239">
            <w:pPr>
              <w:jc w:val="center"/>
              <w:rPr>
                <w:rFonts w:ascii="Arial" w:eastAsia="MS Mincho" w:hAnsi="Arial" w:cs="Arial"/>
                <w:sz w:val="18"/>
                <w:szCs w:val="18"/>
                <w:lang w:val="en-US" w:eastAsia="zh-CN"/>
              </w:rPr>
            </w:pPr>
            <w:r>
              <w:rPr>
                <w:rFonts w:ascii="Arial" w:eastAsia="MS Mincho" w:hAnsi="Arial" w:cs="Arial"/>
                <w:sz w:val="18"/>
                <w:szCs w:val="18"/>
                <w:lang w:val="en-US" w:eastAsia="zh-CN"/>
              </w:rPr>
              <w:t>72 (21.6)</w:t>
            </w:r>
          </w:p>
        </w:tc>
        <w:tc>
          <w:tcPr>
            <w:tcW w:w="1791" w:type="dxa"/>
            <w:tcBorders>
              <w:top w:val="nil"/>
              <w:left w:val="nil"/>
              <w:bottom w:val="nil"/>
              <w:right w:val="nil"/>
            </w:tcBorders>
          </w:tcPr>
          <w:p w14:paraId="08ACF688" w14:textId="72237941" w:rsidR="00E955C3" w:rsidRPr="00694933" w:rsidRDefault="00EF57CE" w:rsidP="00DA531C">
            <w:pPr>
              <w:jc w:val="center"/>
              <w:rPr>
                <w:rFonts w:ascii="Arial" w:eastAsia="MS Gothic" w:hAnsi="Arial" w:cs="Arial"/>
                <w:sz w:val="18"/>
                <w:szCs w:val="18"/>
                <w:lang w:val="en-US" w:eastAsia="zh-CN"/>
              </w:rPr>
            </w:pPr>
            <w:r w:rsidRPr="00694933">
              <w:rPr>
                <w:rFonts w:ascii="Arial" w:eastAsia="MS Gothic" w:hAnsi="Arial" w:cs="Arial"/>
                <w:sz w:val="18"/>
                <w:szCs w:val="18"/>
                <w:lang w:val="en-US" w:eastAsia="zh-CN"/>
              </w:rPr>
              <w:t>70 (21.0)</w:t>
            </w:r>
          </w:p>
        </w:tc>
        <w:tc>
          <w:tcPr>
            <w:tcW w:w="1791" w:type="dxa"/>
            <w:tcBorders>
              <w:top w:val="nil"/>
              <w:left w:val="nil"/>
              <w:bottom w:val="nil"/>
              <w:right w:val="nil"/>
            </w:tcBorders>
          </w:tcPr>
          <w:p w14:paraId="6E7A7D5F" w14:textId="55EFAA59" w:rsidR="00E955C3" w:rsidRPr="00694933" w:rsidRDefault="00EF57CE" w:rsidP="002A72C5">
            <w:pPr>
              <w:jc w:val="center"/>
              <w:rPr>
                <w:rFonts w:ascii="Arial" w:eastAsia="MS Gothic" w:hAnsi="Arial" w:cs="Arial"/>
                <w:sz w:val="18"/>
                <w:szCs w:val="18"/>
                <w:lang w:val="en-US" w:eastAsia="zh-CN"/>
              </w:rPr>
            </w:pPr>
            <w:r w:rsidRPr="00694933">
              <w:rPr>
                <w:rFonts w:ascii="Arial" w:eastAsia="MS Gothic" w:hAnsi="Arial" w:cs="Arial"/>
                <w:sz w:val="18"/>
                <w:szCs w:val="18"/>
                <w:lang w:val="en-US" w:eastAsia="zh-CN"/>
              </w:rPr>
              <w:t>100 (29.9)</w:t>
            </w:r>
          </w:p>
        </w:tc>
      </w:tr>
      <w:tr w:rsidR="00200C8A" w:rsidRPr="0084015D" w14:paraId="29F7E99B" w14:textId="77777777" w:rsidTr="009F7F0A">
        <w:tc>
          <w:tcPr>
            <w:tcW w:w="2810" w:type="dxa"/>
            <w:tcBorders>
              <w:top w:val="nil"/>
              <w:left w:val="nil"/>
              <w:bottom w:val="nil"/>
              <w:right w:val="nil"/>
            </w:tcBorders>
          </w:tcPr>
          <w:p w14:paraId="738244C5" w14:textId="6FF642A1" w:rsidR="00200C8A" w:rsidRPr="0084015D" w:rsidRDefault="00430A31" w:rsidP="001C2DAA">
            <w:pPr>
              <w:rPr>
                <w:rFonts w:ascii="Arial" w:eastAsia="MS Gothic" w:hAnsi="Arial" w:cs="Arial"/>
                <w:b/>
                <w:sz w:val="18"/>
                <w:szCs w:val="18"/>
                <w:lang w:val="en-US" w:eastAsia="zh-CN"/>
              </w:rPr>
            </w:pPr>
            <w:r w:rsidRPr="0084015D">
              <w:rPr>
                <w:rFonts w:ascii="Arial" w:eastAsia="MS Mincho" w:hAnsi="Arial" w:cs="Arial"/>
                <w:sz w:val="18"/>
                <w:szCs w:val="18"/>
                <w:lang w:val="en-US" w:eastAsia="zh-CN"/>
              </w:rPr>
              <w:t>Median PFS [months] (95 % CI)</w:t>
            </w:r>
          </w:p>
        </w:tc>
        <w:tc>
          <w:tcPr>
            <w:tcW w:w="1791" w:type="dxa"/>
            <w:tcBorders>
              <w:top w:val="nil"/>
              <w:left w:val="nil"/>
              <w:bottom w:val="nil"/>
              <w:right w:val="nil"/>
            </w:tcBorders>
          </w:tcPr>
          <w:p w14:paraId="67952DB4" w14:textId="2F0ADC95" w:rsidR="00200C8A" w:rsidRPr="0084015D" w:rsidRDefault="0084015D" w:rsidP="00C16239">
            <w:pPr>
              <w:jc w:val="center"/>
              <w:rPr>
                <w:rFonts w:ascii="Arial" w:eastAsia="MS Gothic" w:hAnsi="Arial" w:cs="Arial"/>
                <w:b/>
                <w:sz w:val="18"/>
                <w:szCs w:val="18"/>
                <w:lang w:val="en-US" w:eastAsia="zh-CN"/>
              </w:rPr>
            </w:pPr>
            <w:r w:rsidRPr="0084015D">
              <w:rPr>
                <w:rFonts w:ascii="Arial" w:eastAsia="MS Mincho" w:hAnsi="Arial" w:cs="Arial"/>
                <w:sz w:val="18"/>
                <w:szCs w:val="18"/>
                <w:lang w:val="en-US" w:eastAsia="zh-CN"/>
              </w:rPr>
              <w:t>22.9 (NE, NE)</w:t>
            </w:r>
          </w:p>
        </w:tc>
        <w:tc>
          <w:tcPr>
            <w:tcW w:w="1791" w:type="dxa"/>
            <w:tcBorders>
              <w:top w:val="nil"/>
              <w:left w:val="nil"/>
              <w:bottom w:val="nil"/>
              <w:right w:val="nil"/>
            </w:tcBorders>
          </w:tcPr>
          <w:p w14:paraId="61074135" w14:textId="4142E41E" w:rsidR="00200C8A" w:rsidRPr="0084015D" w:rsidRDefault="0084015D" w:rsidP="00C16239">
            <w:pPr>
              <w:jc w:val="center"/>
              <w:rPr>
                <w:rFonts w:ascii="Arial" w:eastAsia="MS Gothic" w:hAnsi="Arial" w:cs="Arial"/>
                <w:b/>
                <w:sz w:val="18"/>
                <w:szCs w:val="18"/>
                <w:lang w:val="en-US" w:eastAsia="zh-CN"/>
              </w:rPr>
            </w:pPr>
            <w:r w:rsidRPr="0084015D">
              <w:rPr>
                <w:rFonts w:ascii="Arial" w:eastAsia="MS Mincho" w:hAnsi="Arial" w:cs="Arial"/>
                <w:sz w:val="18"/>
                <w:szCs w:val="18"/>
                <w:lang w:val="en-US" w:eastAsia="zh-CN"/>
              </w:rPr>
              <w:t>NE (NE, NE)</w:t>
            </w:r>
          </w:p>
        </w:tc>
        <w:tc>
          <w:tcPr>
            <w:tcW w:w="1791" w:type="dxa"/>
            <w:tcBorders>
              <w:top w:val="nil"/>
              <w:left w:val="nil"/>
              <w:bottom w:val="nil"/>
              <w:right w:val="nil"/>
            </w:tcBorders>
          </w:tcPr>
          <w:p w14:paraId="6E5D80E4" w14:textId="76C4AC3C" w:rsidR="00200C8A" w:rsidRPr="00694933" w:rsidRDefault="002A72C5" w:rsidP="00DA531C">
            <w:pPr>
              <w:jc w:val="center"/>
              <w:rPr>
                <w:rFonts w:ascii="Arial" w:eastAsia="MS Gothic" w:hAnsi="Arial" w:cs="Arial"/>
                <w:sz w:val="18"/>
                <w:szCs w:val="18"/>
                <w:lang w:val="en-US" w:eastAsia="zh-CN"/>
              </w:rPr>
            </w:pPr>
            <w:r w:rsidRPr="00694933">
              <w:rPr>
                <w:rFonts w:ascii="Arial" w:eastAsia="MS Gothic" w:hAnsi="Arial" w:cs="Arial"/>
                <w:sz w:val="18"/>
                <w:szCs w:val="18"/>
                <w:lang w:val="en-US" w:eastAsia="zh-CN"/>
              </w:rPr>
              <w:t>NE (30.3, NE)</w:t>
            </w:r>
          </w:p>
        </w:tc>
        <w:tc>
          <w:tcPr>
            <w:tcW w:w="1791" w:type="dxa"/>
            <w:tcBorders>
              <w:top w:val="nil"/>
              <w:left w:val="nil"/>
              <w:bottom w:val="nil"/>
              <w:right w:val="nil"/>
            </w:tcBorders>
          </w:tcPr>
          <w:p w14:paraId="1426A796" w14:textId="72106FF5" w:rsidR="00200C8A" w:rsidRPr="00694933" w:rsidRDefault="002A72C5" w:rsidP="002A72C5">
            <w:pPr>
              <w:jc w:val="center"/>
              <w:rPr>
                <w:rFonts w:ascii="Arial" w:eastAsia="MS Gothic" w:hAnsi="Arial" w:cs="Arial"/>
                <w:sz w:val="18"/>
                <w:szCs w:val="18"/>
                <w:lang w:val="en-US" w:eastAsia="zh-CN"/>
              </w:rPr>
            </w:pPr>
            <w:r w:rsidRPr="00694933">
              <w:rPr>
                <w:rFonts w:ascii="Arial" w:eastAsia="MS Gothic" w:hAnsi="Arial" w:cs="Arial"/>
                <w:sz w:val="18"/>
                <w:szCs w:val="18"/>
                <w:lang w:val="en-US" w:eastAsia="zh-CN"/>
              </w:rPr>
              <w:t>NE (24.9, NE)</w:t>
            </w:r>
          </w:p>
        </w:tc>
      </w:tr>
      <w:tr w:rsidR="00331E37" w:rsidRPr="0084015D" w14:paraId="3A275AC1" w14:textId="77777777" w:rsidTr="009F7F0A">
        <w:tc>
          <w:tcPr>
            <w:tcW w:w="2810" w:type="dxa"/>
            <w:tcBorders>
              <w:top w:val="nil"/>
              <w:left w:val="nil"/>
              <w:bottom w:val="nil"/>
              <w:right w:val="nil"/>
            </w:tcBorders>
          </w:tcPr>
          <w:p w14:paraId="26C9970F" w14:textId="696120F8" w:rsidR="00331E37" w:rsidRPr="0084015D" w:rsidRDefault="00331E37" w:rsidP="001C2DAA">
            <w:pPr>
              <w:rPr>
                <w:rFonts w:ascii="Arial" w:eastAsia="MS Gothic" w:hAnsi="Arial" w:cs="Arial"/>
                <w:b/>
                <w:sz w:val="18"/>
                <w:szCs w:val="18"/>
                <w:lang w:val="en-US" w:eastAsia="zh-CN"/>
              </w:rPr>
            </w:pPr>
            <w:r w:rsidRPr="0084015D">
              <w:rPr>
                <w:rFonts w:ascii="Arial" w:eastAsia="MS Mincho" w:hAnsi="Arial" w:cs="Arial"/>
                <w:sz w:val="18"/>
                <w:szCs w:val="18"/>
                <w:lang w:val="en-US" w:eastAsia="zh-CN"/>
              </w:rPr>
              <w:t>Hazard ratio</w:t>
            </w:r>
            <w:r w:rsidR="005F7576">
              <w:rPr>
                <w:rFonts w:ascii="Arial" w:eastAsia="MS Mincho" w:hAnsi="Arial" w:cs="Arial"/>
                <w:sz w:val="18"/>
                <w:szCs w:val="18"/>
                <w:lang w:val="en-US" w:eastAsia="zh-CN"/>
              </w:rPr>
              <w:t>, HR</w:t>
            </w:r>
            <w:r w:rsidRPr="0084015D">
              <w:rPr>
                <w:rFonts w:ascii="Arial" w:eastAsia="MS Mincho" w:hAnsi="Arial" w:cs="Arial"/>
                <w:sz w:val="18"/>
                <w:szCs w:val="18"/>
                <w:lang w:val="en-US" w:eastAsia="zh-CN"/>
              </w:rPr>
              <w:t xml:space="preserve"> (95 % CI)</w:t>
            </w:r>
          </w:p>
        </w:tc>
        <w:tc>
          <w:tcPr>
            <w:tcW w:w="3582" w:type="dxa"/>
            <w:gridSpan w:val="2"/>
            <w:tcBorders>
              <w:top w:val="nil"/>
              <w:left w:val="nil"/>
              <w:bottom w:val="nil"/>
              <w:right w:val="nil"/>
            </w:tcBorders>
          </w:tcPr>
          <w:p w14:paraId="1A1BC576" w14:textId="7C6943B0" w:rsidR="00331E37" w:rsidRPr="0084015D" w:rsidRDefault="00331E37" w:rsidP="00C16239">
            <w:pPr>
              <w:jc w:val="center"/>
              <w:rPr>
                <w:rFonts w:ascii="Arial" w:eastAsia="MS Gothic" w:hAnsi="Arial" w:cs="Arial"/>
                <w:b/>
                <w:sz w:val="18"/>
                <w:szCs w:val="18"/>
                <w:lang w:val="en-US" w:eastAsia="zh-CN"/>
              </w:rPr>
            </w:pPr>
            <w:r w:rsidRPr="0084015D">
              <w:rPr>
                <w:rFonts w:ascii="Arial" w:eastAsia="MS Mincho" w:hAnsi="Arial" w:cs="Arial"/>
                <w:sz w:val="18"/>
                <w:szCs w:val="18"/>
                <w:lang w:val="en-US" w:eastAsia="zh-CN"/>
              </w:rPr>
              <w:t>0.592 (0.412, 0.852)</w:t>
            </w:r>
          </w:p>
        </w:tc>
        <w:tc>
          <w:tcPr>
            <w:tcW w:w="3582" w:type="dxa"/>
            <w:gridSpan w:val="2"/>
            <w:tcBorders>
              <w:top w:val="nil"/>
              <w:left w:val="nil"/>
              <w:bottom w:val="nil"/>
              <w:right w:val="nil"/>
            </w:tcBorders>
          </w:tcPr>
          <w:p w14:paraId="7463F7D3" w14:textId="632E174A" w:rsidR="00331E37" w:rsidRPr="00694933" w:rsidRDefault="00331E37" w:rsidP="00446967">
            <w:pPr>
              <w:jc w:val="center"/>
              <w:rPr>
                <w:rFonts w:ascii="Arial" w:eastAsia="MS Gothic" w:hAnsi="Arial" w:cs="Arial"/>
                <w:sz w:val="18"/>
                <w:szCs w:val="18"/>
                <w:lang w:val="en-US" w:eastAsia="zh-CN"/>
              </w:rPr>
            </w:pPr>
            <w:r w:rsidRPr="00694933">
              <w:rPr>
                <w:rFonts w:ascii="Arial" w:eastAsia="MS Gothic" w:hAnsi="Arial" w:cs="Arial"/>
                <w:sz w:val="18"/>
                <w:szCs w:val="18"/>
                <w:lang w:val="en-US" w:eastAsia="zh-CN"/>
              </w:rPr>
              <w:t>0.564</w:t>
            </w:r>
            <w:r w:rsidRPr="00694933">
              <w:rPr>
                <w:rFonts w:ascii="Courier New" w:hAnsi="Courier New" w:cs="Courier New"/>
                <w:noProof/>
                <w:sz w:val="18"/>
                <w:szCs w:val="18"/>
              </w:rPr>
              <w:t>(</w:t>
            </w:r>
            <w:r w:rsidRPr="00694933">
              <w:rPr>
                <w:rFonts w:ascii="Arial" w:eastAsia="MS Gothic" w:hAnsi="Arial" w:cs="Arial"/>
                <w:sz w:val="18"/>
                <w:szCs w:val="18"/>
                <w:lang w:val="en-US" w:eastAsia="zh-CN"/>
              </w:rPr>
              <w:t>0.415, 0.767)</w:t>
            </w:r>
          </w:p>
        </w:tc>
      </w:tr>
      <w:tr w:rsidR="00DA531C" w:rsidRPr="0084015D" w14:paraId="4A688D17" w14:textId="77777777" w:rsidTr="009F7F0A">
        <w:tc>
          <w:tcPr>
            <w:tcW w:w="2810" w:type="dxa"/>
            <w:tcBorders>
              <w:top w:val="nil"/>
              <w:left w:val="nil"/>
              <w:bottom w:val="nil"/>
              <w:right w:val="nil"/>
            </w:tcBorders>
          </w:tcPr>
          <w:p w14:paraId="0B0ED165" w14:textId="7C5C8504" w:rsidR="00DA531C" w:rsidRPr="0084015D" w:rsidRDefault="00DA531C" w:rsidP="001C2DAA">
            <w:pPr>
              <w:rPr>
                <w:rFonts w:ascii="Arial" w:eastAsia="MS Gothic" w:hAnsi="Arial" w:cs="Arial"/>
                <w:b/>
                <w:sz w:val="18"/>
                <w:szCs w:val="18"/>
                <w:lang w:val="en-US" w:eastAsia="zh-CN"/>
              </w:rPr>
            </w:pPr>
            <w:r w:rsidRPr="0084015D">
              <w:rPr>
                <w:rFonts w:ascii="Arial" w:eastAsia="MS Mincho" w:hAnsi="Arial" w:cs="Arial"/>
                <w:sz w:val="18"/>
                <w:szCs w:val="18"/>
                <w:lang w:val="en-US" w:eastAsia="zh-CN"/>
              </w:rPr>
              <w:t>p-</w:t>
            </w:r>
            <w:proofErr w:type="spellStart"/>
            <w:r w:rsidRPr="0084015D">
              <w:rPr>
                <w:rFonts w:ascii="Arial" w:eastAsia="MS Mincho" w:hAnsi="Arial" w:cs="Arial"/>
                <w:sz w:val="18"/>
                <w:szCs w:val="18"/>
                <w:lang w:val="en-US" w:eastAsia="zh-CN"/>
              </w:rPr>
              <w:t>value</w:t>
            </w:r>
            <w:r w:rsidRPr="0084015D">
              <w:rPr>
                <w:rFonts w:ascii="Arial" w:eastAsia="MS Mincho" w:hAnsi="Arial" w:cs="Arial"/>
                <w:sz w:val="18"/>
                <w:szCs w:val="18"/>
                <w:vertAlign w:val="superscript"/>
                <w:lang w:val="en-US" w:eastAsia="zh-CN"/>
              </w:rPr>
              <w:t>a</w:t>
            </w:r>
            <w:proofErr w:type="spellEnd"/>
          </w:p>
        </w:tc>
        <w:tc>
          <w:tcPr>
            <w:tcW w:w="3582" w:type="dxa"/>
            <w:gridSpan w:val="2"/>
            <w:tcBorders>
              <w:top w:val="nil"/>
              <w:left w:val="nil"/>
              <w:bottom w:val="nil"/>
              <w:right w:val="nil"/>
            </w:tcBorders>
          </w:tcPr>
          <w:p w14:paraId="26641D75" w14:textId="4EE2B114" w:rsidR="00DA531C" w:rsidRPr="0084015D" w:rsidRDefault="00DA531C" w:rsidP="00C16239">
            <w:pPr>
              <w:jc w:val="center"/>
              <w:rPr>
                <w:rFonts w:ascii="Arial" w:eastAsia="MS Gothic" w:hAnsi="Arial" w:cs="Arial"/>
                <w:b/>
                <w:sz w:val="18"/>
                <w:szCs w:val="18"/>
                <w:lang w:val="en-US" w:eastAsia="zh-CN"/>
              </w:rPr>
            </w:pPr>
            <w:r w:rsidRPr="0084015D">
              <w:rPr>
                <w:rFonts w:ascii="Arial" w:eastAsia="MS Mincho" w:hAnsi="Arial" w:cs="Arial"/>
                <w:sz w:val="18"/>
                <w:szCs w:val="18"/>
                <w:lang w:val="en-US" w:eastAsia="zh-CN"/>
              </w:rPr>
              <w:t>0.002</w:t>
            </w:r>
          </w:p>
        </w:tc>
        <w:tc>
          <w:tcPr>
            <w:tcW w:w="3582" w:type="dxa"/>
            <w:gridSpan w:val="2"/>
            <w:tcBorders>
              <w:top w:val="nil"/>
              <w:left w:val="nil"/>
              <w:bottom w:val="nil"/>
              <w:right w:val="nil"/>
            </w:tcBorders>
          </w:tcPr>
          <w:p w14:paraId="232480A9" w14:textId="0B330B4C" w:rsidR="00DA531C" w:rsidRPr="0084015D" w:rsidRDefault="008F575E" w:rsidP="00DA531C">
            <w:pPr>
              <w:jc w:val="center"/>
              <w:rPr>
                <w:rFonts w:ascii="Arial" w:eastAsia="MS Gothic" w:hAnsi="Arial" w:cs="Arial"/>
                <w:b/>
                <w:sz w:val="18"/>
                <w:szCs w:val="18"/>
                <w:lang w:val="en-US" w:eastAsia="zh-CN"/>
              </w:rPr>
            </w:pPr>
            <w:r>
              <w:rPr>
                <w:rFonts w:ascii="Arial" w:eastAsia="MS Mincho" w:hAnsi="Arial" w:cs="Arial"/>
                <w:sz w:val="18"/>
                <w:szCs w:val="18"/>
                <w:lang w:val="en-US" w:eastAsia="zh-CN"/>
              </w:rPr>
              <w:t>0.0001</w:t>
            </w:r>
            <w:r w:rsidR="00331E37" w:rsidRPr="00331E37">
              <w:rPr>
                <w:rFonts w:ascii="Arial" w:eastAsia="MS Mincho" w:hAnsi="Arial" w:cs="Arial"/>
                <w:sz w:val="18"/>
                <w:szCs w:val="18"/>
                <w:lang w:val="en-US" w:eastAsia="zh-CN"/>
              </w:rPr>
              <w:t>0</w:t>
            </w:r>
            <w:r>
              <w:rPr>
                <w:rFonts w:ascii="Arial" w:eastAsia="MS Mincho" w:hAnsi="Arial" w:cs="Arial"/>
                <w:sz w:val="18"/>
                <w:szCs w:val="18"/>
                <w:lang w:val="en-US" w:eastAsia="zh-CN"/>
              </w:rPr>
              <w:t>7</w:t>
            </w:r>
          </w:p>
        </w:tc>
      </w:tr>
      <w:tr w:rsidR="006E4AB1" w:rsidRPr="0084015D" w14:paraId="2B8DC90C" w14:textId="77777777" w:rsidTr="009F7F0A">
        <w:tc>
          <w:tcPr>
            <w:tcW w:w="9974" w:type="dxa"/>
            <w:gridSpan w:val="5"/>
            <w:tcBorders>
              <w:top w:val="single" w:sz="4" w:space="0" w:color="auto"/>
              <w:left w:val="nil"/>
              <w:bottom w:val="nil"/>
              <w:right w:val="nil"/>
            </w:tcBorders>
          </w:tcPr>
          <w:p w14:paraId="34F163C8" w14:textId="4E4E6CAC" w:rsidR="006E4AB1" w:rsidRPr="00665B6A" w:rsidRDefault="00C8255E" w:rsidP="006E4AB1">
            <w:pPr>
              <w:rPr>
                <w:rFonts w:ascii="Arial" w:eastAsia="MS Mincho" w:hAnsi="Arial" w:cs="Arial"/>
                <w:sz w:val="18"/>
                <w:szCs w:val="18"/>
                <w:lang w:val="en-US" w:eastAsia="zh-CN"/>
              </w:rPr>
            </w:pPr>
            <w:r w:rsidRPr="00665B6A">
              <w:rPr>
                <w:rFonts w:ascii="Arial" w:eastAsia="MS Mincho" w:hAnsi="Arial" w:cs="Arial"/>
                <w:b/>
                <w:sz w:val="18"/>
                <w:szCs w:val="18"/>
                <w:lang w:val="en-US" w:eastAsia="zh-CN"/>
              </w:rPr>
              <w:t>OS</w:t>
            </w:r>
          </w:p>
        </w:tc>
      </w:tr>
      <w:tr w:rsidR="006E4AB1" w:rsidRPr="0084015D" w14:paraId="12741EF8" w14:textId="77777777" w:rsidTr="009F7F0A">
        <w:tc>
          <w:tcPr>
            <w:tcW w:w="2810" w:type="dxa"/>
            <w:tcBorders>
              <w:top w:val="nil"/>
              <w:left w:val="nil"/>
              <w:bottom w:val="nil"/>
              <w:right w:val="nil"/>
            </w:tcBorders>
          </w:tcPr>
          <w:p w14:paraId="79669F95" w14:textId="1A74678B" w:rsidR="006E4AB1" w:rsidRPr="00665B6A" w:rsidRDefault="00B0084C" w:rsidP="006E4AB1">
            <w:pPr>
              <w:rPr>
                <w:rFonts w:ascii="Arial" w:eastAsia="MS Mincho" w:hAnsi="Arial" w:cs="Arial"/>
                <w:sz w:val="18"/>
                <w:szCs w:val="18"/>
                <w:lang w:val="en-US" w:eastAsia="zh-CN"/>
              </w:rPr>
            </w:pPr>
            <w:r w:rsidRPr="00665B6A">
              <w:rPr>
                <w:rFonts w:ascii="Arial" w:eastAsia="MS Mincho" w:hAnsi="Arial" w:cs="Arial"/>
                <w:sz w:val="18"/>
                <w:szCs w:val="18"/>
                <w:lang w:val="en-US" w:eastAsia="zh-CN"/>
              </w:rPr>
              <w:t>Number of events, n (%)</w:t>
            </w:r>
          </w:p>
        </w:tc>
        <w:tc>
          <w:tcPr>
            <w:tcW w:w="1791" w:type="dxa"/>
            <w:tcBorders>
              <w:top w:val="nil"/>
              <w:left w:val="nil"/>
              <w:bottom w:val="nil"/>
              <w:right w:val="nil"/>
            </w:tcBorders>
          </w:tcPr>
          <w:p w14:paraId="7105093E" w14:textId="357B6EDB" w:rsidR="006E4AB1" w:rsidRPr="00665B6A" w:rsidRDefault="0089187A" w:rsidP="0089187A">
            <w:pPr>
              <w:jc w:val="center"/>
              <w:rPr>
                <w:rFonts w:ascii="Arial" w:eastAsia="MS Mincho" w:hAnsi="Arial" w:cs="Arial"/>
                <w:sz w:val="18"/>
                <w:szCs w:val="18"/>
                <w:lang w:val="en-US" w:eastAsia="zh-CN"/>
              </w:rPr>
            </w:pPr>
            <w:r w:rsidRPr="00665B6A">
              <w:rPr>
                <w:rFonts w:ascii="Arial" w:eastAsia="MS Gothic" w:hAnsi="Arial" w:cs="Arial"/>
                <w:sz w:val="18"/>
                <w:szCs w:val="18"/>
                <w:lang w:val="en-US" w:eastAsia="zh-CN"/>
              </w:rPr>
              <w:t>23 (6.9)</w:t>
            </w:r>
          </w:p>
        </w:tc>
        <w:tc>
          <w:tcPr>
            <w:tcW w:w="1791" w:type="dxa"/>
            <w:tcBorders>
              <w:top w:val="nil"/>
              <w:left w:val="nil"/>
              <w:bottom w:val="nil"/>
              <w:right w:val="nil"/>
            </w:tcBorders>
          </w:tcPr>
          <w:p w14:paraId="694081F0" w14:textId="74F6B942" w:rsidR="006E4AB1" w:rsidRPr="00665B6A" w:rsidRDefault="0089187A" w:rsidP="006E4AB1">
            <w:pPr>
              <w:jc w:val="center"/>
              <w:rPr>
                <w:rFonts w:ascii="Arial" w:eastAsia="MS Mincho" w:hAnsi="Arial" w:cs="Arial"/>
                <w:sz w:val="18"/>
                <w:szCs w:val="18"/>
                <w:lang w:val="en-US" w:eastAsia="zh-CN"/>
              </w:rPr>
            </w:pPr>
            <w:r w:rsidRPr="00665B6A">
              <w:rPr>
                <w:rFonts w:ascii="Arial" w:eastAsia="MS Gothic" w:hAnsi="Arial" w:cs="Arial"/>
                <w:sz w:val="18"/>
                <w:szCs w:val="18"/>
                <w:lang w:val="en-US" w:eastAsia="zh-CN"/>
              </w:rPr>
              <w:t>20 (6.0)</w:t>
            </w:r>
          </w:p>
        </w:tc>
        <w:tc>
          <w:tcPr>
            <w:tcW w:w="1791" w:type="dxa"/>
            <w:tcBorders>
              <w:top w:val="nil"/>
              <w:left w:val="nil"/>
              <w:bottom w:val="nil"/>
              <w:right w:val="nil"/>
            </w:tcBorders>
          </w:tcPr>
          <w:p w14:paraId="6AC5BC1C" w14:textId="59436D5B" w:rsidR="006E4AB1" w:rsidRPr="00665B6A" w:rsidRDefault="00613499" w:rsidP="006E4AB1">
            <w:pPr>
              <w:jc w:val="center"/>
              <w:rPr>
                <w:rFonts w:ascii="Arial" w:eastAsia="MS Gothic" w:hAnsi="Arial" w:cs="Arial"/>
                <w:sz w:val="18"/>
                <w:szCs w:val="18"/>
                <w:lang w:val="en-US" w:eastAsia="zh-CN"/>
              </w:rPr>
            </w:pPr>
            <w:r w:rsidRPr="00665B6A">
              <w:rPr>
                <w:rFonts w:ascii="Arial" w:eastAsia="MS Gothic" w:hAnsi="Arial" w:cs="Arial"/>
                <w:sz w:val="18"/>
                <w:szCs w:val="18"/>
                <w:lang w:val="en-US" w:eastAsia="zh-CN"/>
              </w:rPr>
              <w:t>50 (15.0)</w:t>
            </w:r>
          </w:p>
        </w:tc>
        <w:tc>
          <w:tcPr>
            <w:tcW w:w="1791" w:type="dxa"/>
            <w:tcBorders>
              <w:top w:val="nil"/>
              <w:left w:val="nil"/>
              <w:bottom w:val="nil"/>
              <w:right w:val="nil"/>
            </w:tcBorders>
          </w:tcPr>
          <w:p w14:paraId="3ECE7BE7" w14:textId="02F8D45A" w:rsidR="006E4AB1" w:rsidRPr="00665B6A" w:rsidRDefault="00E7210D" w:rsidP="006E4AB1">
            <w:pPr>
              <w:jc w:val="center"/>
              <w:rPr>
                <w:rFonts w:ascii="Arial" w:eastAsia="MS Gothic" w:hAnsi="Arial" w:cs="Arial"/>
                <w:sz w:val="18"/>
                <w:szCs w:val="18"/>
                <w:lang w:val="en-US" w:eastAsia="zh-CN"/>
              </w:rPr>
            </w:pPr>
            <w:r w:rsidRPr="00665B6A">
              <w:rPr>
                <w:rFonts w:ascii="Arial" w:eastAsia="MS Gothic" w:hAnsi="Arial" w:cs="Arial"/>
                <w:sz w:val="18"/>
                <w:szCs w:val="18"/>
                <w:lang w:val="en-US" w:eastAsia="zh-CN"/>
              </w:rPr>
              <w:t>66 (19.8)</w:t>
            </w:r>
          </w:p>
        </w:tc>
      </w:tr>
      <w:tr w:rsidR="006E4AB1" w:rsidRPr="0084015D" w14:paraId="13FB7D80" w14:textId="77777777" w:rsidTr="009F7F0A">
        <w:tc>
          <w:tcPr>
            <w:tcW w:w="2810" w:type="dxa"/>
            <w:tcBorders>
              <w:top w:val="nil"/>
              <w:left w:val="nil"/>
              <w:bottom w:val="nil"/>
              <w:right w:val="nil"/>
            </w:tcBorders>
          </w:tcPr>
          <w:p w14:paraId="3312C0A3" w14:textId="0E512EA8" w:rsidR="006E4AB1" w:rsidRPr="00665B6A" w:rsidRDefault="004D6874" w:rsidP="004D6874">
            <w:pPr>
              <w:rPr>
                <w:rFonts w:ascii="Arial" w:eastAsia="MS Mincho" w:hAnsi="Arial" w:cs="Arial"/>
                <w:sz w:val="18"/>
                <w:szCs w:val="18"/>
                <w:lang w:val="en-US" w:eastAsia="zh-CN"/>
              </w:rPr>
            </w:pPr>
            <w:r w:rsidRPr="00665B6A">
              <w:rPr>
                <w:rFonts w:ascii="Arial" w:eastAsia="MS Mincho" w:hAnsi="Arial" w:cs="Arial"/>
                <w:sz w:val="18"/>
                <w:szCs w:val="18"/>
                <w:lang w:val="en-US" w:eastAsia="zh-CN"/>
              </w:rPr>
              <w:t>Median PFS [months] (95 % CI</w:t>
            </w:r>
          </w:p>
        </w:tc>
        <w:tc>
          <w:tcPr>
            <w:tcW w:w="1791" w:type="dxa"/>
            <w:tcBorders>
              <w:top w:val="nil"/>
              <w:left w:val="nil"/>
              <w:bottom w:val="nil"/>
              <w:right w:val="nil"/>
            </w:tcBorders>
          </w:tcPr>
          <w:p w14:paraId="7174F30C" w14:textId="0EE17302" w:rsidR="006E4AB1" w:rsidRPr="00665B6A" w:rsidRDefault="0089187A" w:rsidP="006E4AB1">
            <w:pPr>
              <w:jc w:val="center"/>
              <w:rPr>
                <w:rFonts w:ascii="Arial" w:eastAsia="MS Mincho" w:hAnsi="Arial" w:cs="Arial"/>
                <w:sz w:val="18"/>
                <w:szCs w:val="18"/>
                <w:lang w:val="en-US" w:eastAsia="zh-CN"/>
              </w:rPr>
            </w:pPr>
            <w:r w:rsidRPr="00665B6A">
              <w:rPr>
                <w:rFonts w:ascii="Arial" w:eastAsia="MS Gothic" w:hAnsi="Arial" w:cs="Arial"/>
                <w:sz w:val="18"/>
                <w:szCs w:val="18"/>
                <w:lang w:val="en-US" w:eastAsia="zh-CN"/>
              </w:rPr>
              <w:t>NE (NE-NE)</w:t>
            </w:r>
          </w:p>
        </w:tc>
        <w:tc>
          <w:tcPr>
            <w:tcW w:w="1791" w:type="dxa"/>
            <w:tcBorders>
              <w:top w:val="nil"/>
              <w:left w:val="nil"/>
              <w:bottom w:val="nil"/>
              <w:right w:val="nil"/>
            </w:tcBorders>
          </w:tcPr>
          <w:p w14:paraId="2E9CF84A" w14:textId="4941E593" w:rsidR="006E4AB1" w:rsidRPr="00665B6A" w:rsidRDefault="0089187A" w:rsidP="006E4AB1">
            <w:pPr>
              <w:jc w:val="center"/>
              <w:rPr>
                <w:rFonts w:ascii="Arial" w:eastAsia="MS Mincho" w:hAnsi="Arial" w:cs="Arial"/>
                <w:sz w:val="18"/>
                <w:szCs w:val="18"/>
                <w:lang w:val="en-US" w:eastAsia="zh-CN"/>
              </w:rPr>
            </w:pPr>
            <w:r w:rsidRPr="00665B6A">
              <w:rPr>
                <w:rFonts w:ascii="Arial" w:eastAsia="MS Gothic" w:hAnsi="Arial" w:cs="Arial"/>
                <w:sz w:val="18"/>
                <w:szCs w:val="18"/>
                <w:lang w:val="en-US" w:eastAsia="zh-CN"/>
              </w:rPr>
              <w:t>NE (NE-NE)</w:t>
            </w:r>
          </w:p>
        </w:tc>
        <w:tc>
          <w:tcPr>
            <w:tcW w:w="1791" w:type="dxa"/>
            <w:tcBorders>
              <w:top w:val="nil"/>
              <w:left w:val="nil"/>
              <w:bottom w:val="nil"/>
              <w:right w:val="nil"/>
            </w:tcBorders>
          </w:tcPr>
          <w:p w14:paraId="56EDFC22" w14:textId="07C3DB28" w:rsidR="006E4AB1" w:rsidRPr="00665B6A" w:rsidRDefault="002D2495" w:rsidP="006E4AB1">
            <w:pPr>
              <w:jc w:val="center"/>
              <w:rPr>
                <w:rFonts w:ascii="Arial" w:eastAsia="MS Gothic" w:hAnsi="Arial" w:cs="Arial"/>
                <w:sz w:val="18"/>
                <w:szCs w:val="18"/>
                <w:lang w:val="en-US" w:eastAsia="zh-CN"/>
              </w:rPr>
            </w:pPr>
            <w:r w:rsidRPr="00665B6A">
              <w:rPr>
                <w:rFonts w:ascii="Arial" w:eastAsia="MS Gothic" w:hAnsi="Arial" w:cs="Arial"/>
                <w:sz w:val="18"/>
                <w:szCs w:val="18"/>
                <w:lang w:val="en-US" w:eastAsia="zh-CN"/>
              </w:rPr>
              <w:t>NE (NE-NE)</w:t>
            </w:r>
          </w:p>
        </w:tc>
        <w:tc>
          <w:tcPr>
            <w:tcW w:w="1791" w:type="dxa"/>
            <w:tcBorders>
              <w:top w:val="nil"/>
              <w:left w:val="nil"/>
              <w:bottom w:val="nil"/>
              <w:right w:val="nil"/>
            </w:tcBorders>
          </w:tcPr>
          <w:p w14:paraId="02EE889C" w14:textId="34A4D7F8" w:rsidR="006E4AB1" w:rsidRPr="00665B6A" w:rsidRDefault="002E5348" w:rsidP="006E4AB1">
            <w:pPr>
              <w:jc w:val="center"/>
              <w:rPr>
                <w:rFonts w:ascii="Arial" w:eastAsia="MS Gothic" w:hAnsi="Arial" w:cs="Arial"/>
                <w:sz w:val="18"/>
                <w:szCs w:val="18"/>
                <w:lang w:val="en-US" w:eastAsia="zh-CN"/>
              </w:rPr>
            </w:pPr>
            <w:r w:rsidRPr="00665B6A">
              <w:rPr>
                <w:rFonts w:ascii="Arial" w:eastAsia="MS Gothic" w:hAnsi="Arial" w:cs="Arial"/>
                <w:sz w:val="18"/>
                <w:szCs w:val="18"/>
                <w:lang w:val="en-US" w:eastAsia="zh-CN"/>
              </w:rPr>
              <w:t>33.0 (33.0–NE)</w:t>
            </w:r>
          </w:p>
        </w:tc>
      </w:tr>
      <w:tr w:rsidR="00707395" w:rsidRPr="0084015D" w14:paraId="5656D118" w14:textId="77777777" w:rsidTr="009F7F0A">
        <w:tc>
          <w:tcPr>
            <w:tcW w:w="2810" w:type="dxa"/>
            <w:tcBorders>
              <w:top w:val="nil"/>
              <w:left w:val="nil"/>
              <w:bottom w:val="nil"/>
              <w:right w:val="nil"/>
            </w:tcBorders>
          </w:tcPr>
          <w:p w14:paraId="320A4D27" w14:textId="2BC65342" w:rsidR="00707395" w:rsidRPr="00665B6A" w:rsidRDefault="00B51AB4" w:rsidP="006E4AB1">
            <w:pPr>
              <w:rPr>
                <w:rFonts w:ascii="Arial" w:eastAsia="MS Mincho" w:hAnsi="Arial" w:cs="Arial"/>
                <w:sz w:val="18"/>
                <w:szCs w:val="18"/>
                <w:lang w:val="en-US" w:eastAsia="zh-CN"/>
              </w:rPr>
            </w:pPr>
            <w:r w:rsidRPr="00665B6A">
              <w:rPr>
                <w:rFonts w:ascii="Arial" w:eastAsia="MS Mincho" w:hAnsi="Arial" w:cs="Arial"/>
                <w:sz w:val="18"/>
                <w:szCs w:val="18"/>
                <w:lang w:val="en-US" w:eastAsia="zh-CN"/>
              </w:rPr>
              <w:t>Hazard ratio (95 % CI)</w:t>
            </w:r>
          </w:p>
        </w:tc>
        <w:tc>
          <w:tcPr>
            <w:tcW w:w="3582" w:type="dxa"/>
            <w:gridSpan w:val="2"/>
            <w:tcBorders>
              <w:top w:val="nil"/>
              <w:left w:val="nil"/>
              <w:bottom w:val="nil"/>
              <w:right w:val="nil"/>
            </w:tcBorders>
          </w:tcPr>
          <w:p w14:paraId="0D36744B" w14:textId="6935F41F" w:rsidR="00707395" w:rsidRPr="00665B6A" w:rsidRDefault="0089187A" w:rsidP="006E4AB1">
            <w:pPr>
              <w:jc w:val="center"/>
              <w:rPr>
                <w:rFonts w:ascii="Arial" w:eastAsia="MS Mincho" w:hAnsi="Arial" w:cs="Arial"/>
                <w:sz w:val="18"/>
                <w:szCs w:val="18"/>
                <w:lang w:val="en-US" w:eastAsia="zh-CN"/>
              </w:rPr>
            </w:pPr>
            <w:r w:rsidRPr="00665B6A">
              <w:rPr>
                <w:rFonts w:ascii="Arial" w:hAnsi="Arial" w:cs="Arial"/>
                <w:sz w:val="18"/>
                <w:szCs w:val="18"/>
                <w:lang w:val="en-US"/>
              </w:rPr>
              <w:t>1.128 (0.619, 2.055)</w:t>
            </w:r>
          </w:p>
        </w:tc>
        <w:tc>
          <w:tcPr>
            <w:tcW w:w="3582" w:type="dxa"/>
            <w:gridSpan w:val="2"/>
            <w:tcBorders>
              <w:top w:val="nil"/>
              <w:left w:val="nil"/>
              <w:bottom w:val="nil"/>
              <w:right w:val="nil"/>
            </w:tcBorders>
          </w:tcPr>
          <w:p w14:paraId="1FE2AEC0" w14:textId="5D570D77" w:rsidR="00707395" w:rsidRPr="00665B6A" w:rsidRDefault="00B136EE" w:rsidP="006E4AB1">
            <w:pPr>
              <w:jc w:val="center"/>
              <w:rPr>
                <w:rFonts w:ascii="Arial" w:eastAsia="MS Mincho" w:hAnsi="Arial" w:cs="Arial"/>
                <w:sz w:val="18"/>
                <w:szCs w:val="18"/>
                <w:lang w:val="en-US" w:eastAsia="zh-CN"/>
              </w:rPr>
            </w:pPr>
            <w:r w:rsidRPr="00665B6A">
              <w:rPr>
                <w:rFonts w:ascii="Arial" w:eastAsia="MS Mincho" w:hAnsi="Arial" w:cs="Arial"/>
                <w:sz w:val="18"/>
                <w:szCs w:val="18"/>
                <w:lang w:val="en-US" w:eastAsia="zh-CN"/>
              </w:rPr>
              <w:t>0.746 (0.517–1.078)</w:t>
            </w:r>
          </w:p>
        </w:tc>
      </w:tr>
      <w:tr w:rsidR="00707395" w:rsidRPr="0084015D" w14:paraId="13046121" w14:textId="77777777" w:rsidTr="009F7F0A">
        <w:tc>
          <w:tcPr>
            <w:tcW w:w="2810" w:type="dxa"/>
            <w:tcBorders>
              <w:top w:val="nil"/>
              <w:left w:val="nil"/>
              <w:bottom w:val="single" w:sz="4" w:space="0" w:color="auto"/>
              <w:right w:val="nil"/>
            </w:tcBorders>
          </w:tcPr>
          <w:p w14:paraId="0BD4BF9A" w14:textId="07B454C3" w:rsidR="00707395" w:rsidRPr="00665B6A" w:rsidRDefault="00457B74" w:rsidP="006E4AB1">
            <w:pPr>
              <w:rPr>
                <w:rFonts w:ascii="Arial" w:eastAsia="MS Mincho" w:hAnsi="Arial" w:cs="Arial"/>
                <w:sz w:val="18"/>
                <w:szCs w:val="18"/>
                <w:lang w:val="en-US" w:eastAsia="zh-CN"/>
              </w:rPr>
            </w:pPr>
            <w:r w:rsidRPr="00665B6A">
              <w:rPr>
                <w:rFonts w:ascii="Arial" w:eastAsia="MS Mincho" w:hAnsi="Arial" w:cs="Arial"/>
                <w:sz w:val="18"/>
                <w:szCs w:val="18"/>
                <w:lang w:val="en-US" w:eastAsia="zh-CN"/>
              </w:rPr>
              <w:t>p-</w:t>
            </w:r>
            <w:proofErr w:type="spellStart"/>
            <w:r w:rsidRPr="00665B6A">
              <w:rPr>
                <w:rFonts w:ascii="Arial" w:eastAsia="MS Mincho" w:hAnsi="Arial" w:cs="Arial"/>
                <w:sz w:val="18"/>
                <w:szCs w:val="18"/>
                <w:lang w:val="en-US" w:eastAsia="zh-CN"/>
              </w:rPr>
              <w:t>value</w:t>
            </w:r>
            <w:r w:rsidR="006F0752" w:rsidRPr="00665B6A">
              <w:rPr>
                <w:rFonts w:ascii="Arial" w:eastAsia="MS Mincho" w:hAnsi="Arial" w:cs="Arial"/>
                <w:sz w:val="18"/>
                <w:szCs w:val="18"/>
                <w:vertAlign w:val="superscript"/>
                <w:lang w:val="en-US" w:eastAsia="zh-CN"/>
              </w:rPr>
              <w:t>a</w:t>
            </w:r>
            <w:proofErr w:type="spellEnd"/>
          </w:p>
        </w:tc>
        <w:tc>
          <w:tcPr>
            <w:tcW w:w="3582" w:type="dxa"/>
            <w:gridSpan w:val="2"/>
            <w:tcBorders>
              <w:top w:val="nil"/>
              <w:left w:val="nil"/>
              <w:bottom w:val="single" w:sz="4" w:space="0" w:color="auto"/>
              <w:right w:val="nil"/>
            </w:tcBorders>
          </w:tcPr>
          <w:p w14:paraId="239EF84E" w14:textId="243111BC" w:rsidR="00707395" w:rsidRPr="00665B6A" w:rsidRDefault="0089187A" w:rsidP="006E4AB1">
            <w:pPr>
              <w:jc w:val="center"/>
              <w:rPr>
                <w:rFonts w:ascii="Arial" w:eastAsia="MS Mincho" w:hAnsi="Arial" w:cs="Arial"/>
                <w:sz w:val="18"/>
                <w:szCs w:val="18"/>
                <w:lang w:val="en-US" w:eastAsia="zh-CN"/>
              </w:rPr>
            </w:pPr>
            <w:r w:rsidRPr="00665B6A">
              <w:rPr>
                <w:rFonts w:ascii="Arial" w:hAnsi="Arial" w:cs="Arial"/>
                <w:sz w:val="18"/>
                <w:szCs w:val="18"/>
                <w:lang w:val="en-US"/>
              </w:rPr>
              <w:t>0.653</w:t>
            </w:r>
          </w:p>
        </w:tc>
        <w:tc>
          <w:tcPr>
            <w:tcW w:w="3582" w:type="dxa"/>
            <w:gridSpan w:val="2"/>
            <w:tcBorders>
              <w:top w:val="nil"/>
              <w:left w:val="nil"/>
              <w:bottom w:val="single" w:sz="4" w:space="0" w:color="auto"/>
              <w:right w:val="nil"/>
            </w:tcBorders>
          </w:tcPr>
          <w:p w14:paraId="6FAB2055" w14:textId="3219D8FA" w:rsidR="00707395" w:rsidRPr="00665B6A" w:rsidRDefault="002C692C" w:rsidP="006E4AB1">
            <w:pPr>
              <w:jc w:val="center"/>
              <w:rPr>
                <w:rFonts w:ascii="Arial" w:eastAsia="MS Mincho" w:hAnsi="Arial" w:cs="Arial"/>
                <w:sz w:val="18"/>
                <w:szCs w:val="18"/>
                <w:lang w:val="en-US" w:eastAsia="zh-CN"/>
              </w:rPr>
            </w:pPr>
            <w:r w:rsidRPr="00665B6A">
              <w:rPr>
                <w:rFonts w:ascii="Arial" w:eastAsia="MS Mincho" w:hAnsi="Arial" w:cs="Arial"/>
                <w:sz w:val="18"/>
                <w:szCs w:val="18"/>
                <w:lang w:val="en-US" w:eastAsia="zh-CN"/>
              </w:rPr>
              <w:t>0.059</w:t>
            </w:r>
          </w:p>
        </w:tc>
      </w:tr>
      <w:tr w:rsidR="00242864" w:rsidRPr="0084015D" w14:paraId="436C20C0" w14:textId="77777777" w:rsidTr="009F7F0A">
        <w:tc>
          <w:tcPr>
            <w:tcW w:w="2810" w:type="dxa"/>
            <w:tcBorders>
              <w:top w:val="single" w:sz="4" w:space="0" w:color="auto"/>
              <w:left w:val="nil"/>
              <w:bottom w:val="nil"/>
              <w:right w:val="nil"/>
            </w:tcBorders>
          </w:tcPr>
          <w:p w14:paraId="12570C23" w14:textId="6467BC78" w:rsidR="00242864" w:rsidRPr="00665B6A" w:rsidRDefault="00242864" w:rsidP="00242864">
            <w:pPr>
              <w:rPr>
                <w:rFonts w:ascii="Arial" w:eastAsia="MS Mincho" w:hAnsi="Arial" w:cs="Arial"/>
                <w:bCs/>
                <w:sz w:val="18"/>
                <w:szCs w:val="18"/>
                <w:lang w:val="en-US" w:eastAsia="zh-CN"/>
              </w:rPr>
            </w:pPr>
            <w:r w:rsidRPr="00665B6A">
              <w:rPr>
                <w:rFonts w:ascii="Arial" w:eastAsia="MS Mincho" w:hAnsi="Arial" w:cs="Arial"/>
                <w:sz w:val="18"/>
                <w:szCs w:val="18"/>
                <w:lang w:val="en-US" w:eastAsia="zh-CN"/>
              </w:rPr>
              <w:t xml:space="preserve">Overall Response </w:t>
            </w:r>
            <w:proofErr w:type="spellStart"/>
            <w:r w:rsidRPr="00665B6A">
              <w:rPr>
                <w:rFonts w:ascii="Arial" w:eastAsia="MS Mincho" w:hAnsi="Arial" w:cs="Arial"/>
                <w:sz w:val="18"/>
                <w:szCs w:val="18"/>
                <w:lang w:val="en-US" w:eastAsia="zh-CN"/>
              </w:rPr>
              <w:t>Rate</w:t>
            </w:r>
            <w:r w:rsidRPr="00665B6A">
              <w:rPr>
                <w:rFonts w:ascii="Arial" w:eastAsia="MS Mincho" w:hAnsi="Arial" w:cs="Arial"/>
                <w:sz w:val="18"/>
                <w:szCs w:val="18"/>
                <w:vertAlign w:val="superscript"/>
                <w:lang w:val="en-US" w:eastAsia="zh-CN"/>
              </w:rPr>
              <w:t>b</w:t>
            </w:r>
            <w:proofErr w:type="spellEnd"/>
            <w:r w:rsidR="00E949C5" w:rsidRPr="00665B6A">
              <w:rPr>
                <w:rFonts w:ascii="Arial" w:eastAsia="MS Mincho" w:hAnsi="Arial" w:cs="Arial"/>
                <w:sz w:val="18"/>
                <w:szCs w:val="18"/>
                <w:vertAlign w:val="superscript"/>
                <w:lang w:val="en-US" w:eastAsia="zh-CN"/>
              </w:rPr>
              <w:t xml:space="preserve"> </w:t>
            </w:r>
            <w:r w:rsidR="00E949C5" w:rsidRPr="00665B6A">
              <w:rPr>
                <w:rFonts w:ascii="Arial" w:eastAsia="MS Mincho" w:hAnsi="Arial" w:cs="Arial"/>
                <w:sz w:val="18"/>
                <w:szCs w:val="18"/>
                <w:lang w:val="en-US" w:eastAsia="zh-CN"/>
              </w:rPr>
              <w:t>(95 % CI)</w:t>
            </w:r>
          </w:p>
        </w:tc>
        <w:tc>
          <w:tcPr>
            <w:tcW w:w="1791" w:type="dxa"/>
            <w:tcBorders>
              <w:top w:val="single" w:sz="4" w:space="0" w:color="auto"/>
              <w:left w:val="nil"/>
              <w:bottom w:val="nil"/>
              <w:right w:val="nil"/>
            </w:tcBorders>
          </w:tcPr>
          <w:p w14:paraId="30794D98" w14:textId="48804E92" w:rsidR="00242864" w:rsidRPr="00665B6A" w:rsidRDefault="00242864" w:rsidP="00242864">
            <w:pPr>
              <w:jc w:val="center"/>
              <w:rPr>
                <w:rFonts w:ascii="Arial" w:eastAsia="MS Mincho" w:hAnsi="Arial" w:cs="Arial"/>
                <w:sz w:val="18"/>
                <w:szCs w:val="18"/>
                <w:lang w:val="en-US" w:eastAsia="zh-CN"/>
              </w:rPr>
            </w:pPr>
            <w:r w:rsidRPr="00665B6A">
              <w:rPr>
                <w:rFonts w:ascii="Arial" w:eastAsia="MS Mincho" w:hAnsi="Arial" w:cs="Arial"/>
                <w:sz w:val="18"/>
                <w:szCs w:val="18"/>
                <w:lang w:val="en-US" w:eastAsia="zh-CN"/>
              </w:rPr>
              <w:t>40.7 (35.4, 46.0)</w:t>
            </w:r>
          </w:p>
        </w:tc>
        <w:tc>
          <w:tcPr>
            <w:tcW w:w="1791" w:type="dxa"/>
            <w:tcBorders>
              <w:top w:val="single" w:sz="4" w:space="0" w:color="auto"/>
              <w:left w:val="nil"/>
              <w:bottom w:val="nil"/>
              <w:right w:val="nil"/>
            </w:tcBorders>
          </w:tcPr>
          <w:p w14:paraId="38A28082" w14:textId="50731C88" w:rsidR="00242864" w:rsidRPr="00665B6A" w:rsidRDefault="00242864" w:rsidP="00242864">
            <w:pPr>
              <w:jc w:val="center"/>
              <w:rPr>
                <w:rFonts w:ascii="Arial" w:eastAsia="MS Mincho" w:hAnsi="Arial" w:cs="Arial"/>
                <w:sz w:val="18"/>
                <w:szCs w:val="18"/>
                <w:lang w:val="en-US" w:eastAsia="zh-CN"/>
              </w:rPr>
            </w:pPr>
            <w:r w:rsidRPr="00665B6A">
              <w:rPr>
                <w:rFonts w:ascii="Arial" w:eastAsia="MS Mincho" w:hAnsi="Arial" w:cs="Arial"/>
                <w:sz w:val="18"/>
                <w:szCs w:val="18"/>
                <w:lang w:val="en-US" w:eastAsia="zh-CN"/>
              </w:rPr>
              <w:t>27.5 (22.8, 32.3)</w:t>
            </w:r>
          </w:p>
        </w:tc>
        <w:tc>
          <w:tcPr>
            <w:tcW w:w="1791" w:type="dxa"/>
            <w:tcBorders>
              <w:top w:val="single" w:sz="4" w:space="0" w:color="auto"/>
              <w:left w:val="nil"/>
              <w:bottom w:val="nil"/>
              <w:right w:val="nil"/>
            </w:tcBorders>
          </w:tcPr>
          <w:p w14:paraId="4D28CF38" w14:textId="394F21F9" w:rsidR="00242864" w:rsidRPr="00665B6A" w:rsidRDefault="00242864" w:rsidP="00242864">
            <w:pPr>
              <w:jc w:val="center"/>
              <w:rPr>
                <w:rFonts w:ascii="Arial" w:eastAsia="MS Gothic" w:hAnsi="Arial" w:cs="Arial"/>
                <w:sz w:val="18"/>
                <w:szCs w:val="18"/>
                <w:lang w:val="en-US" w:eastAsia="zh-CN"/>
              </w:rPr>
            </w:pPr>
            <w:r w:rsidRPr="00665B6A">
              <w:rPr>
                <w:rFonts w:ascii="Arial" w:eastAsia="MS Gothic" w:hAnsi="Arial" w:cs="Arial"/>
                <w:sz w:val="18"/>
                <w:szCs w:val="18"/>
                <w:lang w:val="en-US" w:eastAsia="zh-CN"/>
              </w:rPr>
              <w:t>42.5 (37.2 , 47.8)</w:t>
            </w:r>
          </w:p>
        </w:tc>
        <w:tc>
          <w:tcPr>
            <w:tcW w:w="1791" w:type="dxa"/>
            <w:tcBorders>
              <w:top w:val="single" w:sz="4" w:space="0" w:color="auto"/>
              <w:left w:val="nil"/>
              <w:bottom w:val="nil"/>
              <w:right w:val="nil"/>
            </w:tcBorders>
          </w:tcPr>
          <w:p w14:paraId="31A288F0" w14:textId="71827D5A" w:rsidR="00242864" w:rsidRPr="00665B6A" w:rsidRDefault="00242864" w:rsidP="00242864">
            <w:pPr>
              <w:jc w:val="center"/>
              <w:rPr>
                <w:rFonts w:ascii="Arial" w:eastAsia="MS Mincho" w:hAnsi="Arial" w:cs="Arial"/>
                <w:sz w:val="18"/>
                <w:szCs w:val="18"/>
                <w:lang w:val="en-US" w:eastAsia="zh-CN"/>
              </w:rPr>
            </w:pPr>
            <w:r w:rsidRPr="00665B6A">
              <w:rPr>
                <w:rFonts w:ascii="Arial" w:eastAsia="MS Mincho" w:hAnsi="Arial" w:cs="Arial"/>
                <w:sz w:val="18"/>
                <w:szCs w:val="18"/>
                <w:lang w:val="en-US" w:eastAsia="zh-CN"/>
              </w:rPr>
              <w:t>28.7 (23.9 , 33.6)</w:t>
            </w:r>
          </w:p>
        </w:tc>
      </w:tr>
      <w:tr w:rsidR="00242864" w:rsidRPr="0084015D" w14:paraId="26255259" w14:textId="77777777" w:rsidTr="009F7F0A">
        <w:tc>
          <w:tcPr>
            <w:tcW w:w="2810" w:type="dxa"/>
            <w:tcBorders>
              <w:top w:val="nil"/>
              <w:left w:val="nil"/>
              <w:bottom w:val="single" w:sz="4" w:space="0" w:color="auto"/>
              <w:right w:val="nil"/>
            </w:tcBorders>
          </w:tcPr>
          <w:p w14:paraId="103BA2ED" w14:textId="0831CAF0" w:rsidR="00242864" w:rsidRPr="00665B6A" w:rsidRDefault="00E949C5" w:rsidP="00242864">
            <w:pPr>
              <w:rPr>
                <w:rFonts w:ascii="Arial" w:eastAsia="MS Mincho" w:hAnsi="Arial" w:cs="Arial"/>
                <w:sz w:val="18"/>
                <w:szCs w:val="18"/>
                <w:lang w:val="en-US" w:eastAsia="zh-CN"/>
              </w:rPr>
            </w:pPr>
            <w:r w:rsidRPr="00665B6A">
              <w:rPr>
                <w:rFonts w:ascii="Arial" w:eastAsia="MS Mincho" w:hAnsi="Arial" w:cs="Arial"/>
                <w:bCs/>
                <w:sz w:val="18"/>
                <w:szCs w:val="18"/>
                <w:vertAlign w:val="superscript"/>
                <w:lang w:val="en-US" w:eastAsia="zh-CN"/>
              </w:rPr>
              <w:t xml:space="preserve"> </w:t>
            </w:r>
            <w:r w:rsidR="003C5A08" w:rsidRPr="00665B6A">
              <w:rPr>
                <w:rFonts w:ascii="Arial" w:eastAsia="MS Mincho" w:hAnsi="Arial" w:cs="Arial"/>
                <w:bCs/>
                <w:sz w:val="18"/>
                <w:szCs w:val="18"/>
                <w:lang w:val="en-US" w:eastAsia="zh-CN"/>
              </w:rPr>
              <w:t xml:space="preserve">Clinical Benefit </w:t>
            </w:r>
            <w:proofErr w:type="spellStart"/>
            <w:r w:rsidR="003C5A08" w:rsidRPr="00665B6A">
              <w:rPr>
                <w:rFonts w:ascii="Arial" w:eastAsia="MS Mincho" w:hAnsi="Arial" w:cs="Arial"/>
                <w:bCs/>
                <w:sz w:val="18"/>
                <w:szCs w:val="18"/>
                <w:lang w:val="en-US" w:eastAsia="zh-CN"/>
              </w:rPr>
              <w:t>Rate</w:t>
            </w:r>
            <w:r w:rsidR="003C5A08" w:rsidRPr="00665B6A">
              <w:rPr>
                <w:rFonts w:ascii="Arial" w:eastAsia="MS Mincho" w:hAnsi="Arial" w:cs="Arial"/>
                <w:bCs/>
                <w:sz w:val="18"/>
                <w:szCs w:val="18"/>
                <w:vertAlign w:val="superscript"/>
                <w:lang w:val="en-US" w:eastAsia="zh-CN"/>
              </w:rPr>
              <w:t>c</w:t>
            </w:r>
            <w:proofErr w:type="spellEnd"/>
            <w:r w:rsidR="003C5A08" w:rsidRPr="00665B6A">
              <w:rPr>
                <w:rFonts w:ascii="Arial" w:eastAsia="MS Mincho" w:hAnsi="Arial" w:cs="Arial"/>
                <w:bCs/>
                <w:sz w:val="18"/>
                <w:szCs w:val="18"/>
                <w:vertAlign w:val="superscript"/>
                <w:lang w:val="en-US" w:eastAsia="zh-CN"/>
              </w:rPr>
              <w:t xml:space="preserve"> </w:t>
            </w:r>
            <w:r w:rsidRPr="00665B6A">
              <w:rPr>
                <w:rFonts w:ascii="Arial" w:eastAsia="MS Mincho" w:hAnsi="Arial" w:cs="Arial"/>
                <w:sz w:val="18"/>
                <w:szCs w:val="18"/>
                <w:lang w:val="en-US" w:eastAsia="zh-CN"/>
              </w:rPr>
              <w:t>(95 % CI)</w:t>
            </w:r>
          </w:p>
        </w:tc>
        <w:tc>
          <w:tcPr>
            <w:tcW w:w="1791" w:type="dxa"/>
            <w:tcBorders>
              <w:top w:val="nil"/>
              <w:left w:val="nil"/>
              <w:bottom w:val="single" w:sz="4" w:space="0" w:color="auto"/>
              <w:right w:val="nil"/>
            </w:tcBorders>
          </w:tcPr>
          <w:p w14:paraId="04EF7D21" w14:textId="188BA07A" w:rsidR="00242864" w:rsidRPr="00665B6A" w:rsidRDefault="00AA6A82" w:rsidP="00242864">
            <w:pPr>
              <w:jc w:val="center"/>
              <w:rPr>
                <w:rFonts w:ascii="Arial" w:eastAsia="MS Mincho" w:hAnsi="Arial" w:cs="Arial"/>
                <w:sz w:val="18"/>
                <w:szCs w:val="18"/>
                <w:lang w:val="en-US" w:eastAsia="zh-CN"/>
              </w:rPr>
            </w:pPr>
            <w:r w:rsidRPr="00665B6A">
              <w:rPr>
                <w:rFonts w:ascii="Arial" w:eastAsia="MS Mincho" w:hAnsi="Arial" w:cs="Arial"/>
                <w:sz w:val="18"/>
                <w:szCs w:val="18"/>
                <w:lang w:val="en-US" w:eastAsia="zh-CN"/>
              </w:rPr>
              <w:t>79.6 (75.3, 84.0)</w:t>
            </w:r>
          </w:p>
        </w:tc>
        <w:tc>
          <w:tcPr>
            <w:tcW w:w="1791" w:type="dxa"/>
            <w:tcBorders>
              <w:top w:val="nil"/>
              <w:left w:val="nil"/>
              <w:bottom w:val="single" w:sz="4" w:space="0" w:color="auto"/>
              <w:right w:val="nil"/>
            </w:tcBorders>
          </w:tcPr>
          <w:p w14:paraId="5AE60E33" w14:textId="07EA3076" w:rsidR="00242864" w:rsidRPr="00665B6A" w:rsidRDefault="00CC300B" w:rsidP="00242864">
            <w:pPr>
              <w:jc w:val="center"/>
              <w:rPr>
                <w:rFonts w:ascii="Arial" w:eastAsia="MS Mincho" w:hAnsi="Arial" w:cs="Arial"/>
                <w:sz w:val="18"/>
                <w:szCs w:val="18"/>
                <w:lang w:val="en-US" w:eastAsia="zh-CN"/>
              </w:rPr>
            </w:pPr>
            <w:r w:rsidRPr="00665B6A">
              <w:rPr>
                <w:rFonts w:ascii="Arial" w:eastAsia="MS Mincho" w:hAnsi="Arial" w:cs="Arial"/>
                <w:sz w:val="18"/>
                <w:szCs w:val="18"/>
                <w:lang w:val="en-US" w:eastAsia="zh-CN"/>
              </w:rPr>
              <w:t>72.8 (68.0, 77.5)</w:t>
            </w:r>
          </w:p>
        </w:tc>
        <w:tc>
          <w:tcPr>
            <w:tcW w:w="1791" w:type="dxa"/>
            <w:tcBorders>
              <w:top w:val="nil"/>
              <w:left w:val="nil"/>
              <w:bottom w:val="single" w:sz="4" w:space="0" w:color="auto"/>
              <w:right w:val="nil"/>
            </w:tcBorders>
          </w:tcPr>
          <w:p w14:paraId="46BBABE5" w14:textId="24ABCAEE" w:rsidR="00242864" w:rsidRPr="00665B6A" w:rsidRDefault="00C17117" w:rsidP="00242864">
            <w:pPr>
              <w:jc w:val="center"/>
              <w:rPr>
                <w:rFonts w:ascii="Arial" w:eastAsia="MS Gothic" w:hAnsi="Arial" w:cs="Arial"/>
                <w:sz w:val="18"/>
                <w:szCs w:val="18"/>
                <w:lang w:val="en-US" w:eastAsia="zh-CN"/>
              </w:rPr>
            </w:pPr>
            <w:r w:rsidRPr="00665B6A">
              <w:rPr>
                <w:rFonts w:ascii="Arial" w:eastAsia="MS Gothic" w:hAnsi="Arial" w:cs="Arial"/>
                <w:sz w:val="18"/>
                <w:szCs w:val="18"/>
                <w:lang w:val="en-US" w:eastAsia="zh-CN"/>
              </w:rPr>
              <w:t>79.9 (75.6, 84.2)</w:t>
            </w:r>
          </w:p>
        </w:tc>
        <w:tc>
          <w:tcPr>
            <w:tcW w:w="1791" w:type="dxa"/>
            <w:tcBorders>
              <w:top w:val="nil"/>
              <w:left w:val="nil"/>
              <w:bottom w:val="single" w:sz="4" w:space="0" w:color="auto"/>
              <w:right w:val="nil"/>
            </w:tcBorders>
          </w:tcPr>
          <w:p w14:paraId="28BE4337" w14:textId="461EF711" w:rsidR="00242864" w:rsidRPr="00665B6A" w:rsidRDefault="00696B7A" w:rsidP="00242864">
            <w:pPr>
              <w:jc w:val="center"/>
              <w:rPr>
                <w:rFonts w:ascii="Arial" w:eastAsia="MS Gothic" w:hAnsi="Arial" w:cs="Arial"/>
                <w:b/>
                <w:sz w:val="18"/>
                <w:szCs w:val="18"/>
                <w:lang w:val="en-US" w:eastAsia="zh-CN"/>
              </w:rPr>
            </w:pPr>
            <w:r w:rsidRPr="00665B6A">
              <w:rPr>
                <w:rFonts w:ascii="Arial" w:eastAsia="MS Mincho" w:hAnsi="Arial" w:cs="Arial"/>
                <w:sz w:val="18"/>
                <w:szCs w:val="18"/>
                <w:lang w:val="en-US" w:eastAsia="zh-CN"/>
              </w:rPr>
              <w:t>73.1 (68.3, 77.8)</w:t>
            </w:r>
          </w:p>
        </w:tc>
      </w:tr>
      <w:tr w:rsidR="00242864" w:rsidRPr="0084015D" w14:paraId="68858CC1" w14:textId="77777777" w:rsidTr="009F7F0A">
        <w:trPr>
          <w:trHeight w:val="454"/>
        </w:trPr>
        <w:tc>
          <w:tcPr>
            <w:tcW w:w="2810" w:type="dxa"/>
            <w:tcBorders>
              <w:top w:val="single" w:sz="4" w:space="0" w:color="auto"/>
              <w:left w:val="nil"/>
              <w:bottom w:val="single" w:sz="4" w:space="0" w:color="auto"/>
              <w:right w:val="nil"/>
            </w:tcBorders>
            <w:vAlign w:val="center"/>
          </w:tcPr>
          <w:p w14:paraId="7CEB2D90" w14:textId="44309914" w:rsidR="00242864" w:rsidRPr="00665B6A" w:rsidRDefault="00902D8B" w:rsidP="00242864">
            <w:pPr>
              <w:rPr>
                <w:rFonts w:ascii="Arial" w:eastAsia="MS Mincho" w:hAnsi="Arial" w:cs="Arial"/>
                <w:b/>
                <w:sz w:val="18"/>
                <w:szCs w:val="18"/>
                <w:lang w:val="en-US" w:eastAsia="zh-CN"/>
              </w:rPr>
            </w:pPr>
            <w:r w:rsidRPr="00665B6A">
              <w:rPr>
                <w:rFonts w:ascii="Arial" w:eastAsia="MS Mincho" w:hAnsi="Arial" w:cs="Arial"/>
                <w:b/>
                <w:sz w:val="18"/>
                <w:szCs w:val="18"/>
                <w:lang w:val="en-US" w:eastAsia="zh-CN"/>
              </w:rPr>
              <w:t>Patients with measurable disease at baseline, n</w:t>
            </w:r>
          </w:p>
        </w:tc>
        <w:tc>
          <w:tcPr>
            <w:tcW w:w="1791" w:type="dxa"/>
            <w:tcBorders>
              <w:top w:val="single" w:sz="4" w:space="0" w:color="auto"/>
              <w:left w:val="nil"/>
              <w:bottom w:val="single" w:sz="4" w:space="0" w:color="auto"/>
              <w:right w:val="nil"/>
            </w:tcBorders>
            <w:vAlign w:val="center"/>
          </w:tcPr>
          <w:p w14:paraId="7BA44BE0" w14:textId="78FFA1ED" w:rsidR="00242864" w:rsidRPr="00665B6A" w:rsidRDefault="00242864" w:rsidP="00242864">
            <w:pPr>
              <w:jc w:val="center"/>
              <w:rPr>
                <w:rFonts w:ascii="Arial" w:eastAsia="MS Mincho" w:hAnsi="Arial" w:cs="Arial"/>
                <w:b/>
                <w:sz w:val="18"/>
                <w:szCs w:val="18"/>
                <w:lang w:val="en-US" w:eastAsia="zh-CN"/>
              </w:rPr>
            </w:pPr>
            <w:r w:rsidRPr="00665B6A">
              <w:rPr>
                <w:rFonts w:ascii="Arial" w:eastAsia="MS Gothic" w:hAnsi="Arial" w:cs="Arial"/>
                <w:b/>
                <w:sz w:val="18"/>
                <w:szCs w:val="18"/>
                <w:lang w:val="en-US" w:eastAsia="zh-CN"/>
              </w:rPr>
              <w:t>256</w:t>
            </w:r>
          </w:p>
        </w:tc>
        <w:tc>
          <w:tcPr>
            <w:tcW w:w="1791" w:type="dxa"/>
            <w:tcBorders>
              <w:top w:val="single" w:sz="4" w:space="0" w:color="auto"/>
              <w:left w:val="nil"/>
              <w:bottom w:val="single" w:sz="4" w:space="0" w:color="auto"/>
              <w:right w:val="nil"/>
            </w:tcBorders>
            <w:vAlign w:val="center"/>
          </w:tcPr>
          <w:p w14:paraId="653FFAB3" w14:textId="4DF8C69A" w:rsidR="00242864" w:rsidRPr="00665B6A" w:rsidRDefault="00242864" w:rsidP="00242864">
            <w:pPr>
              <w:jc w:val="center"/>
              <w:rPr>
                <w:rFonts w:ascii="Arial" w:eastAsia="MS Mincho" w:hAnsi="Arial" w:cs="Arial"/>
                <w:b/>
                <w:sz w:val="18"/>
                <w:szCs w:val="18"/>
                <w:lang w:val="en-US" w:eastAsia="zh-CN"/>
              </w:rPr>
            </w:pPr>
            <w:r w:rsidRPr="00665B6A">
              <w:rPr>
                <w:rFonts w:ascii="Arial" w:eastAsia="MS Gothic" w:hAnsi="Arial" w:cs="Arial"/>
                <w:b/>
                <w:sz w:val="18"/>
                <w:szCs w:val="18"/>
                <w:lang w:val="en-US" w:eastAsia="zh-CN"/>
              </w:rPr>
              <w:t>245</w:t>
            </w:r>
          </w:p>
        </w:tc>
        <w:tc>
          <w:tcPr>
            <w:tcW w:w="1791" w:type="dxa"/>
            <w:tcBorders>
              <w:top w:val="single" w:sz="4" w:space="0" w:color="auto"/>
              <w:left w:val="nil"/>
              <w:bottom w:val="single" w:sz="4" w:space="0" w:color="auto"/>
              <w:right w:val="nil"/>
            </w:tcBorders>
            <w:vAlign w:val="center"/>
          </w:tcPr>
          <w:p w14:paraId="62819BF0" w14:textId="282745B9" w:rsidR="00242864" w:rsidRPr="00665B6A" w:rsidRDefault="00CB50A8" w:rsidP="00242864">
            <w:pPr>
              <w:jc w:val="center"/>
              <w:rPr>
                <w:rFonts w:ascii="Arial" w:eastAsia="MS Gothic" w:hAnsi="Arial" w:cs="Arial"/>
                <w:b/>
                <w:sz w:val="18"/>
                <w:szCs w:val="18"/>
                <w:lang w:val="en-US" w:eastAsia="zh-CN"/>
              </w:rPr>
            </w:pPr>
            <w:r w:rsidRPr="00665B6A">
              <w:rPr>
                <w:rFonts w:ascii="Arial" w:eastAsia="MS Mincho" w:hAnsi="Arial" w:cs="Arial"/>
                <w:b/>
                <w:bCs/>
                <w:sz w:val="18"/>
                <w:szCs w:val="18"/>
                <w:lang w:val="en-US" w:eastAsia="zh-CN"/>
              </w:rPr>
              <w:t>257</w:t>
            </w:r>
          </w:p>
        </w:tc>
        <w:tc>
          <w:tcPr>
            <w:tcW w:w="1791" w:type="dxa"/>
            <w:tcBorders>
              <w:top w:val="single" w:sz="4" w:space="0" w:color="auto"/>
              <w:left w:val="nil"/>
              <w:bottom w:val="single" w:sz="4" w:space="0" w:color="auto"/>
              <w:right w:val="nil"/>
            </w:tcBorders>
            <w:vAlign w:val="center"/>
          </w:tcPr>
          <w:p w14:paraId="21482A25" w14:textId="74EE81F8" w:rsidR="00242864" w:rsidRPr="00665B6A" w:rsidRDefault="008B34DB" w:rsidP="00242864">
            <w:pPr>
              <w:jc w:val="center"/>
              <w:rPr>
                <w:rFonts w:ascii="Arial" w:eastAsia="MS Gothic" w:hAnsi="Arial" w:cs="Arial"/>
                <w:b/>
                <w:sz w:val="18"/>
                <w:szCs w:val="18"/>
                <w:lang w:val="en-US" w:eastAsia="zh-CN"/>
              </w:rPr>
            </w:pPr>
            <w:r w:rsidRPr="00665B6A">
              <w:rPr>
                <w:rFonts w:ascii="Arial" w:eastAsia="MS Mincho" w:hAnsi="Arial" w:cs="Arial"/>
                <w:b/>
                <w:bCs/>
                <w:sz w:val="18"/>
                <w:szCs w:val="18"/>
                <w:lang w:val="en-US" w:eastAsia="zh-CN"/>
              </w:rPr>
              <w:t>245</w:t>
            </w:r>
          </w:p>
        </w:tc>
      </w:tr>
      <w:tr w:rsidR="00242864" w:rsidRPr="0084015D" w14:paraId="25782DDC" w14:textId="77777777" w:rsidTr="009F7F0A">
        <w:tc>
          <w:tcPr>
            <w:tcW w:w="2810" w:type="dxa"/>
            <w:tcBorders>
              <w:top w:val="single" w:sz="4" w:space="0" w:color="auto"/>
              <w:left w:val="nil"/>
              <w:bottom w:val="nil"/>
              <w:right w:val="nil"/>
            </w:tcBorders>
            <w:vAlign w:val="center"/>
          </w:tcPr>
          <w:p w14:paraId="6675B49C" w14:textId="0934B7B8" w:rsidR="00242864" w:rsidRPr="00665B6A" w:rsidRDefault="00241F9C" w:rsidP="00242864">
            <w:pPr>
              <w:rPr>
                <w:rFonts w:ascii="Arial" w:eastAsia="MS Mincho" w:hAnsi="Arial" w:cs="Arial"/>
                <w:sz w:val="18"/>
                <w:szCs w:val="18"/>
                <w:lang w:val="en-US" w:eastAsia="zh-CN"/>
              </w:rPr>
            </w:pPr>
            <w:r w:rsidRPr="00665B6A">
              <w:rPr>
                <w:rFonts w:ascii="Arial" w:eastAsia="MS Mincho" w:hAnsi="Arial" w:cs="Arial"/>
                <w:bCs/>
                <w:sz w:val="18"/>
                <w:szCs w:val="18"/>
                <w:lang w:val="it-IT" w:eastAsia="zh-CN"/>
              </w:rPr>
              <w:t>Overall Response Rate</w:t>
            </w:r>
            <w:r w:rsidRPr="00665B6A">
              <w:rPr>
                <w:rFonts w:ascii="Arial" w:eastAsia="MS Mincho" w:hAnsi="Arial" w:cs="Arial"/>
                <w:bCs/>
                <w:sz w:val="18"/>
                <w:szCs w:val="18"/>
                <w:vertAlign w:val="superscript"/>
                <w:lang w:val="it-IT" w:eastAsia="zh-CN"/>
              </w:rPr>
              <w:t xml:space="preserve">b </w:t>
            </w:r>
            <w:r w:rsidRPr="00665B6A">
              <w:rPr>
                <w:rFonts w:ascii="Arial" w:eastAsia="MS Mincho" w:hAnsi="Arial" w:cs="Arial"/>
                <w:sz w:val="18"/>
                <w:szCs w:val="18"/>
                <w:lang w:val="en-US" w:eastAsia="zh-CN"/>
              </w:rPr>
              <w:t>(95 % CI)</w:t>
            </w:r>
          </w:p>
        </w:tc>
        <w:tc>
          <w:tcPr>
            <w:tcW w:w="1791" w:type="dxa"/>
            <w:tcBorders>
              <w:top w:val="single" w:sz="4" w:space="0" w:color="auto"/>
              <w:left w:val="nil"/>
              <w:bottom w:val="nil"/>
              <w:right w:val="nil"/>
            </w:tcBorders>
            <w:vAlign w:val="center"/>
          </w:tcPr>
          <w:p w14:paraId="3FC08B12" w14:textId="30C2CA68" w:rsidR="00242864" w:rsidRPr="00665B6A" w:rsidRDefault="00242864" w:rsidP="00242864">
            <w:pPr>
              <w:jc w:val="center"/>
              <w:rPr>
                <w:rFonts w:ascii="Arial" w:eastAsia="MS Mincho" w:hAnsi="Arial" w:cs="Arial"/>
                <w:sz w:val="18"/>
                <w:szCs w:val="18"/>
                <w:lang w:val="en-US" w:eastAsia="zh-CN"/>
              </w:rPr>
            </w:pPr>
            <w:r w:rsidRPr="00665B6A">
              <w:rPr>
                <w:rFonts w:ascii="Arial" w:eastAsia="MS Gothic" w:hAnsi="Arial" w:cs="Arial"/>
                <w:sz w:val="18"/>
                <w:szCs w:val="18"/>
                <w:lang w:val="en-US" w:eastAsia="zh-CN"/>
              </w:rPr>
              <w:t xml:space="preserve">52.7 </w:t>
            </w:r>
            <w:r w:rsidRPr="00665B6A">
              <w:rPr>
                <w:rFonts w:ascii="Arial" w:hAnsi="Arial" w:cs="Arial"/>
                <w:sz w:val="18"/>
                <w:szCs w:val="18"/>
                <w:lang w:val="en-US"/>
              </w:rPr>
              <w:t>(</w:t>
            </w:r>
            <w:r w:rsidRPr="00665B6A">
              <w:rPr>
                <w:rFonts w:ascii="Arial" w:eastAsia="MS Gothic" w:hAnsi="Arial" w:cs="Arial"/>
                <w:sz w:val="18"/>
                <w:szCs w:val="18"/>
                <w:lang w:val="en-US" w:eastAsia="zh-CN"/>
              </w:rPr>
              <w:t>46.6, 58.9)</w:t>
            </w:r>
          </w:p>
        </w:tc>
        <w:tc>
          <w:tcPr>
            <w:tcW w:w="1791" w:type="dxa"/>
            <w:tcBorders>
              <w:top w:val="single" w:sz="4" w:space="0" w:color="auto"/>
              <w:left w:val="nil"/>
              <w:bottom w:val="nil"/>
              <w:right w:val="nil"/>
            </w:tcBorders>
            <w:vAlign w:val="center"/>
          </w:tcPr>
          <w:p w14:paraId="4C9E9F1C" w14:textId="480FAFCD" w:rsidR="00242864" w:rsidRPr="00665B6A" w:rsidRDefault="00242864" w:rsidP="00242864">
            <w:pPr>
              <w:jc w:val="center"/>
              <w:rPr>
                <w:rFonts w:ascii="Arial" w:eastAsia="MS Mincho" w:hAnsi="Arial" w:cs="Arial"/>
                <w:sz w:val="18"/>
                <w:szCs w:val="18"/>
                <w:lang w:val="en-US" w:eastAsia="zh-CN"/>
              </w:rPr>
            </w:pPr>
            <w:r w:rsidRPr="00665B6A">
              <w:rPr>
                <w:rFonts w:ascii="Arial" w:eastAsia="MS Gothic" w:hAnsi="Arial" w:cs="Arial"/>
                <w:sz w:val="18"/>
                <w:szCs w:val="18"/>
                <w:lang w:val="en-US" w:eastAsia="zh-CN"/>
              </w:rPr>
              <w:t>37.1 (31.1, 43.2)</w:t>
            </w:r>
          </w:p>
        </w:tc>
        <w:tc>
          <w:tcPr>
            <w:tcW w:w="1791" w:type="dxa"/>
            <w:tcBorders>
              <w:top w:val="single" w:sz="4" w:space="0" w:color="auto"/>
              <w:left w:val="nil"/>
              <w:bottom w:val="nil"/>
              <w:right w:val="nil"/>
            </w:tcBorders>
            <w:vAlign w:val="center"/>
          </w:tcPr>
          <w:p w14:paraId="7C4AD839" w14:textId="117D0F7A" w:rsidR="00242864" w:rsidRPr="00665B6A" w:rsidRDefault="004B1DEB" w:rsidP="00242864">
            <w:pPr>
              <w:jc w:val="center"/>
              <w:rPr>
                <w:rFonts w:ascii="Arial" w:eastAsia="MS Gothic" w:hAnsi="Arial" w:cs="Arial"/>
                <w:b/>
                <w:sz w:val="18"/>
                <w:szCs w:val="18"/>
                <w:lang w:val="en-US" w:eastAsia="zh-CN"/>
              </w:rPr>
            </w:pPr>
            <w:r w:rsidRPr="00665B6A">
              <w:rPr>
                <w:rFonts w:ascii="Arial" w:hAnsi="Arial" w:cs="Arial"/>
                <w:sz w:val="18"/>
                <w:szCs w:val="18"/>
              </w:rPr>
              <w:t>54.5 (48.4, 60.6)</w:t>
            </w:r>
          </w:p>
        </w:tc>
        <w:tc>
          <w:tcPr>
            <w:tcW w:w="1791" w:type="dxa"/>
            <w:tcBorders>
              <w:top w:val="single" w:sz="4" w:space="0" w:color="auto"/>
              <w:left w:val="nil"/>
              <w:bottom w:val="nil"/>
              <w:right w:val="nil"/>
            </w:tcBorders>
            <w:vAlign w:val="center"/>
          </w:tcPr>
          <w:p w14:paraId="5E5607DA" w14:textId="63782E77" w:rsidR="00242864" w:rsidRPr="00665B6A" w:rsidRDefault="004B1DEB" w:rsidP="00242864">
            <w:pPr>
              <w:jc w:val="center"/>
              <w:rPr>
                <w:rFonts w:ascii="Arial" w:eastAsia="MS Gothic" w:hAnsi="Arial" w:cs="Arial"/>
                <w:b/>
                <w:sz w:val="18"/>
                <w:szCs w:val="18"/>
                <w:lang w:val="en-US" w:eastAsia="zh-CN"/>
              </w:rPr>
            </w:pPr>
            <w:r w:rsidRPr="00665B6A">
              <w:rPr>
                <w:rFonts w:ascii="Arial" w:hAnsi="Arial" w:cs="Arial"/>
                <w:sz w:val="18"/>
                <w:szCs w:val="18"/>
              </w:rPr>
              <w:t>38.8 (32.7, 44.9)</w:t>
            </w:r>
          </w:p>
        </w:tc>
      </w:tr>
      <w:tr w:rsidR="00242864" w:rsidRPr="0084015D" w14:paraId="5A0F831D" w14:textId="77777777" w:rsidTr="009F7F0A">
        <w:tc>
          <w:tcPr>
            <w:tcW w:w="2810" w:type="dxa"/>
            <w:tcBorders>
              <w:top w:val="nil"/>
              <w:left w:val="nil"/>
              <w:bottom w:val="single" w:sz="4" w:space="0" w:color="auto"/>
              <w:right w:val="nil"/>
            </w:tcBorders>
            <w:vAlign w:val="center"/>
          </w:tcPr>
          <w:p w14:paraId="00D4F11C" w14:textId="0134EE23" w:rsidR="00242864" w:rsidRPr="00665B6A" w:rsidRDefault="00241F9C" w:rsidP="00242864">
            <w:pPr>
              <w:rPr>
                <w:rFonts w:ascii="Arial" w:eastAsia="MS Mincho" w:hAnsi="Arial" w:cs="Arial"/>
                <w:sz w:val="18"/>
                <w:szCs w:val="18"/>
                <w:lang w:val="en-US" w:eastAsia="zh-CN"/>
              </w:rPr>
            </w:pPr>
            <w:r w:rsidRPr="00665B6A">
              <w:rPr>
                <w:rFonts w:ascii="Arial" w:eastAsia="MS Mincho" w:hAnsi="Arial" w:cs="Arial"/>
                <w:sz w:val="18"/>
                <w:szCs w:val="18"/>
                <w:lang w:val="en-US" w:eastAsia="zh-CN"/>
              </w:rPr>
              <w:t xml:space="preserve">Clinical benefit </w:t>
            </w:r>
            <w:proofErr w:type="spellStart"/>
            <w:r w:rsidRPr="00665B6A">
              <w:rPr>
                <w:rFonts w:ascii="Arial" w:eastAsia="MS Mincho" w:hAnsi="Arial" w:cs="Arial"/>
                <w:sz w:val="18"/>
                <w:szCs w:val="18"/>
                <w:lang w:val="en-US" w:eastAsia="zh-CN"/>
              </w:rPr>
              <w:t>rate</w:t>
            </w:r>
            <w:r w:rsidRPr="00665B6A">
              <w:rPr>
                <w:rFonts w:ascii="Arial" w:eastAsia="MS Mincho" w:hAnsi="Arial" w:cs="Arial"/>
                <w:sz w:val="18"/>
                <w:szCs w:val="18"/>
                <w:vertAlign w:val="superscript"/>
                <w:lang w:val="en-US" w:eastAsia="zh-CN"/>
              </w:rPr>
              <w:t>c</w:t>
            </w:r>
            <w:proofErr w:type="spellEnd"/>
            <w:r w:rsidRPr="00665B6A">
              <w:rPr>
                <w:rFonts w:ascii="Arial" w:eastAsia="MS Mincho" w:hAnsi="Arial" w:cs="Arial"/>
                <w:sz w:val="18"/>
                <w:szCs w:val="18"/>
                <w:vertAlign w:val="superscript"/>
                <w:lang w:val="en-US" w:eastAsia="zh-CN"/>
              </w:rPr>
              <w:t xml:space="preserve"> </w:t>
            </w:r>
            <w:r w:rsidRPr="00665B6A">
              <w:rPr>
                <w:rFonts w:ascii="Arial" w:eastAsia="MS Mincho" w:hAnsi="Arial" w:cs="Arial"/>
                <w:sz w:val="18"/>
                <w:szCs w:val="18"/>
                <w:lang w:val="en-US" w:eastAsia="zh-CN"/>
              </w:rPr>
              <w:t>(95 % CI)</w:t>
            </w:r>
          </w:p>
        </w:tc>
        <w:tc>
          <w:tcPr>
            <w:tcW w:w="1791" w:type="dxa"/>
            <w:tcBorders>
              <w:top w:val="nil"/>
              <w:left w:val="nil"/>
              <w:bottom w:val="single" w:sz="4" w:space="0" w:color="auto"/>
              <w:right w:val="nil"/>
            </w:tcBorders>
            <w:vAlign w:val="center"/>
          </w:tcPr>
          <w:p w14:paraId="54287242" w14:textId="7BAA84B1" w:rsidR="00242864" w:rsidRPr="00665B6A" w:rsidRDefault="00242864" w:rsidP="00242864">
            <w:pPr>
              <w:jc w:val="center"/>
              <w:rPr>
                <w:rFonts w:ascii="Arial" w:eastAsia="MS Mincho" w:hAnsi="Arial" w:cs="Arial"/>
                <w:sz w:val="18"/>
                <w:szCs w:val="18"/>
                <w:lang w:val="en-US" w:eastAsia="zh-CN"/>
              </w:rPr>
            </w:pPr>
            <w:r w:rsidRPr="00665B6A">
              <w:rPr>
                <w:rFonts w:ascii="Arial" w:eastAsia="MS Gothic" w:hAnsi="Arial" w:cs="Arial"/>
                <w:sz w:val="18"/>
                <w:szCs w:val="18"/>
                <w:lang w:val="en-US" w:eastAsia="zh-CN"/>
              </w:rPr>
              <w:t>80.1 (75.2, 85.0)</w:t>
            </w:r>
          </w:p>
        </w:tc>
        <w:tc>
          <w:tcPr>
            <w:tcW w:w="1791" w:type="dxa"/>
            <w:tcBorders>
              <w:top w:val="nil"/>
              <w:left w:val="nil"/>
              <w:bottom w:val="single" w:sz="4" w:space="0" w:color="auto"/>
              <w:right w:val="nil"/>
            </w:tcBorders>
            <w:vAlign w:val="center"/>
          </w:tcPr>
          <w:p w14:paraId="04326B4F" w14:textId="3BB2031B" w:rsidR="00242864" w:rsidRPr="00665B6A" w:rsidRDefault="00242864" w:rsidP="00242864">
            <w:pPr>
              <w:jc w:val="center"/>
              <w:rPr>
                <w:rFonts w:ascii="Arial" w:eastAsia="MS Mincho" w:hAnsi="Arial" w:cs="Arial"/>
                <w:sz w:val="18"/>
                <w:szCs w:val="18"/>
                <w:lang w:val="en-US" w:eastAsia="zh-CN"/>
              </w:rPr>
            </w:pPr>
            <w:r w:rsidRPr="00665B6A">
              <w:rPr>
                <w:rFonts w:ascii="Arial" w:eastAsia="MS Gothic" w:hAnsi="Arial" w:cs="Arial"/>
                <w:sz w:val="18"/>
                <w:szCs w:val="18"/>
                <w:lang w:val="en-US" w:eastAsia="zh-CN"/>
              </w:rPr>
              <w:t>71.8 (66.2, 77.5)</w:t>
            </w:r>
          </w:p>
        </w:tc>
        <w:tc>
          <w:tcPr>
            <w:tcW w:w="1791" w:type="dxa"/>
            <w:tcBorders>
              <w:top w:val="nil"/>
              <w:left w:val="nil"/>
              <w:bottom w:val="single" w:sz="4" w:space="0" w:color="auto"/>
              <w:right w:val="nil"/>
            </w:tcBorders>
            <w:vAlign w:val="center"/>
          </w:tcPr>
          <w:p w14:paraId="1D4B68A7" w14:textId="2C26EBEC" w:rsidR="00242864" w:rsidRPr="00665B6A" w:rsidRDefault="00594C89" w:rsidP="00242864">
            <w:pPr>
              <w:jc w:val="center"/>
              <w:rPr>
                <w:rFonts w:ascii="Arial" w:hAnsi="Arial" w:cs="Arial"/>
                <w:sz w:val="18"/>
                <w:szCs w:val="18"/>
              </w:rPr>
            </w:pPr>
            <w:r w:rsidRPr="00665B6A">
              <w:rPr>
                <w:rFonts w:ascii="Arial" w:hAnsi="Arial" w:cs="Arial"/>
                <w:sz w:val="18"/>
                <w:szCs w:val="18"/>
              </w:rPr>
              <w:t>80.2 (75.3, 85.0)</w:t>
            </w:r>
          </w:p>
        </w:tc>
        <w:tc>
          <w:tcPr>
            <w:tcW w:w="1791" w:type="dxa"/>
            <w:tcBorders>
              <w:top w:val="nil"/>
              <w:left w:val="nil"/>
              <w:bottom w:val="single" w:sz="4" w:space="0" w:color="auto"/>
              <w:right w:val="nil"/>
            </w:tcBorders>
            <w:vAlign w:val="center"/>
          </w:tcPr>
          <w:p w14:paraId="70FAA16B" w14:textId="33B547A3" w:rsidR="00242864" w:rsidRPr="00665B6A" w:rsidRDefault="00226EFD" w:rsidP="00242864">
            <w:pPr>
              <w:jc w:val="center"/>
              <w:rPr>
                <w:rFonts w:ascii="Arial" w:hAnsi="Arial" w:cs="Arial"/>
                <w:sz w:val="18"/>
                <w:szCs w:val="18"/>
              </w:rPr>
            </w:pPr>
            <w:r w:rsidRPr="00665B6A">
              <w:rPr>
                <w:rFonts w:ascii="Arial" w:hAnsi="Arial" w:cs="Arial"/>
                <w:sz w:val="18"/>
                <w:szCs w:val="18"/>
              </w:rPr>
              <w:t>71.8 (66.2, 77.5)</w:t>
            </w:r>
          </w:p>
        </w:tc>
      </w:tr>
    </w:tbl>
    <w:p w14:paraId="5EE29E7C" w14:textId="77777777" w:rsidR="00801823" w:rsidRDefault="00801823" w:rsidP="009F7F0A">
      <w:pPr>
        <w:widowControl w:val="0"/>
        <w:outlineLvl w:val="5"/>
        <w:rPr>
          <w:rFonts w:ascii="Arial" w:eastAsia="MS Gothic" w:hAnsi="Arial" w:cs="Arial"/>
          <w:sz w:val="18"/>
          <w:szCs w:val="18"/>
          <w:lang w:val="en-US" w:eastAsia="zh-CN"/>
        </w:rPr>
      </w:pPr>
      <w:r w:rsidRPr="00801823">
        <w:rPr>
          <w:rFonts w:ascii="Arial" w:eastAsia="MS Gothic" w:hAnsi="Arial" w:cs="Arial"/>
          <w:sz w:val="18"/>
          <w:szCs w:val="18"/>
          <w:lang w:val="en-US" w:eastAsia="zh-CN"/>
        </w:rPr>
        <w:t>CI=confidence interval; N=number of patients; NE = Not estimable</w:t>
      </w:r>
    </w:p>
    <w:p w14:paraId="155E5871" w14:textId="4BE740CB" w:rsidR="00801823" w:rsidRPr="00801823" w:rsidRDefault="00801823" w:rsidP="009F7F0A">
      <w:pPr>
        <w:widowControl w:val="0"/>
        <w:outlineLvl w:val="5"/>
        <w:rPr>
          <w:rFonts w:ascii="Arial" w:eastAsia="MS Gothic" w:hAnsi="Arial" w:cs="Arial"/>
          <w:sz w:val="18"/>
          <w:szCs w:val="18"/>
          <w:lang w:val="en-US" w:eastAsia="zh-CN"/>
        </w:rPr>
      </w:pPr>
      <w:proofErr w:type="gramStart"/>
      <w:r w:rsidRPr="00801823">
        <w:rPr>
          <w:rFonts w:ascii="Arial" w:eastAsia="MS Gothic" w:hAnsi="Arial" w:cs="Arial"/>
          <w:sz w:val="18"/>
          <w:szCs w:val="18"/>
          <w:vertAlign w:val="superscript"/>
          <w:lang w:val="en-US" w:eastAsia="zh-CN"/>
        </w:rPr>
        <w:t>a</w:t>
      </w:r>
      <w:proofErr w:type="gramEnd"/>
      <w:r w:rsidRPr="00801823">
        <w:rPr>
          <w:rFonts w:ascii="Arial" w:eastAsia="MS Gothic" w:hAnsi="Arial" w:cs="Arial"/>
          <w:sz w:val="18"/>
          <w:szCs w:val="18"/>
          <w:lang w:val="en-US" w:eastAsia="zh-CN"/>
        </w:rPr>
        <w:t xml:space="preserve"> p-value is obtained from the one-sided stratified log-rank test</w:t>
      </w:r>
      <w:r>
        <w:rPr>
          <w:rFonts w:ascii="Arial" w:eastAsia="MS Gothic" w:hAnsi="Arial" w:cs="Arial"/>
          <w:sz w:val="18"/>
          <w:szCs w:val="18"/>
          <w:lang w:val="en-US" w:eastAsia="zh-CN"/>
        </w:rPr>
        <w:t xml:space="preserve">; </w:t>
      </w:r>
      <w:r w:rsidRPr="00801823">
        <w:rPr>
          <w:rFonts w:ascii="Arial" w:eastAsia="MS Gothic" w:hAnsi="Arial" w:cs="Arial"/>
          <w:sz w:val="18"/>
          <w:szCs w:val="18"/>
          <w:vertAlign w:val="superscript"/>
          <w:lang w:val="en-US" w:eastAsia="zh-CN"/>
        </w:rPr>
        <w:t>b</w:t>
      </w:r>
      <w:r w:rsidRPr="00801823">
        <w:rPr>
          <w:rFonts w:ascii="Arial" w:eastAsia="MS Gothic" w:hAnsi="Arial" w:cs="Arial"/>
          <w:sz w:val="18"/>
          <w:szCs w:val="18"/>
          <w:lang w:val="en-US" w:eastAsia="zh-CN"/>
        </w:rPr>
        <w:t xml:space="preserve"> ORR: Overall Response Rate = proportion of patients with complete response + partial</w:t>
      </w:r>
      <w:r>
        <w:rPr>
          <w:rFonts w:ascii="Arial" w:eastAsia="MS Gothic" w:hAnsi="Arial" w:cs="Arial"/>
          <w:sz w:val="18"/>
          <w:szCs w:val="18"/>
          <w:lang w:val="en-US" w:eastAsia="zh-CN"/>
        </w:rPr>
        <w:t xml:space="preserve"> </w:t>
      </w:r>
      <w:r w:rsidRPr="00801823">
        <w:rPr>
          <w:rFonts w:ascii="Arial" w:eastAsia="MS Gothic" w:hAnsi="Arial" w:cs="Arial"/>
          <w:sz w:val="18"/>
          <w:szCs w:val="18"/>
          <w:lang w:val="en-US" w:eastAsia="zh-CN"/>
        </w:rPr>
        <w:t>response</w:t>
      </w:r>
      <w:r>
        <w:rPr>
          <w:rFonts w:ascii="Arial" w:eastAsia="MS Gothic" w:hAnsi="Arial" w:cs="Arial"/>
          <w:sz w:val="18"/>
          <w:szCs w:val="18"/>
          <w:lang w:val="en-US" w:eastAsia="zh-CN"/>
        </w:rPr>
        <w:t xml:space="preserve">; </w:t>
      </w:r>
      <w:r w:rsidRPr="00801823">
        <w:rPr>
          <w:rFonts w:ascii="Arial" w:eastAsia="MS Gothic" w:hAnsi="Arial" w:cs="Arial"/>
          <w:sz w:val="18"/>
          <w:szCs w:val="18"/>
          <w:vertAlign w:val="superscript"/>
          <w:lang w:val="en-US" w:eastAsia="zh-CN"/>
        </w:rPr>
        <w:t>c</w:t>
      </w:r>
      <w:r w:rsidRPr="00801823">
        <w:rPr>
          <w:rFonts w:ascii="Arial" w:eastAsia="MS Gothic" w:hAnsi="Arial" w:cs="Arial"/>
          <w:sz w:val="18"/>
          <w:szCs w:val="18"/>
          <w:lang w:val="en-US" w:eastAsia="zh-CN"/>
        </w:rPr>
        <w:t xml:space="preserve"> CBR: Clinical Benefit Rate (CBR) = proportion of patients with complete response + partial response + (stable disease or non-complete response/Non-progressive disease ≥ 24 weeks)</w:t>
      </w:r>
    </w:p>
    <w:p w14:paraId="0EA8B8CB" w14:textId="6CE1F78F" w:rsidR="00533B96" w:rsidRDefault="00D95909" w:rsidP="00533B96">
      <w:pPr>
        <w:keepNext/>
        <w:keepLines/>
        <w:spacing w:before="240" w:after="60"/>
        <w:ind w:left="1701" w:hanging="1701"/>
        <w:outlineLvl w:val="5"/>
        <w:rPr>
          <w:rFonts w:ascii="Arial" w:eastAsia="MS Gothic" w:hAnsi="Arial" w:cs="Arial"/>
          <w:b/>
          <w:sz w:val="22"/>
          <w:szCs w:val="20"/>
          <w:lang w:val="en-US" w:eastAsia="zh-CN"/>
        </w:rPr>
      </w:pPr>
      <w:bookmarkStart w:id="1" w:name="_Toc456881096"/>
      <w:bookmarkStart w:id="2" w:name="_Toc459708472"/>
      <w:r w:rsidRPr="002E0033">
        <w:rPr>
          <w:rFonts w:ascii="Arial" w:eastAsia="MS Gothic" w:hAnsi="Arial" w:cs="Arial"/>
          <w:b/>
          <w:sz w:val="22"/>
          <w:szCs w:val="20"/>
          <w:lang w:val="en-US" w:eastAsia="zh-CN"/>
        </w:rPr>
        <w:lastRenderedPageBreak/>
        <w:t xml:space="preserve">Figure </w:t>
      </w:r>
      <w:proofErr w:type="gramStart"/>
      <w:r w:rsidRPr="002E0033">
        <w:rPr>
          <w:rFonts w:ascii="Arial" w:eastAsia="MS Gothic" w:hAnsi="Arial" w:cs="Arial"/>
          <w:b/>
          <w:sz w:val="22"/>
          <w:szCs w:val="20"/>
          <w:lang w:val="en-US" w:eastAsia="zh-CN"/>
        </w:rPr>
        <w:t>1</w:t>
      </w:r>
      <w:proofErr w:type="gramEnd"/>
      <w:r w:rsidRPr="002E0033">
        <w:rPr>
          <w:rFonts w:ascii="Arial" w:eastAsia="MS Gothic" w:hAnsi="Arial" w:cs="Arial"/>
          <w:b/>
          <w:sz w:val="22"/>
          <w:szCs w:val="20"/>
          <w:lang w:val="en-US" w:eastAsia="zh-CN"/>
        </w:rPr>
        <w:tab/>
      </w:r>
      <w:r w:rsidR="00533B96" w:rsidRPr="00533B96">
        <w:rPr>
          <w:rFonts w:ascii="Arial" w:eastAsia="MS Gothic" w:hAnsi="Arial" w:cs="Arial"/>
          <w:b/>
          <w:sz w:val="22"/>
          <w:szCs w:val="20"/>
          <w:lang w:val="en-US" w:eastAsia="zh-CN"/>
        </w:rPr>
        <w:t>Kaplan-Meier plot of PFS per Investigator: 02-Jan-2017 data</w:t>
      </w:r>
      <w:r w:rsidR="00533B96">
        <w:rPr>
          <w:rFonts w:ascii="Arial" w:eastAsia="MS Gothic" w:hAnsi="Arial" w:cs="Arial"/>
          <w:b/>
          <w:sz w:val="22"/>
          <w:szCs w:val="20"/>
          <w:lang w:val="en-US" w:eastAsia="zh-CN"/>
        </w:rPr>
        <w:t xml:space="preserve"> </w:t>
      </w:r>
      <w:r w:rsidR="00533B96" w:rsidRPr="00533B96">
        <w:rPr>
          <w:rFonts w:ascii="Arial" w:eastAsia="MS Gothic" w:hAnsi="Arial" w:cs="Arial"/>
          <w:b/>
          <w:sz w:val="22"/>
          <w:szCs w:val="20"/>
          <w:lang w:val="en-US" w:eastAsia="zh-CN"/>
        </w:rPr>
        <w:t>cut-off (Full Analysis Set)</w:t>
      </w:r>
    </w:p>
    <w:p w14:paraId="07000FF3" w14:textId="5C3D0D89" w:rsidR="00D95909" w:rsidRDefault="00533B96" w:rsidP="00D95909">
      <w:pPr>
        <w:keepNext/>
        <w:keepLines/>
        <w:spacing w:before="240" w:after="60"/>
        <w:ind w:left="1701" w:hanging="1701"/>
        <w:outlineLvl w:val="5"/>
        <w:rPr>
          <w:rFonts w:ascii="Arial" w:eastAsia="MS Gothic" w:hAnsi="Arial" w:cs="Arial"/>
          <w:b/>
          <w:sz w:val="22"/>
          <w:szCs w:val="20"/>
          <w:lang w:val="en-US" w:eastAsia="zh-CN"/>
        </w:rPr>
      </w:pPr>
      <w:r>
        <w:rPr>
          <w:noProof/>
        </w:rPr>
        <w:drawing>
          <wp:inline distT="0" distB="0" distL="0" distR="0" wp14:anchorId="2D3D2241" wp14:editId="10CF3283">
            <wp:extent cx="6070436" cy="3347261"/>
            <wp:effectExtent l="0" t="0" r="698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97341" cy="3362097"/>
                    </a:xfrm>
                    <a:prstGeom prst="rect">
                      <a:avLst/>
                    </a:prstGeom>
                  </pic:spPr>
                </pic:pic>
              </a:graphicData>
            </a:graphic>
          </wp:inline>
        </w:drawing>
      </w:r>
    </w:p>
    <w:p w14:paraId="4BA1D721" w14:textId="77777777" w:rsidR="003E7B78" w:rsidRDefault="003E7B78" w:rsidP="00801823">
      <w:pPr>
        <w:rPr>
          <w:rFonts w:ascii="Arial" w:eastAsia="MS Gothic" w:hAnsi="Arial" w:cs="Arial"/>
          <w:b/>
          <w:sz w:val="22"/>
          <w:szCs w:val="20"/>
          <w:lang w:val="en-US" w:eastAsia="zh-CN"/>
        </w:rPr>
      </w:pPr>
    </w:p>
    <w:p w14:paraId="154B2AA6" w14:textId="7F46C1EE" w:rsidR="00801823" w:rsidRDefault="00801823" w:rsidP="00844684">
      <w:pPr>
        <w:spacing w:after="120"/>
        <w:rPr>
          <w:rFonts w:ascii="Arial" w:eastAsia="MS Gothic" w:hAnsi="Arial" w:cs="Arial"/>
          <w:b/>
          <w:sz w:val="22"/>
          <w:szCs w:val="20"/>
          <w:lang w:val="en-US" w:eastAsia="zh-CN"/>
        </w:rPr>
      </w:pPr>
      <w:r w:rsidRPr="002E0033">
        <w:rPr>
          <w:rFonts w:ascii="Arial" w:eastAsia="MS Gothic" w:hAnsi="Arial" w:cs="Arial"/>
          <w:b/>
          <w:sz w:val="22"/>
          <w:szCs w:val="20"/>
          <w:lang w:val="en-US" w:eastAsia="zh-CN"/>
        </w:rPr>
        <w:t xml:space="preserve">Figure </w:t>
      </w:r>
      <w:r>
        <w:rPr>
          <w:rFonts w:ascii="Arial" w:eastAsia="MS Gothic" w:hAnsi="Arial" w:cs="Arial"/>
          <w:b/>
          <w:sz w:val="22"/>
          <w:szCs w:val="20"/>
          <w:lang w:val="en-US" w:eastAsia="zh-CN"/>
        </w:rPr>
        <w:t>2</w:t>
      </w:r>
      <w:r w:rsidRPr="002E0033">
        <w:rPr>
          <w:rFonts w:ascii="Arial" w:eastAsia="MS Gothic" w:hAnsi="Arial" w:cs="Arial"/>
          <w:b/>
          <w:sz w:val="22"/>
          <w:szCs w:val="20"/>
          <w:lang w:val="en-US" w:eastAsia="zh-CN"/>
        </w:rPr>
        <w:tab/>
      </w:r>
      <w:r w:rsidRPr="00BF74BF">
        <w:rPr>
          <w:rFonts w:ascii="Arial" w:eastAsia="MS Gothic" w:hAnsi="Arial" w:cs="Arial"/>
          <w:b/>
          <w:sz w:val="22"/>
          <w:szCs w:val="20"/>
          <w:lang w:val="en-US" w:eastAsia="zh-CN"/>
        </w:rPr>
        <w:t>Kaplan-Meier plot of OS: 02-Jan-2017 data cut-off (Full</w:t>
      </w:r>
      <w:r>
        <w:rPr>
          <w:rFonts w:ascii="Arial" w:eastAsia="MS Gothic" w:hAnsi="Arial" w:cs="Arial"/>
          <w:b/>
          <w:sz w:val="22"/>
          <w:szCs w:val="20"/>
          <w:lang w:val="en-US" w:eastAsia="zh-CN"/>
        </w:rPr>
        <w:t xml:space="preserve"> </w:t>
      </w:r>
      <w:r w:rsidRPr="00BF74BF">
        <w:rPr>
          <w:rFonts w:ascii="Arial" w:eastAsia="MS Gothic" w:hAnsi="Arial" w:cs="Arial"/>
          <w:b/>
          <w:sz w:val="22"/>
          <w:szCs w:val="20"/>
          <w:lang w:val="en-US" w:eastAsia="zh-CN"/>
        </w:rPr>
        <w:t>Analysis Set)</w:t>
      </w:r>
    </w:p>
    <w:p w14:paraId="7FAFCFDC" w14:textId="77777777" w:rsidR="00801823" w:rsidRDefault="00801823" w:rsidP="00844684">
      <w:pPr>
        <w:rPr>
          <w:rFonts w:ascii="Arial" w:eastAsia="MS Mincho" w:hAnsi="Arial" w:cs="Arial"/>
          <w:i/>
          <w:sz w:val="16"/>
          <w:szCs w:val="16"/>
          <w:lang w:val="en-US" w:eastAsia="zh-CN"/>
        </w:rPr>
      </w:pPr>
      <w:r>
        <w:rPr>
          <w:noProof/>
        </w:rPr>
        <w:drawing>
          <wp:inline distT="0" distB="0" distL="0" distR="0" wp14:anchorId="16C6158C" wp14:editId="7F566BBA">
            <wp:extent cx="6105565" cy="33567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65" b="5138"/>
                    <a:stretch/>
                  </pic:blipFill>
                  <pic:spPr bwMode="auto">
                    <a:xfrm>
                      <a:off x="0" y="0"/>
                      <a:ext cx="6111955" cy="3360246"/>
                    </a:xfrm>
                    <a:prstGeom prst="rect">
                      <a:avLst/>
                    </a:prstGeom>
                    <a:ln>
                      <a:noFill/>
                    </a:ln>
                    <a:extLst>
                      <a:ext uri="{53640926-AAD7-44D8-BBD7-CCE9431645EC}">
                        <a14:shadowObscured xmlns:a14="http://schemas.microsoft.com/office/drawing/2010/main"/>
                      </a:ext>
                    </a:extLst>
                  </pic:spPr>
                </pic:pic>
              </a:graphicData>
            </a:graphic>
          </wp:inline>
        </w:drawing>
      </w:r>
    </w:p>
    <w:p w14:paraId="61C70060" w14:textId="258F61A2" w:rsidR="00384487" w:rsidRDefault="00B50A42" w:rsidP="00844684">
      <w:pPr>
        <w:keepNext/>
        <w:ind w:left="1440" w:hanging="1440"/>
        <w:rPr>
          <w:rFonts w:ascii="Arial" w:eastAsia="MS Gothic" w:hAnsi="Arial" w:cs="Arial"/>
          <w:b/>
          <w:sz w:val="22"/>
          <w:szCs w:val="20"/>
          <w:lang w:val="en-US" w:eastAsia="zh-CN"/>
        </w:rPr>
      </w:pPr>
      <w:r w:rsidRPr="00D90A88">
        <w:rPr>
          <w:rFonts w:ascii="Arial" w:eastAsia="MS Gothic" w:hAnsi="Arial" w:cs="Arial"/>
          <w:b/>
          <w:sz w:val="22"/>
          <w:szCs w:val="20"/>
          <w:lang w:val="en-US" w:eastAsia="zh-CN"/>
        </w:rPr>
        <w:lastRenderedPageBreak/>
        <w:t xml:space="preserve">Figure </w:t>
      </w:r>
      <w:r w:rsidR="00801823">
        <w:rPr>
          <w:rFonts w:ascii="Arial" w:eastAsia="MS Gothic" w:hAnsi="Arial" w:cs="Arial"/>
          <w:b/>
          <w:sz w:val="22"/>
          <w:szCs w:val="20"/>
          <w:lang w:val="en-US" w:eastAsia="zh-CN"/>
        </w:rPr>
        <w:t>3</w:t>
      </w:r>
      <w:r>
        <w:rPr>
          <w:rFonts w:ascii="Arial" w:eastAsia="MS Gothic" w:hAnsi="Arial" w:cs="Arial"/>
          <w:b/>
          <w:sz w:val="22"/>
          <w:szCs w:val="20"/>
          <w:lang w:val="en-US" w:eastAsia="zh-CN"/>
        </w:rPr>
        <w:tab/>
      </w:r>
      <w:r w:rsidR="00F16E78">
        <w:rPr>
          <w:rFonts w:ascii="Arial" w:eastAsia="MS Gothic" w:hAnsi="Arial" w:cs="Arial"/>
          <w:b/>
          <w:sz w:val="22"/>
          <w:szCs w:val="20"/>
          <w:lang w:val="en-US" w:eastAsia="zh-CN"/>
        </w:rPr>
        <w:t>Forest plot s</w:t>
      </w:r>
      <w:r w:rsidRPr="00D90A88">
        <w:rPr>
          <w:rFonts w:ascii="Arial" w:eastAsia="MS Gothic" w:hAnsi="Arial" w:cs="Arial"/>
          <w:b/>
          <w:sz w:val="22"/>
          <w:szCs w:val="20"/>
          <w:lang w:val="en-US" w:eastAsia="zh-CN"/>
        </w:rPr>
        <w:t xml:space="preserve">ubgroup </w:t>
      </w:r>
      <w:r w:rsidR="00F16E78">
        <w:rPr>
          <w:rFonts w:ascii="Arial" w:eastAsia="MS Gothic" w:hAnsi="Arial" w:cs="Arial"/>
          <w:b/>
          <w:sz w:val="22"/>
          <w:szCs w:val="20"/>
          <w:lang w:val="en-US" w:eastAsia="zh-CN"/>
        </w:rPr>
        <w:t>a</w:t>
      </w:r>
      <w:r w:rsidRPr="00D90A88">
        <w:rPr>
          <w:rFonts w:ascii="Arial" w:eastAsia="MS Gothic" w:hAnsi="Arial" w:cs="Arial"/>
          <w:b/>
          <w:sz w:val="22"/>
          <w:szCs w:val="20"/>
          <w:lang w:val="en-US" w:eastAsia="zh-CN"/>
        </w:rPr>
        <w:t xml:space="preserve">nalysis of </w:t>
      </w:r>
      <w:r>
        <w:rPr>
          <w:rFonts w:ascii="Arial" w:eastAsia="MS Gothic" w:hAnsi="Arial" w:cs="Arial"/>
          <w:b/>
          <w:sz w:val="22"/>
          <w:szCs w:val="20"/>
          <w:lang w:val="en-US" w:eastAsia="zh-CN"/>
        </w:rPr>
        <w:t xml:space="preserve">PFS </w:t>
      </w:r>
      <w:r w:rsidRPr="00D90A88">
        <w:rPr>
          <w:rFonts w:ascii="Arial" w:eastAsia="MS Gothic" w:hAnsi="Arial" w:cs="Arial"/>
          <w:b/>
          <w:sz w:val="22"/>
          <w:szCs w:val="20"/>
          <w:lang w:val="en-US" w:eastAsia="zh-CN"/>
        </w:rPr>
        <w:t>based on Investigator review – Study A2301 (2 January 2017 cut off)</w:t>
      </w:r>
    </w:p>
    <w:p w14:paraId="4F3D8CC8" w14:textId="2C55BD5F" w:rsidR="00384487" w:rsidRDefault="000F2C81" w:rsidP="009F7F0A">
      <w:pPr>
        <w:rPr>
          <w:rFonts w:ascii="Arial" w:eastAsia="MS Gothic" w:hAnsi="Arial" w:cs="Arial"/>
          <w:b/>
          <w:sz w:val="22"/>
          <w:szCs w:val="20"/>
          <w:lang w:val="en-US" w:eastAsia="zh-CN"/>
        </w:rPr>
      </w:pPr>
      <w:r>
        <w:rPr>
          <w:noProof/>
        </w:rPr>
        <w:drawing>
          <wp:inline distT="0" distB="0" distL="0" distR="0" wp14:anchorId="4D40CB74" wp14:editId="2C4902C3">
            <wp:extent cx="6365240" cy="260161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14" b="10604"/>
                    <a:stretch/>
                  </pic:blipFill>
                  <pic:spPr bwMode="auto">
                    <a:xfrm>
                      <a:off x="0" y="0"/>
                      <a:ext cx="6373219" cy="2604876"/>
                    </a:xfrm>
                    <a:prstGeom prst="rect">
                      <a:avLst/>
                    </a:prstGeom>
                    <a:ln>
                      <a:noFill/>
                    </a:ln>
                    <a:extLst>
                      <a:ext uri="{53640926-AAD7-44D8-BBD7-CCE9431645EC}">
                        <a14:shadowObscured xmlns:a14="http://schemas.microsoft.com/office/drawing/2010/main"/>
                      </a:ext>
                    </a:extLst>
                  </pic:spPr>
                </pic:pic>
              </a:graphicData>
            </a:graphic>
          </wp:inline>
        </w:drawing>
      </w:r>
    </w:p>
    <w:p w14:paraId="13107F3D" w14:textId="5197E8FD" w:rsidR="00384487" w:rsidRDefault="009404CD" w:rsidP="00384487">
      <w:pPr>
        <w:rPr>
          <w:rFonts w:ascii="Arial" w:eastAsia="MS Gothic" w:hAnsi="Arial" w:cs="Arial"/>
          <w:b/>
          <w:sz w:val="22"/>
          <w:szCs w:val="20"/>
          <w:lang w:val="en-US" w:eastAsia="zh-CN"/>
        </w:rPr>
      </w:pPr>
      <w:r>
        <w:rPr>
          <w:noProof/>
        </w:rPr>
        <w:drawing>
          <wp:inline distT="0" distB="0" distL="0" distR="0" wp14:anchorId="2660F368" wp14:editId="2F577A1F">
            <wp:extent cx="6365240" cy="236564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8504" r="66" b="11104"/>
                    <a:stretch/>
                  </pic:blipFill>
                  <pic:spPr bwMode="auto">
                    <a:xfrm>
                      <a:off x="0" y="0"/>
                      <a:ext cx="6387442" cy="2373892"/>
                    </a:xfrm>
                    <a:prstGeom prst="rect">
                      <a:avLst/>
                    </a:prstGeom>
                    <a:ln>
                      <a:noFill/>
                    </a:ln>
                    <a:extLst>
                      <a:ext uri="{53640926-AAD7-44D8-BBD7-CCE9431645EC}">
                        <a14:shadowObscured xmlns:a14="http://schemas.microsoft.com/office/drawing/2010/main"/>
                      </a:ext>
                    </a:extLst>
                  </pic:spPr>
                </pic:pic>
              </a:graphicData>
            </a:graphic>
          </wp:inline>
        </w:drawing>
      </w:r>
    </w:p>
    <w:p w14:paraId="13D0F01B" w14:textId="7089E70A" w:rsidR="009404CD" w:rsidRDefault="009404CD" w:rsidP="00384487">
      <w:pPr>
        <w:rPr>
          <w:rFonts w:ascii="Arial" w:eastAsia="MS Gothic" w:hAnsi="Arial" w:cs="Arial"/>
          <w:b/>
          <w:sz w:val="22"/>
          <w:szCs w:val="20"/>
          <w:lang w:val="en-US" w:eastAsia="zh-CN"/>
        </w:rPr>
      </w:pPr>
      <w:r>
        <w:rPr>
          <w:rFonts w:ascii="Arial" w:eastAsia="MS Gothic" w:hAnsi="Arial" w:cs="Arial"/>
          <w:b/>
          <w:noProof/>
          <w:sz w:val="22"/>
          <w:szCs w:val="20"/>
        </w:rPr>
        <w:drawing>
          <wp:inline distT="0" distB="0" distL="0" distR="0" wp14:anchorId="65CE2372" wp14:editId="5A085B1F">
            <wp:extent cx="6383102" cy="26711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t="8205"/>
                    <a:stretch/>
                  </pic:blipFill>
                  <pic:spPr bwMode="auto">
                    <a:xfrm>
                      <a:off x="0" y="0"/>
                      <a:ext cx="6391094" cy="2674454"/>
                    </a:xfrm>
                    <a:prstGeom prst="rect">
                      <a:avLst/>
                    </a:prstGeom>
                    <a:noFill/>
                    <a:ln>
                      <a:noFill/>
                    </a:ln>
                    <a:extLst>
                      <a:ext uri="{53640926-AAD7-44D8-BBD7-CCE9431645EC}">
                        <a14:shadowObscured xmlns:a14="http://schemas.microsoft.com/office/drawing/2010/main"/>
                      </a:ext>
                    </a:extLst>
                  </pic:spPr>
                </pic:pic>
              </a:graphicData>
            </a:graphic>
          </wp:inline>
        </w:drawing>
      </w:r>
    </w:p>
    <w:p w14:paraId="49F4D2E6" w14:textId="77777777" w:rsidR="00BB01CA" w:rsidRDefault="00BB01CA" w:rsidP="002F6632">
      <w:pPr>
        <w:widowControl w:val="0"/>
        <w:rPr>
          <w:rFonts w:ascii="Arial" w:eastAsia="MS Gothic" w:hAnsi="Arial" w:cs="Arial"/>
          <w:b/>
          <w:sz w:val="16"/>
          <w:szCs w:val="16"/>
          <w:lang w:val="en-US" w:eastAsia="zh-CN"/>
        </w:rPr>
      </w:pPr>
    </w:p>
    <w:p w14:paraId="4488F810" w14:textId="70C5B8CF" w:rsidR="00801823" w:rsidRPr="00BB01CA" w:rsidRDefault="00B50A42" w:rsidP="00BB01CA">
      <w:pPr>
        <w:widowControl w:val="0"/>
        <w:rPr>
          <w:rFonts w:ascii="Arial" w:eastAsia="MS Gothic" w:hAnsi="Arial" w:cs="Arial"/>
          <w:sz w:val="16"/>
          <w:szCs w:val="16"/>
          <w:lang w:val="en-US" w:eastAsia="zh-CN"/>
        </w:rPr>
      </w:pPr>
      <w:r w:rsidRPr="00BB01CA">
        <w:rPr>
          <w:rFonts w:ascii="Arial" w:eastAsia="MS Gothic" w:hAnsi="Arial" w:cs="Arial"/>
          <w:sz w:val="16"/>
          <w:szCs w:val="16"/>
          <w:lang w:val="en-US" w:eastAsia="zh-CN"/>
        </w:rPr>
        <w:lastRenderedPageBreak/>
        <w:t>CI</w:t>
      </w:r>
      <w:r w:rsidR="002F6632" w:rsidRPr="00BB01CA">
        <w:rPr>
          <w:rFonts w:ascii="Arial" w:eastAsia="MS Gothic" w:hAnsi="Arial" w:cs="Arial"/>
          <w:sz w:val="16"/>
          <w:szCs w:val="16"/>
          <w:lang w:val="en-US" w:eastAsia="zh-CN"/>
        </w:rPr>
        <w:t>=</w:t>
      </w:r>
      <w:r w:rsidRPr="00BB01CA">
        <w:rPr>
          <w:rFonts w:ascii="Arial" w:eastAsia="MS Gothic" w:hAnsi="Arial" w:cs="Arial"/>
          <w:sz w:val="16"/>
          <w:szCs w:val="16"/>
          <w:lang w:val="en-US" w:eastAsia="zh-CN"/>
        </w:rPr>
        <w:t>confidence interval; ECOG PS</w:t>
      </w:r>
      <w:r w:rsidR="002F6632" w:rsidRPr="00BB01CA">
        <w:rPr>
          <w:rFonts w:ascii="Arial" w:eastAsia="MS Gothic" w:hAnsi="Arial" w:cs="Arial"/>
          <w:sz w:val="16"/>
          <w:szCs w:val="16"/>
          <w:lang w:val="en-US" w:eastAsia="zh-CN"/>
        </w:rPr>
        <w:t>=</w:t>
      </w:r>
      <w:r w:rsidRPr="00BB01CA">
        <w:rPr>
          <w:rFonts w:ascii="Arial" w:eastAsia="MS Gothic" w:hAnsi="Arial" w:cs="Arial"/>
          <w:sz w:val="16"/>
          <w:szCs w:val="16"/>
          <w:lang w:val="en-US" w:eastAsia="zh-CN"/>
        </w:rPr>
        <w:t>Eastern Cooperative Oncology Group performance status; ER</w:t>
      </w:r>
      <w:r w:rsidR="002F6632" w:rsidRPr="00BB01CA">
        <w:rPr>
          <w:rFonts w:ascii="Arial" w:eastAsia="MS Gothic" w:hAnsi="Arial" w:cs="Arial"/>
          <w:sz w:val="16"/>
          <w:szCs w:val="16"/>
          <w:lang w:val="en-US" w:eastAsia="zh-CN"/>
        </w:rPr>
        <w:t>=</w:t>
      </w:r>
      <w:r w:rsidRPr="00BB01CA">
        <w:rPr>
          <w:rFonts w:ascii="Arial" w:eastAsia="MS Gothic" w:hAnsi="Arial" w:cs="Arial"/>
          <w:sz w:val="16"/>
          <w:szCs w:val="16"/>
          <w:lang w:val="en-US" w:eastAsia="zh-CN"/>
        </w:rPr>
        <w:t>estrogen receptor; ET</w:t>
      </w:r>
      <w:r w:rsidR="002F6632" w:rsidRPr="00BB01CA">
        <w:rPr>
          <w:rFonts w:ascii="Arial" w:eastAsia="MS Gothic" w:hAnsi="Arial" w:cs="Arial"/>
          <w:sz w:val="16"/>
          <w:szCs w:val="16"/>
          <w:lang w:val="en-US" w:eastAsia="zh-CN"/>
        </w:rPr>
        <w:t>=</w:t>
      </w:r>
      <w:r w:rsidRPr="00BB01CA">
        <w:rPr>
          <w:rFonts w:ascii="Arial" w:eastAsia="MS Gothic" w:hAnsi="Arial" w:cs="Arial"/>
          <w:sz w:val="16"/>
          <w:szCs w:val="16"/>
          <w:lang w:val="en-US" w:eastAsia="zh-CN"/>
        </w:rPr>
        <w:t>endocrine therapy; EXE</w:t>
      </w:r>
      <w:r w:rsidR="002F6632" w:rsidRPr="00BB01CA">
        <w:rPr>
          <w:rFonts w:ascii="Arial" w:eastAsia="MS Gothic" w:hAnsi="Arial" w:cs="Arial"/>
          <w:sz w:val="16"/>
          <w:szCs w:val="16"/>
          <w:lang w:val="en-US" w:eastAsia="zh-CN"/>
        </w:rPr>
        <w:t>=</w:t>
      </w:r>
      <w:proofErr w:type="spellStart"/>
      <w:r w:rsidRPr="00BB01CA">
        <w:rPr>
          <w:rFonts w:ascii="Arial" w:eastAsia="MS Gothic" w:hAnsi="Arial" w:cs="Arial"/>
          <w:sz w:val="16"/>
          <w:szCs w:val="16"/>
          <w:lang w:val="en-US" w:eastAsia="zh-CN"/>
        </w:rPr>
        <w:t>exemestane</w:t>
      </w:r>
      <w:proofErr w:type="spellEnd"/>
      <w:r w:rsidRPr="00BB01CA">
        <w:rPr>
          <w:rFonts w:ascii="Arial" w:eastAsia="MS Gothic" w:hAnsi="Arial" w:cs="Arial"/>
          <w:sz w:val="16"/>
          <w:szCs w:val="16"/>
          <w:lang w:val="en-US" w:eastAsia="zh-CN"/>
        </w:rPr>
        <w:t>; HR</w:t>
      </w:r>
      <w:r w:rsidR="002F6632" w:rsidRPr="00BB01CA">
        <w:rPr>
          <w:rFonts w:ascii="Arial" w:eastAsia="MS Gothic" w:hAnsi="Arial" w:cs="Arial"/>
          <w:sz w:val="16"/>
          <w:szCs w:val="16"/>
          <w:lang w:val="en-US" w:eastAsia="zh-CN"/>
        </w:rPr>
        <w:t>=</w:t>
      </w:r>
      <w:r w:rsidRPr="00BB01CA">
        <w:rPr>
          <w:rFonts w:ascii="Arial" w:eastAsia="MS Gothic" w:hAnsi="Arial" w:cs="Arial"/>
          <w:sz w:val="16"/>
          <w:szCs w:val="16"/>
          <w:lang w:val="en-US" w:eastAsia="zh-CN"/>
        </w:rPr>
        <w:t>hormone receptor; NSAI</w:t>
      </w:r>
      <w:r w:rsidR="002F6632" w:rsidRPr="00BB01CA">
        <w:rPr>
          <w:rFonts w:ascii="Arial" w:eastAsia="MS Gothic" w:hAnsi="Arial" w:cs="Arial"/>
          <w:sz w:val="16"/>
          <w:szCs w:val="16"/>
          <w:lang w:val="en-US" w:eastAsia="zh-CN"/>
        </w:rPr>
        <w:t>=</w:t>
      </w:r>
      <w:r w:rsidRPr="00BB01CA">
        <w:rPr>
          <w:rFonts w:ascii="Arial" w:eastAsia="MS Gothic" w:hAnsi="Arial" w:cs="Arial"/>
          <w:sz w:val="16"/>
          <w:szCs w:val="16"/>
          <w:lang w:val="en-US" w:eastAsia="zh-CN"/>
        </w:rPr>
        <w:t xml:space="preserve">non-steroidal aromatase inhibitor; </w:t>
      </w:r>
      <w:proofErr w:type="spellStart"/>
      <w:r w:rsidRPr="00BB01CA">
        <w:rPr>
          <w:rFonts w:ascii="Arial" w:eastAsia="MS Gothic" w:hAnsi="Arial" w:cs="Arial"/>
          <w:sz w:val="16"/>
          <w:szCs w:val="16"/>
          <w:lang w:val="en-US" w:eastAsia="zh-CN"/>
        </w:rPr>
        <w:t>PgR</w:t>
      </w:r>
      <w:proofErr w:type="spellEnd"/>
      <w:r w:rsidR="002F6632" w:rsidRPr="00BB01CA">
        <w:rPr>
          <w:rFonts w:ascii="Arial" w:eastAsia="MS Gothic" w:hAnsi="Arial" w:cs="Arial"/>
          <w:sz w:val="16"/>
          <w:szCs w:val="16"/>
          <w:lang w:val="en-US" w:eastAsia="zh-CN"/>
        </w:rPr>
        <w:t xml:space="preserve">= </w:t>
      </w:r>
      <w:r w:rsidRPr="00BB01CA">
        <w:rPr>
          <w:rFonts w:ascii="Arial" w:eastAsia="MS Gothic" w:hAnsi="Arial" w:cs="Arial"/>
          <w:sz w:val="16"/>
          <w:szCs w:val="16"/>
          <w:lang w:val="en-US" w:eastAsia="zh-CN"/>
        </w:rPr>
        <w:t>progesterone receptor; TAM</w:t>
      </w:r>
      <w:r w:rsidR="002F6632" w:rsidRPr="00BB01CA">
        <w:rPr>
          <w:rFonts w:ascii="Arial" w:eastAsia="MS Gothic" w:hAnsi="Arial" w:cs="Arial"/>
          <w:sz w:val="16"/>
          <w:szCs w:val="16"/>
          <w:lang w:val="en-US" w:eastAsia="zh-CN"/>
        </w:rPr>
        <w:t xml:space="preserve">= </w:t>
      </w:r>
      <w:r w:rsidRPr="00BB01CA">
        <w:rPr>
          <w:rFonts w:ascii="Arial" w:eastAsia="MS Gothic" w:hAnsi="Arial" w:cs="Arial"/>
          <w:sz w:val="16"/>
          <w:szCs w:val="16"/>
          <w:lang w:val="en-US" w:eastAsia="zh-CN"/>
        </w:rPr>
        <w:t>tamoxifen</w:t>
      </w:r>
      <w:r w:rsidR="002F6632" w:rsidRPr="00BB01CA">
        <w:rPr>
          <w:rFonts w:ascii="Arial" w:eastAsia="MS Gothic" w:hAnsi="Arial" w:cs="Arial"/>
          <w:sz w:val="16"/>
          <w:szCs w:val="16"/>
          <w:lang w:val="en-US" w:eastAsia="zh-CN"/>
        </w:rPr>
        <w:t>.</w:t>
      </w:r>
    </w:p>
    <w:bookmarkEnd w:id="1"/>
    <w:bookmarkEnd w:id="2"/>
    <w:p w14:paraId="5553BBA9" w14:textId="77777777" w:rsidR="006C4A20" w:rsidRPr="005D2049" w:rsidRDefault="006C4A20" w:rsidP="007D2A0F">
      <w:pPr>
        <w:pStyle w:val="Heading2"/>
        <w:keepNext w:val="0"/>
        <w:widowControl w:val="0"/>
        <w:spacing w:before="120" w:after="120" w:line="276" w:lineRule="auto"/>
        <w:jc w:val="left"/>
        <w:rPr>
          <w:rFonts w:eastAsiaTheme="minorHAnsi"/>
          <w:caps/>
          <w:sz w:val="30"/>
          <w:lang w:val="en-GB"/>
        </w:rPr>
      </w:pPr>
      <w:r w:rsidRPr="005D2049">
        <w:rPr>
          <w:rFonts w:eastAsiaTheme="minorHAnsi"/>
          <w:caps/>
          <w:sz w:val="30"/>
          <w:lang w:val="en-GB"/>
        </w:rPr>
        <w:t>INDICATIONS</w:t>
      </w:r>
    </w:p>
    <w:p w14:paraId="01EC2733" w14:textId="1A8FD9CB" w:rsidR="00D22FF7" w:rsidRDefault="006F5D28" w:rsidP="00913808">
      <w:pPr>
        <w:autoSpaceDE w:val="0"/>
        <w:autoSpaceDN w:val="0"/>
        <w:adjustRightInd w:val="0"/>
        <w:spacing w:line="300" w:lineRule="atLeast"/>
        <w:jc w:val="both"/>
      </w:pPr>
      <w:r>
        <w:t>KISQALI</w:t>
      </w:r>
      <w:r w:rsidR="000037DD" w:rsidRPr="004553F8">
        <w:t xml:space="preserve"> </w:t>
      </w:r>
      <w:r w:rsidR="00423393" w:rsidRPr="00423393">
        <w:t xml:space="preserve">in combination with </w:t>
      </w:r>
      <w:r w:rsidR="00913808">
        <w:t xml:space="preserve">an </w:t>
      </w:r>
      <w:r w:rsidR="00913808" w:rsidRPr="00913808">
        <w:t xml:space="preserve">aromatase inhibitor </w:t>
      </w:r>
      <w:r w:rsidR="00423393" w:rsidRPr="00423393">
        <w:t xml:space="preserve">is indicated for the treatment of </w:t>
      </w:r>
      <w:r w:rsidR="001533E6">
        <w:t xml:space="preserve">men and </w:t>
      </w:r>
      <w:r w:rsidR="00423393" w:rsidRPr="00423393">
        <w:t>postmenopausal women</w:t>
      </w:r>
      <w:r w:rsidR="001B1B56">
        <w:t xml:space="preserve"> </w:t>
      </w:r>
      <w:r w:rsidR="00423393" w:rsidRPr="00423393">
        <w:t>with hormone receptor</w:t>
      </w:r>
      <w:r w:rsidR="003B3A02">
        <w:t xml:space="preserve"> </w:t>
      </w:r>
      <w:r w:rsidR="00423393" w:rsidRPr="00423393">
        <w:t>positive</w:t>
      </w:r>
      <w:r w:rsidR="003B3A02">
        <w:t xml:space="preserve"> </w:t>
      </w:r>
      <w:r w:rsidR="003B3A02" w:rsidRPr="00423393">
        <w:t>(HR</w:t>
      </w:r>
      <w:r w:rsidR="003B3A02">
        <w:t>+</w:t>
      </w:r>
      <w:r w:rsidR="003B3A02" w:rsidRPr="00423393">
        <w:t>)</w:t>
      </w:r>
      <w:r w:rsidR="00423393" w:rsidRPr="00423393">
        <w:t xml:space="preserve">, human epidermal growth factor receptor 2 negative </w:t>
      </w:r>
      <w:r w:rsidR="003B3A02" w:rsidRPr="003B3A02">
        <w:t>(HER2</w:t>
      </w:r>
      <w:r w:rsidR="003B3A02">
        <w:t>-</w:t>
      </w:r>
      <w:r w:rsidR="003B3A02" w:rsidRPr="003B3A02">
        <w:t>)</w:t>
      </w:r>
      <w:r w:rsidR="003B3A02">
        <w:t xml:space="preserve"> </w:t>
      </w:r>
      <w:r w:rsidR="00423393" w:rsidRPr="00423393">
        <w:t>advanced or metastatic breast cancer, as an initial endocrine-based therapy</w:t>
      </w:r>
      <w:r w:rsidR="002840F7">
        <w:t>.</w:t>
      </w:r>
    </w:p>
    <w:p w14:paraId="5553BBB2" w14:textId="1737B8C2" w:rsidR="006C4A20" w:rsidRPr="005D2049" w:rsidRDefault="006C4A20" w:rsidP="007D2A0F">
      <w:pPr>
        <w:pStyle w:val="Heading2"/>
        <w:keepNext w:val="0"/>
        <w:widowControl w:val="0"/>
        <w:spacing w:before="120" w:after="120" w:line="276" w:lineRule="auto"/>
        <w:jc w:val="left"/>
        <w:rPr>
          <w:rFonts w:eastAsiaTheme="minorHAnsi"/>
          <w:caps/>
          <w:sz w:val="30"/>
          <w:lang w:val="en-GB"/>
        </w:rPr>
      </w:pPr>
      <w:r w:rsidRPr="005D2049">
        <w:rPr>
          <w:rFonts w:eastAsiaTheme="minorHAnsi"/>
          <w:caps/>
          <w:sz w:val="30"/>
          <w:lang w:val="en-GB"/>
        </w:rPr>
        <w:t>CONTRAINDICATIONS</w:t>
      </w:r>
    </w:p>
    <w:p w14:paraId="5DCDA6F3" w14:textId="12525919" w:rsidR="008841E3" w:rsidRDefault="00657F5D" w:rsidP="00844684">
      <w:pPr>
        <w:widowControl w:val="0"/>
        <w:spacing w:after="120" w:line="300" w:lineRule="atLeast"/>
        <w:jc w:val="both"/>
        <w:rPr>
          <w:rStyle w:val="CSIchar"/>
          <w:shd w:val="clear" w:color="auto" w:fill="auto"/>
        </w:rPr>
      </w:pPr>
      <w:r w:rsidRPr="003C3FB2">
        <w:rPr>
          <w:rStyle w:val="CSIchar"/>
          <w:shd w:val="clear" w:color="auto" w:fill="auto"/>
        </w:rPr>
        <w:t xml:space="preserve">KISQALI </w:t>
      </w:r>
      <w:r w:rsidR="00EA1F7E" w:rsidRPr="003C3FB2">
        <w:rPr>
          <w:rStyle w:val="CSIchar"/>
          <w:shd w:val="clear" w:color="auto" w:fill="auto"/>
        </w:rPr>
        <w:t>is contraindicated in patient</w:t>
      </w:r>
      <w:r w:rsidR="002C7B9D">
        <w:rPr>
          <w:rStyle w:val="CSIchar"/>
          <w:shd w:val="clear" w:color="auto" w:fill="auto"/>
        </w:rPr>
        <w:t>s</w:t>
      </w:r>
      <w:r w:rsidR="00B000DF">
        <w:rPr>
          <w:rStyle w:val="CSIchar"/>
          <w:shd w:val="clear" w:color="auto" w:fill="auto"/>
        </w:rPr>
        <w:t xml:space="preserve"> with corrected QT interval (</w:t>
      </w:r>
      <w:proofErr w:type="spellStart"/>
      <w:r w:rsidR="00B000DF">
        <w:rPr>
          <w:rStyle w:val="CSIchar"/>
          <w:shd w:val="clear" w:color="auto" w:fill="auto"/>
        </w:rPr>
        <w:t>QTcF</w:t>
      </w:r>
      <w:proofErr w:type="spellEnd"/>
      <w:r w:rsidR="00B000DF">
        <w:rPr>
          <w:rStyle w:val="CSIchar"/>
          <w:shd w:val="clear" w:color="auto" w:fill="auto"/>
        </w:rPr>
        <w:t>) &gt; 450 milliseconds (</w:t>
      </w:r>
      <w:proofErr w:type="spellStart"/>
      <w:r w:rsidR="00B000DF">
        <w:rPr>
          <w:rStyle w:val="CSIchar"/>
          <w:shd w:val="clear" w:color="auto" w:fill="auto"/>
        </w:rPr>
        <w:t>ms</w:t>
      </w:r>
      <w:proofErr w:type="spellEnd"/>
      <w:r w:rsidR="00B000DF">
        <w:rPr>
          <w:rStyle w:val="CSIchar"/>
          <w:shd w:val="clear" w:color="auto" w:fill="auto"/>
        </w:rPr>
        <w:t xml:space="preserve">) prior to treatment or </w:t>
      </w:r>
      <w:r w:rsidR="00340162">
        <w:rPr>
          <w:rStyle w:val="CSIchar"/>
          <w:shd w:val="clear" w:color="auto" w:fill="auto"/>
        </w:rPr>
        <w:t xml:space="preserve">who </w:t>
      </w:r>
      <w:r w:rsidR="00B000DF">
        <w:rPr>
          <w:rStyle w:val="CSIchar"/>
          <w:shd w:val="clear" w:color="auto" w:fill="auto"/>
        </w:rPr>
        <w:t xml:space="preserve">already have </w:t>
      </w:r>
      <w:r w:rsidR="002C7B9D">
        <w:rPr>
          <w:rStyle w:val="CSIchar"/>
          <w:shd w:val="clear" w:color="auto" w:fill="auto"/>
        </w:rPr>
        <w:t xml:space="preserve">long QT syndrome </w:t>
      </w:r>
      <w:r w:rsidR="00B000DF">
        <w:rPr>
          <w:rStyle w:val="CSIchar"/>
          <w:shd w:val="clear" w:color="auto" w:fill="auto"/>
        </w:rPr>
        <w:t xml:space="preserve">or </w:t>
      </w:r>
      <w:r w:rsidR="002C7B9D">
        <w:rPr>
          <w:rStyle w:val="CSIchar"/>
          <w:shd w:val="clear" w:color="auto" w:fill="auto"/>
        </w:rPr>
        <w:t xml:space="preserve">who </w:t>
      </w:r>
      <w:r w:rsidR="00B000DF">
        <w:rPr>
          <w:rStyle w:val="CSIchar"/>
          <w:shd w:val="clear" w:color="auto" w:fill="auto"/>
        </w:rPr>
        <w:t xml:space="preserve">are at significant risk of developing </w:t>
      </w:r>
      <w:proofErr w:type="spellStart"/>
      <w:r w:rsidR="00B000DF">
        <w:rPr>
          <w:rStyle w:val="CSIchar"/>
          <w:shd w:val="clear" w:color="auto" w:fill="auto"/>
        </w:rPr>
        <w:t>QTc</w:t>
      </w:r>
      <w:proofErr w:type="spellEnd"/>
      <w:r w:rsidR="00B000DF">
        <w:rPr>
          <w:rStyle w:val="CSIchar"/>
          <w:shd w:val="clear" w:color="auto" w:fill="auto"/>
        </w:rPr>
        <w:t xml:space="preserve"> prolongation (see PRECAUTIONS).</w:t>
      </w:r>
    </w:p>
    <w:p w14:paraId="5553BBB4" w14:textId="6B35D65A" w:rsidR="006C4A20" w:rsidRPr="006F6DFA" w:rsidRDefault="00930E75" w:rsidP="006F6DFA">
      <w:pPr>
        <w:widowControl w:val="0"/>
        <w:spacing w:line="300" w:lineRule="atLeast"/>
        <w:jc w:val="both"/>
        <w:rPr>
          <w:rStyle w:val="CSIchar"/>
          <w:shd w:val="clear" w:color="auto" w:fill="auto"/>
        </w:rPr>
      </w:pPr>
      <w:r>
        <w:rPr>
          <w:rStyle w:val="CSIchar"/>
          <w:shd w:val="clear" w:color="auto" w:fill="auto"/>
        </w:rPr>
        <w:t xml:space="preserve">KISQALI </w:t>
      </w:r>
      <w:r w:rsidR="000E0AAB">
        <w:rPr>
          <w:rStyle w:val="CSIchar"/>
          <w:shd w:val="clear" w:color="auto" w:fill="auto"/>
        </w:rPr>
        <w:t xml:space="preserve">is contraindicated in patients </w:t>
      </w:r>
      <w:proofErr w:type="gramStart"/>
      <w:r w:rsidR="000E0AAB">
        <w:rPr>
          <w:rStyle w:val="CSIchar"/>
          <w:shd w:val="clear" w:color="auto" w:fill="auto"/>
        </w:rPr>
        <w:t xml:space="preserve">with </w:t>
      </w:r>
      <w:r w:rsidR="000E0AAB">
        <w:rPr>
          <w:rStyle w:val="CommentReference"/>
          <w:szCs w:val="20"/>
        </w:rPr>
        <w:t xml:space="preserve"> </w:t>
      </w:r>
      <w:r w:rsidR="00EA1F7E" w:rsidRPr="006F6DFA">
        <w:rPr>
          <w:rStyle w:val="CSIchar"/>
          <w:shd w:val="clear" w:color="auto" w:fill="auto"/>
        </w:rPr>
        <w:t>hypersensitivity</w:t>
      </w:r>
      <w:proofErr w:type="gramEnd"/>
      <w:r w:rsidR="00EA1F7E" w:rsidRPr="006F6DFA">
        <w:rPr>
          <w:rStyle w:val="CSIchar"/>
          <w:shd w:val="clear" w:color="auto" w:fill="auto"/>
        </w:rPr>
        <w:t xml:space="preserve"> to </w:t>
      </w:r>
      <w:proofErr w:type="spellStart"/>
      <w:r w:rsidR="00657F5D" w:rsidRPr="006F6DFA">
        <w:rPr>
          <w:rStyle w:val="CSIchar"/>
          <w:shd w:val="clear" w:color="auto" w:fill="auto"/>
        </w:rPr>
        <w:t>ribociclib</w:t>
      </w:r>
      <w:proofErr w:type="spellEnd"/>
      <w:r w:rsidR="00657F5D" w:rsidRPr="006F6DFA">
        <w:rPr>
          <w:rStyle w:val="CSIchar"/>
          <w:shd w:val="clear" w:color="auto" w:fill="auto"/>
        </w:rPr>
        <w:t xml:space="preserve"> succinate</w:t>
      </w:r>
      <w:r w:rsidR="00543D5B" w:rsidRPr="006F6DFA">
        <w:rPr>
          <w:rStyle w:val="CSIchar"/>
          <w:shd w:val="clear" w:color="auto" w:fill="auto"/>
        </w:rPr>
        <w:t>, soy products,</w:t>
      </w:r>
      <w:r w:rsidR="00EA1F7E" w:rsidRPr="006F6DFA">
        <w:rPr>
          <w:rStyle w:val="CSIchar"/>
          <w:shd w:val="clear" w:color="auto" w:fill="auto"/>
        </w:rPr>
        <w:t xml:space="preserve"> or to any of the excipients (see DESCRIPTION).</w:t>
      </w:r>
    </w:p>
    <w:p w14:paraId="5553BBB8" w14:textId="77777777" w:rsidR="006C4A20" w:rsidRDefault="006C4A20" w:rsidP="007D2A0F">
      <w:pPr>
        <w:pStyle w:val="Heading2"/>
        <w:keepNext w:val="0"/>
        <w:widowControl w:val="0"/>
        <w:spacing w:before="120" w:after="120" w:line="276" w:lineRule="auto"/>
        <w:jc w:val="left"/>
        <w:rPr>
          <w:rFonts w:eastAsiaTheme="minorHAnsi"/>
          <w:caps/>
          <w:sz w:val="30"/>
          <w:lang w:val="en-GB"/>
        </w:rPr>
      </w:pPr>
      <w:r w:rsidRPr="005D2049">
        <w:rPr>
          <w:rFonts w:eastAsiaTheme="minorHAnsi"/>
          <w:caps/>
          <w:sz w:val="30"/>
          <w:lang w:val="en-GB"/>
        </w:rPr>
        <w:t>PRECAUTIONS</w:t>
      </w:r>
    </w:p>
    <w:p w14:paraId="4D97D11F" w14:textId="77777777" w:rsidR="00E16964" w:rsidRPr="00A604B9" w:rsidRDefault="00E16964" w:rsidP="00E16964">
      <w:pPr>
        <w:pStyle w:val="NoNumHead5"/>
        <w:keepNext w:val="0"/>
        <w:widowControl w:val="0"/>
        <w:spacing w:before="120" w:after="120"/>
        <w:jc w:val="both"/>
        <w:rPr>
          <w:rFonts w:ascii="Times New Roman" w:hAnsi="Times New Roman"/>
          <w:i w:val="0"/>
          <w:sz w:val="24"/>
          <w:u w:val="single"/>
        </w:rPr>
      </w:pPr>
      <w:r w:rsidRPr="00A604B9">
        <w:rPr>
          <w:rFonts w:ascii="Times New Roman" w:hAnsi="Times New Roman"/>
          <w:i w:val="0"/>
          <w:sz w:val="24"/>
          <w:u w:val="single"/>
        </w:rPr>
        <w:t>QT interval prolongation</w:t>
      </w:r>
    </w:p>
    <w:p w14:paraId="7356BB2A" w14:textId="12198E9E" w:rsidR="0056572C" w:rsidRPr="0056572C" w:rsidRDefault="0056572C" w:rsidP="00281802">
      <w:pPr>
        <w:spacing w:before="120" w:after="120"/>
        <w:jc w:val="both"/>
      </w:pPr>
      <w:proofErr w:type="spellStart"/>
      <w:r>
        <w:t>R</w:t>
      </w:r>
      <w:r w:rsidRPr="0056572C">
        <w:t>ibociclib</w:t>
      </w:r>
      <w:proofErr w:type="spellEnd"/>
      <w:r w:rsidR="00C24803">
        <w:t xml:space="preserve"> has shown </w:t>
      </w:r>
      <w:r w:rsidRPr="0056572C">
        <w:t xml:space="preserve">concentration-dependent increases in the </w:t>
      </w:r>
      <w:proofErr w:type="spellStart"/>
      <w:r w:rsidRPr="0056572C">
        <w:t>QTc</w:t>
      </w:r>
      <w:r w:rsidR="00C24803">
        <w:t>F</w:t>
      </w:r>
      <w:proofErr w:type="spellEnd"/>
      <w:r w:rsidRPr="0056572C">
        <w:t xml:space="preserve"> interval </w:t>
      </w:r>
      <w:r>
        <w:t xml:space="preserve">(see PHARMACOLOGY - </w:t>
      </w:r>
      <w:r w:rsidRPr="0056572C">
        <w:t>Cardiac electrophysiology</w:t>
      </w:r>
      <w:r w:rsidR="00844684">
        <w:t>).</w:t>
      </w:r>
    </w:p>
    <w:p w14:paraId="37047DC7" w14:textId="0FA3B61E" w:rsidR="00E16964" w:rsidRPr="00281802" w:rsidRDefault="00E16964" w:rsidP="000D0D1E">
      <w:pPr>
        <w:widowControl w:val="0"/>
        <w:spacing w:before="120" w:after="120"/>
        <w:jc w:val="both"/>
      </w:pPr>
      <w:r w:rsidRPr="002F1E84">
        <w:rPr>
          <w:i/>
        </w:rPr>
        <w:t>In vivo</w:t>
      </w:r>
      <w:r w:rsidRPr="00281802">
        <w:t xml:space="preserve"> cardiac safety studies in </w:t>
      </w:r>
      <w:proofErr w:type="gramStart"/>
      <w:r w:rsidRPr="00281802">
        <w:t>dogs</w:t>
      </w:r>
      <w:proofErr w:type="gramEnd"/>
      <w:r w:rsidRPr="00281802">
        <w:t xml:space="preserve"> demonstrated dose and concentration related </w:t>
      </w:r>
      <w:proofErr w:type="spellStart"/>
      <w:r w:rsidRPr="00281802">
        <w:t>QTc</w:t>
      </w:r>
      <w:proofErr w:type="spellEnd"/>
      <w:r w:rsidRPr="00281802">
        <w:t xml:space="preserve"> interval prolongation at an exposure that would be expected to be achieved in patients following the recommended dose of 600 mg. As well, there is potential to induce incidences of </w:t>
      </w:r>
      <w:r w:rsidR="008177D8">
        <w:t>p</w:t>
      </w:r>
      <w:r w:rsidR="0025275C" w:rsidRPr="0025275C">
        <w:t>remature ventricular contractions (</w:t>
      </w:r>
      <w:r w:rsidRPr="00281802">
        <w:t>PVCs</w:t>
      </w:r>
      <w:r w:rsidR="0025275C">
        <w:t>)</w:t>
      </w:r>
      <w:r w:rsidRPr="00281802">
        <w:t xml:space="preserve"> at elevated exposures (approximately 4</w:t>
      </w:r>
      <w:r w:rsidR="001B1B56">
        <w:t>-</w:t>
      </w:r>
      <w:r w:rsidRPr="00281802">
        <w:t xml:space="preserve">fold the anticipated clinical </w:t>
      </w:r>
      <w:proofErr w:type="spellStart"/>
      <w:r w:rsidRPr="00281802">
        <w:t>C</w:t>
      </w:r>
      <w:r w:rsidRPr="00281802">
        <w:rPr>
          <w:vertAlign w:val="subscript"/>
        </w:rPr>
        <w:t>max</w:t>
      </w:r>
      <w:proofErr w:type="spellEnd"/>
      <w:r w:rsidRPr="00281802">
        <w:t>).</w:t>
      </w:r>
    </w:p>
    <w:p w14:paraId="14653B99" w14:textId="743BEAAF" w:rsidR="00E16964" w:rsidRDefault="00E16964" w:rsidP="00281802">
      <w:pPr>
        <w:spacing w:before="120" w:after="120"/>
        <w:jc w:val="both"/>
      </w:pPr>
      <w:r w:rsidRPr="00281802">
        <w:t xml:space="preserve">In phase III clinical study A2301, </w:t>
      </w:r>
      <w:r w:rsidR="00DB7D2A">
        <w:t xml:space="preserve">patients with certain </w:t>
      </w:r>
      <w:proofErr w:type="spellStart"/>
      <w:proofErr w:type="gramStart"/>
      <w:r w:rsidR="00DB7D2A">
        <w:t>pre existing</w:t>
      </w:r>
      <w:proofErr w:type="spellEnd"/>
      <w:proofErr w:type="gramEnd"/>
      <w:r w:rsidR="00DB7D2A">
        <w:t xml:space="preserve"> cardio-vascular diseases increasing the potential for QT prolongation (such as a history of documented heart failure, documented cardiomyopathy, or recent coronary disease) were excluded from study participation. A </w:t>
      </w:r>
      <w:r w:rsidRPr="00281802">
        <w:t xml:space="preserve">review of patient ECG data (average of triplicate) showed that </w:t>
      </w:r>
      <w:proofErr w:type="gramStart"/>
      <w:r w:rsidRPr="00281802">
        <w:t>1</w:t>
      </w:r>
      <w:proofErr w:type="gramEnd"/>
      <w:r w:rsidRPr="00281802">
        <w:t xml:space="preserve"> patient (0.3 %) had &gt; 500 </w:t>
      </w:r>
      <w:proofErr w:type="spellStart"/>
      <w:r w:rsidRPr="00281802">
        <w:t>ms</w:t>
      </w:r>
      <w:proofErr w:type="spellEnd"/>
      <w:r w:rsidRPr="00281802">
        <w:t xml:space="preserve"> post-baseline </w:t>
      </w:r>
      <w:proofErr w:type="spellStart"/>
      <w:r w:rsidRPr="00281802">
        <w:t>QTcF</w:t>
      </w:r>
      <w:proofErr w:type="spellEnd"/>
      <w:r w:rsidRPr="00281802">
        <w:t xml:space="preserve"> value, and 9 patients (2.7 %) had a &gt; 60 </w:t>
      </w:r>
      <w:proofErr w:type="spellStart"/>
      <w:r w:rsidRPr="00281802">
        <w:t>ms</w:t>
      </w:r>
      <w:proofErr w:type="spellEnd"/>
      <w:r w:rsidRPr="00281802">
        <w:t xml:space="preserve"> increase from baseline in </w:t>
      </w:r>
      <w:proofErr w:type="spellStart"/>
      <w:r w:rsidRPr="00281802">
        <w:t>QTcF</w:t>
      </w:r>
      <w:proofErr w:type="spellEnd"/>
      <w:r w:rsidRPr="00281802">
        <w:t xml:space="preserve"> intervals. There was one reported case of unexplained sudden death</w:t>
      </w:r>
      <w:r w:rsidRPr="00DE1A82">
        <w:t xml:space="preserve"> </w:t>
      </w:r>
      <w:r w:rsidRPr="00281802">
        <w:t>in a patient with Grade 3 hypokalaemia and Grade 2 QT prolongation</w:t>
      </w:r>
      <w:r w:rsidR="002C2D86">
        <w:t xml:space="preserve"> (see ADVERSE EFFECTS)</w:t>
      </w:r>
      <w:r w:rsidRPr="00281802">
        <w:t xml:space="preserve">, and there were no reported cases of </w:t>
      </w:r>
      <w:r w:rsidRPr="00281802">
        <w:rPr>
          <w:i/>
        </w:rPr>
        <w:t>Torsade de Pointes</w:t>
      </w:r>
      <w:r w:rsidRPr="00281802">
        <w:t xml:space="preserve">. </w:t>
      </w:r>
      <w:r w:rsidR="00850C5E">
        <w:t xml:space="preserve">There were more cases of syncope reported in the </w:t>
      </w:r>
      <w:proofErr w:type="spellStart"/>
      <w:r w:rsidR="00850C5E">
        <w:t>ribociclib-letrozole</w:t>
      </w:r>
      <w:proofErr w:type="spellEnd"/>
      <w:r w:rsidR="00850C5E">
        <w:t xml:space="preserve"> arm</w:t>
      </w:r>
      <w:r w:rsidR="00F36460">
        <w:t xml:space="preserve"> (9 cases, 2.7 %) </w:t>
      </w:r>
      <w:r w:rsidR="00850C5E">
        <w:t xml:space="preserve">than in the </w:t>
      </w:r>
      <w:proofErr w:type="spellStart"/>
      <w:r w:rsidR="00850C5E">
        <w:t>letrozole</w:t>
      </w:r>
      <w:proofErr w:type="spellEnd"/>
      <w:r w:rsidR="00850C5E">
        <w:t xml:space="preserve"> arm (</w:t>
      </w:r>
      <w:r w:rsidR="00F36460">
        <w:t xml:space="preserve">3 cases, </w:t>
      </w:r>
      <w:r w:rsidR="00850C5E">
        <w:t>0.9</w:t>
      </w:r>
      <w:r w:rsidR="00F36460">
        <w:t xml:space="preserve"> </w:t>
      </w:r>
      <w:r w:rsidR="00850C5E">
        <w:t xml:space="preserve">%), although in no case was there conclusive evidence that syncope was due to </w:t>
      </w:r>
      <w:proofErr w:type="spellStart"/>
      <w:r w:rsidR="00850C5E">
        <w:t>ribociclib</w:t>
      </w:r>
      <w:proofErr w:type="spellEnd"/>
      <w:r w:rsidR="00850C5E">
        <w:t>-induced ventricular ar</w:t>
      </w:r>
      <w:r w:rsidR="00844684">
        <w:t>rhythmias.</w:t>
      </w:r>
    </w:p>
    <w:p w14:paraId="0AAC1AC7" w14:textId="5044BA84" w:rsidR="00E16964" w:rsidRPr="00281802" w:rsidRDefault="00E16964" w:rsidP="00E435A1">
      <w:pPr>
        <w:widowControl w:val="0"/>
        <w:spacing w:before="40" w:after="120"/>
        <w:jc w:val="both"/>
      </w:pPr>
      <w:r w:rsidRPr="00281802" w:rsidDel="00E860A0">
        <w:t xml:space="preserve">The patient’s ECG </w:t>
      </w:r>
      <w:proofErr w:type="gramStart"/>
      <w:r w:rsidRPr="00281802" w:rsidDel="00E860A0">
        <w:t>should be assessed</w:t>
      </w:r>
      <w:proofErr w:type="gramEnd"/>
      <w:r w:rsidRPr="00281802" w:rsidDel="00E860A0">
        <w:t xml:space="preserve"> prior to initiation of treatment with KISQALI. </w:t>
      </w:r>
      <w:proofErr w:type="spellStart"/>
      <w:r w:rsidRPr="00281802" w:rsidDel="00E860A0">
        <w:t>Ribociclib</w:t>
      </w:r>
      <w:proofErr w:type="spellEnd"/>
      <w:r w:rsidRPr="00281802" w:rsidDel="00E860A0">
        <w:t xml:space="preserve"> </w:t>
      </w:r>
      <w:proofErr w:type="gramStart"/>
      <w:r w:rsidRPr="00281802" w:rsidDel="00E860A0">
        <w:t>should be initiated</w:t>
      </w:r>
      <w:proofErr w:type="gramEnd"/>
      <w:r w:rsidRPr="00281802" w:rsidDel="00E860A0">
        <w:t xml:space="preserve"> only in patients with </w:t>
      </w:r>
      <w:proofErr w:type="spellStart"/>
      <w:r w:rsidRPr="00281802" w:rsidDel="00E860A0">
        <w:t>QTcF</w:t>
      </w:r>
      <w:proofErr w:type="spellEnd"/>
      <w:r w:rsidRPr="00281802" w:rsidDel="00E860A0">
        <w:t xml:space="preserve"> values </w:t>
      </w:r>
      <w:r w:rsidR="00766BBD">
        <w:t xml:space="preserve">&lt; </w:t>
      </w:r>
      <w:r w:rsidRPr="00281802" w:rsidDel="00E860A0">
        <w:t xml:space="preserve">450 </w:t>
      </w:r>
      <w:proofErr w:type="spellStart"/>
      <w:r w:rsidRPr="00281802" w:rsidDel="00E860A0">
        <w:t>ms</w:t>
      </w:r>
      <w:proofErr w:type="spellEnd"/>
      <w:r w:rsidR="00724F8C">
        <w:t xml:space="preserve"> (see CONT</w:t>
      </w:r>
      <w:r w:rsidR="003347FE">
        <w:t>RA</w:t>
      </w:r>
      <w:r w:rsidR="00724F8C">
        <w:t>INDICATIONS)</w:t>
      </w:r>
      <w:r w:rsidRPr="00281802" w:rsidDel="00E860A0">
        <w:t xml:space="preserve">. </w:t>
      </w:r>
      <w:r w:rsidRPr="00281802">
        <w:t xml:space="preserve">The ECG </w:t>
      </w:r>
      <w:proofErr w:type="gramStart"/>
      <w:r w:rsidRPr="00281802">
        <w:t>should be repeated at approximately Day 14 of the first cycle, a</w:t>
      </w:r>
      <w:r w:rsidR="00DB377E">
        <w:t>t</w:t>
      </w:r>
      <w:r w:rsidRPr="00281802">
        <w:t xml:space="preserve"> the beginning of the second cycle, </w:t>
      </w:r>
      <w:r w:rsidR="0062504C">
        <w:t xml:space="preserve">and </w:t>
      </w:r>
      <w:r w:rsidRPr="00281802">
        <w:t>as clinically indicated</w:t>
      </w:r>
      <w:proofErr w:type="gramEnd"/>
      <w:r w:rsidRPr="00281802">
        <w:t xml:space="preserve">. </w:t>
      </w:r>
      <w:r w:rsidR="00F36460">
        <w:t xml:space="preserve">More intensive </w:t>
      </w:r>
      <w:r w:rsidRPr="00281802">
        <w:t xml:space="preserve">ECGs should be </w:t>
      </w:r>
      <w:r w:rsidR="003347FE">
        <w:t xml:space="preserve">considered </w:t>
      </w:r>
      <w:r w:rsidR="00724F8C">
        <w:t xml:space="preserve">based on </w:t>
      </w:r>
      <w:r w:rsidR="003347FE">
        <w:t xml:space="preserve">a patient’s </w:t>
      </w:r>
      <w:r w:rsidR="00724F8C">
        <w:t>individual risk factors</w:t>
      </w:r>
      <w:r w:rsidR="00B46AB4">
        <w:t>,</w:t>
      </w:r>
      <w:r w:rsidR="00724F8C" w:rsidRPr="00724F8C">
        <w:t xml:space="preserve"> </w:t>
      </w:r>
      <w:r w:rsidRPr="00281802">
        <w:t xml:space="preserve">if there are any symptoms that may be related to QT prolongation </w:t>
      </w:r>
      <w:r w:rsidR="00B46AB4">
        <w:t>(</w:t>
      </w:r>
      <w:r w:rsidRPr="00281802">
        <w:t>e.g. palpitations or syncope</w:t>
      </w:r>
      <w:r w:rsidR="00B46AB4">
        <w:t>)</w:t>
      </w:r>
      <w:r w:rsidR="00BD29A7">
        <w:t xml:space="preserve">, </w:t>
      </w:r>
      <w:r w:rsidRPr="00281802">
        <w:t xml:space="preserve">or </w:t>
      </w:r>
      <w:r w:rsidR="00742E32">
        <w:t xml:space="preserve">if there is </w:t>
      </w:r>
      <w:r w:rsidR="008B4DF2">
        <w:t>any increase in the risk of QT prolongation</w:t>
      </w:r>
      <w:r w:rsidR="001C40B1">
        <w:t xml:space="preserve"> </w:t>
      </w:r>
      <w:r w:rsidR="00B46AB4">
        <w:t>(</w:t>
      </w:r>
      <w:r w:rsidR="001C40B1">
        <w:t>e.g.</w:t>
      </w:r>
      <w:r w:rsidR="008B4DF2">
        <w:t xml:space="preserve"> </w:t>
      </w:r>
      <w:r w:rsidRPr="00281802">
        <w:t>new medication</w:t>
      </w:r>
      <w:r w:rsidR="00BD29A7">
        <w:t>,</w:t>
      </w:r>
      <w:r w:rsidRPr="00281802">
        <w:t xml:space="preserve"> </w:t>
      </w:r>
      <w:r w:rsidR="00FB4CA6">
        <w:t xml:space="preserve">or condition </w:t>
      </w:r>
      <w:r w:rsidR="00BD29A7">
        <w:t>that may</w:t>
      </w:r>
      <w:r w:rsidR="00FB4CA6">
        <w:t xml:space="preserve"> increase the likely exposure to </w:t>
      </w:r>
      <w:proofErr w:type="spellStart"/>
      <w:r w:rsidR="00FB4CA6">
        <w:t>ribociclib</w:t>
      </w:r>
      <w:proofErr w:type="spellEnd"/>
      <w:r w:rsidR="006A1201">
        <w:t>)</w:t>
      </w:r>
      <w:r w:rsidR="00844684">
        <w:t>.</w:t>
      </w:r>
    </w:p>
    <w:p w14:paraId="078BEEA2" w14:textId="7567EC37" w:rsidR="00E16964" w:rsidRPr="00413002" w:rsidRDefault="00E16964" w:rsidP="00413002">
      <w:pPr>
        <w:widowControl w:val="0"/>
        <w:spacing w:before="40" w:after="120"/>
        <w:jc w:val="both"/>
      </w:pPr>
      <w:r w:rsidRPr="00413002">
        <w:lastRenderedPageBreak/>
        <w:t xml:space="preserve">Appropriate monitoring of serum electrolytes (including potassium, calcium, phosphorous and magnesium) </w:t>
      </w:r>
      <w:proofErr w:type="gramStart"/>
      <w:r w:rsidRPr="00413002">
        <w:t>should be performed</w:t>
      </w:r>
      <w:proofErr w:type="gramEnd"/>
      <w:r w:rsidRPr="00413002">
        <w:t xml:space="preserve"> prior to initiation of treatment, at the beginning of first 6 cycles and as clinically indicated. Any abnormality </w:t>
      </w:r>
      <w:proofErr w:type="gramStart"/>
      <w:r w:rsidRPr="00413002">
        <w:t>should be corrected</w:t>
      </w:r>
      <w:proofErr w:type="gramEnd"/>
      <w:r w:rsidRPr="00413002">
        <w:t xml:space="preserve"> before the start of KISQALI therapy. In the event of hypokalaemia and/or hypomagnesaemia, </w:t>
      </w:r>
      <w:proofErr w:type="spellStart"/>
      <w:r w:rsidRPr="00413002">
        <w:t>ribociclib</w:t>
      </w:r>
      <w:proofErr w:type="spellEnd"/>
      <w:r w:rsidRPr="00413002">
        <w:t xml:space="preserve"> </w:t>
      </w:r>
      <w:proofErr w:type="gramStart"/>
      <w:r w:rsidRPr="00413002">
        <w:t>should be interrupted</w:t>
      </w:r>
      <w:proofErr w:type="gramEnd"/>
      <w:r w:rsidRPr="00413002">
        <w:t xml:space="preserve"> until these are corrected.</w:t>
      </w:r>
    </w:p>
    <w:p w14:paraId="6FB77150" w14:textId="31547DB1" w:rsidR="00281802" w:rsidRPr="00B4709F" w:rsidRDefault="00281802" w:rsidP="002946D5">
      <w:pPr>
        <w:widowControl w:val="0"/>
        <w:spacing w:after="120" w:line="300" w:lineRule="exact"/>
        <w:jc w:val="both"/>
        <w:rPr>
          <w:rFonts w:eastAsia="MS Mincho"/>
          <w:szCs w:val="20"/>
          <w:lang w:val="en-US" w:eastAsia="en-US"/>
        </w:rPr>
      </w:pPr>
      <w:r w:rsidRPr="00B4709F">
        <w:rPr>
          <w:rFonts w:eastAsia="MS Mincho"/>
          <w:szCs w:val="20"/>
          <w:lang w:val="en-US" w:eastAsia="en-US"/>
        </w:rPr>
        <w:t xml:space="preserve">KISQALI </w:t>
      </w:r>
      <w:proofErr w:type="gramStart"/>
      <w:r w:rsidRPr="00B4709F">
        <w:rPr>
          <w:rFonts w:eastAsia="MS Mincho"/>
          <w:szCs w:val="20"/>
          <w:lang w:val="en-US" w:eastAsia="en-US"/>
        </w:rPr>
        <w:t>should be avoided</w:t>
      </w:r>
      <w:proofErr w:type="gramEnd"/>
      <w:r w:rsidRPr="00B4709F">
        <w:rPr>
          <w:rFonts w:eastAsia="MS Mincho"/>
          <w:szCs w:val="20"/>
          <w:lang w:val="en-US" w:eastAsia="en-US"/>
        </w:rPr>
        <w:t xml:space="preserve"> in patients who already have or who are at significant risk of developing </w:t>
      </w:r>
      <w:proofErr w:type="spellStart"/>
      <w:r w:rsidRPr="00B4709F">
        <w:rPr>
          <w:rFonts w:eastAsia="MS Mincho"/>
          <w:szCs w:val="20"/>
          <w:lang w:val="en-US" w:eastAsia="en-US"/>
        </w:rPr>
        <w:t>QTc</w:t>
      </w:r>
      <w:proofErr w:type="spellEnd"/>
      <w:r w:rsidRPr="00B4709F">
        <w:rPr>
          <w:rFonts w:eastAsia="MS Mincho"/>
          <w:szCs w:val="20"/>
          <w:lang w:val="en-US" w:eastAsia="en-US"/>
        </w:rPr>
        <w:t xml:space="preserve"> prolongatio</w:t>
      </w:r>
      <w:r w:rsidR="00844684">
        <w:rPr>
          <w:rFonts w:eastAsia="MS Mincho"/>
          <w:szCs w:val="20"/>
          <w:lang w:val="en-US" w:eastAsia="en-US"/>
        </w:rPr>
        <w:t xml:space="preserve">n. This includes patients </w:t>
      </w:r>
      <w:proofErr w:type="gramStart"/>
      <w:r w:rsidR="00844684">
        <w:rPr>
          <w:rFonts w:eastAsia="MS Mincho"/>
          <w:szCs w:val="20"/>
          <w:lang w:val="en-US" w:eastAsia="en-US"/>
        </w:rPr>
        <w:t>with</w:t>
      </w:r>
      <w:proofErr w:type="gramEnd"/>
      <w:r w:rsidR="00844684">
        <w:rPr>
          <w:rFonts w:eastAsia="MS Mincho"/>
          <w:szCs w:val="20"/>
          <w:lang w:val="en-US" w:eastAsia="en-US"/>
        </w:rPr>
        <w:t>:</w:t>
      </w:r>
    </w:p>
    <w:p w14:paraId="3FC2F8CC" w14:textId="224A7EDD" w:rsidR="00F275F6" w:rsidRPr="00B4709F" w:rsidRDefault="00F275F6" w:rsidP="001D0905">
      <w:pPr>
        <w:pStyle w:val="ListParagraph"/>
        <w:numPr>
          <w:ilvl w:val="0"/>
          <w:numId w:val="22"/>
        </w:numPr>
        <w:ind w:left="714" w:hanging="357"/>
        <w:jc w:val="both"/>
        <w:rPr>
          <w:rFonts w:eastAsia="MS Mincho"/>
          <w:szCs w:val="20"/>
          <w:lang w:val="en-US" w:eastAsia="zh-CN"/>
        </w:rPr>
      </w:pPr>
      <w:proofErr w:type="spellStart"/>
      <w:r w:rsidRPr="00B4709F">
        <w:rPr>
          <w:rFonts w:eastAsia="MS Mincho"/>
          <w:szCs w:val="20"/>
          <w:lang w:val="en-US" w:eastAsia="zh-CN"/>
        </w:rPr>
        <w:t>QTcF</w:t>
      </w:r>
      <w:proofErr w:type="spellEnd"/>
      <w:r w:rsidRPr="00B4709F">
        <w:rPr>
          <w:rFonts w:eastAsia="MS Mincho"/>
          <w:szCs w:val="20"/>
          <w:lang w:val="en-US" w:eastAsia="zh-CN"/>
        </w:rPr>
        <w:t xml:space="preserve"> &gt; 450 </w:t>
      </w:r>
      <w:proofErr w:type="spellStart"/>
      <w:r w:rsidRPr="00B4709F">
        <w:rPr>
          <w:rFonts w:eastAsia="MS Mincho"/>
          <w:szCs w:val="20"/>
          <w:lang w:val="en-US" w:eastAsia="zh-CN"/>
        </w:rPr>
        <w:t>ms</w:t>
      </w:r>
      <w:proofErr w:type="spellEnd"/>
      <w:r w:rsidRPr="00B4709F">
        <w:rPr>
          <w:rFonts w:eastAsia="MS Mincho"/>
          <w:szCs w:val="20"/>
          <w:lang w:val="en-US" w:eastAsia="zh-CN"/>
        </w:rPr>
        <w:t xml:space="preserve"> prior</w:t>
      </w:r>
      <w:r w:rsidR="008D5746" w:rsidRPr="00B4709F">
        <w:rPr>
          <w:rFonts w:eastAsia="MS Mincho"/>
          <w:szCs w:val="20"/>
          <w:lang w:val="en-US" w:eastAsia="zh-CN"/>
        </w:rPr>
        <w:t xml:space="preserve"> to</w:t>
      </w:r>
      <w:r w:rsidR="00C27EF4" w:rsidRPr="00B4709F">
        <w:rPr>
          <w:rFonts w:eastAsia="MS Mincho"/>
          <w:szCs w:val="20"/>
          <w:lang w:val="en-US" w:eastAsia="zh-CN"/>
        </w:rPr>
        <w:t xml:space="preserve"> </w:t>
      </w:r>
      <w:r w:rsidRPr="00B4709F">
        <w:rPr>
          <w:rFonts w:eastAsia="MS Mincho"/>
          <w:szCs w:val="20"/>
          <w:lang w:val="en-US" w:eastAsia="zh-CN"/>
        </w:rPr>
        <w:t>treatment</w:t>
      </w:r>
      <w:r w:rsidR="00C24803" w:rsidRPr="00B4709F">
        <w:rPr>
          <w:rFonts w:eastAsia="MS Mincho"/>
          <w:szCs w:val="20"/>
          <w:lang w:val="en-US" w:eastAsia="zh-CN"/>
        </w:rPr>
        <w:t xml:space="preserve"> (see CONTRAINDICATIONS)</w:t>
      </w:r>
    </w:p>
    <w:p w14:paraId="033C468A" w14:textId="77777777" w:rsidR="00484010" w:rsidRDefault="00F30C70" w:rsidP="0080134C">
      <w:pPr>
        <w:pStyle w:val="ListParagraph"/>
        <w:numPr>
          <w:ilvl w:val="0"/>
          <w:numId w:val="22"/>
        </w:numPr>
        <w:ind w:left="714" w:hanging="357"/>
        <w:jc w:val="both"/>
        <w:rPr>
          <w:rFonts w:eastAsia="MS Mincho"/>
          <w:szCs w:val="20"/>
          <w:lang w:val="en-US" w:eastAsia="zh-CN"/>
        </w:rPr>
      </w:pPr>
      <w:r w:rsidRPr="00B4709F">
        <w:rPr>
          <w:rFonts w:eastAsia="MS Mincho"/>
          <w:szCs w:val="20"/>
          <w:lang w:val="en-US" w:eastAsia="zh-CN"/>
        </w:rPr>
        <w:t>a</w:t>
      </w:r>
      <w:r w:rsidR="00F275F6" w:rsidRPr="00B4709F">
        <w:rPr>
          <w:rFonts w:eastAsia="MS Mincho"/>
          <w:szCs w:val="20"/>
          <w:lang w:val="en-US" w:eastAsia="zh-CN"/>
        </w:rPr>
        <w:t xml:space="preserve"> history of ventricular arrhythmias</w:t>
      </w:r>
      <w:r w:rsidR="00437A48" w:rsidRPr="00B4709F">
        <w:rPr>
          <w:rFonts w:eastAsia="MS Mincho"/>
          <w:szCs w:val="20"/>
          <w:lang w:val="en-US" w:eastAsia="zh-CN"/>
        </w:rPr>
        <w:t xml:space="preserve"> </w:t>
      </w:r>
    </w:p>
    <w:p w14:paraId="6B82F3DC" w14:textId="01F3DB9A" w:rsidR="00281802" w:rsidRPr="00B4709F" w:rsidRDefault="00281802" w:rsidP="0080134C">
      <w:pPr>
        <w:pStyle w:val="ListParagraph"/>
        <w:numPr>
          <w:ilvl w:val="0"/>
          <w:numId w:val="22"/>
        </w:numPr>
        <w:ind w:left="714" w:hanging="357"/>
        <w:jc w:val="both"/>
        <w:rPr>
          <w:rFonts w:eastAsia="MS Mincho"/>
          <w:szCs w:val="20"/>
          <w:lang w:val="en-US" w:eastAsia="zh-CN"/>
        </w:rPr>
      </w:pPr>
      <w:r w:rsidRPr="00B4709F">
        <w:rPr>
          <w:rFonts w:eastAsia="MS Mincho"/>
          <w:lang w:val="en-US" w:eastAsia="zh-CN"/>
        </w:rPr>
        <w:t xml:space="preserve">long QT syndrome </w:t>
      </w:r>
      <w:r w:rsidR="0059626E" w:rsidRPr="00B4709F">
        <w:rPr>
          <w:rFonts w:eastAsia="MS Mincho"/>
          <w:lang w:val="en-US" w:eastAsia="zh-CN"/>
        </w:rPr>
        <w:t>(LQTS)</w:t>
      </w:r>
    </w:p>
    <w:p w14:paraId="1B755B27" w14:textId="1B0316BF" w:rsidR="00E778EA" w:rsidRPr="00B4709F" w:rsidRDefault="00E778EA" w:rsidP="00E778EA">
      <w:pPr>
        <w:pStyle w:val="ListParagraph"/>
        <w:numPr>
          <w:ilvl w:val="0"/>
          <w:numId w:val="22"/>
        </w:numPr>
        <w:rPr>
          <w:rFonts w:eastAsia="MS Mincho"/>
          <w:szCs w:val="20"/>
          <w:lang w:val="en-US" w:eastAsia="zh-CN"/>
        </w:rPr>
      </w:pPr>
      <w:r w:rsidRPr="00B4709F">
        <w:rPr>
          <w:rFonts w:eastAsia="MS Mincho"/>
          <w:szCs w:val="20"/>
          <w:lang w:val="en-US" w:eastAsia="zh-CN"/>
        </w:rPr>
        <w:t xml:space="preserve">significant risk of developing </w:t>
      </w:r>
      <w:proofErr w:type="spellStart"/>
      <w:r w:rsidRPr="00B4709F">
        <w:rPr>
          <w:rFonts w:eastAsia="MS Mincho"/>
          <w:szCs w:val="20"/>
          <w:lang w:val="en-US" w:eastAsia="zh-CN"/>
        </w:rPr>
        <w:t>QTc</w:t>
      </w:r>
      <w:proofErr w:type="spellEnd"/>
      <w:r w:rsidRPr="00B4709F">
        <w:rPr>
          <w:rFonts w:eastAsia="MS Mincho"/>
          <w:szCs w:val="20"/>
          <w:lang w:val="en-US" w:eastAsia="zh-CN"/>
        </w:rPr>
        <w:t xml:space="preserve"> prolongation including:</w:t>
      </w:r>
    </w:p>
    <w:p w14:paraId="19D22B0C" w14:textId="029E6FC9" w:rsidR="00281802" w:rsidRPr="00B4709F" w:rsidRDefault="00281802" w:rsidP="0001281C">
      <w:pPr>
        <w:pStyle w:val="ListParagraph"/>
        <w:numPr>
          <w:ilvl w:val="1"/>
          <w:numId w:val="22"/>
        </w:numPr>
        <w:jc w:val="both"/>
        <w:rPr>
          <w:rFonts w:eastAsia="MS Mincho"/>
          <w:szCs w:val="20"/>
          <w:lang w:val="en-US" w:eastAsia="zh-CN"/>
        </w:rPr>
      </w:pPr>
      <w:r w:rsidRPr="00B4709F">
        <w:rPr>
          <w:rFonts w:eastAsia="MS Mincho"/>
          <w:szCs w:val="20"/>
          <w:lang w:val="en-US" w:eastAsia="zh-CN"/>
        </w:rPr>
        <w:t>uncontrolled or significant cardiac disease including recent myocardial infarction, congestive heart failure, unstable angina</w:t>
      </w:r>
      <w:r w:rsidR="0012525B" w:rsidRPr="00B4709F">
        <w:rPr>
          <w:rFonts w:eastAsia="MS Mincho"/>
          <w:szCs w:val="20"/>
          <w:lang w:val="en-US" w:eastAsia="zh-CN"/>
        </w:rPr>
        <w:t>,</w:t>
      </w:r>
      <w:r w:rsidRPr="00B4709F">
        <w:rPr>
          <w:rFonts w:eastAsia="MS Mincho"/>
          <w:szCs w:val="20"/>
          <w:lang w:val="en-US" w:eastAsia="zh-CN"/>
        </w:rPr>
        <w:t xml:space="preserve"> and </w:t>
      </w:r>
      <w:proofErr w:type="spellStart"/>
      <w:r w:rsidRPr="00B4709F">
        <w:rPr>
          <w:rFonts w:eastAsia="MS Mincho"/>
          <w:szCs w:val="20"/>
          <w:lang w:val="en-US" w:eastAsia="zh-CN"/>
        </w:rPr>
        <w:t>bradyarrhythmias</w:t>
      </w:r>
      <w:proofErr w:type="spellEnd"/>
    </w:p>
    <w:p w14:paraId="2ECA2308" w14:textId="167F0703" w:rsidR="00281802" w:rsidRPr="00B4709F" w:rsidRDefault="00045703" w:rsidP="0001281C">
      <w:pPr>
        <w:pStyle w:val="ListParagraph"/>
        <w:numPr>
          <w:ilvl w:val="1"/>
          <w:numId w:val="22"/>
        </w:numPr>
        <w:jc w:val="both"/>
        <w:rPr>
          <w:rFonts w:eastAsia="MS Mincho"/>
          <w:szCs w:val="20"/>
          <w:lang w:val="en-US" w:eastAsia="zh-CN"/>
        </w:rPr>
      </w:pPr>
      <w:proofErr w:type="gramStart"/>
      <w:r w:rsidRPr="00B4709F">
        <w:rPr>
          <w:rFonts w:eastAsia="MS Mincho"/>
          <w:szCs w:val="20"/>
          <w:lang w:val="en-US" w:eastAsia="zh-CN"/>
        </w:rPr>
        <w:t>uncorrected</w:t>
      </w:r>
      <w:proofErr w:type="gramEnd"/>
      <w:r w:rsidRPr="00B4709F">
        <w:rPr>
          <w:rFonts w:eastAsia="MS Mincho"/>
          <w:szCs w:val="20"/>
          <w:lang w:val="en-US" w:eastAsia="zh-CN"/>
        </w:rPr>
        <w:t xml:space="preserve"> </w:t>
      </w:r>
      <w:r w:rsidR="00281802" w:rsidRPr="00B4709F">
        <w:rPr>
          <w:rFonts w:eastAsia="MS Mincho"/>
          <w:szCs w:val="20"/>
          <w:lang w:val="en-US" w:eastAsia="zh-CN"/>
        </w:rPr>
        <w:t>electrolyte abnormalities.</w:t>
      </w:r>
    </w:p>
    <w:p w14:paraId="1E561196" w14:textId="2D86420F" w:rsidR="00281802" w:rsidRPr="00FF34DC" w:rsidRDefault="00281802" w:rsidP="00425C60">
      <w:pPr>
        <w:keepNext/>
        <w:keepLines/>
        <w:spacing w:before="120" w:after="120" w:line="300" w:lineRule="exact"/>
        <w:jc w:val="both"/>
        <w:rPr>
          <w:rFonts w:eastAsia="MS Mincho"/>
          <w:szCs w:val="20"/>
          <w:lang w:val="en-US" w:eastAsia="en-US"/>
        </w:rPr>
      </w:pPr>
      <w:r>
        <w:rPr>
          <w:rFonts w:eastAsia="MS Mincho"/>
          <w:szCs w:val="20"/>
          <w:lang w:val="en-US" w:eastAsia="en-US"/>
        </w:rPr>
        <w:t>KISQALI</w:t>
      </w:r>
      <w:r w:rsidRPr="00FF34DC">
        <w:rPr>
          <w:rFonts w:eastAsia="MS Mincho"/>
          <w:szCs w:val="20"/>
          <w:lang w:val="en-US" w:eastAsia="en-US"/>
        </w:rPr>
        <w:t xml:space="preserve"> should be avoided </w:t>
      </w:r>
      <w:r>
        <w:rPr>
          <w:rFonts w:eastAsia="MS Mincho"/>
          <w:szCs w:val="20"/>
          <w:lang w:val="en-US" w:eastAsia="en-US"/>
        </w:rPr>
        <w:t xml:space="preserve">in patients taking </w:t>
      </w:r>
      <w:r w:rsidRPr="00FF34DC">
        <w:rPr>
          <w:rFonts w:eastAsia="MS Mincho"/>
          <w:szCs w:val="20"/>
          <w:lang w:val="en-US" w:eastAsia="en-US"/>
        </w:rPr>
        <w:t xml:space="preserve">medicinal products </w:t>
      </w:r>
      <w:r>
        <w:rPr>
          <w:rFonts w:eastAsia="MS Mincho"/>
          <w:szCs w:val="20"/>
          <w:lang w:val="en-US" w:eastAsia="en-US"/>
        </w:rPr>
        <w:t xml:space="preserve">that are </w:t>
      </w:r>
      <w:r w:rsidRPr="00FF34DC">
        <w:rPr>
          <w:rFonts w:eastAsia="MS Mincho"/>
          <w:szCs w:val="20"/>
          <w:lang w:val="en-US" w:eastAsia="en-US"/>
        </w:rPr>
        <w:t xml:space="preserve">known to prolong the </w:t>
      </w:r>
      <w:proofErr w:type="spellStart"/>
      <w:r w:rsidRPr="00FF34DC">
        <w:rPr>
          <w:rFonts w:eastAsia="MS Mincho"/>
          <w:szCs w:val="20"/>
          <w:lang w:val="en-US" w:eastAsia="en-US"/>
        </w:rPr>
        <w:t>QTc</w:t>
      </w:r>
      <w:proofErr w:type="spellEnd"/>
      <w:r w:rsidRPr="00FF34DC">
        <w:rPr>
          <w:rFonts w:eastAsia="MS Mincho"/>
          <w:szCs w:val="20"/>
          <w:lang w:val="en-US" w:eastAsia="en-US"/>
        </w:rPr>
        <w:t xml:space="preserve"> interval</w:t>
      </w:r>
      <w:r w:rsidR="00A92C8E">
        <w:rPr>
          <w:rFonts w:eastAsia="MS Mincho"/>
          <w:szCs w:val="20"/>
          <w:lang w:val="en-US" w:eastAsia="en-US"/>
        </w:rPr>
        <w:t xml:space="preserve"> (see INTERACTIONS WITH OTHER MEDICINES)</w:t>
      </w:r>
      <w:r w:rsidRPr="00FF34DC">
        <w:rPr>
          <w:rFonts w:eastAsia="MS Mincho"/>
          <w:szCs w:val="20"/>
          <w:lang w:val="en-US" w:eastAsia="en-US"/>
        </w:rPr>
        <w:t xml:space="preserve"> and/or strong CYP3A inhibitors as this may lead to clinically meaningful prolongation of the </w:t>
      </w:r>
      <w:proofErr w:type="spellStart"/>
      <w:r w:rsidRPr="00FF34DC">
        <w:rPr>
          <w:rFonts w:eastAsia="MS Mincho"/>
          <w:szCs w:val="20"/>
          <w:lang w:val="en-US" w:eastAsia="en-US"/>
        </w:rPr>
        <w:t>QTcF</w:t>
      </w:r>
      <w:proofErr w:type="spellEnd"/>
      <w:r w:rsidRPr="00FF34DC">
        <w:rPr>
          <w:rFonts w:eastAsia="MS Mincho"/>
          <w:szCs w:val="20"/>
          <w:lang w:val="en-US" w:eastAsia="en-US"/>
        </w:rPr>
        <w:t xml:space="preserve"> interval (see DOSAGE AND ADMINISTRATION, INTERACTION</w:t>
      </w:r>
      <w:r>
        <w:rPr>
          <w:rFonts w:eastAsia="MS Mincho"/>
          <w:szCs w:val="20"/>
          <w:lang w:val="en-US" w:eastAsia="en-US"/>
        </w:rPr>
        <w:t>S</w:t>
      </w:r>
      <w:r w:rsidR="00116FC3">
        <w:rPr>
          <w:rFonts w:eastAsia="MS Mincho"/>
          <w:szCs w:val="20"/>
          <w:lang w:val="en-US" w:eastAsia="en-US"/>
        </w:rPr>
        <w:t xml:space="preserve"> WITH OTHER MEDICINES</w:t>
      </w:r>
      <w:r>
        <w:rPr>
          <w:rFonts w:eastAsia="MS Mincho"/>
          <w:szCs w:val="20"/>
          <w:lang w:val="en-US" w:eastAsia="en-US"/>
        </w:rPr>
        <w:t>, and PHARMACOLOGY)</w:t>
      </w:r>
      <w:r w:rsidR="00844684">
        <w:rPr>
          <w:rFonts w:eastAsia="MS Mincho"/>
          <w:szCs w:val="20"/>
          <w:lang w:val="en-US" w:eastAsia="en-US"/>
        </w:rPr>
        <w:t>.</w:t>
      </w:r>
    </w:p>
    <w:p w14:paraId="5A55E82E" w14:textId="132A41F7" w:rsidR="00281802" w:rsidRDefault="00B51821" w:rsidP="00281802">
      <w:pPr>
        <w:widowControl w:val="0"/>
        <w:spacing w:after="120" w:line="300" w:lineRule="exact"/>
        <w:jc w:val="both"/>
        <w:rPr>
          <w:rFonts w:eastAsia="MS Mincho"/>
          <w:szCs w:val="20"/>
          <w:lang w:val="en-US" w:eastAsia="en-US"/>
        </w:rPr>
      </w:pPr>
      <w:r w:rsidRPr="00FF34DC">
        <w:rPr>
          <w:rFonts w:eastAsia="MS Mincho"/>
          <w:szCs w:val="20"/>
          <w:lang w:val="en-US" w:eastAsia="en-US"/>
        </w:rPr>
        <w:t>Based on the observed QT prolongation during treatment, KISQALI may require dose interruption, reduction or discontinuation as described in</w:t>
      </w:r>
      <w:r>
        <w:rPr>
          <w:rFonts w:eastAsia="MS Mincho"/>
          <w:szCs w:val="20"/>
          <w:lang w:val="en-US" w:eastAsia="en-US"/>
        </w:rPr>
        <w:t xml:space="preserve"> Table 8</w:t>
      </w:r>
      <w:r w:rsidRPr="00FF34DC">
        <w:rPr>
          <w:rFonts w:eastAsia="MS Mincho"/>
          <w:color w:val="FF0000"/>
          <w:szCs w:val="20"/>
          <w:lang w:val="en-US" w:eastAsia="en-US"/>
        </w:rPr>
        <w:t xml:space="preserve"> </w:t>
      </w:r>
      <w:r w:rsidRPr="00FF34DC">
        <w:rPr>
          <w:rFonts w:eastAsia="MS Mincho"/>
          <w:szCs w:val="20"/>
          <w:lang w:val="en-US" w:eastAsia="en-US"/>
        </w:rPr>
        <w:t>Dose Modification and Management</w:t>
      </w:r>
      <w:r w:rsidR="00E923CF" w:rsidRPr="00E923CF">
        <w:t xml:space="preserve"> </w:t>
      </w:r>
      <w:r w:rsidR="00E923CF" w:rsidRPr="00E923CF">
        <w:rPr>
          <w:rFonts w:eastAsia="MS Mincho"/>
          <w:szCs w:val="20"/>
          <w:lang w:val="en-US" w:eastAsia="en-US"/>
        </w:rPr>
        <w:t>for Other Toxicities*</w:t>
      </w:r>
      <w:r w:rsidRPr="00FF34DC">
        <w:rPr>
          <w:rFonts w:eastAsia="MS Mincho"/>
          <w:szCs w:val="20"/>
          <w:lang w:val="en-US" w:eastAsia="en-US"/>
        </w:rPr>
        <w:t xml:space="preserve"> (see sections DOSAGE AND ADMINISTRATION, ADVERSE </w:t>
      </w:r>
      <w:r>
        <w:rPr>
          <w:rFonts w:eastAsia="MS Mincho"/>
          <w:szCs w:val="20"/>
          <w:lang w:val="en-US" w:eastAsia="en-US"/>
        </w:rPr>
        <w:t>EFFECTS</w:t>
      </w:r>
      <w:r w:rsidRPr="00FF34DC">
        <w:rPr>
          <w:rFonts w:eastAsia="MS Mincho"/>
          <w:szCs w:val="20"/>
          <w:lang w:val="en-US" w:eastAsia="en-US"/>
        </w:rPr>
        <w:t xml:space="preserve"> and PHARMACOLOGY).</w:t>
      </w:r>
      <w:r w:rsidR="00E860A0" w:rsidRPr="00E860A0">
        <w:t xml:space="preserve"> </w:t>
      </w:r>
      <w:r w:rsidR="00E860A0" w:rsidRPr="00E860A0">
        <w:rPr>
          <w:rFonts w:eastAsia="MS Mincho"/>
          <w:szCs w:val="20"/>
          <w:lang w:val="en-US" w:eastAsia="en-US"/>
        </w:rPr>
        <w:t xml:space="preserve">If treatment with a strong CYP3A4 inhibitor </w:t>
      </w:r>
      <w:proofErr w:type="gramStart"/>
      <w:r w:rsidR="00E860A0" w:rsidRPr="00E860A0">
        <w:rPr>
          <w:rFonts w:eastAsia="MS Mincho"/>
          <w:szCs w:val="20"/>
          <w:lang w:val="en-US" w:eastAsia="en-US"/>
        </w:rPr>
        <w:t>cannot be avoided</w:t>
      </w:r>
      <w:proofErr w:type="gramEnd"/>
      <w:r w:rsidR="00E860A0" w:rsidRPr="00E860A0">
        <w:rPr>
          <w:rFonts w:eastAsia="MS Mincho"/>
          <w:szCs w:val="20"/>
          <w:lang w:val="en-US" w:eastAsia="en-US"/>
        </w:rPr>
        <w:t>, the dose should be reduced to</w:t>
      </w:r>
      <w:r w:rsidR="004A3E6F">
        <w:rPr>
          <w:rFonts w:eastAsia="MS Mincho"/>
          <w:szCs w:val="20"/>
          <w:lang w:val="en-US" w:eastAsia="en-US"/>
        </w:rPr>
        <w:t xml:space="preserve"> 200 mg</w:t>
      </w:r>
      <w:r w:rsidR="00E860A0" w:rsidRPr="00E860A0">
        <w:rPr>
          <w:rFonts w:eastAsia="MS Mincho"/>
          <w:szCs w:val="20"/>
          <w:lang w:val="en-US" w:eastAsia="en-US"/>
        </w:rPr>
        <w:t xml:space="preserve"> once daily</w:t>
      </w:r>
      <w:r w:rsidR="00766BBD">
        <w:rPr>
          <w:rFonts w:eastAsia="MS Mincho"/>
          <w:szCs w:val="20"/>
          <w:lang w:val="en-US" w:eastAsia="en-US"/>
        </w:rPr>
        <w:t>.</w:t>
      </w:r>
    </w:p>
    <w:p w14:paraId="7DE0353F" w14:textId="77C2AE01" w:rsidR="00B90C48" w:rsidRPr="00972B32" w:rsidRDefault="00020CA6" w:rsidP="00B90C48">
      <w:pPr>
        <w:pStyle w:val="NoNumHead5"/>
        <w:keepNext w:val="0"/>
        <w:widowControl w:val="0"/>
        <w:spacing w:after="120" w:line="300" w:lineRule="exact"/>
        <w:jc w:val="both"/>
        <w:rPr>
          <w:rFonts w:ascii="Times New Roman" w:hAnsi="Times New Roman"/>
          <w:i w:val="0"/>
          <w:sz w:val="24"/>
          <w:u w:val="single"/>
        </w:rPr>
      </w:pPr>
      <w:r>
        <w:rPr>
          <w:rFonts w:ascii="Times New Roman" w:hAnsi="Times New Roman"/>
          <w:i w:val="0"/>
          <w:sz w:val="24"/>
          <w:u w:val="single"/>
        </w:rPr>
        <w:t>Hepatobiliary toxicity</w:t>
      </w:r>
    </w:p>
    <w:p w14:paraId="2552A0A8" w14:textId="3B6E2CD0" w:rsidR="00193EA7" w:rsidRDefault="00466C53" w:rsidP="000D0D1E">
      <w:pPr>
        <w:widowControl w:val="0"/>
        <w:spacing w:after="120" w:line="300" w:lineRule="exact"/>
        <w:jc w:val="both"/>
        <w:rPr>
          <w:rFonts w:eastAsia="MS Mincho"/>
          <w:szCs w:val="20"/>
          <w:lang w:val="en-US" w:eastAsia="en-US"/>
        </w:rPr>
      </w:pPr>
      <w:proofErr w:type="spellStart"/>
      <w:r>
        <w:rPr>
          <w:rFonts w:eastAsia="MS Mincho"/>
          <w:szCs w:val="20"/>
          <w:lang w:val="en-US" w:eastAsia="en-US"/>
        </w:rPr>
        <w:t>Ribociclib</w:t>
      </w:r>
      <w:proofErr w:type="spellEnd"/>
      <w:r>
        <w:rPr>
          <w:rFonts w:eastAsia="MS Mincho"/>
          <w:szCs w:val="20"/>
          <w:lang w:val="en-US" w:eastAsia="en-US"/>
        </w:rPr>
        <w:t xml:space="preserve"> commonly causes</w:t>
      </w:r>
      <w:r w:rsidR="008D5746">
        <w:rPr>
          <w:rFonts w:eastAsia="MS Mincho"/>
          <w:szCs w:val="20"/>
          <w:lang w:val="en-US" w:eastAsia="en-US"/>
        </w:rPr>
        <w:t xml:space="preserve"> reversible</w:t>
      </w:r>
      <w:r>
        <w:rPr>
          <w:rFonts w:eastAsia="MS Mincho"/>
          <w:szCs w:val="20"/>
          <w:lang w:val="en-US" w:eastAsia="en-US"/>
        </w:rPr>
        <w:t xml:space="preserve"> elevat</w:t>
      </w:r>
      <w:r w:rsidR="008D5746">
        <w:rPr>
          <w:rFonts w:eastAsia="MS Mincho"/>
          <w:szCs w:val="20"/>
          <w:lang w:val="en-US" w:eastAsia="en-US"/>
        </w:rPr>
        <w:t xml:space="preserve">ions </w:t>
      </w:r>
      <w:proofErr w:type="spellStart"/>
      <w:r w:rsidR="008D5746">
        <w:rPr>
          <w:rFonts w:eastAsia="MS Mincho"/>
          <w:szCs w:val="20"/>
          <w:lang w:val="en-US" w:eastAsia="en-US"/>
        </w:rPr>
        <w:t>in</w:t>
      </w:r>
      <w:r>
        <w:rPr>
          <w:rFonts w:eastAsia="MS Mincho"/>
          <w:szCs w:val="20"/>
          <w:lang w:val="en-US" w:eastAsia="en-US"/>
        </w:rPr>
        <w:t>transaminase</w:t>
      </w:r>
      <w:proofErr w:type="spellEnd"/>
      <w:r>
        <w:rPr>
          <w:rFonts w:eastAsia="MS Mincho"/>
          <w:szCs w:val="20"/>
          <w:lang w:val="en-US" w:eastAsia="en-US"/>
        </w:rPr>
        <w:t xml:space="preserve"> levels</w:t>
      </w:r>
      <w:r w:rsidR="008D5746">
        <w:rPr>
          <w:rFonts w:eastAsia="MS Mincho"/>
          <w:szCs w:val="20"/>
          <w:lang w:val="en-US" w:eastAsia="en-US"/>
        </w:rPr>
        <w:t xml:space="preserve">, including </w:t>
      </w:r>
      <w:r>
        <w:rPr>
          <w:rFonts w:eastAsia="MS Mincho"/>
          <w:szCs w:val="20"/>
          <w:lang w:val="en-US" w:eastAsia="en-US"/>
        </w:rPr>
        <w:t>uncommonly causes l</w:t>
      </w:r>
      <w:r w:rsidR="00844684">
        <w:rPr>
          <w:rFonts w:eastAsia="MS Mincho"/>
          <w:szCs w:val="20"/>
          <w:lang w:val="en-US" w:eastAsia="en-US"/>
        </w:rPr>
        <w:t>ife-threatening hepatotoxicity.</w:t>
      </w:r>
    </w:p>
    <w:p w14:paraId="55232564" w14:textId="30611ED1" w:rsidR="00B90C48" w:rsidRDefault="00B90C48" w:rsidP="00281802">
      <w:pPr>
        <w:spacing w:after="120" w:line="300" w:lineRule="exact"/>
        <w:jc w:val="both"/>
        <w:rPr>
          <w:rFonts w:eastAsia="MS Mincho"/>
          <w:szCs w:val="20"/>
          <w:lang w:val="en-US" w:eastAsia="en-US"/>
        </w:rPr>
      </w:pPr>
      <w:r w:rsidRPr="003E6EAC">
        <w:rPr>
          <w:rFonts w:eastAsia="MS Mincho"/>
          <w:szCs w:val="20"/>
          <w:lang w:val="en-US" w:eastAsia="en-US"/>
        </w:rPr>
        <w:t>Repeated dose toxicity studies</w:t>
      </w:r>
      <w:r w:rsidR="00391DF9">
        <w:rPr>
          <w:rFonts w:eastAsia="MS Mincho"/>
          <w:szCs w:val="20"/>
          <w:lang w:val="en-US" w:eastAsia="en-US"/>
        </w:rPr>
        <w:t xml:space="preserve"> </w:t>
      </w:r>
      <w:r w:rsidR="00020CA6">
        <w:rPr>
          <w:rFonts w:eastAsia="MS Mincho"/>
          <w:szCs w:val="20"/>
          <w:lang w:val="en-US" w:eastAsia="en-US"/>
        </w:rPr>
        <w:t>in rats</w:t>
      </w:r>
      <w:r w:rsidRPr="003E6EAC">
        <w:rPr>
          <w:rFonts w:eastAsia="MS Mincho"/>
          <w:szCs w:val="20"/>
          <w:lang w:val="en-US" w:eastAsia="en-US"/>
        </w:rPr>
        <w:t xml:space="preserve"> revealed the hepatobiliary system </w:t>
      </w:r>
      <w:r w:rsidRPr="00B90C48">
        <w:rPr>
          <w:rFonts w:eastAsia="MS Mincho"/>
          <w:szCs w:val="20"/>
          <w:lang w:val="en-US" w:eastAsia="en-US"/>
        </w:rPr>
        <w:t xml:space="preserve">as the primary target organ of toxicity of </w:t>
      </w:r>
      <w:proofErr w:type="spellStart"/>
      <w:r w:rsidRPr="00B90C48">
        <w:rPr>
          <w:rFonts w:eastAsia="MS Mincho"/>
          <w:szCs w:val="20"/>
          <w:lang w:val="en-US" w:eastAsia="en-US"/>
        </w:rPr>
        <w:t>ribociclib</w:t>
      </w:r>
      <w:proofErr w:type="spellEnd"/>
      <w:r w:rsidR="00EE2396">
        <w:rPr>
          <w:rFonts w:eastAsia="MS Mincho"/>
          <w:szCs w:val="20"/>
          <w:lang w:val="en-US" w:eastAsia="en-US"/>
        </w:rPr>
        <w:t xml:space="preserve"> (see </w:t>
      </w:r>
      <w:r w:rsidR="00065A8B">
        <w:rPr>
          <w:rFonts w:eastAsia="MS Mincho"/>
          <w:szCs w:val="20"/>
          <w:lang w:val="en-US" w:eastAsia="en-US"/>
        </w:rPr>
        <w:t xml:space="preserve">PRECAUTIONS - </w:t>
      </w:r>
      <w:r w:rsidR="00EE2396">
        <w:rPr>
          <w:rFonts w:eastAsia="MS Mincho"/>
          <w:szCs w:val="20"/>
          <w:lang w:val="en-US" w:eastAsia="en-US"/>
        </w:rPr>
        <w:t>Nonclinical toxicity</w:t>
      </w:r>
      <w:r w:rsidR="00EE2396" w:rsidRPr="00D77C4E">
        <w:rPr>
          <w:rFonts w:eastAsia="MS Mincho"/>
          <w:szCs w:val="20"/>
          <w:lang w:val="en-US" w:eastAsia="en-US"/>
        </w:rPr>
        <w:t>).</w:t>
      </w:r>
      <w:r w:rsidR="008C29D4" w:rsidRPr="00D77C4E">
        <w:t xml:space="preserve"> </w:t>
      </w:r>
      <w:r w:rsidRPr="003E6EAC">
        <w:rPr>
          <w:rFonts w:eastAsia="MS Mincho"/>
          <w:szCs w:val="20"/>
          <w:lang w:val="en-US" w:eastAsia="en-US"/>
        </w:rPr>
        <w:t>Repeated dose toxicity studies</w:t>
      </w:r>
      <w:r w:rsidR="00D77C4E">
        <w:rPr>
          <w:rFonts w:eastAsia="MS Mincho"/>
          <w:szCs w:val="20"/>
          <w:lang w:val="en-US" w:eastAsia="en-US"/>
        </w:rPr>
        <w:t xml:space="preserve"> in rats</w:t>
      </w:r>
      <w:r w:rsidRPr="003E6EAC">
        <w:rPr>
          <w:rFonts w:eastAsia="MS Mincho"/>
          <w:szCs w:val="20"/>
          <w:lang w:val="en-US" w:eastAsia="en-US"/>
        </w:rPr>
        <w:t xml:space="preserve"> revealed the hepatobiliary system </w:t>
      </w:r>
      <w:r w:rsidRPr="00B90C48">
        <w:rPr>
          <w:rFonts w:eastAsia="MS Mincho"/>
          <w:szCs w:val="20"/>
          <w:lang w:val="en-US" w:eastAsia="en-US"/>
        </w:rPr>
        <w:t xml:space="preserve">as the primary target organ of toxicity of </w:t>
      </w:r>
      <w:proofErr w:type="spellStart"/>
      <w:r w:rsidRPr="00B90C48">
        <w:rPr>
          <w:rFonts w:eastAsia="MS Mincho"/>
          <w:szCs w:val="20"/>
          <w:lang w:val="en-US" w:eastAsia="en-US"/>
        </w:rPr>
        <w:t>ribociclib</w:t>
      </w:r>
      <w:proofErr w:type="spellEnd"/>
      <w:r w:rsidR="008D7585">
        <w:rPr>
          <w:rFonts w:eastAsia="MS Mincho"/>
          <w:szCs w:val="20"/>
          <w:lang w:val="en-US" w:eastAsia="en-US"/>
        </w:rPr>
        <w:t>)</w:t>
      </w:r>
      <w:r w:rsidRPr="00B90C48">
        <w:rPr>
          <w:rFonts w:eastAsia="MS Mincho"/>
          <w:szCs w:val="20"/>
          <w:lang w:val="en-US" w:eastAsia="en-US"/>
        </w:rPr>
        <w:t>.</w:t>
      </w:r>
    </w:p>
    <w:p w14:paraId="54A3E70E" w14:textId="45CF6ED8" w:rsidR="00B90C48" w:rsidRPr="003E6EAC" w:rsidRDefault="00B90C48" w:rsidP="00281802">
      <w:pPr>
        <w:widowControl w:val="0"/>
        <w:spacing w:before="120" w:after="120"/>
        <w:jc w:val="both"/>
        <w:rPr>
          <w:rFonts w:eastAsia="MS Mincho"/>
          <w:szCs w:val="20"/>
          <w:lang w:val="en-US" w:eastAsia="zh-CN"/>
        </w:rPr>
      </w:pPr>
      <w:r w:rsidRPr="003E6EAC">
        <w:rPr>
          <w:rFonts w:eastAsia="MS Mincho"/>
          <w:szCs w:val="20"/>
          <w:lang w:val="en-US" w:eastAsia="zh-CN"/>
        </w:rPr>
        <w:t xml:space="preserve">In the phase III clinical study, increases in transaminases </w:t>
      </w:r>
      <w:proofErr w:type="gramStart"/>
      <w:r w:rsidRPr="003E6EAC">
        <w:rPr>
          <w:rFonts w:eastAsia="MS Mincho"/>
          <w:szCs w:val="20"/>
          <w:lang w:val="en-US" w:eastAsia="zh-CN"/>
        </w:rPr>
        <w:t>were observed</w:t>
      </w:r>
      <w:proofErr w:type="gramEnd"/>
      <w:r w:rsidRPr="003E6EAC">
        <w:rPr>
          <w:rFonts w:eastAsia="MS Mincho"/>
          <w:szCs w:val="20"/>
          <w:lang w:val="en-US" w:eastAsia="zh-CN"/>
        </w:rPr>
        <w:t xml:space="preserve">. Grade 3 or Grade 4 increases in ALT (10.2 % vs. 1.2 %) and AST (6.9 % vs. 1.5 %) </w:t>
      </w:r>
      <w:proofErr w:type="gramStart"/>
      <w:r w:rsidRPr="003E6EAC">
        <w:rPr>
          <w:rFonts w:eastAsia="MS Mincho"/>
          <w:szCs w:val="20"/>
          <w:lang w:val="en-US" w:eastAsia="zh-CN"/>
        </w:rPr>
        <w:t>were reported</w:t>
      </w:r>
      <w:proofErr w:type="gramEnd"/>
      <w:r w:rsidRPr="003E6EAC">
        <w:rPr>
          <w:rFonts w:eastAsia="MS Mincho"/>
          <w:szCs w:val="20"/>
          <w:lang w:val="en-US" w:eastAsia="zh-CN"/>
        </w:rPr>
        <w:t xml:space="preserve"> in the </w:t>
      </w:r>
      <w:proofErr w:type="spellStart"/>
      <w:r w:rsidRPr="003E6EAC">
        <w:rPr>
          <w:rFonts w:eastAsia="MS Mincho"/>
          <w:szCs w:val="20"/>
          <w:lang w:val="en-US" w:eastAsia="zh-CN"/>
        </w:rPr>
        <w:t>ribociclib</w:t>
      </w:r>
      <w:proofErr w:type="spellEnd"/>
      <w:r w:rsidR="00D77C4E">
        <w:rPr>
          <w:rFonts w:eastAsia="MS Mincho"/>
          <w:szCs w:val="20"/>
          <w:lang w:val="en-US" w:eastAsia="zh-CN"/>
        </w:rPr>
        <w:t xml:space="preserve"> and placebo arms respectively.</w:t>
      </w:r>
    </w:p>
    <w:p w14:paraId="08D627E2" w14:textId="6E9E166E" w:rsidR="00B90C48" w:rsidRDefault="00B90C48" w:rsidP="00281802">
      <w:pPr>
        <w:widowControl w:val="0"/>
        <w:spacing w:before="120" w:after="120"/>
        <w:jc w:val="both"/>
        <w:rPr>
          <w:rFonts w:eastAsia="MS Mincho"/>
          <w:szCs w:val="20"/>
          <w:lang w:val="en-US" w:eastAsia="zh-CN"/>
        </w:rPr>
      </w:pPr>
      <w:r w:rsidRPr="00EF31D2">
        <w:rPr>
          <w:rFonts w:eastAsia="MS Mincho"/>
          <w:szCs w:val="20"/>
          <w:lang w:val="en-US" w:eastAsia="zh-CN"/>
        </w:rPr>
        <w:t xml:space="preserve">In the phase III clinical study and phase </w:t>
      </w:r>
      <w:proofErr w:type="spellStart"/>
      <w:r w:rsidRPr="00EF31D2">
        <w:rPr>
          <w:rFonts w:eastAsia="MS Mincho"/>
          <w:szCs w:val="20"/>
          <w:lang w:val="en-US" w:eastAsia="zh-CN"/>
        </w:rPr>
        <w:t>Ib</w:t>
      </w:r>
      <w:proofErr w:type="spellEnd"/>
      <w:r w:rsidRPr="00EF31D2">
        <w:rPr>
          <w:rFonts w:eastAsia="MS Mincho"/>
          <w:szCs w:val="20"/>
          <w:lang w:val="en-US" w:eastAsia="zh-CN"/>
        </w:rPr>
        <w:t xml:space="preserve"> study with KISQALI plus </w:t>
      </w:r>
      <w:proofErr w:type="spellStart"/>
      <w:r w:rsidRPr="00EF31D2">
        <w:rPr>
          <w:rFonts w:eastAsia="MS Mincho"/>
          <w:szCs w:val="20"/>
          <w:lang w:val="en-US" w:eastAsia="zh-CN"/>
        </w:rPr>
        <w:t>letrozole</w:t>
      </w:r>
      <w:proofErr w:type="spellEnd"/>
      <w:r w:rsidRPr="00EF31D2">
        <w:rPr>
          <w:rFonts w:eastAsia="MS Mincho"/>
          <w:szCs w:val="20"/>
          <w:lang w:val="en-US" w:eastAsia="zh-CN"/>
        </w:rPr>
        <w:t xml:space="preserve"> treatment, 83.8 % (31/37) of Grade 3 or Grade 4 ALT or AST elevation events occurred within the first 6 months of treatment (see ADVERSE EFFECTS). The majority of increases in ALT and AST </w:t>
      </w:r>
      <w:proofErr w:type="gramStart"/>
      <w:r w:rsidRPr="00EF31D2">
        <w:rPr>
          <w:rFonts w:eastAsia="MS Mincho"/>
          <w:szCs w:val="20"/>
          <w:lang w:val="en-US" w:eastAsia="zh-CN"/>
        </w:rPr>
        <w:t>were reported</w:t>
      </w:r>
      <w:proofErr w:type="gramEnd"/>
      <w:r w:rsidRPr="00EF31D2">
        <w:rPr>
          <w:rFonts w:eastAsia="MS Mincho"/>
          <w:szCs w:val="20"/>
          <w:lang w:val="en-US" w:eastAsia="zh-CN"/>
        </w:rPr>
        <w:t xml:space="preserve"> without concurrent elevations of bilirubin.</w:t>
      </w:r>
      <w:r w:rsidR="00316FF9" w:rsidRPr="00316FF9">
        <w:t xml:space="preserve"> </w:t>
      </w:r>
      <w:r w:rsidR="00316FF9" w:rsidRPr="00316FF9">
        <w:rPr>
          <w:rFonts w:eastAsia="MS Mincho"/>
          <w:szCs w:val="20"/>
          <w:lang w:val="en-US" w:eastAsia="zh-CN"/>
        </w:rPr>
        <w:t xml:space="preserve">Patients with grade 2 or worse elevations in the studies </w:t>
      </w:r>
      <w:proofErr w:type="gramStart"/>
      <w:r w:rsidR="00316FF9" w:rsidRPr="00316FF9">
        <w:rPr>
          <w:rFonts w:eastAsia="MS Mincho"/>
          <w:szCs w:val="20"/>
          <w:lang w:val="en-US" w:eastAsia="zh-CN"/>
        </w:rPr>
        <w:t>were managed</w:t>
      </w:r>
      <w:proofErr w:type="gramEnd"/>
      <w:r w:rsidR="00316FF9" w:rsidRPr="00316FF9">
        <w:rPr>
          <w:rFonts w:eastAsia="MS Mincho"/>
          <w:szCs w:val="20"/>
          <w:lang w:val="en-US" w:eastAsia="zh-CN"/>
        </w:rPr>
        <w:t xml:space="preserve"> by dose modification (delay, dose reduction, treatment discontinuation) of </w:t>
      </w:r>
      <w:proofErr w:type="spellStart"/>
      <w:r w:rsidR="00316FF9" w:rsidRPr="00316FF9">
        <w:rPr>
          <w:rFonts w:eastAsia="MS Mincho"/>
          <w:szCs w:val="20"/>
          <w:lang w:val="en-US" w:eastAsia="zh-CN"/>
        </w:rPr>
        <w:t>ribociclib</w:t>
      </w:r>
      <w:proofErr w:type="spellEnd"/>
      <w:r w:rsidR="00316FF9" w:rsidRPr="00316FF9">
        <w:rPr>
          <w:rFonts w:eastAsia="MS Mincho"/>
          <w:szCs w:val="20"/>
          <w:lang w:val="en-US" w:eastAsia="zh-CN"/>
        </w:rPr>
        <w:t>.</w:t>
      </w:r>
      <w:r w:rsidR="00316FF9">
        <w:rPr>
          <w:rFonts w:eastAsia="MS Mincho"/>
          <w:szCs w:val="20"/>
          <w:lang w:val="en-US" w:eastAsia="zh-CN"/>
        </w:rPr>
        <w:t xml:space="preserve"> </w:t>
      </w:r>
      <w:r w:rsidR="00316FF9" w:rsidRPr="00EF31D2">
        <w:rPr>
          <w:rFonts w:eastAsia="MS Mincho"/>
          <w:szCs w:val="20"/>
          <w:lang w:val="en-US" w:eastAsia="zh-CN"/>
        </w:rPr>
        <w:t>Among the patients who had Grade 3 or Grade 4</w:t>
      </w:r>
      <w:r w:rsidR="00316FF9" w:rsidRPr="00316FF9">
        <w:rPr>
          <w:rFonts w:eastAsia="MS Mincho"/>
          <w:szCs w:val="20"/>
          <w:lang w:val="en-US" w:eastAsia="zh-CN"/>
        </w:rPr>
        <w:t xml:space="preserve"> </w:t>
      </w:r>
      <w:r w:rsidR="00316FF9" w:rsidRPr="00EF31D2">
        <w:rPr>
          <w:rFonts w:eastAsia="MS Mincho"/>
          <w:szCs w:val="20"/>
          <w:lang w:val="en-US" w:eastAsia="zh-CN"/>
        </w:rPr>
        <w:t>ALT/AST elevation, the median time-</w:t>
      </w:r>
      <w:r w:rsidR="00316FF9" w:rsidRPr="00EF31D2">
        <w:rPr>
          <w:rFonts w:eastAsia="MS Mincho"/>
          <w:szCs w:val="20"/>
          <w:lang w:val="en-US" w:eastAsia="zh-CN"/>
        </w:rPr>
        <w:lastRenderedPageBreak/>
        <w:t xml:space="preserve">to-onset was 57 days </w:t>
      </w:r>
      <w:r w:rsidR="00316FF9">
        <w:rPr>
          <w:rFonts w:eastAsia="MS Mincho"/>
          <w:szCs w:val="20"/>
          <w:lang w:val="en-US" w:eastAsia="zh-CN"/>
        </w:rPr>
        <w:t xml:space="preserve">(ranging from 15-401 days) </w:t>
      </w:r>
      <w:r w:rsidR="00316FF9" w:rsidRPr="00EF31D2">
        <w:rPr>
          <w:rFonts w:eastAsia="MS Mincho"/>
          <w:szCs w:val="20"/>
          <w:lang w:val="en-US" w:eastAsia="zh-CN"/>
        </w:rPr>
        <w:t xml:space="preserve">for the KISQALI plus </w:t>
      </w:r>
      <w:proofErr w:type="spellStart"/>
      <w:r w:rsidR="00316FF9" w:rsidRPr="00EF31D2">
        <w:rPr>
          <w:rFonts w:eastAsia="MS Mincho"/>
          <w:szCs w:val="20"/>
          <w:lang w:val="en-US" w:eastAsia="zh-CN"/>
        </w:rPr>
        <w:t>letrozole</w:t>
      </w:r>
      <w:proofErr w:type="spellEnd"/>
      <w:r w:rsidR="00316FF9" w:rsidRPr="00EF31D2">
        <w:rPr>
          <w:rFonts w:eastAsia="MS Mincho"/>
          <w:szCs w:val="20"/>
          <w:lang w:val="en-US" w:eastAsia="zh-CN"/>
        </w:rPr>
        <w:t xml:space="preserve"> treatment group. </w:t>
      </w:r>
      <w:r w:rsidR="00316FF9">
        <w:rPr>
          <w:rFonts w:eastAsia="MS Mincho"/>
          <w:szCs w:val="20"/>
          <w:lang w:val="en-US" w:eastAsia="zh-CN"/>
        </w:rPr>
        <w:t xml:space="preserve">Of the 33 out of 37 patients who recovered (with appropriate dose modifications to </w:t>
      </w:r>
      <w:proofErr w:type="spellStart"/>
      <w:r w:rsidR="00316FF9">
        <w:rPr>
          <w:rFonts w:eastAsia="MS Mincho"/>
          <w:szCs w:val="20"/>
          <w:lang w:val="en-US" w:eastAsia="zh-CN"/>
        </w:rPr>
        <w:t>normalisation</w:t>
      </w:r>
      <w:proofErr w:type="spellEnd"/>
      <w:r w:rsidR="00316FF9">
        <w:rPr>
          <w:rFonts w:eastAsia="MS Mincho"/>
          <w:szCs w:val="20"/>
          <w:lang w:val="en-US" w:eastAsia="zh-CN"/>
        </w:rPr>
        <w:t xml:space="preserve"> or baseline), t</w:t>
      </w:r>
      <w:r w:rsidR="00316FF9" w:rsidRPr="00EF31D2">
        <w:rPr>
          <w:rFonts w:eastAsia="MS Mincho"/>
          <w:szCs w:val="20"/>
          <w:lang w:val="en-US" w:eastAsia="zh-CN"/>
        </w:rPr>
        <w:t>he median time to resolution was 4</w:t>
      </w:r>
      <w:r w:rsidR="00316FF9">
        <w:rPr>
          <w:rFonts w:eastAsia="MS Mincho"/>
          <w:szCs w:val="20"/>
          <w:lang w:val="en-US" w:eastAsia="zh-CN"/>
        </w:rPr>
        <w:t>.1 weeks</w:t>
      </w:r>
      <w:r w:rsidR="00316FF9" w:rsidRPr="00EF31D2">
        <w:rPr>
          <w:rFonts w:eastAsia="MS Mincho"/>
          <w:szCs w:val="20"/>
          <w:lang w:val="en-US" w:eastAsia="zh-CN"/>
        </w:rPr>
        <w:t>.</w:t>
      </w:r>
      <w:r w:rsidR="00316FF9">
        <w:rPr>
          <w:rFonts w:eastAsia="MS Mincho"/>
          <w:szCs w:val="20"/>
          <w:lang w:val="en-US" w:eastAsia="zh-CN"/>
        </w:rPr>
        <w:t xml:space="preserve"> </w:t>
      </w:r>
      <w:r w:rsidR="00316FF9" w:rsidRPr="00EF31D2">
        <w:rPr>
          <w:rFonts w:eastAsia="MS Mincho"/>
          <w:szCs w:val="20"/>
          <w:lang w:val="en-US" w:eastAsia="zh-CN"/>
        </w:rPr>
        <w:t>Of the 4</w:t>
      </w:r>
      <w:r w:rsidR="00316FF9">
        <w:rPr>
          <w:rFonts w:eastAsia="MS Mincho"/>
          <w:szCs w:val="20"/>
          <w:lang w:val="en-US" w:eastAsia="zh-CN"/>
        </w:rPr>
        <w:t xml:space="preserve"> (1.2 %) </w:t>
      </w:r>
      <w:proofErr w:type="spellStart"/>
      <w:r w:rsidR="00316FF9" w:rsidRPr="00EF31D2">
        <w:rPr>
          <w:rFonts w:eastAsia="MS Mincho"/>
          <w:szCs w:val="20"/>
          <w:lang w:val="en-US" w:eastAsia="zh-CN"/>
        </w:rPr>
        <w:t>Hy’s</w:t>
      </w:r>
      <w:proofErr w:type="spellEnd"/>
      <w:r w:rsidR="00316FF9" w:rsidRPr="00EF31D2">
        <w:rPr>
          <w:rFonts w:eastAsia="MS Mincho"/>
          <w:szCs w:val="20"/>
          <w:lang w:val="en-US" w:eastAsia="zh-CN"/>
        </w:rPr>
        <w:t xml:space="preserve"> Law patients</w:t>
      </w:r>
      <w:r w:rsidR="00316FF9">
        <w:rPr>
          <w:rFonts w:eastAsia="MS Mincho"/>
          <w:szCs w:val="20"/>
          <w:lang w:val="en-US" w:eastAsia="zh-CN"/>
        </w:rPr>
        <w:t xml:space="preserve"> </w:t>
      </w:r>
      <w:r w:rsidR="00316FF9" w:rsidRPr="0097268B">
        <w:rPr>
          <w:rFonts w:eastAsia="MS Mincho"/>
          <w:szCs w:val="20"/>
          <w:lang w:val="en-US" w:eastAsia="zh-CN"/>
        </w:rPr>
        <w:t>(concurrent elevations of ALT or AST greater than three times the upper limit of normal and of total bilirubin greater than two times the upper limit of normal, with normal alkaline phosphatase levels, and in the</w:t>
      </w:r>
      <w:r w:rsidR="00316FF9">
        <w:rPr>
          <w:rFonts w:eastAsia="MS Mincho"/>
          <w:szCs w:val="20"/>
          <w:lang w:val="en-US" w:eastAsia="zh-CN"/>
        </w:rPr>
        <w:t xml:space="preserve"> absence of cholestasis)</w:t>
      </w:r>
      <w:r w:rsidR="00316FF9" w:rsidRPr="00EF31D2">
        <w:rPr>
          <w:rFonts w:eastAsia="MS Mincho"/>
          <w:szCs w:val="20"/>
          <w:lang w:val="en-US" w:eastAsia="zh-CN"/>
        </w:rPr>
        <w:t>, all patients recovered to normal within 154 days after discontinuation of KISQALI.</w:t>
      </w:r>
    </w:p>
    <w:p w14:paraId="2FE75C5B" w14:textId="78B7CC41" w:rsidR="00FE688D" w:rsidRDefault="00FE688D" w:rsidP="00281802">
      <w:pPr>
        <w:spacing w:before="120" w:after="120"/>
        <w:jc w:val="both"/>
        <w:rPr>
          <w:rFonts w:eastAsia="MS Mincho"/>
          <w:szCs w:val="20"/>
          <w:lang w:val="en-US" w:eastAsia="zh-CN"/>
        </w:rPr>
      </w:pPr>
      <w:r w:rsidRPr="00EF31D2">
        <w:rPr>
          <w:rFonts w:eastAsia="MS Mincho"/>
          <w:szCs w:val="20"/>
          <w:lang w:val="en-US" w:eastAsia="zh-CN"/>
        </w:rPr>
        <w:t xml:space="preserve">Liver function tests (LFTs) </w:t>
      </w:r>
      <w:proofErr w:type="gramStart"/>
      <w:r w:rsidRPr="00EF31D2">
        <w:rPr>
          <w:rFonts w:eastAsia="MS Mincho"/>
          <w:szCs w:val="20"/>
          <w:lang w:val="en-US" w:eastAsia="zh-CN"/>
        </w:rPr>
        <w:t>should be performed</w:t>
      </w:r>
      <w:proofErr w:type="gramEnd"/>
      <w:r w:rsidRPr="00EF31D2">
        <w:rPr>
          <w:rFonts w:eastAsia="MS Mincho"/>
          <w:szCs w:val="20"/>
          <w:lang w:val="en-US" w:eastAsia="zh-CN"/>
        </w:rPr>
        <w:t xml:space="preserve"> before initiating therapy with KISQALI. The LFTs </w:t>
      </w:r>
      <w:proofErr w:type="gramStart"/>
      <w:r w:rsidRPr="00EF31D2">
        <w:rPr>
          <w:rFonts w:eastAsia="MS Mincho"/>
          <w:szCs w:val="20"/>
          <w:lang w:val="en-US" w:eastAsia="zh-CN"/>
        </w:rPr>
        <w:t xml:space="preserve">should be monitored every 2 weeks for first 2 cycles, at the beginning of each of the subsequent 4 cycles, </w:t>
      </w:r>
      <w:r w:rsidR="00F76D03">
        <w:rPr>
          <w:rFonts w:eastAsia="MS Mincho"/>
          <w:szCs w:val="20"/>
          <w:lang w:val="en-US" w:eastAsia="zh-CN"/>
        </w:rPr>
        <w:t xml:space="preserve">and </w:t>
      </w:r>
      <w:r w:rsidR="00844684">
        <w:rPr>
          <w:rFonts w:eastAsia="MS Mincho"/>
          <w:szCs w:val="20"/>
          <w:lang w:val="en-US" w:eastAsia="zh-CN"/>
        </w:rPr>
        <w:t>as clinically indicated</w:t>
      </w:r>
      <w:proofErr w:type="gramEnd"/>
      <w:r w:rsidR="00844684">
        <w:rPr>
          <w:rFonts w:eastAsia="MS Mincho"/>
          <w:szCs w:val="20"/>
          <w:lang w:val="en-US" w:eastAsia="zh-CN"/>
        </w:rPr>
        <w:t>.</w:t>
      </w:r>
    </w:p>
    <w:p w14:paraId="30F00127" w14:textId="047E37AB" w:rsidR="00FE688D" w:rsidRPr="00B90C48" w:rsidRDefault="00FE688D" w:rsidP="00281802">
      <w:pPr>
        <w:widowControl w:val="0"/>
        <w:spacing w:before="120" w:after="120"/>
        <w:jc w:val="both"/>
        <w:rPr>
          <w:rFonts w:eastAsia="MS Mincho"/>
          <w:szCs w:val="20"/>
          <w:lang w:val="en-US" w:eastAsia="zh-CN"/>
        </w:rPr>
      </w:pPr>
      <w:r w:rsidRPr="00EF31D2">
        <w:rPr>
          <w:rFonts w:eastAsia="MS Mincho"/>
          <w:szCs w:val="20"/>
          <w:lang w:val="en-US" w:eastAsia="zh-CN"/>
        </w:rPr>
        <w:t>Based on the severity of the transaminase elevations, KISQALI may require dose interruption, reduction, or discontinuation as described in Table 7 (see DOSAGE AND ADMINISTRATION). Recommendations for patients who have elevated AST/ALT &gt; Grade 3 at baseline have not been established.</w:t>
      </w:r>
    </w:p>
    <w:p w14:paraId="003AAE8F" w14:textId="405E4418" w:rsidR="00A604B9" w:rsidRPr="00A604B9" w:rsidRDefault="00A927D2" w:rsidP="00B90C48">
      <w:pPr>
        <w:pStyle w:val="NoNumHead5"/>
        <w:spacing w:after="120" w:line="300" w:lineRule="exact"/>
        <w:jc w:val="both"/>
        <w:rPr>
          <w:rFonts w:ascii="Times New Roman" w:hAnsi="Times New Roman"/>
          <w:i w:val="0"/>
          <w:sz w:val="24"/>
          <w:u w:val="single"/>
        </w:rPr>
      </w:pPr>
      <w:r w:rsidRPr="00A927D2">
        <w:rPr>
          <w:rFonts w:ascii="Times New Roman" w:hAnsi="Times New Roman"/>
          <w:i w:val="0"/>
          <w:sz w:val="24"/>
          <w:u w:val="single"/>
        </w:rPr>
        <w:t>Neutropenia</w:t>
      </w:r>
    </w:p>
    <w:p w14:paraId="0E9BB983" w14:textId="54B68388" w:rsidR="00A927D2" w:rsidRPr="00A927D2" w:rsidRDefault="00A927D2" w:rsidP="00A927D2">
      <w:pPr>
        <w:spacing w:after="120" w:line="300" w:lineRule="exact"/>
        <w:jc w:val="both"/>
        <w:rPr>
          <w:rFonts w:eastAsia="MS Mincho"/>
          <w:szCs w:val="20"/>
          <w:lang w:val="en-US" w:eastAsia="en-US"/>
        </w:rPr>
      </w:pPr>
      <w:r w:rsidRPr="00A927D2">
        <w:rPr>
          <w:rFonts w:eastAsia="MS Mincho"/>
          <w:szCs w:val="20"/>
          <w:lang w:val="en-US" w:eastAsia="en-US"/>
        </w:rPr>
        <w:t>Neutropenia was the most frequently reported adverse reaction (74.3</w:t>
      </w:r>
      <w:r>
        <w:rPr>
          <w:rFonts w:eastAsia="MS Mincho"/>
          <w:szCs w:val="20"/>
          <w:lang w:val="en-US" w:eastAsia="en-US"/>
        </w:rPr>
        <w:t xml:space="preserve"> </w:t>
      </w:r>
      <w:r w:rsidRPr="00A927D2">
        <w:rPr>
          <w:rFonts w:eastAsia="MS Mincho"/>
          <w:szCs w:val="20"/>
          <w:lang w:val="en-US" w:eastAsia="en-US"/>
        </w:rPr>
        <w:t xml:space="preserve">%) and a Grade 3 or </w:t>
      </w:r>
      <w:r w:rsidR="00CF78AF" w:rsidRPr="00CF78AF">
        <w:rPr>
          <w:rFonts w:eastAsia="MS Mincho"/>
          <w:szCs w:val="20"/>
          <w:lang w:val="en-US" w:eastAsia="en-US"/>
        </w:rPr>
        <w:t xml:space="preserve">Grade </w:t>
      </w:r>
      <w:r w:rsidR="00676FBA" w:rsidRPr="00A927D2">
        <w:rPr>
          <w:rFonts w:eastAsia="MS Mincho"/>
          <w:szCs w:val="20"/>
          <w:lang w:val="en-US" w:eastAsia="en-US"/>
        </w:rPr>
        <w:t>4 decrease</w:t>
      </w:r>
      <w:r w:rsidRPr="00A927D2">
        <w:rPr>
          <w:rFonts w:eastAsia="MS Mincho"/>
          <w:szCs w:val="20"/>
          <w:lang w:val="en-US" w:eastAsia="en-US"/>
        </w:rPr>
        <w:t xml:space="preserve"> in neutrophil counts </w:t>
      </w:r>
      <w:r w:rsidR="00CF78AF" w:rsidRPr="00CF78AF">
        <w:rPr>
          <w:rFonts w:eastAsia="MS Mincho"/>
          <w:szCs w:val="20"/>
          <w:lang w:val="en-US" w:eastAsia="en-US"/>
        </w:rPr>
        <w:t xml:space="preserve">(based on laboratory findings) </w:t>
      </w:r>
      <w:proofErr w:type="gramStart"/>
      <w:r w:rsidRPr="00A927D2">
        <w:rPr>
          <w:rFonts w:eastAsia="MS Mincho"/>
          <w:szCs w:val="20"/>
          <w:lang w:val="en-US" w:eastAsia="en-US"/>
        </w:rPr>
        <w:t>was reported</w:t>
      </w:r>
      <w:proofErr w:type="gramEnd"/>
      <w:r w:rsidRPr="00A927D2">
        <w:rPr>
          <w:rFonts w:eastAsia="MS Mincho"/>
          <w:szCs w:val="20"/>
          <w:lang w:val="en-US" w:eastAsia="en-US"/>
        </w:rPr>
        <w:t xml:space="preserve"> in 59.6</w:t>
      </w:r>
      <w:r>
        <w:rPr>
          <w:rFonts w:eastAsia="MS Mincho"/>
          <w:szCs w:val="20"/>
          <w:lang w:val="en-US" w:eastAsia="en-US"/>
        </w:rPr>
        <w:t xml:space="preserve"> </w:t>
      </w:r>
      <w:r w:rsidRPr="00A927D2">
        <w:rPr>
          <w:rFonts w:eastAsia="MS Mincho"/>
          <w:szCs w:val="20"/>
          <w:lang w:val="en-US" w:eastAsia="en-US"/>
        </w:rPr>
        <w:t xml:space="preserve">% of patients receiving </w:t>
      </w:r>
      <w:r w:rsidR="004969A3">
        <w:rPr>
          <w:rFonts w:eastAsia="MS Mincho"/>
          <w:szCs w:val="20"/>
          <w:lang w:val="en-US" w:eastAsia="en-US"/>
        </w:rPr>
        <w:t>KISQALI</w:t>
      </w:r>
      <w:r w:rsidRPr="00A927D2">
        <w:rPr>
          <w:rFonts w:eastAsia="MS Mincho"/>
          <w:szCs w:val="20"/>
          <w:lang w:val="en-US" w:eastAsia="en-US"/>
        </w:rPr>
        <w:t xml:space="preserve"> plus </w:t>
      </w:r>
      <w:proofErr w:type="spellStart"/>
      <w:r w:rsidRPr="00A927D2">
        <w:rPr>
          <w:rFonts w:eastAsia="MS Mincho"/>
          <w:szCs w:val="20"/>
          <w:lang w:val="en-US" w:eastAsia="en-US"/>
        </w:rPr>
        <w:t>letrozole</w:t>
      </w:r>
      <w:proofErr w:type="spellEnd"/>
      <w:r w:rsidRPr="00A927D2">
        <w:rPr>
          <w:rFonts w:eastAsia="MS Mincho"/>
          <w:szCs w:val="20"/>
          <w:lang w:val="en-US" w:eastAsia="en-US"/>
        </w:rPr>
        <w:t xml:space="preserve"> in phase III clinical study</w:t>
      </w:r>
      <w:r w:rsidR="00CF78AF">
        <w:rPr>
          <w:rFonts w:eastAsia="MS Mincho"/>
          <w:szCs w:val="20"/>
          <w:lang w:val="en-US" w:eastAsia="en-US"/>
        </w:rPr>
        <w:t xml:space="preserve"> A2301</w:t>
      </w:r>
      <w:r w:rsidRPr="00A927D2">
        <w:rPr>
          <w:rFonts w:eastAsia="MS Mincho"/>
          <w:szCs w:val="20"/>
          <w:lang w:val="en-US" w:eastAsia="en-US"/>
        </w:rPr>
        <w:t>.</w:t>
      </w:r>
    </w:p>
    <w:p w14:paraId="0728886C" w14:textId="169DE895" w:rsidR="00A927D2" w:rsidRPr="00A927D2" w:rsidRDefault="00CF78AF" w:rsidP="00A927D2">
      <w:pPr>
        <w:spacing w:after="120" w:line="300" w:lineRule="exact"/>
        <w:jc w:val="both"/>
        <w:rPr>
          <w:rFonts w:eastAsia="MS Mincho"/>
          <w:szCs w:val="20"/>
          <w:lang w:val="en-US" w:eastAsia="en-US"/>
        </w:rPr>
      </w:pPr>
      <w:r w:rsidRPr="00CF78AF">
        <w:rPr>
          <w:rFonts w:eastAsia="MS Mincho"/>
          <w:szCs w:val="20"/>
          <w:lang w:val="en-US" w:eastAsia="en-US"/>
        </w:rPr>
        <w:t xml:space="preserve">Among the patients who had </w:t>
      </w:r>
      <w:r w:rsidR="00195F23">
        <w:rPr>
          <w:rFonts w:eastAsia="MS Mincho"/>
          <w:szCs w:val="20"/>
          <w:lang w:val="en-US" w:eastAsia="en-US"/>
        </w:rPr>
        <w:t>G</w:t>
      </w:r>
      <w:r w:rsidRPr="00CF78AF">
        <w:rPr>
          <w:rFonts w:eastAsia="MS Mincho"/>
          <w:szCs w:val="20"/>
          <w:lang w:val="en-US" w:eastAsia="en-US"/>
        </w:rPr>
        <w:t>rade</w:t>
      </w:r>
      <w:r w:rsidR="009637F7">
        <w:rPr>
          <w:rFonts w:eastAsia="MS Mincho"/>
          <w:szCs w:val="20"/>
          <w:lang w:val="en-US" w:eastAsia="en-US"/>
        </w:rPr>
        <w:t>s</w:t>
      </w:r>
      <w:r w:rsidRPr="00CF78AF">
        <w:rPr>
          <w:rFonts w:eastAsia="MS Mincho"/>
          <w:szCs w:val="20"/>
          <w:lang w:val="en-US" w:eastAsia="en-US"/>
        </w:rPr>
        <w:t xml:space="preserve"> 2</w:t>
      </w:r>
      <w:r w:rsidR="009637F7">
        <w:rPr>
          <w:rFonts w:eastAsia="MS Mincho"/>
          <w:szCs w:val="20"/>
          <w:lang w:val="en-US" w:eastAsia="en-US"/>
        </w:rPr>
        <w:t xml:space="preserve"> to </w:t>
      </w:r>
      <w:proofErr w:type="gramStart"/>
      <w:r w:rsidRPr="00CF78AF">
        <w:rPr>
          <w:rFonts w:eastAsia="MS Mincho"/>
          <w:szCs w:val="20"/>
          <w:lang w:val="en-US" w:eastAsia="en-US"/>
        </w:rPr>
        <w:t>4</w:t>
      </w:r>
      <w:proofErr w:type="gramEnd"/>
      <w:r w:rsidRPr="00CF78AF">
        <w:rPr>
          <w:rFonts w:eastAsia="MS Mincho"/>
          <w:szCs w:val="20"/>
          <w:lang w:val="en-US" w:eastAsia="en-US"/>
        </w:rPr>
        <w:t xml:space="preserve"> neutropenia, </w:t>
      </w:r>
      <w:r>
        <w:rPr>
          <w:rFonts w:eastAsia="MS Mincho"/>
          <w:szCs w:val="20"/>
          <w:lang w:val="en-US" w:eastAsia="en-US"/>
        </w:rPr>
        <w:t xml:space="preserve">the </w:t>
      </w:r>
      <w:r w:rsidR="00A927D2" w:rsidRPr="00A927D2">
        <w:rPr>
          <w:rFonts w:eastAsia="MS Mincho"/>
          <w:szCs w:val="20"/>
          <w:lang w:val="en-US" w:eastAsia="en-US"/>
        </w:rPr>
        <w:t xml:space="preserve">median time to </w:t>
      </w:r>
      <w:r w:rsidR="00195F23">
        <w:rPr>
          <w:rFonts w:eastAsia="MS Mincho"/>
          <w:szCs w:val="20"/>
          <w:lang w:val="en-US" w:eastAsia="en-US"/>
        </w:rPr>
        <w:t>Grade 2 and higher neut</w:t>
      </w:r>
      <w:r w:rsidR="00A927D2" w:rsidRPr="00A927D2">
        <w:rPr>
          <w:rFonts w:eastAsia="MS Mincho"/>
          <w:szCs w:val="20"/>
          <w:lang w:val="en-US" w:eastAsia="en-US"/>
        </w:rPr>
        <w:t>ropenia was 16 days</w:t>
      </w:r>
      <w:r>
        <w:rPr>
          <w:rFonts w:eastAsia="MS Mincho"/>
          <w:szCs w:val="20"/>
          <w:lang w:val="en-US" w:eastAsia="en-US"/>
        </w:rPr>
        <w:t>. T</w:t>
      </w:r>
      <w:r w:rsidR="00A927D2" w:rsidRPr="00A927D2">
        <w:rPr>
          <w:rFonts w:eastAsia="MS Mincho"/>
          <w:szCs w:val="20"/>
          <w:lang w:val="en-US" w:eastAsia="en-US"/>
        </w:rPr>
        <w:t xml:space="preserve">he median </w:t>
      </w:r>
      <w:r>
        <w:rPr>
          <w:rFonts w:eastAsia="MS Mincho"/>
          <w:szCs w:val="20"/>
          <w:lang w:val="en-US" w:eastAsia="en-US"/>
        </w:rPr>
        <w:t xml:space="preserve">time to resolution </w:t>
      </w:r>
      <w:r w:rsidR="00676FBA" w:rsidRPr="00A927D2">
        <w:rPr>
          <w:rFonts w:eastAsia="MS Mincho"/>
          <w:szCs w:val="20"/>
          <w:lang w:val="en-US" w:eastAsia="en-US"/>
        </w:rPr>
        <w:t xml:space="preserve">of </w:t>
      </w:r>
      <w:r w:rsidR="00676FBA">
        <w:rPr>
          <w:rFonts w:eastAsia="MS Mincho"/>
          <w:szCs w:val="20"/>
          <w:lang w:val="en-US" w:eastAsia="en-US"/>
        </w:rPr>
        <w:t>≥</w:t>
      </w:r>
      <w:r w:rsidR="00A927D2" w:rsidRPr="00A927D2">
        <w:rPr>
          <w:rFonts w:eastAsia="MS Mincho"/>
          <w:szCs w:val="20"/>
          <w:lang w:val="en-US" w:eastAsia="en-US"/>
        </w:rPr>
        <w:t xml:space="preserve"> </w:t>
      </w:r>
      <w:r w:rsidRPr="00A927D2">
        <w:rPr>
          <w:rFonts w:eastAsia="MS Mincho"/>
          <w:szCs w:val="20"/>
          <w:lang w:val="en-US" w:eastAsia="en-US"/>
        </w:rPr>
        <w:t xml:space="preserve">Grade </w:t>
      </w:r>
      <w:r w:rsidR="00A927D2" w:rsidRPr="00A927D2">
        <w:rPr>
          <w:rFonts w:eastAsia="MS Mincho"/>
          <w:szCs w:val="20"/>
          <w:lang w:val="en-US" w:eastAsia="en-US"/>
        </w:rPr>
        <w:t xml:space="preserve">3 neutropenia </w:t>
      </w:r>
      <w:r>
        <w:rPr>
          <w:rFonts w:eastAsia="MS Mincho"/>
          <w:szCs w:val="20"/>
          <w:lang w:val="en-US" w:eastAsia="en-US"/>
        </w:rPr>
        <w:t xml:space="preserve">(to </w:t>
      </w:r>
      <w:proofErr w:type="spellStart"/>
      <w:r>
        <w:rPr>
          <w:rFonts w:eastAsia="MS Mincho"/>
          <w:szCs w:val="20"/>
          <w:lang w:val="en-US" w:eastAsia="en-US"/>
        </w:rPr>
        <w:t>normalisation</w:t>
      </w:r>
      <w:proofErr w:type="spellEnd"/>
      <w:r>
        <w:rPr>
          <w:rFonts w:eastAsia="MS Mincho"/>
          <w:szCs w:val="20"/>
          <w:lang w:val="en-US" w:eastAsia="en-US"/>
        </w:rPr>
        <w:t xml:space="preserve"> or &lt; Grade 3)</w:t>
      </w:r>
      <w:r w:rsidR="00195F23">
        <w:rPr>
          <w:rFonts w:eastAsia="MS Mincho"/>
          <w:szCs w:val="20"/>
          <w:lang w:val="en-US" w:eastAsia="en-US"/>
        </w:rPr>
        <w:t xml:space="preserve"> </w:t>
      </w:r>
      <w:r w:rsidR="00A927D2" w:rsidRPr="00A927D2">
        <w:rPr>
          <w:rFonts w:eastAsia="MS Mincho"/>
          <w:szCs w:val="20"/>
          <w:lang w:val="en-US" w:eastAsia="en-US"/>
        </w:rPr>
        <w:t xml:space="preserve">was </w:t>
      </w:r>
      <w:r w:rsidR="00195F23">
        <w:rPr>
          <w:rFonts w:eastAsia="MS Mincho"/>
          <w:szCs w:val="20"/>
          <w:lang w:val="en-US" w:eastAsia="en-US"/>
        </w:rPr>
        <w:t xml:space="preserve">15 days in the KISQALI plus </w:t>
      </w:r>
      <w:proofErr w:type="spellStart"/>
      <w:r w:rsidR="00195F23">
        <w:rPr>
          <w:rFonts w:eastAsia="MS Mincho"/>
          <w:szCs w:val="20"/>
          <w:lang w:val="en-US" w:eastAsia="en-US"/>
        </w:rPr>
        <w:t>letrozole</w:t>
      </w:r>
      <w:proofErr w:type="spellEnd"/>
      <w:r w:rsidR="00195F23">
        <w:rPr>
          <w:rFonts w:eastAsia="MS Mincho"/>
          <w:szCs w:val="20"/>
          <w:lang w:val="en-US" w:eastAsia="en-US"/>
        </w:rPr>
        <w:t xml:space="preserve"> treatment group</w:t>
      </w:r>
      <w:r w:rsidR="00A927D2" w:rsidRPr="00A927D2">
        <w:rPr>
          <w:rFonts w:eastAsia="MS Mincho"/>
          <w:szCs w:val="20"/>
          <w:lang w:val="en-US" w:eastAsia="en-US"/>
        </w:rPr>
        <w:t xml:space="preserve">. Severity of neutropenia is concentration dependent. Febrile neutropenia </w:t>
      </w:r>
      <w:proofErr w:type="gramStart"/>
      <w:r w:rsidR="00A927D2" w:rsidRPr="00A927D2">
        <w:rPr>
          <w:rFonts w:eastAsia="MS Mincho"/>
          <w:szCs w:val="20"/>
          <w:lang w:val="en-US" w:eastAsia="en-US"/>
        </w:rPr>
        <w:t>was reported</w:t>
      </w:r>
      <w:proofErr w:type="gramEnd"/>
      <w:r w:rsidR="00A927D2" w:rsidRPr="00A927D2">
        <w:rPr>
          <w:rFonts w:eastAsia="MS Mincho"/>
          <w:szCs w:val="20"/>
          <w:lang w:val="en-US" w:eastAsia="en-US"/>
        </w:rPr>
        <w:t xml:space="preserve"> in 1.5</w:t>
      </w:r>
      <w:r w:rsidR="00195F23">
        <w:rPr>
          <w:rFonts w:eastAsia="MS Mincho"/>
          <w:szCs w:val="20"/>
          <w:lang w:val="en-US" w:eastAsia="en-US"/>
        </w:rPr>
        <w:t xml:space="preserve"> </w:t>
      </w:r>
      <w:r w:rsidR="00A927D2" w:rsidRPr="00A927D2">
        <w:rPr>
          <w:rFonts w:eastAsia="MS Mincho"/>
          <w:szCs w:val="20"/>
          <w:lang w:val="en-US" w:eastAsia="en-US"/>
        </w:rPr>
        <w:t xml:space="preserve">% of patients exposed to </w:t>
      </w:r>
      <w:r w:rsidR="004969A3">
        <w:rPr>
          <w:rFonts w:eastAsia="MS Mincho"/>
          <w:szCs w:val="20"/>
          <w:lang w:val="en-US" w:eastAsia="en-US"/>
        </w:rPr>
        <w:t>KISQALI</w:t>
      </w:r>
      <w:r w:rsidR="00A927D2" w:rsidRPr="00A927D2">
        <w:rPr>
          <w:rFonts w:eastAsia="MS Mincho"/>
          <w:szCs w:val="20"/>
          <w:lang w:val="en-US" w:eastAsia="en-US"/>
        </w:rPr>
        <w:t xml:space="preserve"> in phase III clinical study. Physicians should inform patients </w:t>
      </w:r>
      <w:proofErr w:type="gramStart"/>
      <w:r w:rsidR="00A927D2" w:rsidRPr="00A927D2">
        <w:rPr>
          <w:rFonts w:eastAsia="MS Mincho"/>
          <w:szCs w:val="20"/>
          <w:lang w:val="en-US" w:eastAsia="en-US"/>
        </w:rPr>
        <w:t>to promptly report</w:t>
      </w:r>
      <w:proofErr w:type="gramEnd"/>
      <w:r w:rsidR="00A927D2" w:rsidRPr="00A927D2">
        <w:rPr>
          <w:rFonts w:eastAsia="MS Mincho"/>
          <w:szCs w:val="20"/>
          <w:lang w:val="en-US" w:eastAsia="en-US"/>
        </w:rPr>
        <w:t xml:space="preserve"> any fever</w:t>
      </w:r>
      <w:r w:rsidR="00195F23">
        <w:rPr>
          <w:rFonts w:eastAsia="MS Mincho"/>
          <w:szCs w:val="20"/>
          <w:lang w:val="en-US" w:eastAsia="en-US"/>
        </w:rPr>
        <w:t xml:space="preserve"> (see ADVERSE EFFECTS)</w:t>
      </w:r>
      <w:r w:rsidR="00A927D2" w:rsidRPr="00A927D2">
        <w:rPr>
          <w:rFonts w:eastAsia="MS Mincho"/>
          <w:szCs w:val="20"/>
          <w:lang w:val="en-US" w:eastAsia="en-US"/>
        </w:rPr>
        <w:t>.</w:t>
      </w:r>
    </w:p>
    <w:p w14:paraId="390642B2" w14:textId="1ADCE267" w:rsidR="00A927D2" w:rsidRPr="00A927D2" w:rsidRDefault="00195F23" w:rsidP="00A927D2">
      <w:pPr>
        <w:spacing w:after="120" w:line="300" w:lineRule="exact"/>
        <w:jc w:val="both"/>
        <w:rPr>
          <w:rFonts w:eastAsia="MS Mincho"/>
          <w:szCs w:val="20"/>
          <w:lang w:val="en-US" w:eastAsia="en-US"/>
        </w:rPr>
      </w:pPr>
      <w:r>
        <w:rPr>
          <w:rFonts w:eastAsia="MS Mincho"/>
          <w:szCs w:val="20"/>
          <w:lang w:val="en-US" w:eastAsia="en-US"/>
        </w:rPr>
        <w:t xml:space="preserve">A </w:t>
      </w:r>
      <w:r w:rsidR="00A927D2" w:rsidRPr="00A927D2">
        <w:rPr>
          <w:rFonts w:eastAsia="MS Mincho"/>
          <w:szCs w:val="20"/>
          <w:lang w:val="en-US" w:eastAsia="en-US"/>
        </w:rPr>
        <w:t xml:space="preserve">Complete Blood Count (CBC) </w:t>
      </w:r>
      <w:proofErr w:type="gramStart"/>
      <w:r>
        <w:rPr>
          <w:rFonts w:eastAsia="MS Mincho"/>
          <w:szCs w:val="20"/>
          <w:lang w:val="en-US" w:eastAsia="en-US"/>
        </w:rPr>
        <w:t>should be performed</w:t>
      </w:r>
      <w:proofErr w:type="gramEnd"/>
      <w:r>
        <w:rPr>
          <w:rFonts w:eastAsia="MS Mincho"/>
          <w:szCs w:val="20"/>
          <w:lang w:val="en-US" w:eastAsia="en-US"/>
        </w:rPr>
        <w:t xml:space="preserve"> before</w:t>
      </w:r>
      <w:r w:rsidR="00A927D2" w:rsidRPr="00A927D2">
        <w:rPr>
          <w:rFonts w:eastAsia="MS Mincho"/>
          <w:szCs w:val="20"/>
          <w:lang w:val="en-US" w:eastAsia="en-US"/>
        </w:rPr>
        <w:t xml:space="preserve"> initiating therapy</w:t>
      </w:r>
      <w:r>
        <w:rPr>
          <w:rFonts w:eastAsia="MS Mincho"/>
          <w:szCs w:val="20"/>
          <w:lang w:val="en-US" w:eastAsia="en-US"/>
        </w:rPr>
        <w:t xml:space="preserve"> </w:t>
      </w:r>
      <w:r w:rsidR="00A927D2" w:rsidRPr="00A927D2">
        <w:rPr>
          <w:rFonts w:eastAsia="MS Mincho"/>
          <w:szCs w:val="20"/>
          <w:lang w:val="en-US" w:eastAsia="en-US"/>
        </w:rPr>
        <w:t xml:space="preserve">with </w:t>
      </w:r>
      <w:r w:rsidR="00483715" w:rsidRPr="00A927D2">
        <w:rPr>
          <w:rFonts w:eastAsia="MS Mincho"/>
          <w:szCs w:val="20"/>
          <w:lang w:val="en-US" w:eastAsia="en-US"/>
        </w:rPr>
        <w:t>KISQALI</w:t>
      </w:r>
      <w:r w:rsidR="00A927D2" w:rsidRPr="00A927D2">
        <w:rPr>
          <w:rFonts w:eastAsia="MS Mincho"/>
          <w:szCs w:val="20"/>
          <w:lang w:val="en-US" w:eastAsia="en-US"/>
        </w:rPr>
        <w:t>. CBC</w:t>
      </w:r>
      <w:r>
        <w:rPr>
          <w:rFonts w:eastAsia="MS Mincho"/>
          <w:szCs w:val="20"/>
          <w:lang w:val="en-US" w:eastAsia="en-US"/>
        </w:rPr>
        <w:t xml:space="preserve"> </w:t>
      </w:r>
      <w:proofErr w:type="gramStart"/>
      <w:r>
        <w:rPr>
          <w:rFonts w:eastAsia="MS Mincho"/>
          <w:szCs w:val="20"/>
          <w:lang w:val="en-US" w:eastAsia="en-US"/>
        </w:rPr>
        <w:t xml:space="preserve">should be </w:t>
      </w:r>
      <w:r w:rsidR="00676FBA">
        <w:rPr>
          <w:rFonts w:eastAsia="MS Mincho"/>
          <w:szCs w:val="20"/>
          <w:lang w:val="en-US" w:eastAsia="en-US"/>
        </w:rPr>
        <w:t>monitored</w:t>
      </w:r>
      <w:proofErr w:type="gramEnd"/>
      <w:r w:rsidR="00676FBA">
        <w:rPr>
          <w:rFonts w:eastAsia="MS Mincho"/>
          <w:szCs w:val="20"/>
          <w:lang w:val="en-US" w:eastAsia="en-US"/>
        </w:rPr>
        <w:t xml:space="preserve"> </w:t>
      </w:r>
      <w:r w:rsidR="00676FBA" w:rsidRPr="00A927D2">
        <w:rPr>
          <w:rFonts w:eastAsia="MS Mincho"/>
          <w:szCs w:val="20"/>
          <w:lang w:val="en-US" w:eastAsia="en-US"/>
        </w:rPr>
        <w:t>every</w:t>
      </w:r>
      <w:r w:rsidR="00A927D2" w:rsidRPr="00A927D2">
        <w:rPr>
          <w:rFonts w:eastAsia="MS Mincho"/>
          <w:szCs w:val="20"/>
          <w:lang w:val="en-US" w:eastAsia="en-US"/>
        </w:rPr>
        <w:t xml:space="preserve"> 2 weeks for the first 2 cycles, </w:t>
      </w:r>
      <w:r>
        <w:rPr>
          <w:rFonts w:eastAsia="MS Mincho"/>
          <w:szCs w:val="20"/>
          <w:lang w:val="en-US" w:eastAsia="en-US"/>
        </w:rPr>
        <w:t xml:space="preserve">and </w:t>
      </w:r>
      <w:r w:rsidR="00A927D2" w:rsidRPr="00A927D2">
        <w:rPr>
          <w:rFonts w:eastAsia="MS Mincho"/>
          <w:szCs w:val="20"/>
          <w:lang w:val="en-US" w:eastAsia="en-US"/>
        </w:rPr>
        <w:t xml:space="preserve">at the beginning of each subsequent 4 cycles </w:t>
      </w:r>
      <w:r w:rsidR="00D8115B">
        <w:rPr>
          <w:rFonts w:eastAsia="MS Mincho"/>
          <w:szCs w:val="20"/>
          <w:lang w:val="en-US" w:eastAsia="en-US"/>
        </w:rPr>
        <w:t xml:space="preserve">and </w:t>
      </w:r>
      <w:r w:rsidR="00A927D2" w:rsidRPr="00A927D2">
        <w:rPr>
          <w:rFonts w:eastAsia="MS Mincho"/>
          <w:szCs w:val="20"/>
          <w:lang w:val="en-US" w:eastAsia="en-US"/>
        </w:rPr>
        <w:t>as clinically indicated.</w:t>
      </w:r>
    </w:p>
    <w:p w14:paraId="75495178" w14:textId="3C4C21B8" w:rsidR="00A927D2" w:rsidRDefault="00A927D2" w:rsidP="00A927D2">
      <w:pPr>
        <w:spacing w:after="120" w:line="300" w:lineRule="exact"/>
        <w:jc w:val="both"/>
        <w:rPr>
          <w:rFonts w:eastAsia="MS Mincho"/>
          <w:szCs w:val="20"/>
          <w:lang w:val="en-US" w:eastAsia="en-US"/>
        </w:rPr>
      </w:pPr>
      <w:r w:rsidRPr="00A927D2">
        <w:rPr>
          <w:rFonts w:eastAsia="MS Mincho"/>
          <w:szCs w:val="20"/>
          <w:lang w:val="en-US" w:eastAsia="en-US"/>
        </w:rPr>
        <w:t xml:space="preserve">Based on the severity of the neutropenia, </w:t>
      </w:r>
      <w:r w:rsidR="004969A3">
        <w:rPr>
          <w:rFonts w:eastAsia="MS Mincho"/>
          <w:szCs w:val="20"/>
          <w:lang w:val="en-US" w:eastAsia="en-US"/>
        </w:rPr>
        <w:t>KISQALI</w:t>
      </w:r>
      <w:r w:rsidRPr="00A927D2">
        <w:rPr>
          <w:rFonts w:eastAsia="MS Mincho"/>
          <w:szCs w:val="20"/>
          <w:lang w:val="en-US" w:eastAsia="en-US"/>
        </w:rPr>
        <w:t xml:space="preserve"> may require dose interruption, reduction or discontinuation as described in Table</w:t>
      </w:r>
      <w:r w:rsidR="00ED5F89">
        <w:rPr>
          <w:rFonts w:eastAsia="MS Mincho"/>
          <w:szCs w:val="20"/>
          <w:lang w:val="en-US" w:eastAsia="en-US"/>
        </w:rPr>
        <w:t xml:space="preserve"> 6</w:t>
      </w:r>
      <w:r w:rsidR="00DB5447">
        <w:rPr>
          <w:rFonts w:eastAsia="MS Mincho"/>
          <w:szCs w:val="20"/>
          <w:lang w:val="en-US" w:eastAsia="en-US"/>
        </w:rPr>
        <w:t xml:space="preserve"> </w:t>
      </w:r>
      <w:r w:rsidRPr="00A927D2">
        <w:rPr>
          <w:rFonts w:eastAsia="MS Mincho"/>
          <w:szCs w:val="20"/>
          <w:lang w:val="en-US" w:eastAsia="en-US"/>
        </w:rPr>
        <w:t xml:space="preserve">(see </w:t>
      </w:r>
      <w:r w:rsidR="00483715" w:rsidRPr="00A927D2">
        <w:rPr>
          <w:rFonts w:eastAsia="MS Mincho"/>
          <w:szCs w:val="20"/>
          <w:lang w:val="en-US" w:eastAsia="en-US"/>
        </w:rPr>
        <w:t>DOSAGE AND ADMINISTRATION</w:t>
      </w:r>
      <w:r w:rsidRPr="00A927D2">
        <w:rPr>
          <w:rFonts w:eastAsia="MS Mincho"/>
          <w:szCs w:val="20"/>
          <w:lang w:val="en-US" w:eastAsia="en-US"/>
        </w:rPr>
        <w:t>).</w:t>
      </w:r>
    </w:p>
    <w:p w14:paraId="5553BBF8" w14:textId="23F8BB1F" w:rsidR="00795E3A" w:rsidRPr="001B760C" w:rsidRDefault="0065036F" w:rsidP="000D0D1E">
      <w:pPr>
        <w:widowControl w:val="0"/>
        <w:spacing w:after="120" w:line="300" w:lineRule="exact"/>
        <w:jc w:val="both"/>
        <w:rPr>
          <w:b/>
          <w:color w:val="000000" w:themeColor="text1"/>
          <w:u w:val="single"/>
        </w:rPr>
      </w:pPr>
      <w:r w:rsidRPr="001B760C">
        <w:rPr>
          <w:b/>
          <w:color w:val="000000" w:themeColor="text1"/>
          <w:u w:val="single"/>
        </w:rPr>
        <w:t xml:space="preserve">Effects on </w:t>
      </w:r>
      <w:r w:rsidR="00795E3A" w:rsidRPr="001B760C">
        <w:rPr>
          <w:b/>
          <w:color w:val="000000" w:themeColor="text1"/>
          <w:u w:val="single"/>
        </w:rPr>
        <w:t>Fertility</w:t>
      </w:r>
    </w:p>
    <w:p w14:paraId="11D1A8F4" w14:textId="3220E955" w:rsidR="00AA3684" w:rsidRPr="000D0D1E" w:rsidRDefault="0011092F" w:rsidP="000D0D1E">
      <w:pPr>
        <w:widowControl w:val="0"/>
        <w:spacing w:line="300" w:lineRule="exact"/>
        <w:jc w:val="both"/>
        <w:rPr>
          <w:rFonts w:eastAsia="MS Mincho"/>
          <w:lang w:val="en-US" w:eastAsia="en-US"/>
        </w:rPr>
      </w:pPr>
      <w:r w:rsidRPr="0043258B">
        <w:rPr>
          <w:rFonts w:eastAsia="MS Mincho"/>
          <w:lang w:val="en-US" w:eastAsia="en-US"/>
        </w:rPr>
        <w:t xml:space="preserve">There </w:t>
      </w:r>
      <w:r w:rsidR="006A516B">
        <w:rPr>
          <w:rFonts w:eastAsia="MS Mincho"/>
          <w:lang w:val="en-US" w:eastAsia="en-US"/>
        </w:rPr>
        <w:t>are</w:t>
      </w:r>
      <w:r w:rsidRPr="0043258B">
        <w:rPr>
          <w:rFonts w:eastAsia="MS Mincho"/>
          <w:lang w:val="en-US" w:eastAsia="en-US"/>
        </w:rPr>
        <w:t xml:space="preserve"> no clinical data available regarding effects of </w:t>
      </w:r>
      <w:r w:rsidR="008D026C" w:rsidRPr="0043258B">
        <w:rPr>
          <w:rFonts w:eastAsia="MS Mincho"/>
          <w:lang w:val="en-US" w:eastAsia="en-US"/>
        </w:rPr>
        <w:t>KISQALI</w:t>
      </w:r>
      <w:r w:rsidRPr="0043258B">
        <w:rPr>
          <w:rFonts w:eastAsia="MS Mincho"/>
          <w:lang w:val="en-US" w:eastAsia="en-US"/>
        </w:rPr>
        <w:t xml:space="preserve"> on </w:t>
      </w:r>
      <w:r w:rsidR="0043258B" w:rsidRPr="0043258B">
        <w:rPr>
          <w:rFonts w:eastAsia="MS Mincho"/>
          <w:lang w:val="en-US" w:eastAsia="en-US"/>
        </w:rPr>
        <w:t xml:space="preserve">human </w:t>
      </w:r>
      <w:r w:rsidRPr="0043258B">
        <w:rPr>
          <w:rFonts w:eastAsia="MS Mincho"/>
          <w:lang w:val="en-US" w:eastAsia="en-US"/>
        </w:rPr>
        <w:t>fertility.</w:t>
      </w:r>
    </w:p>
    <w:p w14:paraId="14C32018" w14:textId="07F199AE" w:rsidR="005472AE" w:rsidRPr="0043258B" w:rsidRDefault="00E51F99" w:rsidP="000D0D1E">
      <w:pPr>
        <w:widowControl w:val="0"/>
        <w:spacing w:after="120" w:line="300" w:lineRule="exact"/>
        <w:jc w:val="both"/>
        <w:rPr>
          <w:rFonts w:eastAsia="MS Mincho"/>
          <w:lang w:val="en-US" w:eastAsia="en-US"/>
        </w:rPr>
      </w:pPr>
      <w:r w:rsidRPr="00907A32">
        <w:rPr>
          <w:rFonts w:eastAsia="MS Mincho"/>
          <w:lang w:val="en-US" w:eastAsia="en-US"/>
        </w:rPr>
        <w:t xml:space="preserve">Based on animal studies, KISQALI may impair fertility in males of reproductive </w:t>
      </w:r>
      <w:r w:rsidR="00844684">
        <w:rPr>
          <w:rFonts w:eastAsia="MS Mincho"/>
          <w:lang w:val="en-US" w:eastAsia="en-US"/>
        </w:rPr>
        <w:t>potential.</w:t>
      </w:r>
    </w:p>
    <w:p w14:paraId="5553BBFB" w14:textId="67CF8EB3" w:rsidR="006C4A20" w:rsidRPr="00844684" w:rsidRDefault="0065036F" w:rsidP="009A3C6C">
      <w:pPr>
        <w:spacing w:after="120" w:line="300" w:lineRule="exact"/>
        <w:jc w:val="both"/>
        <w:rPr>
          <w:b/>
          <w:u w:val="single"/>
        </w:rPr>
      </w:pPr>
      <w:r w:rsidRPr="00166312">
        <w:rPr>
          <w:b/>
          <w:color w:val="000000" w:themeColor="text1"/>
          <w:u w:val="single"/>
        </w:rPr>
        <w:t xml:space="preserve">Use in </w:t>
      </w:r>
      <w:r w:rsidR="006C4A20" w:rsidRPr="00166312">
        <w:rPr>
          <w:b/>
          <w:color w:val="000000" w:themeColor="text1"/>
          <w:u w:val="single"/>
        </w:rPr>
        <w:t>Pregnancy</w:t>
      </w:r>
      <w:r w:rsidR="006760E1" w:rsidRPr="00166312">
        <w:rPr>
          <w:b/>
          <w:color w:val="000000" w:themeColor="text1"/>
          <w:u w:val="single"/>
        </w:rPr>
        <w:t xml:space="preserve"> </w:t>
      </w:r>
      <w:r w:rsidR="00EF2C8F" w:rsidRPr="00F81925">
        <w:rPr>
          <w:b/>
          <w:color w:val="000000" w:themeColor="text1"/>
          <w:u w:val="single"/>
        </w:rPr>
        <w:t>(</w:t>
      </w:r>
      <w:r w:rsidR="006760E1" w:rsidRPr="00F81925">
        <w:rPr>
          <w:b/>
          <w:color w:val="000000" w:themeColor="text1"/>
          <w:u w:val="single"/>
        </w:rPr>
        <w:t>Category</w:t>
      </w:r>
      <w:r w:rsidR="00E83F18" w:rsidRPr="00F81925">
        <w:rPr>
          <w:b/>
          <w:color w:val="000000" w:themeColor="text1"/>
          <w:u w:val="single"/>
        </w:rPr>
        <w:t xml:space="preserve"> D</w:t>
      </w:r>
      <w:r w:rsidR="00C45765">
        <w:rPr>
          <w:b/>
          <w:color w:val="000000" w:themeColor="text1"/>
          <w:u w:val="single"/>
        </w:rPr>
        <w:t>)</w:t>
      </w:r>
    </w:p>
    <w:p w14:paraId="44385D7B" w14:textId="7EC6148A" w:rsidR="00F1226C" w:rsidRPr="00166312" w:rsidRDefault="00610F38" w:rsidP="00B2554F">
      <w:pPr>
        <w:spacing w:after="120" w:line="300" w:lineRule="exact"/>
        <w:jc w:val="both"/>
        <w:rPr>
          <w:rFonts w:eastAsia="MS Mincho"/>
          <w:lang w:val="en-US" w:eastAsia="en-US"/>
        </w:rPr>
      </w:pPr>
      <w:r w:rsidRPr="00166312">
        <w:rPr>
          <w:rFonts w:eastAsia="MS Mincho"/>
          <w:lang w:val="en-US" w:eastAsia="en-US"/>
        </w:rPr>
        <w:t xml:space="preserve">Based on animal data and its mechanism of action, </w:t>
      </w:r>
      <w:r w:rsidR="00D479D7">
        <w:rPr>
          <w:rFonts w:eastAsia="MS Mincho"/>
          <w:lang w:val="en-US" w:eastAsia="en-US"/>
        </w:rPr>
        <w:t xml:space="preserve">it is </w:t>
      </w:r>
      <w:r w:rsidR="00281E63">
        <w:rPr>
          <w:rFonts w:eastAsia="MS Mincho"/>
          <w:lang w:val="en-US" w:eastAsia="en-US"/>
        </w:rPr>
        <w:t xml:space="preserve">possible </w:t>
      </w:r>
      <w:r w:rsidR="00D479D7">
        <w:rPr>
          <w:rFonts w:eastAsia="MS Mincho"/>
          <w:lang w:val="en-US" w:eastAsia="en-US"/>
        </w:rPr>
        <w:t xml:space="preserve">that </w:t>
      </w:r>
      <w:r w:rsidR="008D026C" w:rsidRPr="00166312">
        <w:rPr>
          <w:rFonts w:eastAsia="MS Mincho"/>
          <w:lang w:val="en-US" w:eastAsia="en-US"/>
        </w:rPr>
        <w:t>KISQALI</w:t>
      </w:r>
      <w:r w:rsidR="00CA1B51" w:rsidRPr="00166312">
        <w:rPr>
          <w:rFonts w:eastAsia="MS Mincho"/>
          <w:lang w:val="en-US" w:eastAsia="en-US"/>
        </w:rPr>
        <w:t xml:space="preserve"> </w:t>
      </w:r>
      <w:r w:rsidR="00281E63">
        <w:rPr>
          <w:rFonts w:eastAsia="MS Mincho"/>
          <w:lang w:val="en-US" w:eastAsia="en-US"/>
        </w:rPr>
        <w:t xml:space="preserve">can </w:t>
      </w:r>
      <w:r w:rsidR="00CA1B51" w:rsidRPr="00166312">
        <w:rPr>
          <w:rFonts w:eastAsia="MS Mincho"/>
          <w:lang w:val="en-US" w:eastAsia="en-US"/>
        </w:rPr>
        <w:t>cause fetal harm</w:t>
      </w:r>
      <w:r w:rsidR="00B2554F">
        <w:rPr>
          <w:rFonts w:eastAsia="MS Mincho"/>
          <w:lang w:val="en-US" w:eastAsia="en-US"/>
        </w:rPr>
        <w:t xml:space="preserve">, including </w:t>
      </w:r>
      <w:r w:rsidR="00B2554F" w:rsidRPr="00B2554F">
        <w:rPr>
          <w:rFonts w:eastAsia="MS Mincho"/>
          <w:lang w:val="en-US" w:eastAsia="en-US"/>
        </w:rPr>
        <w:t>fetal developmental abnormalities and fetal loss,</w:t>
      </w:r>
      <w:r w:rsidR="00CA1B51" w:rsidRPr="00166312">
        <w:rPr>
          <w:rFonts w:eastAsia="MS Mincho"/>
          <w:lang w:val="en-US" w:eastAsia="en-US"/>
        </w:rPr>
        <w:t xml:space="preserve"> when administered to a pregnant woman. </w:t>
      </w:r>
      <w:r w:rsidR="00FF34DC" w:rsidRPr="00545A1D">
        <w:t xml:space="preserve">Women of reproductive potential </w:t>
      </w:r>
      <w:proofErr w:type="gramStart"/>
      <w:r w:rsidR="00FF34DC" w:rsidRPr="00545A1D">
        <w:t>should be advised</w:t>
      </w:r>
      <w:proofErr w:type="gramEnd"/>
      <w:r w:rsidR="00FF34DC" w:rsidRPr="00545A1D">
        <w:t xml:space="preserve"> </w:t>
      </w:r>
      <w:r w:rsidR="00F1226C" w:rsidRPr="00166312">
        <w:rPr>
          <w:rFonts w:eastAsia="MS Mincho"/>
          <w:lang w:val="en-US" w:eastAsia="en-US"/>
        </w:rPr>
        <w:t>of the risk to a fetus</w:t>
      </w:r>
      <w:r w:rsidR="00281E63">
        <w:rPr>
          <w:rFonts w:eastAsia="MS Mincho"/>
          <w:lang w:val="en-US" w:eastAsia="en-US"/>
        </w:rPr>
        <w:t xml:space="preserve"> and to use effective contraception during therapy with KISQALI and for at least 21 days after the last dose</w:t>
      </w:r>
      <w:r w:rsidR="00F1226C" w:rsidRPr="00166312">
        <w:rPr>
          <w:rFonts w:eastAsia="MS Mincho"/>
          <w:lang w:val="en-US" w:eastAsia="en-US"/>
        </w:rPr>
        <w:t xml:space="preserve">, if </w:t>
      </w:r>
      <w:r w:rsidR="004906D9" w:rsidRPr="00166312">
        <w:rPr>
          <w:rFonts w:eastAsia="MS Mincho"/>
          <w:lang w:val="en-US" w:eastAsia="en-US"/>
        </w:rPr>
        <w:t xml:space="preserve">KISQALI </w:t>
      </w:r>
      <w:r w:rsidR="00F1226C" w:rsidRPr="00166312">
        <w:rPr>
          <w:rFonts w:eastAsia="MS Mincho"/>
          <w:lang w:val="en-US" w:eastAsia="en-US"/>
        </w:rPr>
        <w:t xml:space="preserve">is used during pregnancy or if the patient becomes pregnant while taking this drug. </w:t>
      </w:r>
      <w:r w:rsidR="00BC3C6E">
        <w:rPr>
          <w:rFonts w:eastAsia="MS Mincho"/>
          <w:lang w:val="en-US" w:eastAsia="en-US"/>
        </w:rPr>
        <w:t>(</w:t>
      </w:r>
      <w:proofErr w:type="gramStart"/>
      <w:r w:rsidR="00BC3C6E">
        <w:rPr>
          <w:rFonts w:eastAsia="MS Mincho"/>
          <w:lang w:val="en-US" w:eastAsia="en-US"/>
        </w:rPr>
        <w:t>Also</w:t>
      </w:r>
      <w:proofErr w:type="gramEnd"/>
      <w:r w:rsidR="00BC3C6E">
        <w:rPr>
          <w:rFonts w:eastAsia="MS Mincho"/>
          <w:lang w:val="en-US" w:eastAsia="en-US"/>
        </w:rPr>
        <w:t xml:space="preserve"> see Use in Pregnancy – </w:t>
      </w:r>
      <w:r w:rsidR="00BC3C6E" w:rsidRPr="00BC3C6E">
        <w:rPr>
          <w:rFonts w:eastAsia="MS Mincho"/>
          <w:i/>
          <w:lang w:val="en-US" w:eastAsia="en-US"/>
        </w:rPr>
        <w:t>Contraception</w:t>
      </w:r>
      <w:r w:rsidR="00BC3C6E">
        <w:rPr>
          <w:rFonts w:eastAsia="MS Mincho"/>
          <w:lang w:val="en-US" w:eastAsia="en-US"/>
        </w:rPr>
        <w:t>.)</w:t>
      </w:r>
    </w:p>
    <w:p w14:paraId="171DD3F3" w14:textId="1238D3BF" w:rsidR="00414570" w:rsidRPr="00166312" w:rsidRDefault="00CA1B51" w:rsidP="00CA1B51">
      <w:pPr>
        <w:spacing w:after="120" w:line="300" w:lineRule="exact"/>
        <w:jc w:val="both"/>
        <w:rPr>
          <w:rFonts w:eastAsia="MS Mincho"/>
          <w:lang w:val="en-US" w:eastAsia="en-US"/>
        </w:rPr>
      </w:pPr>
      <w:r w:rsidRPr="00166312">
        <w:rPr>
          <w:rFonts w:eastAsia="MS Mincho"/>
          <w:lang w:val="en-US" w:eastAsia="en-US"/>
        </w:rPr>
        <w:lastRenderedPageBreak/>
        <w:t xml:space="preserve">There are no adequate and well-controlled studies in pregnant women. Reproductive studies in rats and rabbits have demonstrated </w:t>
      </w:r>
      <w:r w:rsidR="008D026C" w:rsidRPr="00166312">
        <w:rPr>
          <w:rFonts w:eastAsia="MS Mincho"/>
          <w:lang w:val="en-US" w:eastAsia="en-US"/>
        </w:rPr>
        <w:t>KISQALI</w:t>
      </w:r>
      <w:r w:rsidRPr="00166312">
        <w:rPr>
          <w:rFonts w:eastAsia="MS Mincho"/>
          <w:lang w:val="en-US" w:eastAsia="en-US"/>
        </w:rPr>
        <w:t xml:space="preserve"> induced </w:t>
      </w:r>
      <w:proofErr w:type="spellStart"/>
      <w:r w:rsidRPr="00166312">
        <w:rPr>
          <w:rFonts w:eastAsia="MS Mincho"/>
          <w:lang w:val="en-US" w:eastAsia="en-US"/>
        </w:rPr>
        <w:t>embryotoxicity</w:t>
      </w:r>
      <w:proofErr w:type="spellEnd"/>
      <w:r w:rsidRPr="00166312">
        <w:rPr>
          <w:rFonts w:eastAsia="MS Mincho"/>
          <w:lang w:val="en-US" w:eastAsia="en-US"/>
        </w:rPr>
        <w:t xml:space="preserve">, </w:t>
      </w:r>
      <w:proofErr w:type="spellStart"/>
      <w:r w:rsidR="00676FBA" w:rsidRPr="00166312">
        <w:rPr>
          <w:rFonts w:eastAsia="MS Mincho"/>
          <w:lang w:val="en-US" w:eastAsia="en-US"/>
        </w:rPr>
        <w:t>fetotoxicity</w:t>
      </w:r>
      <w:proofErr w:type="spellEnd"/>
      <w:r w:rsidR="00844684">
        <w:rPr>
          <w:rFonts w:eastAsia="MS Mincho"/>
          <w:lang w:val="en-US" w:eastAsia="en-US"/>
        </w:rPr>
        <w:t xml:space="preserve"> and teratogenicity.</w:t>
      </w:r>
    </w:p>
    <w:p w14:paraId="339C4460" w14:textId="2DFF286A" w:rsidR="00600ADE" w:rsidRPr="00166312" w:rsidRDefault="00600ADE" w:rsidP="00600ADE">
      <w:pPr>
        <w:spacing w:after="120" w:line="300" w:lineRule="exact"/>
        <w:jc w:val="both"/>
        <w:rPr>
          <w:rFonts w:eastAsia="MS Mincho"/>
          <w:lang w:val="en-US" w:eastAsia="en-US"/>
        </w:rPr>
      </w:pPr>
      <w:r w:rsidRPr="00166312">
        <w:rPr>
          <w:rFonts w:eastAsia="MS Mincho"/>
          <w:lang w:val="en-US" w:eastAsia="en-US"/>
        </w:rPr>
        <w:t xml:space="preserve">In embryo-fetal development studies in rats and rabbits, pregnant animals received oral doses of </w:t>
      </w:r>
      <w:r w:rsidR="004906D9" w:rsidRPr="00166312">
        <w:rPr>
          <w:rFonts w:eastAsia="MS Mincho"/>
          <w:lang w:val="en-US" w:eastAsia="en-US"/>
        </w:rPr>
        <w:t xml:space="preserve">KISQALI </w:t>
      </w:r>
      <w:r w:rsidRPr="00166312">
        <w:rPr>
          <w:rFonts w:eastAsia="MS Mincho"/>
          <w:lang w:val="en-US" w:eastAsia="en-US"/>
        </w:rPr>
        <w:t>up to 1000 mg/kg/day and 60 mg/kg/day, respectively, duri</w:t>
      </w:r>
      <w:r w:rsidR="00844684">
        <w:rPr>
          <w:rFonts w:eastAsia="MS Mincho"/>
          <w:lang w:val="en-US" w:eastAsia="en-US"/>
        </w:rPr>
        <w:t>ng the period of organogenesis.</w:t>
      </w:r>
    </w:p>
    <w:p w14:paraId="0CF7E421" w14:textId="75A9AB76" w:rsidR="00600ADE" w:rsidRPr="00166312" w:rsidRDefault="00600ADE" w:rsidP="00600ADE">
      <w:pPr>
        <w:spacing w:after="120" w:line="300" w:lineRule="exact"/>
        <w:jc w:val="both"/>
        <w:rPr>
          <w:rFonts w:eastAsia="MS Mincho"/>
          <w:lang w:val="en-US" w:eastAsia="en-US"/>
        </w:rPr>
      </w:pPr>
      <w:r w:rsidRPr="00166312">
        <w:rPr>
          <w:rFonts w:eastAsia="MS Mincho"/>
          <w:lang w:val="en-US" w:eastAsia="en-US"/>
        </w:rPr>
        <w:t xml:space="preserve">In rats, 1000 mg/kg/day was lethal in the maternal animals. At 300 mg/kg/day, reduced maternal body weight gain and fetal weights accompanied by skeletal </w:t>
      </w:r>
      <w:r w:rsidR="00D60937">
        <w:rPr>
          <w:rFonts w:eastAsia="MS Mincho"/>
          <w:lang w:val="en-US" w:eastAsia="en-US"/>
        </w:rPr>
        <w:t>variations</w:t>
      </w:r>
      <w:r w:rsidRPr="00166312">
        <w:rPr>
          <w:rFonts w:eastAsia="MS Mincho"/>
          <w:lang w:val="en-US" w:eastAsia="en-US"/>
        </w:rPr>
        <w:t xml:space="preserve"> </w:t>
      </w:r>
      <w:proofErr w:type="gramStart"/>
      <w:r w:rsidRPr="00166312">
        <w:rPr>
          <w:rFonts w:eastAsia="MS Mincho"/>
          <w:lang w:val="en-US" w:eastAsia="en-US"/>
        </w:rPr>
        <w:t>were noted</w:t>
      </w:r>
      <w:proofErr w:type="gramEnd"/>
      <w:r w:rsidRPr="00166312">
        <w:rPr>
          <w:rFonts w:eastAsia="MS Mincho"/>
          <w:lang w:val="en-US" w:eastAsia="en-US"/>
        </w:rPr>
        <w:t xml:space="preserve">. There were no effects upon embryo-fetal mortality at 50 or 300 mg/kg/day. The no-observed effect level (NOEL) for maternal toxicity </w:t>
      </w:r>
      <w:r w:rsidR="002B43D9">
        <w:rPr>
          <w:rFonts w:eastAsia="MS Mincho"/>
          <w:lang w:val="en-US" w:eastAsia="en-US"/>
        </w:rPr>
        <w:t xml:space="preserve">and </w:t>
      </w:r>
      <w:r w:rsidRPr="00166312">
        <w:rPr>
          <w:rFonts w:eastAsia="MS Mincho"/>
          <w:lang w:val="en-US" w:eastAsia="en-US"/>
        </w:rPr>
        <w:t>embryo-fetal development wa</w:t>
      </w:r>
      <w:r w:rsidR="00292D9A" w:rsidRPr="00166312">
        <w:rPr>
          <w:rFonts w:eastAsia="MS Mincho"/>
          <w:lang w:val="en-US" w:eastAsia="en-US"/>
        </w:rPr>
        <w:t>s 50 mg/kg/day</w:t>
      </w:r>
      <w:r w:rsidRPr="00166312">
        <w:rPr>
          <w:rFonts w:eastAsia="MS Mincho"/>
          <w:lang w:val="en-US" w:eastAsia="en-US"/>
        </w:rPr>
        <w:t>.</w:t>
      </w:r>
    </w:p>
    <w:p w14:paraId="1CF783E2" w14:textId="0BA77FDC" w:rsidR="00600ADE" w:rsidRPr="00166312" w:rsidRDefault="00600ADE" w:rsidP="00600ADE">
      <w:pPr>
        <w:spacing w:after="120" w:line="300" w:lineRule="exact"/>
        <w:jc w:val="both"/>
        <w:rPr>
          <w:rFonts w:eastAsia="MS Mincho"/>
          <w:lang w:val="en-US" w:eastAsia="en-US"/>
        </w:rPr>
      </w:pPr>
      <w:r w:rsidRPr="00166312">
        <w:rPr>
          <w:rFonts w:eastAsia="MS Mincho"/>
          <w:lang w:val="en-US" w:eastAsia="en-US"/>
        </w:rPr>
        <w:t>In rabbits at doses ≥ 30 mg/kg/day, there were adverse effects on embryo fetal development as evidenced by increased incidences of fetal abnormalities (malformations and external, visceral and skeletal variants) and fetal growth (lower fetal weights). These findings included reduced/small lung lobes and additional vessel on the aortic arch and diaphragmatic hernia, absent accessory lobe or (partly) fused lung lobes and reduced/small accessory lung lobe (30 and 60 mg/kg), extra/rudimentary 13th ribs and misshapen hyoid bone and reduced number of phalanges in the pollex. There was no evidence of embryo-fetal mortality. The NOEL for maternal toxicity was 30 mg/kg/day and the NOEL for the embryo-fetal development was 10 mg/kg/day.</w:t>
      </w:r>
    </w:p>
    <w:p w14:paraId="4CE06845" w14:textId="517ABAD0" w:rsidR="00600ADE" w:rsidRPr="00166312" w:rsidRDefault="00600ADE" w:rsidP="004929CA">
      <w:pPr>
        <w:widowControl w:val="0"/>
        <w:spacing w:after="120" w:line="300" w:lineRule="exact"/>
        <w:jc w:val="both"/>
        <w:rPr>
          <w:rFonts w:eastAsia="MS Mincho"/>
          <w:lang w:val="en-US" w:eastAsia="en-US"/>
        </w:rPr>
      </w:pPr>
      <w:r w:rsidRPr="00166312">
        <w:rPr>
          <w:rFonts w:eastAsia="MS Mincho"/>
          <w:lang w:val="en-US" w:eastAsia="en-US"/>
        </w:rPr>
        <w:t xml:space="preserve">At 300 mg/kg/day in rats and 30 mg/kg/day in rabbits, the maternal systemic exposure (AUC) were lower than or </w:t>
      </w:r>
      <w:r w:rsidR="00A12D6A">
        <w:rPr>
          <w:rFonts w:eastAsia="MS Mincho"/>
          <w:lang w:val="en-US" w:eastAsia="en-US"/>
        </w:rPr>
        <w:t>similar to the exposure</w:t>
      </w:r>
      <w:r w:rsidRPr="00166312">
        <w:rPr>
          <w:rFonts w:eastAsia="MS Mincho"/>
          <w:lang w:val="en-US" w:eastAsia="en-US"/>
        </w:rPr>
        <w:t xml:space="preserve"> achieved in patients at the highest recommended dose of 600 mg/day.</w:t>
      </w:r>
    </w:p>
    <w:p w14:paraId="27B4FCF7" w14:textId="1E55E74F" w:rsidR="00A12D6A" w:rsidRDefault="00683EF6" w:rsidP="00CA1B51">
      <w:pPr>
        <w:spacing w:after="120" w:line="300" w:lineRule="exact"/>
        <w:jc w:val="both"/>
        <w:rPr>
          <w:rFonts w:eastAsia="MS Mincho"/>
          <w:lang w:val="en-US" w:eastAsia="en-US"/>
        </w:rPr>
      </w:pPr>
      <w:r>
        <w:rPr>
          <w:rFonts w:eastAsia="MS Mincho"/>
          <w:lang w:val="en-US" w:eastAsia="en-US"/>
        </w:rPr>
        <w:t>D</w:t>
      </w:r>
      <w:r w:rsidR="00A12D6A" w:rsidRPr="00A12D6A">
        <w:rPr>
          <w:rFonts w:eastAsia="MS Mincho"/>
          <w:lang w:val="en-US" w:eastAsia="en-US"/>
        </w:rPr>
        <w:t xml:space="preserve">ata from CDK4 knockout mice strongly suggest that </w:t>
      </w:r>
      <w:proofErr w:type="spellStart"/>
      <w:r w:rsidR="00A12D6A" w:rsidRPr="00A12D6A">
        <w:rPr>
          <w:rFonts w:eastAsia="MS Mincho"/>
          <w:lang w:val="en-US" w:eastAsia="en-US"/>
        </w:rPr>
        <w:t>ribociclib</w:t>
      </w:r>
      <w:proofErr w:type="spellEnd"/>
      <w:r w:rsidR="00A12D6A" w:rsidRPr="00A12D6A">
        <w:rPr>
          <w:rFonts w:eastAsia="MS Mincho"/>
          <w:lang w:val="en-US" w:eastAsia="en-US"/>
        </w:rPr>
        <w:t xml:space="preserve"> exposure during development may result in </w:t>
      </w:r>
      <w:proofErr w:type="spellStart"/>
      <w:r w:rsidR="00A12D6A" w:rsidRPr="00A12D6A">
        <w:rPr>
          <w:rFonts w:eastAsia="MS Mincho"/>
          <w:lang w:val="en-US" w:eastAsia="en-US"/>
        </w:rPr>
        <w:t>adenohypophyseal</w:t>
      </w:r>
      <w:proofErr w:type="spellEnd"/>
      <w:r w:rsidR="00A12D6A" w:rsidRPr="00A12D6A">
        <w:rPr>
          <w:rFonts w:eastAsia="MS Mincho"/>
          <w:lang w:val="en-US" w:eastAsia="en-US"/>
        </w:rPr>
        <w:t xml:space="preserve"> hypoplasia, induction of insulin-dependent diabetes due to insufficient pancreatic beta cells, pituitary dwarfism and defects in T-lymphocyte ontogeny.</w:t>
      </w:r>
      <w:r w:rsidR="00B039C4" w:rsidRPr="00B039C4">
        <w:t xml:space="preserve"> </w:t>
      </w:r>
      <w:r w:rsidR="00B039C4" w:rsidRPr="00B039C4">
        <w:rPr>
          <w:rFonts w:eastAsia="MS Mincho"/>
          <w:lang w:val="en-US" w:eastAsia="en-US"/>
        </w:rPr>
        <w:t>However, knockout mouse data may not be predictive of effects in humans due to differences in degree of target inhibition</w:t>
      </w:r>
      <w:r w:rsidR="00844684">
        <w:rPr>
          <w:rFonts w:eastAsia="MS Mincho"/>
          <w:lang w:val="en-US" w:eastAsia="en-US"/>
        </w:rPr>
        <w:t>.</w:t>
      </w:r>
    </w:p>
    <w:p w14:paraId="3CE86456" w14:textId="77777777" w:rsidR="003122D0" w:rsidRDefault="00CA1B51" w:rsidP="005F1646">
      <w:pPr>
        <w:spacing w:after="120" w:line="300" w:lineRule="exact"/>
        <w:jc w:val="both"/>
        <w:rPr>
          <w:rFonts w:eastAsia="MS Mincho"/>
          <w:lang w:val="en-US" w:eastAsia="en-US"/>
        </w:rPr>
      </w:pPr>
      <w:r w:rsidRPr="00166312">
        <w:rPr>
          <w:rFonts w:eastAsia="MS Mincho"/>
          <w:lang w:val="en-US" w:eastAsia="en-US"/>
        </w:rPr>
        <w:t>There are no available human data informing the drug-associated risk. Advise pregnant women of the potential risk to the fetus.</w:t>
      </w:r>
    </w:p>
    <w:p w14:paraId="5B32CF05" w14:textId="2B06B6D3" w:rsidR="005F1646" w:rsidRPr="00890158" w:rsidRDefault="005F1646" w:rsidP="005F1646">
      <w:pPr>
        <w:spacing w:after="120" w:line="300" w:lineRule="exact"/>
        <w:jc w:val="both"/>
        <w:rPr>
          <w:rFonts w:eastAsia="MS Mincho"/>
          <w:i/>
          <w:lang w:val="en-US" w:eastAsia="zh-CN"/>
        </w:rPr>
      </w:pPr>
      <w:r w:rsidRPr="00890158">
        <w:rPr>
          <w:rFonts w:eastAsia="MS Mincho"/>
          <w:i/>
          <w:lang w:val="en-US" w:eastAsia="zh-CN"/>
        </w:rPr>
        <w:t>P</w:t>
      </w:r>
      <w:r w:rsidR="00844684">
        <w:rPr>
          <w:rFonts w:eastAsia="MS Mincho"/>
          <w:i/>
          <w:lang w:val="en-US" w:eastAsia="zh-CN"/>
        </w:rPr>
        <w:t>regnancy testing</w:t>
      </w:r>
    </w:p>
    <w:p w14:paraId="473CD99E" w14:textId="59CCB09F" w:rsidR="005F1646" w:rsidRPr="00907A32" w:rsidRDefault="008D29EC" w:rsidP="005F1646">
      <w:pPr>
        <w:spacing w:after="120" w:line="300" w:lineRule="exact"/>
        <w:jc w:val="both"/>
        <w:rPr>
          <w:rFonts w:eastAsia="MS Mincho"/>
          <w:lang w:val="en-US" w:eastAsia="zh-CN"/>
        </w:rPr>
      </w:pPr>
      <w:r>
        <w:rPr>
          <w:rFonts w:eastAsia="MS Mincho"/>
          <w:lang w:val="en-US" w:eastAsia="zh-CN"/>
        </w:rPr>
        <w:t>T</w:t>
      </w:r>
      <w:r w:rsidRPr="008D29EC">
        <w:rPr>
          <w:rFonts w:eastAsia="MS Mincho"/>
          <w:lang w:val="en-US" w:eastAsia="zh-CN"/>
        </w:rPr>
        <w:t>he pregnancy status</w:t>
      </w:r>
      <w:r>
        <w:rPr>
          <w:rFonts w:eastAsia="MS Mincho"/>
          <w:lang w:val="en-US" w:eastAsia="zh-CN"/>
        </w:rPr>
        <w:t xml:space="preserve"> for </w:t>
      </w:r>
      <w:r w:rsidRPr="008D29EC">
        <w:rPr>
          <w:rFonts w:eastAsia="MS Mincho"/>
          <w:lang w:val="en-US" w:eastAsia="zh-CN"/>
        </w:rPr>
        <w:t xml:space="preserve">females of reproductive potential </w:t>
      </w:r>
      <w:proofErr w:type="gramStart"/>
      <w:r w:rsidRPr="008D29EC">
        <w:rPr>
          <w:rFonts w:eastAsia="MS Mincho"/>
          <w:lang w:val="en-US" w:eastAsia="zh-CN"/>
        </w:rPr>
        <w:t>should be verified</w:t>
      </w:r>
      <w:proofErr w:type="gramEnd"/>
      <w:r w:rsidRPr="008D29EC">
        <w:rPr>
          <w:rFonts w:eastAsia="MS Mincho"/>
          <w:lang w:val="en-US" w:eastAsia="zh-CN"/>
        </w:rPr>
        <w:t xml:space="preserve"> prior to initiating treatment with </w:t>
      </w:r>
      <w:r w:rsidR="00726940" w:rsidRPr="008D29EC">
        <w:rPr>
          <w:rFonts w:eastAsia="MS Mincho"/>
          <w:lang w:val="en-US" w:eastAsia="zh-CN"/>
        </w:rPr>
        <w:t>KISQALI</w:t>
      </w:r>
      <w:r w:rsidRPr="008D29EC">
        <w:rPr>
          <w:rFonts w:eastAsia="MS Mincho"/>
          <w:lang w:val="en-US" w:eastAsia="zh-CN"/>
        </w:rPr>
        <w:t>.</w:t>
      </w:r>
    </w:p>
    <w:p w14:paraId="39C30ED9" w14:textId="77777777" w:rsidR="005F1646" w:rsidRPr="00890158" w:rsidRDefault="005F1646" w:rsidP="005F1646">
      <w:pPr>
        <w:spacing w:after="120" w:line="300" w:lineRule="exact"/>
        <w:jc w:val="both"/>
        <w:rPr>
          <w:rFonts w:eastAsia="MS Mincho"/>
          <w:lang w:val="en-US" w:eastAsia="zh-CN"/>
        </w:rPr>
      </w:pPr>
      <w:r w:rsidRPr="00890158">
        <w:rPr>
          <w:rFonts w:eastAsia="MS Mincho"/>
          <w:i/>
          <w:lang w:val="en-US" w:eastAsia="zh-CN"/>
        </w:rPr>
        <w:t>Contraception</w:t>
      </w:r>
    </w:p>
    <w:p w14:paraId="0B1D7892" w14:textId="48FB7934" w:rsidR="005F1646" w:rsidRPr="00907A32" w:rsidRDefault="005F1646" w:rsidP="000D0D1E">
      <w:pPr>
        <w:widowControl w:val="0"/>
        <w:spacing w:after="120" w:line="300" w:lineRule="exact"/>
        <w:jc w:val="both"/>
        <w:rPr>
          <w:rFonts w:eastAsia="MS Mincho"/>
          <w:lang w:val="en-US" w:eastAsia="zh-CN"/>
        </w:rPr>
      </w:pPr>
      <w:r w:rsidRPr="00907A32">
        <w:rPr>
          <w:rFonts w:eastAsia="MS Mincho"/>
          <w:lang w:val="en-US" w:eastAsia="zh-CN"/>
        </w:rPr>
        <w:t xml:space="preserve">Females of reproductive potential should be advised that animal studies have been performed showing KISQALI to be </w:t>
      </w:r>
      <w:r w:rsidR="00E012E1">
        <w:rPr>
          <w:rFonts w:eastAsia="MS Mincho"/>
          <w:lang w:val="en-US" w:eastAsia="zh-CN"/>
        </w:rPr>
        <w:t>harmful to the developing fetus</w:t>
      </w:r>
      <w:r w:rsidRPr="00907A32">
        <w:rPr>
          <w:rFonts w:eastAsia="MS Mincho"/>
          <w:lang w:val="en-US" w:eastAsia="zh-CN"/>
        </w:rPr>
        <w:t>. Sexually active females of reproductive potential should use effective contraception (methods that result in less than 1 % pregnancy rates) when using KISQALI during treatment and for 21 days after stopping treatment with KISQALI.</w:t>
      </w:r>
    </w:p>
    <w:p w14:paraId="5553BC00" w14:textId="77777777" w:rsidR="006C4A20" w:rsidRPr="008E6ACC" w:rsidRDefault="0065036F" w:rsidP="009A3C6C">
      <w:pPr>
        <w:spacing w:after="120" w:line="300" w:lineRule="exact"/>
        <w:jc w:val="both"/>
        <w:rPr>
          <w:b/>
          <w:color w:val="000000" w:themeColor="text1"/>
          <w:u w:val="single"/>
        </w:rPr>
      </w:pPr>
      <w:r w:rsidRPr="008E6ACC">
        <w:rPr>
          <w:b/>
          <w:color w:val="000000" w:themeColor="text1"/>
          <w:u w:val="single"/>
        </w:rPr>
        <w:t xml:space="preserve">Use in </w:t>
      </w:r>
      <w:r w:rsidR="006C4A20" w:rsidRPr="008E6ACC">
        <w:rPr>
          <w:b/>
          <w:color w:val="000000" w:themeColor="text1"/>
          <w:u w:val="single"/>
        </w:rPr>
        <w:t>Lactation</w:t>
      </w:r>
    </w:p>
    <w:p w14:paraId="0CC61EDD" w14:textId="600DC37A" w:rsidR="002D1CEE" w:rsidRDefault="00B33258" w:rsidP="00FF36B8">
      <w:pPr>
        <w:widowControl w:val="0"/>
        <w:spacing w:after="120" w:line="300" w:lineRule="exact"/>
        <w:jc w:val="both"/>
        <w:rPr>
          <w:rFonts w:eastAsia="MS Mincho"/>
          <w:lang w:val="en-US" w:eastAsia="zh-CN"/>
        </w:rPr>
      </w:pPr>
      <w:r w:rsidRPr="00166312">
        <w:rPr>
          <w:rFonts w:eastAsia="MS Mincho"/>
          <w:lang w:val="en-US" w:eastAsia="zh-CN"/>
        </w:rPr>
        <w:t xml:space="preserve">It </w:t>
      </w:r>
      <w:proofErr w:type="gramStart"/>
      <w:r w:rsidRPr="00166312">
        <w:rPr>
          <w:rFonts w:eastAsia="MS Mincho"/>
          <w:lang w:val="en-US" w:eastAsia="zh-CN"/>
        </w:rPr>
        <w:t>is not known</w:t>
      </w:r>
      <w:proofErr w:type="gramEnd"/>
      <w:r w:rsidRPr="00166312">
        <w:rPr>
          <w:rFonts w:eastAsia="MS Mincho"/>
          <w:lang w:val="en-US" w:eastAsia="zh-CN"/>
        </w:rPr>
        <w:t xml:space="preserve"> if </w:t>
      </w:r>
      <w:r w:rsidR="008D026C" w:rsidRPr="00166312">
        <w:rPr>
          <w:rFonts w:eastAsia="MS Mincho"/>
          <w:lang w:val="en-US" w:eastAsia="zh-CN"/>
        </w:rPr>
        <w:t>KISQALI</w:t>
      </w:r>
      <w:r w:rsidRPr="00166312">
        <w:rPr>
          <w:rFonts w:eastAsia="MS Mincho"/>
          <w:lang w:val="en-US" w:eastAsia="zh-CN"/>
        </w:rPr>
        <w:t xml:space="preserve"> is present in human milk. </w:t>
      </w:r>
      <w:r w:rsidR="00C03160" w:rsidRPr="00166312">
        <w:rPr>
          <w:rFonts w:eastAsia="MS Mincho"/>
          <w:lang w:val="en-US" w:eastAsia="zh-CN"/>
        </w:rPr>
        <w:t xml:space="preserve">There are no data on the effects of </w:t>
      </w:r>
      <w:r w:rsidR="004969A3">
        <w:rPr>
          <w:rFonts w:eastAsia="MS Mincho"/>
          <w:lang w:val="en-US" w:eastAsia="zh-CN"/>
        </w:rPr>
        <w:t>KISQALI</w:t>
      </w:r>
      <w:r w:rsidR="00C03160" w:rsidRPr="00166312">
        <w:rPr>
          <w:rFonts w:eastAsia="MS Mincho"/>
          <w:lang w:val="en-US" w:eastAsia="zh-CN"/>
        </w:rPr>
        <w:t xml:space="preserve"> on the breastfed child or the effects of </w:t>
      </w:r>
      <w:r w:rsidR="004906D9" w:rsidRPr="00166312">
        <w:rPr>
          <w:rFonts w:eastAsia="MS Mincho"/>
          <w:lang w:val="en-US" w:eastAsia="zh-CN"/>
        </w:rPr>
        <w:t xml:space="preserve">KISQALI </w:t>
      </w:r>
      <w:r w:rsidR="00844684">
        <w:rPr>
          <w:rFonts w:eastAsia="MS Mincho"/>
          <w:lang w:val="en-US" w:eastAsia="zh-CN"/>
        </w:rPr>
        <w:t>on milk production.</w:t>
      </w:r>
    </w:p>
    <w:p w14:paraId="110E4690" w14:textId="6C5DA57C" w:rsidR="008B310A" w:rsidRDefault="00C03160" w:rsidP="009A3C6C">
      <w:pPr>
        <w:spacing w:after="120" w:line="300" w:lineRule="exact"/>
        <w:jc w:val="both"/>
        <w:rPr>
          <w:rFonts w:eastAsia="MS Mincho"/>
          <w:lang w:val="en-US" w:eastAsia="zh-CN"/>
        </w:rPr>
      </w:pPr>
      <w:proofErr w:type="spellStart"/>
      <w:r w:rsidRPr="00166312">
        <w:rPr>
          <w:rFonts w:eastAsia="MS Mincho"/>
          <w:lang w:val="en-US" w:eastAsia="zh-CN"/>
        </w:rPr>
        <w:lastRenderedPageBreak/>
        <w:t>Ribociclib</w:t>
      </w:r>
      <w:proofErr w:type="spellEnd"/>
      <w:r w:rsidRPr="00166312">
        <w:rPr>
          <w:rFonts w:eastAsia="MS Mincho"/>
          <w:lang w:val="en-US" w:eastAsia="zh-CN"/>
        </w:rPr>
        <w:t xml:space="preserve"> and its metabolites readily passed into the milk of lactating rats.</w:t>
      </w:r>
      <w:r w:rsidR="00180935" w:rsidRPr="00166312">
        <w:t xml:space="preserve"> </w:t>
      </w:r>
      <w:r w:rsidR="00180935" w:rsidRPr="00166312">
        <w:rPr>
          <w:rFonts w:eastAsia="MS Mincho"/>
          <w:lang w:val="en-US" w:eastAsia="zh-CN"/>
        </w:rPr>
        <w:t xml:space="preserve">In lactating rats administered a single dose of 50 mg/kg, exposure to </w:t>
      </w:r>
      <w:proofErr w:type="spellStart"/>
      <w:r w:rsidR="00180935" w:rsidRPr="00166312">
        <w:rPr>
          <w:rFonts w:eastAsia="MS Mincho"/>
          <w:lang w:val="en-US" w:eastAsia="zh-CN"/>
        </w:rPr>
        <w:t>ribociclib</w:t>
      </w:r>
      <w:proofErr w:type="spellEnd"/>
      <w:r w:rsidR="00180935" w:rsidRPr="00166312">
        <w:rPr>
          <w:rFonts w:eastAsia="MS Mincho"/>
          <w:lang w:val="en-US" w:eastAsia="zh-CN"/>
        </w:rPr>
        <w:t xml:space="preserve"> was </w:t>
      </w:r>
      <w:r w:rsidR="00BF7500">
        <w:rPr>
          <w:rFonts w:eastAsia="MS Mincho"/>
          <w:lang w:val="en-US" w:eastAsia="zh-CN"/>
        </w:rPr>
        <w:t>4-</w:t>
      </w:r>
      <w:r w:rsidR="00180935" w:rsidRPr="00166312">
        <w:rPr>
          <w:rFonts w:eastAsia="MS Mincho"/>
          <w:lang w:val="en-US" w:eastAsia="zh-CN"/>
        </w:rPr>
        <w:t>fold higher in milk compared to maternal plasma.</w:t>
      </w:r>
      <w:r w:rsidRPr="00166312">
        <w:rPr>
          <w:rFonts w:eastAsia="MS Mincho"/>
          <w:lang w:val="en-US" w:eastAsia="zh-CN"/>
        </w:rPr>
        <w:t xml:space="preserve"> Because of the potential for serious adverse reactions in nursing infants from </w:t>
      </w:r>
      <w:r w:rsidR="004906D9" w:rsidRPr="00166312">
        <w:rPr>
          <w:rFonts w:eastAsia="MS Mincho"/>
          <w:lang w:val="en-US" w:eastAsia="zh-CN"/>
        </w:rPr>
        <w:t>KISQALI</w:t>
      </w:r>
      <w:r w:rsidRPr="00166312">
        <w:rPr>
          <w:rFonts w:eastAsia="MS Mincho"/>
          <w:lang w:val="en-US" w:eastAsia="zh-CN"/>
        </w:rPr>
        <w:t xml:space="preserve">, a decision </w:t>
      </w:r>
      <w:proofErr w:type="gramStart"/>
      <w:r w:rsidRPr="00166312">
        <w:rPr>
          <w:rFonts w:eastAsia="MS Mincho"/>
          <w:lang w:val="en-US" w:eastAsia="zh-CN"/>
        </w:rPr>
        <w:t>should be made</w:t>
      </w:r>
      <w:proofErr w:type="gramEnd"/>
      <w:r w:rsidRPr="00166312">
        <w:rPr>
          <w:rFonts w:eastAsia="MS Mincho"/>
          <w:lang w:val="en-US" w:eastAsia="zh-CN"/>
        </w:rPr>
        <w:t xml:space="preserve"> whether to discontinue nursing or to discontinue the drug, taking into account the importance of the drug to the mother. It is recommended that women taking </w:t>
      </w:r>
      <w:r w:rsidR="004906D9" w:rsidRPr="00166312">
        <w:rPr>
          <w:rFonts w:eastAsia="MS Mincho"/>
          <w:lang w:val="en-US" w:eastAsia="zh-CN"/>
        </w:rPr>
        <w:t xml:space="preserve">KISQALI </w:t>
      </w:r>
      <w:r w:rsidRPr="00166312">
        <w:rPr>
          <w:rFonts w:eastAsia="MS Mincho"/>
          <w:lang w:val="en-US" w:eastAsia="zh-CN"/>
        </w:rPr>
        <w:t>should not breastfeed for at least 21 days after the last dose.</w:t>
      </w:r>
    </w:p>
    <w:p w14:paraId="5553BC06" w14:textId="6BB5B4D0" w:rsidR="006C4A20" w:rsidRDefault="00A44EBE" w:rsidP="00F05B4B">
      <w:pPr>
        <w:keepNext/>
        <w:spacing w:after="120" w:line="300" w:lineRule="exact"/>
        <w:jc w:val="both"/>
        <w:rPr>
          <w:b/>
          <w:u w:val="single"/>
        </w:rPr>
      </w:pPr>
      <w:r w:rsidRPr="004553F8">
        <w:rPr>
          <w:b/>
          <w:u w:val="single"/>
        </w:rPr>
        <w:t>Carcinogenicity</w:t>
      </w:r>
    </w:p>
    <w:p w14:paraId="66BBCB87" w14:textId="77777777" w:rsidR="00073B03" w:rsidRPr="00073B03" w:rsidRDefault="00073B03" w:rsidP="00073B03">
      <w:pPr>
        <w:widowControl w:val="0"/>
        <w:spacing w:after="120" w:line="300" w:lineRule="exact"/>
        <w:jc w:val="both"/>
        <w:rPr>
          <w:rFonts w:eastAsia="MS Mincho"/>
          <w:szCs w:val="20"/>
          <w:lang w:val="en-US" w:eastAsia="zh-CN"/>
        </w:rPr>
      </w:pPr>
      <w:r w:rsidRPr="00073B03">
        <w:rPr>
          <w:rFonts w:eastAsia="MS Mincho"/>
          <w:szCs w:val="20"/>
          <w:lang w:val="en-US" w:eastAsia="zh-CN"/>
        </w:rPr>
        <w:t xml:space="preserve">No carcinogenesis studies </w:t>
      </w:r>
      <w:proofErr w:type="gramStart"/>
      <w:r w:rsidRPr="00073B03">
        <w:rPr>
          <w:rFonts w:eastAsia="MS Mincho"/>
          <w:szCs w:val="20"/>
          <w:lang w:val="en-US" w:eastAsia="zh-CN"/>
        </w:rPr>
        <w:t>have been conducted</w:t>
      </w:r>
      <w:proofErr w:type="gramEnd"/>
      <w:r w:rsidRPr="00073B03">
        <w:rPr>
          <w:rFonts w:eastAsia="MS Mincho"/>
          <w:szCs w:val="20"/>
          <w:lang w:val="en-US" w:eastAsia="zh-CN"/>
        </w:rPr>
        <w:t xml:space="preserve"> with </w:t>
      </w:r>
      <w:proofErr w:type="spellStart"/>
      <w:r w:rsidRPr="00073B03">
        <w:rPr>
          <w:rFonts w:eastAsia="MS Mincho"/>
          <w:szCs w:val="20"/>
          <w:lang w:val="en-US" w:eastAsia="zh-CN"/>
        </w:rPr>
        <w:t>ribociclib</w:t>
      </w:r>
      <w:proofErr w:type="spellEnd"/>
      <w:r w:rsidRPr="00073B03">
        <w:rPr>
          <w:rFonts w:eastAsia="MS Mincho"/>
          <w:szCs w:val="20"/>
          <w:lang w:val="en-US" w:eastAsia="zh-CN"/>
        </w:rPr>
        <w:t>.</w:t>
      </w:r>
    </w:p>
    <w:p w14:paraId="5553BC09" w14:textId="77777777" w:rsidR="00A44EBE" w:rsidRPr="004553F8" w:rsidRDefault="00A44EBE" w:rsidP="009A3C6C">
      <w:pPr>
        <w:spacing w:after="120" w:line="300" w:lineRule="exact"/>
        <w:jc w:val="both"/>
        <w:rPr>
          <w:b/>
          <w:u w:val="single"/>
        </w:rPr>
      </w:pPr>
      <w:proofErr w:type="spellStart"/>
      <w:r w:rsidRPr="004553F8">
        <w:rPr>
          <w:b/>
          <w:u w:val="single"/>
        </w:rPr>
        <w:t>Genotoxicity</w:t>
      </w:r>
      <w:proofErr w:type="spellEnd"/>
    </w:p>
    <w:p w14:paraId="314D003D" w14:textId="53075CE7" w:rsidR="00073B03" w:rsidRDefault="00073B03" w:rsidP="00073B03">
      <w:pPr>
        <w:widowControl w:val="0"/>
        <w:spacing w:after="120" w:line="300" w:lineRule="exact"/>
        <w:jc w:val="both"/>
        <w:rPr>
          <w:rFonts w:eastAsia="MS Mincho"/>
          <w:szCs w:val="20"/>
          <w:lang w:val="en-US" w:eastAsia="zh-CN"/>
        </w:rPr>
      </w:pPr>
      <w:proofErr w:type="spellStart"/>
      <w:r w:rsidRPr="00073B03">
        <w:rPr>
          <w:rFonts w:eastAsia="MS Mincho"/>
          <w:szCs w:val="20"/>
          <w:lang w:val="en-US" w:eastAsia="zh-CN"/>
        </w:rPr>
        <w:t>Genotoxicity</w:t>
      </w:r>
      <w:proofErr w:type="spellEnd"/>
      <w:r w:rsidRPr="00073B03">
        <w:rPr>
          <w:rFonts w:eastAsia="MS Mincho"/>
          <w:szCs w:val="20"/>
          <w:lang w:val="en-US" w:eastAsia="zh-CN"/>
        </w:rPr>
        <w:t xml:space="preserve"> studies in </w:t>
      </w:r>
      <w:proofErr w:type="gramStart"/>
      <w:r w:rsidRPr="00073B03">
        <w:rPr>
          <w:rFonts w:eastAsia="MS Mincho"/>
          <w:szCs w:val="20"/>
          <w:lang w:val="en-US" w:eastAsia="zh-CN"/>
        </w:rPr>
        <w:t>bacteria</w:t>
      </w:r>
      <w:r w:rsidR="001B11D3">
        <w:rPr>
          <w:rFonts w:eastAsia="MS Mincho"/>
          <w:szCs w:val="20"/>
          <w:lang w:val="en-US" w:eastAsia="zh-CN"/>
        </w:rPr>
        <w:t>,</w:t>
      </w:r>
      <w:proofErr w:type="gramEnd"/>
      <w:r w:rsidRPr="00073B03">
        <w:rPr>
          <w:rFonts w:eastAsia="MS Mincho"/>
          <w:szCs w:val="20"/>
          <w:lang w:val="en-US" w:eastAsia="zh-CN"/>
        </w:rPr>
        <w:t xml:space="preserve"> </w:t>
      </w:r>
      <w:r w:rsidR="00523B2B">
        <w:rPr>
          <w:rFonts w:eastAsia="MS Mincho"/>
          <w:szCs w:val="20"/>
          <w:lang w:val="en-US" w:eastAsia="zh-CN"/>
        </w:rPr>
        <w:t xml:space="preserve">and </w:t>
      </w:r>
      <w:r w:rsidRPr="00073B03">
        <w:rPr>
          <w:rFonts w:eastAsia="MS Mincho"/>
          <w:szCs w:val="20"/>
          <w:lang w:val="en-US" w:eastAsia="zh-CN"/>
        </w:rPr>
        <w:t>in mammalian</w:t>
      </w:r>
      <w:r w:rsidR="001B11D3">
        <w:rPr>
          <w:rFonts w:eastAsia="MS Mincho"/>
          <w:szCs w:val="20"/>
          <w:lang w:val="en-US" w:eastAsia="zh-CN"/>
        </w:rPr>
        <w:t xml:space="preserve"> cells</w:t>
      </w:r>
      <w:r w:rsidR="00523B2B">
        <w:rPr>
          <w:rFonts w:eastAsia="MS Mincho"/>
          <w:szCs w:val="20"/>
          <w:lang w:val="en-US" w:eastAsia="zh-CN"/>
        </w:rPr>
        <w:t xml:space="preserve"> (human lymphocytes and mouse lymphoma cells)</w:t>
      </w:r>
      <w:r w:rsidRPr="00073B03">
        <w:rPr>
          <w:rFonts w:eastAsia="MS Mincho"/>
          <w:szCs w:val="20"/>
          <w:lang w:val="en-US" w:eastAsia="zh-CN"/>
        </w:rPr>
        <w:t xml:space="preserve"> </w:t>
      </w:r>
      <w:r w:rsidRPr="00073B03">
        <w:rPr>
          <w:rFonts w:eastAsia="MS Mincho"/>
          <w:i/>
          <w:szCs w:val="20"/>
          <w:lang w:val="en-US" w:eastAsia="zh-CN"/>
        </w:rPr>
        <w:t>in vitro</w:t>
      </w:r>
      <w:r w:rsidRPr="00073B03">
        <w:rPr>
          <w:rFonts w:eastAsia="MS Mincho"/>
          <w:szCs w:val="20"/>
          <w:lang w:val="en-US" w:eastAsia="zh-CN"/>
        </w:rPr>
        <w:t xml:space="preserve"> with and without metabolic activation</w:t>
      </w:r>
      <w:r w:rsidR="001B11D3">
        <w:rPr>
          <w:rFonts w:eastAsia="MS Mincho"/>
          <w:szCs w:val="20"/>
          <w:lang w:val="en-US" w:eastAsia="zh-CN"/>
        </w:rPr>
        <w:t>,</w:t>
      </w:r>
      <w:r w:rsidRPr="00073B03">
        <w:rPr>
          <w:rFonts w:eastAsia="MS Mincho"/>
          <w:szCs w:val="20"/>
          <w:lang w:val="en-US" w:eastAsia="zh-CN"/>
        </w:rPr>
        <w:t xml:space="preserve"> </w:t>
      </w:r>
      <w:r w:rsidR="001B11D3" w:rsidRPr="001B11D3">
        <w:rPr>
          <w:rFonts w:eastAsia="MS Mincho"/>
          <w:szCs w:val="20"/>
          <w:lang w:val="en-US" w:eastAsia="zh-CN"/>
        </w:rPr>
        <w:t>and in a micronucleus test in rats</w:t>
      </w:r>
      <w:r w:rsidR="001B11D3">
        <w:rPr>
          <w:rFonts w:eastAsia="MS Mincho"/>
          <w:szCs w:val="20"/>
          <w:lang w:val="en-US" w:eastAsia="zh-CN"/>
        </w:rPr>
        <w:t xml:space="preserve"> </w:t>
      </w:r>
      <w:r w:rsidRPr="00073B03">
        <w:rPr>
          <w:rFonts w:eastAsia="MS Mincho"/>
          <w:szCs w:val="20"/>
          <w:lang w:val="en-US" w:eastAsia="zh-CN"/>
        </w:rPr>
        <w:t>did not reveal any evidence for a mu</w:t>
      </w:r>
      <w:r w:rsidR="00C7419D">
        <w:rPr>
          <w:rFonts w:eastAsia="MS Mincho"/>
          <w:szCs w:val="20"/>
          <w:lang w:val="en-US" w:eastAsia="zh-CN"/>
        </w:rPr>
        <w:t xml:space="preserve">tagenic potential of </w:t>
      </w:r>
      <w:proofErr w:type="spellStart"/>
      <w:r w:rsidR="00C7419D">
        <w:rPr>
          <w:rFonts w:eastAsia="MS Mincho"/>
          <w:szCs w:val="20"/>
          <w:lang w:val="en-US" w:eastAsia="zh-CN"/>
        </w:rPr>
        <w:t>ribociclib</w:t>
      </w:r>
      <w:proofErr w:type="spellEnd"/>
      <w:r w:rsidR="00844684">
        <w:rPr>
          <w:rFonts w:eastAsia="MS Mincho"/>
          <w:szCs w:val="20"/>
          <w:lang w:val="en-US" w:eastAsia="zh-CN"/>
        </w:rPr>
        <w:t>.</w:t>
      </w:r>
    </w:p>
    <w:p w14:paraId="03C1A671" w14:textId="2F0640FB" w:rsidR="00073B03" w:rsidRPr="00073B03" w:rsidRDefault="00676FBA" w:rsidP="00465907">
      <w:pPr>
        <w:keepNext/>
        <w:spacing w:after="120" w:line="300" w:lineRule="exact"/>
        <w:jc w:val="both"/>
        <w:rPr>
          <w:b/>
          <w:u w:val="single"/>
        </w:rPr>
      </w:pPr>
      <w:proofErr w:type="spellStart"/>
      <w:r w:rsidRPr="00073B03">
        <w:rPr>
          <w:b/>
          <w:u w:val="single"/>
        </w:rPr>
        <w:t>Phototoxicity</w:t>
      </w:r>
      <w:proofErr w:type="spellEnd"/>
    </w:p>
    <w:p w14:paraId="371AE7D6" w14:textId="59F39ECD" w:rsidR="00073B03" w:rsidRDefault="00073B03" w:rsidP="00073B03">
      <w:pPr>
        <w:widowControl w:val="0"/>
        <w:spacing w:after="120" w:line="300" w:lineRule="exact"/>
        <w:jc w:val="both"/>
        <w:rPr>
          <w:rFonts w:eastAsia="MS Mincho"/>
          <w:szCs w:val="20"/>
          <w:lang w:val="en-US" w:eastAsia="zh-CN"/>
        </w:rPr>
      </w:pPr>
      <w:proofErr w:type="spellStart"/>
      <w:r w:rsidRPr="00073B03">
        <w:rPr>
          <w:rFonts w:eastAsia="MS Mincho"/>
          <w:szCs w:val="20"/>
          <w:lang w:val="en-US" w:eastAsia="zh-CN"/>
        </w:rPr>
        <w:t>Ribociclib</w:t>
      </w:r>
      <w:proofErr w:type="spellEnd"/>
      <w:r w:rsidRPr="00073B03">
        <w:rPr>
          <w:rFonts w:eastAsia="MS Mincho"/>
          <w:szCs w:val="20"/>
          <w:lang w:val="en-US" w:eastAsia="zh-CN"/>
        </w:rPr>
        <w:t xml:space="preserve"> </w:t>
      </w:r>
      <w:proofErr w:type="gramStart"/>
      <w:r w:rsidRPr="00073B03">
        <w:rPr>
          <w:rFonts w:eastAsia="MS Mincho"/>
          <w:szCs w:val="20"/>
          <w:lang w:val="en-US" w:eastAsia="zh-CN"/>
        </w:rPr>
        <w:t>was shown</w:t>
      </w:r>
      <w:proofErr w:type="gramEnd"/>
      <w:r w:rsidRPr="00073B03">
        <w:rPr>
          <w:rFonts w:eastAsia="MS Mincho"/>
          <w:szCs w:val="20"/>
          <w:lang w:val="en-US" w:eastAsia="zh-CN"/>
        </w:rPr>
        <w:t xml:space="preserve"> to absorb light in the UV-B and UV-A range</w:t>
      </w:r>
      <w:r w:rsidR="00CC177B">
        <w:rPr>
          <w:rFonts w:eastAsia="MS Mincho"/>
          <w:szCs w:val="20"/>
          <w:lang w:val="en-US" w:eastAsia="zh-CN"/>
        </w:rPr>
        <w:t xml:space="preserve">. An </w:t>
      </w:r>
      <w:r w:rsidR="00CC177B" w:rsidRPr="00CC177B">
        <w:rPr>
          <w:rFonts w:eastAsia="MS Mincho"/>
          <w:i/>
          <w:szCs w:val="20"/>
          <w:lang w:val="en-US" w:eastAsia="zh-CN"/>
        </w:rPr>
        <w:t>in vitro</w:t>
      </w:r>
      <w:r w:rsidR="00CC177B">
        <w:rPr>
          <w:rFonts w:eastAsia="MS Mincho"/>
          <w:szCs w:val="20"/>
          <w:lang w:val="en-US" w:eastAsia="zh-CN"/>
        </w:rPr>
        <w:t xml:space="preserve"> </w:t>
      </w:r>
      <w:proofErr w:type="spellStart"/>
      <w:r w:rsidR="00CC177B">
        <w:rPr>
          <w:rFonts w:eastAsia="MS Mincho"/>
          <w:szCs w:val="20"/>
          <w:lang w:val="en-US" w:eastAsia="zh-CN"/>
        </w:rPr>
        <w:t>phototoxicity</w:t>
      </w:r>
      <w:proofErr w:type="spellEnd"/>
      <w:r w:rsidR="00CC177B">
        <w:rPr>
          <w:rFonts w:eastAsia="MS Mincho"/>
          <w:szCs w:val="20"/>
          <w:lang w:val="en-US" w:eastAsia="zh-CN"/>
        </w:rPr>
        <w:t xml:space="preserve"> test did not identify a relevant </w:t>
      </w:r>
      <w:proofErr w:type="spellStart"/>
      <w:r w:rsidR="00CC177B">
        <w:rPr>
          <w:rFonts w:eastAsia="MS Mincho"/>
          <w:szCs w:val="20"/>
          <w:lang w:val="en-US" w:eastAsia="zh-CN"/>
        </w:rPr>
        <w:t>phototoxicity</w:t>
      </w:r>
      <w:proofErr w:type="spellEnd"/>
      <w:r w:rsidR="00CC177B">
        <w:rPr>
          <w:rFonts w:eastAsia="MS Mincho"/>
          <w:szCs w:val="20"/>
          <w:lang w:val="en-US" w:eastAsia="zh-CN"/>
        </w:rPr>
        <w:t xml:space="preserve"> </w:t>
      </w:r>
      <w:r w:rsidRPr="00073B03">
        <w:rPr>
          <w:rFonts w:eastAsia="MS Mincho"/>
          <w:szCs w:val="20"/>
          <w:lang w:val="en-US" w:eastAsia="zh-CN"/>
        </w:rPr>
        <w:t xml:space="preserve">potential </w:t>
      </w:r>
      <w:r w:rsidR="00CC177B">
        <w:rPr>
          <w:rFonts w:eastAsia="MS Mincho"/>
          <w:szCs w:val="20"/>
          <w:lang w:val="en-US" w:eastAsia="zh-CN"/>
        </w:rPr>
        <w:t xml:space="preserve">for </w:t>
      </w:r>
      <w:proofErr w:type="spellStart"/>
      <w:r w:rsidRPr="00073B03">
        <w:rPr>
          <w:rFonts w:eastAsia="MS Mincho"/>
          <w:szCs w:val="20"/>
          <w:lang w:val="en-US" w:eastAsia="zh-CN"/>
        </w:rPr>
        <w:t>ribociclib</w:t>
      </w:r>
      <w:proofErr w:type="spellEnd"/>
      <w:r w:rsidR="00CC177B">
        <w:rPr>
          <w:rFonts w:eastAsia="MS Mincho"/>
          <w:szCs w:val="20"/>
          <w:lang w:val="en-US" w:eastAsia="zh-CN"/>
        </w:rPr>
        <w:t xml:space="preserve">. The risk that KISQALI </w:t>
      </w:r>
      <w:r w:rsidRPr="00073B03">
        <w:rPr>
          <w:rFonts w:eastAsia="MS Mincho"/>
          <w:szCs w:val="20"/>
          <w:lang w:val="en-US" w:eastAsia="zh-CN"/>
        </w:rPr>
        <w:t>causes photosensitization in p</w:t>
      </w:r>
      <w:r w:rsidR="00844684">
        <w:rPr>
          <w:rFonts w:eastAsia="MS Mincho"/>
          <w:szCs w:val="20"/>
          <w:lang w:val="en-US" w:eastAsia="zh-CN"/>
        </w:rPr>
        <w:t xml:space="preserve">atients </w:t>
      </w:r>
      <w:proofErr w:type="gramStart"/>
      <w:r w:rsidR="00844684">
        <w:rPr>
          <w:rFonts w:eastAsia="MS Mincho"/>
          <w:szCs w:val="20"/>
          <w:lang w:val="en-US" w:eastAsia="zh-CN"/>
        </w:rPr>
        <w:t>is considered</w:t>
      </w:r>
      <w:proofErr w:type="gramEnd"/>
      <w:r w:rsidR="00844684">
        <w:rPr>
          <w:rFonts w:eastAsia="MS Mincho"/>
          <w:szCs w:val="20"/>
          <w:lang w:val="en-US" w:eastAsia="zh-CN"/>
        </w:rPr>
        <w:t xml:space="preserve"> very low.</w:t>
      </w:r>
    </w:p>
    <w:p w14:paraId="76443DA0" w14:textId="21B80494" w:rsidR="0006675D" w:rsidRPr="0006675D" w:rsidRDefault="004278E2" w:rsidP="0006675D">
      <w:pPr>
        <w:spacing w:after="120" w:line="300" w:lineRule="exact"/>
        <w:jc w:val="both"/>
        <w:rPr>
          <w:b/>
          <w:u w:val="single"/>
        </w:rPr>
      </w:pPr>
      <w:r>
        <w:rPr>
          <w:b/>
          <w:u w:val="single"/>
        </w:rPr>
        <w:t>Nonclinical</w:t>
      </w:r>
      <w:r w:rsidRPr="0006675D">
        <w:rPr>
          <w:b/>
          <w:u w:val="single"/>
        </w:rPr>
        <w:t xml:space="preserve"> </w:t>
      </w:r>
      <w:r w:rsidR="00844684">
        <w:rPr>
          <w:b/>
          <w:u w:val="single"/>
        </w:rPr>
        <w:t>toxicity</w:t>
      </w:r>
    </w:p>
    <w:p w14:paraId="10A45B79" w14:textId="6901FC6A" w:rsidR="008D7585" w:rsidRDefault="008D7585" w:rsidP="00073B03">
      <w:pPr>
        <w:widowControl w:val="0"/>
        <w:spacing w:after="120" w:line="300" w:lineRule="exact"/>
        <w:jc w:val="both"/>
        <w:rPr>
          <w:rFonts w:eastAsia="MS Mincho"/>
          <w:szCs w:val="20"/>
          <w:lang w:val="en-US" w:eastAsia="zh-CN"/>
        </w:rPr>
      </w:pPr>
      <w:r w:rsidRPr="003E6EAC">
        <w:rPr>
          <w:rFonts w:eastAsia="MS Mincho"/>
          <w:szCs w:val="20"/>
          <w:lang w:val="en-US" w:eastAsia="en-US"/>
        </w:rPr>
        <w:t xml:space="preserve">Repeated dose toxicity studies (treatment schedule of 3 weeks on/1 week off) in rats up to 26 weeks duration and dogs up to 39 weeks duration, revealed the hepatobiliary system (proliferative changes, </w:t>
      </w:r>
      <w:r w:rsidRPr="00B90C48">
        <w:rPr>
          <w:rFonts w:eastAsia="MS Mincho"/>
          <w:szCs w:val="20"/>
          <w:lang w:val="en-US" w:eastAsia="en-US"/>
        </w:rPr>
        <w:t xml:space="preserve">cholestasis, sand-like gall bladder calculi, </w:t>
      </w:r>
      <w:proofErr w:type="spellStart"/>
      <w:r w:rsidRPr="00B90C48">
        <w:rPr>
          <w:rFonts w:eastAsia="MS Mincho"/>
          <w:szCs w:val="20"/>
          <w:lang w:val="en-US" w:eastAsia="en-US"/>
        </w:rPr>
        <w:t>inspissated</w:t>
      </w:r>
      <w:proofErr w:type="spellEnd"/>
      <w:r w:rsidRPr="00B90C48">
        <w:rPr>
          <w:rFonts w:eastAsia="MS Mincho"/>
          <w:szCs w:val="20"/>
          <w:lang w:val="en-US" w:eastAsia="en-US"/>
        </w:rPr>
        <w:t xml:space="preserve"> bile, </w:t>
      </w:r>
      <w:proofErr w:type="spellStart"/>
      <w:r w:rsidRPr="00B90C48">
        <w:rPr>
          <w:rFonts w:eastAsia="MS Mincho"/>
          <w:szCs w:val="20"/>
          <w:lang w:val="en-US" w:eastAsia="en-US"/>
        </w:rPr>
        <w:t>periportal</w:t>
      </w:r>
      <w:proofErr w:type="spellEnd"/>
      <w:r w:rsidRPr="00B90C48">
        <w:rPr>
          <w:rFonts w:eastAsia="MS Mincho"/>
          <w:szCs w:val="20"/>
          <w:lang w:val="en-US" w:eastAsia="en-US"/>
        </w:rPr>
        <w:t xml:space="preserve"> hepatocyte necrosis and </w:t>
      </w:r>
      <w:proofErr w:type="spellStart"/>
      <w:r w:rsidRPr="00B90C48">
        <w:rPr>
          <w:rFonts w:eastAsia="MS Mincho"/>
          <w:szCs w:val="20"/>
          <w:lang w:val="en-US" w:eastAsia="en-US"/>
        </w:rPr>
        <w:t>arteriopathy</w:t>
      </w:r>
      <w:proofErr w:type="spellEnd"/>
      <w:r w:rsidRPr="00B90C48">
        <w:rPr>
          <w:rFonts w:eastAsia="MS Mincho"/>
          <w:szCs w:val="20"/>
          <w:lang w:val="en-US" w:eastAsia="en-US"/>
        </w:rPr>
        <w:t xml:space="preserve"> in the hilar region) as the primary target organ of toxicity of </w:t>
      </w:r>
      <w:proofErr w:type="spellStart"/>
      <w:r w:rsidRPr="00B90C48">
        <w:rPr>
          <w:rFonts w:eastAsia="MS Mincho"/>
          <w:szCs w:val="20"/>
          <w:lang w:val="en-US" w:eastAsia="en-US"/>
        </w:rPr>
        <w:t>ribociclib</w:t>
      </w:r>
      <w:proofErr w:type="spellEnd"/>
      <w:r w:rsidRPr="00B90C48">
        <w:rPr>
          <w:rFonts w:eastAsia="MS Mincho"/>
          <w:szCs w:val="20"/>
          <w:lang w:val="en-US" w:eastAsia="en-US"/>
        </w:rPr>
        <w:t>.</w:t>
      </w:r>
    </w:p>
    <w:p w14:paraId="6FAD7905" w14:textId="33435925" w:rsidR="0006675D" w:rsidRDefault="008D7585" w:rsidP="00073B03">
      <w:pPr>
        <w:widowControl w:val="0"/>
        <w:spacing w:after="120" w:line="300" w:lineRule="exact"/>
        <w:jc w:val="both"/>
        <w:rPr>
          <w:rFonts w:eastAsia="MS Mincho"/>
          <w:szCs w:val="20"/>
          <w:lang w:val="en-US" w:eastAsia="zh-CN"/>
        </w:rPr>
      </w:pPr>
      <w:r>
        <w:rPr>
          <w:rFonts w:eastAsia="MS Mincho"/>
          <w:szCs w:val="20"/>
          <w:lang w:val="en-US" w:eastAsia="zh-CN"/>
        </w:rPr>
        <w:t xml:space="preserve">Additionally, </w:t>
      </w:r>
      <w:r w:rsidR="004278E2">
        <w:rPr>
          <w:rFonts w:eastAsia="MS Mincho"/>
          <w:szCs w:val="20"/>
          <w:lang w:val="en-US" w:eastAsia="zh-CN"/>
        </w:rPr>
        <w:t xml:space="preserve">effects on </w:t>
      </w:r>
      <w:r w:rsidR="0006675D" w:rsidRPr="0006675D">
        <w:rPr>
          <w:rFonts w:eastAsia="MS Mincho"/>
          <w:szCs w:val="20"/>
          <w:lang w:val="en-US" w:eastAsia="zh-CN"/>
        </w:rPr>
        <w:t>bone marrow (</w:t>
      </w:r>
      <w:proofErr w:type="spellStart"/>
      <w:r w:rsidR="0006675D" w:rsidRPr="0006675D">
        <w:rPr>
          <w:rFonts w:eastAsia="MS Mincho"/>
          <w:szCs w:val="20"/>
          <w:lang w:val="en-US" w:eastAsia="zh-CN"/>
        </w:rPr>
        <w:t>hypocellularity</w:t>
      </w:r>
      <w:proofErr w:type="spellEnd"/>
      <w:r w:rsidR="0006675D" w:rsidRPr="0006675D">
        <w:rPr>
          <w:rFonts w:eastAsia="MS Mincho"/>
          <w:szCs w:val="20"/>
          <w:lang w:val="en-US" w:eastAsia="zh-CN"/>
        </w:rPr>
        <w:t xml:space="preserve">), </w:t>
      </w:r>
      <w:r w:rsidR="00844684">
        <w:rPr>
          <w:rFonts w:eastAsia="MS Mincho"/>
          <w:szCs w:val="20"/>
          <w:lang w:val="en-US" w:eastAsia="zh-CN"/>
        </w:rPr>
        <w:t>pancytopenia,</w:t>
      </w:r>
      <w:r w:rsidR="001B11D3">
        <w:rPr>
          <w:rFonts w:eastAsia="MS Mincho"/>
          <w:szCs w:val="20"/>
          <w:lang w:val="en-US" w:eastAsia="zh-CN"/>
        </w:rPr>
        <w:t xml:space="preserve"> </w:t>
      </w:r>
      <w:r w:rsidR="0006675D" w:rsidRPr="0006675D">
        <w:rPr>
          <w:rFonts w:eastAsia="MS Mincho"/>
          <w:szCs w:val="20"/>
          <w:lang w:val="en-US" w:eastAsia="zh-CN"/>
        </w:rPr>
        <w:t>lympho</w:t>
      </w:r>
      <w:r w:rsidR="00844684">
        <w:rPr>
          <w:rFonts w:eastAsia="MS Mincho"/>
          <w:szCs w:val="20"/>
          <w:lang w:val="en-US" w:eastAsia="zh-CN"/>
        </w:rPr>
        <w:t>id system (lymphoid depletion),</w:t>
      </w:r>
      <w:r w:rsidR="004278E2" w:rsidRPr="004278E2">
        <w:rPr>
          <w:rFonts w:eastAsia="MS Mincho"/>
          <w:szCs w:val="20"/>
          <w:lang w:val="en-US" w:eastAsia="zh-CN"/>
        </w:rPr>
        <w:t xml:space="preserve"> testes (atrophy), </w:t>
      </w:r>
      <w:r w:rsidR="0006675D" w:rsidRPr="0006675D">
        <w:rPr>
          <w:rFonts w:eastAsia="MS Mincho"/>
          <w:szCs w:val="20"/>
          <w:lang w:val="en-US" w:eastAsia="zh-CN"/>
        </w:rPr>
        <w:t>intestinal mucosa (atrophy), skin (atrophy), bone</w:t>
      </w:r>
      <w:r w:rsidR="004278E2">
        <w:rPr>
          <w:rFonts w:eastAsia="MS Mincho"/>
          <w:szCs w:val="20"/>
          <w:lang w:val="en-US" w:eastAsia="zh-CN"/>
        </w:rPr>
        <w:t>/ribs</w:t>
      </w:r>
      <w:r w:rsidR="0006675D" w:rsidRPr="0006675D">
        <w:rPr>
          <w:rFonts w:eastAsia="MS Mincho"/>
          <w:szCs w:val="20"/>
          <w:lang w:val="en-US" w:eastAsia="zh-CN"/>
        </w:rPr>
        <w:t xml:space="preserve"> (decreased bone formation), </w:t>
      </w:r>
      <w:r w:rsidR="004278E2" w:rsidRPr="004278E2">
        <w:rPr>
          <w:rFonts w:eastAsia="MS Mincho"/>
          <w:szCs w:val="20"/>
          <w:lang w:val="en-US" w:eastAsia="zh-CN"/>
        </w:rPr>
        <w:t>lung (increased incidence of alveolar macrophages)</w:t>
      </w:r>
      <w:r w:rsidR="004278E2">
        <w:rPr>
          <w:rFonts w:eastAsia="MS Mincho"/>
          <w:szCs w:val="20"/>
          <w:lang w:val="en-US" w:eastAsia="zh-CN"/>
        </w:rPr>
        <w:t>,</w:t>
      </w:r>
      <w:r w:rsidR="004278E2" w:rsidRPr="004278E2">
        <w:rPr>
          <w:rFonts w:eastAsia="MS Mincho"/>
          <w:szCs w:val="20"/>
          <w:lang w:val="en-US" w:eastAsia="zh-CN"/>
        </w:rPr>
        <w:t xml:space="preserve"> </w:t>
      </w:r>
      <w:r w:rsidR="0006675D">
        <w:rPr>
          <w:rFonts w:eastAsia="MS Mincho"/>
          <w:szCs w:val="20"/>
          <w:lang w:val="en-US" w:eastAsia="zh-CN"/>
        </w:rPr>
        <w:t xml:space="preserve">and </w:t>
      </w:r>
      <w:r w:rsidR="0006675D" w:rsidRPr="0006675D">
        <w:rPr>
          <w:rFonts w:eastAsia="MS Mincho"/>
          <w:szCs w:val="20"/>
          <w:lang w:val="en-US" w:eastAsia="zh-CN"/>
        </w:rPr>
        <w:t>kidney (concurrent degeneration and regeneration of tubular epithelial cells)</w:t>
      </w:r>
      <w:r w:rsidR="004278E2">
        <w:rPr>
          <w:rFonts w:eastAsia="MS Mincho"/>
          <w:szCs w:val="20"/>
          <w:lang w:val="en-US" w:eastAsia="zh-CN"/>
        </w:rPr>
        <w:t xml:space="preserve"> were described</w:t>
      </w:r>
      <w:r w:rsidR="0006675D">
        <w:rPr>
          <w:rFonts w:eastAsia="MS Mincho"/>
          <w:szCs w:val="20"/>
          <w:lang w:val="en-US" w:eastAsia="zh-CN"/>
        </w:rPr>
        <w:t xml:space="preserve">. </w:t>
      </w:r>
      <w:r w:rsidR="004278E2">
        <w:rPr>
          <w:rFonts w:eastAsia="MS Mincho"/>
          <w:szCs w:val="20"/>
          <w:lang w:val="en-US" w:eastAsia="zh-CN"/>
        </w:rPr>
        <w:t>In general, t</w:t>
      </w:r>
      <w:r w:rsidR="0006675D">
        <w:rPr>
          <w:rFonts w:eastAsia="MS Mincho"/>
          <w:szCs w:val="20"/>
          <w:lang w:val="en-US" w:eastAsia="zh-CN"/>
        </w:rPr>
        <w:t>hese</w:t>
      </w:r>
      <w:r w:rsidR="0006675D" w:rsidRPr="0006675D">
        <w:rPr>
          <w:rFonts w:eastAsia="MS Mincho"/>
          <w:szCs w:val="20"/>
          <w:lang w:val="en-US" w:eastAsia="zh-CN"/>
        </w:rPr>
        <w:t xml:space="preserve"> changes </w:t>
      </w:r>
      <w:r w:rsidR="004278E2" w:rsidRPr="004278E2">
        <w:rPr>
          <w:rFonts w:eastAsia="MS Mincho"/>
          <w:szCs w:val="20"/>
          <w:lang w:val="en-US" w:eastAsia="zh-CN"/>
        </w:rPr>
        <w:t xml:space="preserve">in rats and dogs demonstrated either </w:t>
      </w:r>
      <w:r w:rsidR="003122D0" w:rsidRPr="0006675D">
        <w:rPr>
          <w:rFonts w:eastAsia="MS Mincho"/>
          <w:szCs w:val="20"/>
          <w:lang w:val="en-US" w:eastAsia="zh-CN"/>
        </w:rPr>
        <w:t>reversib</w:t>
      </w:r>
      <w:r w:rsidR="003122D0">
        <w:rPr>
          <w:rFonts w:eastAsia="MS Mincho"/>
          <w:szCs w:val="20"/>
          <w:lang w:val="en-US" w:eastAsia="zh-CN"/>
        </w:rPr>
        <w:t>ility</w:t>
      </w:r>
      <w:r w:rsidR="0006675D" w:rsidRPr="0006675D">
        <w:rPr>
          <w:rFonts w:eastAsia="MS Mincho"/>
          <w:szCs w:val="20"/>
          <w:lang w:val="en-US" w:eastAsia="zh-CN"/>
        </w:rPr>
        <w:t xml:space="preserve"> </w:t>
      </w:r>
      <w:r w:rsidR="004278E2" w:rsidRPr="004278E2">
        <w:rPr>
          <w:rFonts w:eastAsia="MS Mincho"/>
          <w:szCs w:val="20"/>
          <w:lang w:val="en-US" w:eastAsia="zh-CN"/>
        </w:rPr>
        <w:t>or a clear tendency towards reversibility</w:t>
      </w:r>
      <w:r w:rsidR="0006675D" w:rsidRPr="0006675D">
        <w:rPr>
          <w:rFonts w:eastAsia="MS Mincho"/>
          <w:szCs w:val="20"/>
          <w:lang w:val="en-US" w:eastAsia="zh-CN"/>
        </w:rPr>
        <w:t xml:space="preserve">. </w:t>
      </w:r>
      <w:r w:rsidR="00EC24D4" w:rsidRPr="00EC24D4">
        <w:t xml:space="preserve"> </w:t>
      </w:r>
      <w:r w:rsidR="00EC24D4" w:rsidRPr="00EC24D4">
        <w:rPr>
          <w:rFonts w:eastAsia="MS Mincho"/>
          <w:szCs w:val="20"/>
          <w:lang w:val="en-US" w:eastAsia="zh-CN"/>
        </w:rPr>
        <w:t xml:space="preserve">Exposure to </w:t>
      </w:r>
      <w:proofErr w:type="spellStart"/>
      <w:r w:rsidR="00EC24D4" w:rsidRPr="00EC24D4">
        <w:rPr>
          <w:rFonts w:eastAsia="MS Mincho"/>
          <w:szCs w:val="20"/>
          <w:lang w:val="en-US" w:eastAsia="zh-CN"/>
        </w:rPr>
        <w:t>ribociclib</w:t>
      </w:r>
      <w:proofErr w:type="spellEnd"/>
      <w:r w:rsidR="00EC24D4" w:rsidRPr="00EC24D4">
        <w:rPr>
          <w:rFonts w:eastAsia="MS Mincho"/>
          <w:szCs w:val="20"/>
          <w:lang w:val="en-US" w:eastAsia="zh-CN"/>
        </w:rPr>
        <w:t xml:space="preserve"> in animals in the</w:t>
      </w:r>
      <w:r w:rsidR="007C7EF5">
        <w:rPr>
          <w:rFonts w:eastAsia="MS Mincho"/>
          <w:szCs w:val="20"/>
          <w:lang w:val="en-US" w:eastAsia="zh-CN"/>
        </w:rPr>
        <w:t>se</w:t>
      </w:r>
      <w:r w:rsidR="00EC24D4" w:rsidRPr="00EC24D4">
        <w:rPr>
          <w:rFonts w:eastAsia="MS Mincho"/>
          <w:szCs w:val="20"/>
          <w:lang w:val="en-US" w:eastAsia="zh-CN"/>
        </w:rPr>
        <w:t xml:space="preserve"> toxicity studies was generally less than or equal to that observed in patients receiving multiple doses of 600 mg/day (based on AUC)</w:t>
      </w:r>
      <w:r w:rsidR="00EC24D4">
        <w:rPr>
          <w:rFonts w:eastAsia="MS Mincho"/>
          <w:szCs w:val="20"/>
          <w:lang w:val="en-US" w:eastAsia="zh-CN"/>
        </w:rPr>
        <w:t>.</w:t>
      </w:r>
    </w:p>
    <w:p w14:paraId="5553BC0C" w14:textId="312960E4" w:rsidR="0083330E" w:rsidRPr="00391DF9" w:rsidRDefault="00C2007C" w:rsidP="00391DF9">
      <w:pPr>
        <w:spacing w:after="120" w:line="300" w:lineRule="exact"/>
        <w:jc w:val="both"/>
        <w:rPr>
          <w:b/>
          <w:u w:val="single"/>
        </w:rPr>
      </w:pPr>
      <w:r w:rsidRPr="00391DF9">
        <w:rPr>
          <w:b/>
          <w:u w:val="single"/>
        </w:rPr>
        <w:t>Effects on ability to drive and use machines</w:t>
      </w:r>
    </w:p>
    <w:p w14:paraId="0D5EF1E8" w14:textId="6D30DF38" w:rsidR="00C2007C" w:rsidRDefault="00391DF9" w:rsidP="00391DF9">
      <w:pPr>
        <w:jc w:val="both"/>
        <w:rPr>
          <w:lang w:val="en-US"/>
        </w:rPr>
      </w:pPr>
      <w:r w:rsidRPr="00391DF9">
        <w:rPr>
          <w:lang w:val="en-US"/>
        </w:rPr>
        <w:t xml:space="preserve">No studies on the effects of </w:t>
      </w:r>
      <w:proofErr w:type="spellStart"/>
      <w:r>
        <w:rPr>
          <w:lang w:val="en-US"/>
        </w:rPr>
        <w:t>ribociclib</w:t>
      </w:r>
      <w:proofErr w:type="spellEnd"/>
      <w:r w:rsidRPr="00391DF9">
        <w:rPr>
          <w:lang w:val="en-US"/>
        </w:rPr>
        <w:t xml:space="preserve"> on the ability to drive or operate machinery </w:t>
      </w:r>
      <w:proofErr w:type="gramStart"/>
      <w:r w:rsidRPr="00391DF9">
        <w:rPr>
          <w:lang w:val="en-US"/>
        </w:rPr>
        <w:t>have been</w:t>
      </w:r>
      <w:r>
        <w:rPr>
          <w:lang w:val="en-US"/>
        </w:rPr>
        <w:t xml:space="preserve"> </w:t>
      </w:r>
      <w:r w:rsidRPr="00391DF9">
        <w:rPr>
          <w:lang w:val="en-US"/>
        </w:rPr>
        <w:t>conducted</w:t>
      </w:r>
      <w:proofErr w:type="gramEnd"/>
      <w:r w:rsidRPr="00391DF9">
        <w:rPr>
          <w:lang w:val="en-US"/>
        </w:rPr>
        <w:t xml:space="preserve">. Patients experiencing fatigue while taking </w:t>
      </w:r>
      <w:proofErr w:type="spellStart"/>
      <w:r>
        <w:rPr>
          <w:lang w:val="en-US"/>
        </w:rPr>
        <w:t>ribociclib</w:t>
      </w:r>
      <w:proofErr w:type="spellEnd"/>
      <w:r w:rsidRPr="00391DF9">
        <w:rPr>
          <w:lang w:val="en-US"/>
        </w:rPr>
        <w:t xml:space="preserve"> should exercise caution when driving or operating machinery (see ADVERSE EFFECTS).</w:t>
      </w:r>
    </w:p>
    <w:p w14:paraId="3E35C11B" w14:textId="77777777" w:rsidR="009C47CB" w:rsidRDefault="009C47CB" w:rsidP="00391DF9">
      <w:pPr>
        <w:jc w:val="both"/>
        <w:rPr>
          <w:lang w:val="en-US"/>
        </w:rPr>
      </w:pPr>
    </w:p>
    <w:p w14:paraId="5553BC0D" w14:textId="77777777" w:rsidR="0065036F" w:rsidRPr="004553F8" w:rsidRDefault="00F20A61" w:rsidP="009A3C6C">
      <w:pPr>
        <w:pStyle w:val="Heading2"/>
        <w:spacing w:after="120" w:line="300" w:lineRule="exact"/>
        <w:jc w:val="left"/>
        <w:rPr>
          <w:rFonts w:eastAsiaTheme="minorHAnsi"/>
          <w:caps/>
          <w:sz w:val="30"/>
          <w:lang w:val="en-GB"/>
        </w:rPr>
      </w:pPr>
      <w:r w:rsidRPr="004553F8">
        <w:rPr>
          <w:rFonts w:eastAsiaTheme="minorHAnsi"/>
          <w:caps/>
          <w:sz w:val="30"/>
          <w:lang w:val="en-GB"/>
        </w:rPr>
        <w:t>INTERACTIONS WITH OTHER MEDICINES</w:t>
      </w:r>
    </w:p>
    <w:p w14:paraId="4F707E2E" w14:textId="77777777" w:rsidR="005A17EF" w:rsidRPr="007F6B1F" w:rsidDel="00A65C39" w:rsidRDefault="005A17EF" w:rsidP="005A17EF">
      <w:pPr>
        <w:spacing w:before="120"/>
        <w:jc w:val="both"/>
        <w:rPr>
          <w:rFonts w:eastAsia="MS Mincho"/>
          <w:b/>
          <w:strike/>
          <w:u w:val="single"/>
          <w:lang w:val="en-US" w:eastAsia="en-US"/>
        </w:rPr>
      </w:pPr>
      <w:r w:rsidRPr="007F6B1F">
        <w:rPr>
          <w:b/>
          <w:bCs/>
          <w:color w:val="000000"/>
          <w:u w:val="single"/>
          <w:lang w:val="en-US" w:eastAsia="en-US"/>
        </w:rPr>
        <w:t>D</w:t>
      </w:r>
      <w:r w:rsidRPr="007F6B1F" w:rsidDel="00A65C39">
        <w:rPr>
          <w:b/>
          <w:bCs/>
          <w:color w:val="000000"/>
          <w:u w:val="single"/>
          <w:lang w:val="en-US" w:eastAsia="en-US"/>
        </w:rPr>
        <w:t xml:space="preserve">rugs that may </w:t>
      </w:r>
      <w:r w:rsidRPr="007F6B1F">
        <w:rPr>
          <w:b/>
          <w:bCs/>
          <w:color w:val="000000"/>
          <w:u w:val="single"/>
          <w:lang w:val="en-US" w:eastAsia="en-US"/>
        </w:rPr>
        <w:t>increase</w:t>
      </w:r>
      <w:r w:rsidRPr="007F6B1F" w:rsidDel="00A65C39">
        <w:rPr>
          <w:b/>
          <w:bCs/>
          <w:color w:val="000000"/>
          <w:u w:val="single"/>
          <w:lang w:val="en-US" w:eastAsia="en-US"/>
        </w:rPr>
        <w:t xml:space="preserve"> the QT interval </w:t>
      </w:r>
    </w:p>
    <w:p w14:paraId="0E3C0A46" w14:textId="3D44B7D7" w:rsidR="005D0CA5" w:rsidRDefault="005D0CA5" w:rsidP="00E975E8">
      <w:pPr>
        <w:autoSpaceDE w:val="0"/>
        <w:autoSpaceDN w:val="0"/>
        <w:adjustRightInd w:val="0"/>
        <w:spacing w:after="120" w:line="300" w:lineRule="exact"/>
        <w:jc w:val="both"/>
      </w:pPr>
      <w:r w:rsidRPr="005D0CA5">
        <w:t>Co</w:t>
      </w:r>
      <w:r>
        <w:t>-</w:t>
      </w:r>
      <w:r w:rsidRPr="005D0CA5">
        <w:t xml:space="preserve">administration of </w:t>
      </w:r>
      <w:proofErr w:type="spellStart"/>
      <w:r w:rsidRPr="005D0CA5">
        <w:t>Kisqali</w:t>
      </w:r>
      <w:proofErr w:type="spellEnd"/>
      <w:r w:rsidRPr="005D0CA5">
        <w:t xml:space="preserve"> with medicinal products with a known potential to prolong the QT interval </w:t>
      </w:r>
      <w:r>
        <w:t xml:space="preserve">may have an additive effect with </w:t>
      </w:r>
      <w:proofErr w:type="spellStart"/>
      <w:r>
        <w:t>ribociclib</w:t>
      </w:r>
      <w:proofErr w:type="spellEnd"/>
      <w:r>
        <w:t xml:space="preserve"> and increa</w:t>
      </w:r>
      <w:r w:rsidR="00D77C4E">
        <w:t>se the risk of QT prolongation.</w:t>
      </w:r>
    </w:p>
    <w:p w14:paraId="5AA4B030" w14:textId="26E645AA" w:rsidR="005A17EF" w:rsidRDefault="005A17EF" w:rsidP="00B83302">
      <w:pPr>
        <w:jc w:val="both"/>
        <w:rPr>
          <w:rFonts w:eastAsia="MS Mincho"/>
          <w:szCs w:val="20"/>
          <w:lang w:val="en-US" w:eastAsia="zh-CN"/>
        </w:rPr>
      </w:pPr>
      <w:r w:rsidRPr="00686406" w:rsidDel="00C14B7E">
        <w:rPr>
          <w:rFonts w:eastAsia="MS Mincho"/>
          <w:szCs w:val="20"/>
          <w:lang w:val="en-US" w:eastAsia="zh-CN"/>
        </w:rPr>
        <w:lastRenderedPageBreak/>
        <w:t xml:space="preserve">Avoid co-administration of </w:t>
      </w:r>
      <w:r w:rsidDel="00C14B7E">
        <w:rPr>
          <w:rFonts w:eastAsia="MS Mincho"/>
          <w:szCs w:val="20"/>
          <w:lang w:val="en-US" w:eastAsia="zh-CN"/>
        </w:rPr>
        <w:t>KISQALI</w:t>
      </w:r>
      <w:r w:rsidRPr="00686406" w:rsidDel="00C14B7E">
        <w:rPr>
          <w:rFonts w:eastAsia="MS Mincho"/>
          <w:szCs w:val="20"/>
          <w:lang w:val="en-US" w:eastAsia="zh-CN"/>
        </w:rPr>
        <w:t xml:space="preserve"> with medicinal products </w:t>
      </w:r>
      <w:r w:rsidR="006C0370">
        <w:rPr>
          <w:rFonts w:eastAsia="MS Mincho"/>
          <w:szCs w:val="20"/>
          <w:lang w:val="en-US" w:eastAsia="zh-CN"/>
        </w:rPr>
        <w:t xml:space="preserve">with </w:t>
      </w:r>
      <w:r w:rsidRPr="00686406" w:rsidDel="00C14B7E">
        <w:rPr>
          <w:rFonts w:eastAsia="MS Mincho"/>
          <w:szCs w:val="20"/>
          <w:lang w:val="en-US" w:eastAsia="zh-CN"/>
        </w:rPr>
        <w:t>a known potential to prolong the QT interval</w:t>
      </w:r>
      <w:r w:rsidR="005A20D9">
        <w:rPr>
          <w:rFonts w:eastAsia="MS Mincho"/>
          <w:szCs w:val="20"/>
          <w:lang w:val="en-US" w:eastAsia="zh-CN"/>
        </w:rPr>
        <w:t xml:space="preserve">, </w:t>
      </w:r>
      <w:r w:rsidR="00BA7443" w:rsidRPr="00BA7443">
        <w:rPr>
          <w:rFonts w:eastAsia="MS Mincho"/>
          <w:szCs w:val="20"/>
          <w:lang w:val="en-US" w:eastAsia="zh-CN"/>
        </w:rPr>
        <w:t>including, but not limited to</w:t>
      </w:r>
      <w:r w:rsidR="00BA7443">
        <w:rPr>
          <w:rFonts w:eastAsia="MS Mincho"/>
          <w:szCs w:val="20"/>
          <w:lang w:val="en-US" w:eastAsia="zh-CN"/>
        </w:rPr>
        <w:t>:</w:t>
      </w:r>
      <w:r w:rsidR="00BA7443" w:rsidRPr="00BA7443">
        <w:rPr>
          <w:rFonts w:eastAsia="MS Mincho"/>
          <w:szCs w:val="20"/>
          <w:lang w:val="en-US" w:eastAsia="zh-CN"/>
        </w:rPr>
        <w:t xml:space="preserve"> </w:t>
      </w:r>
      <w:r w:rsidRPr="008E3AC3" w:rsidDel="00C14B7E">
        <w:rPr>
          <w:rFonts w:eastAsia="MS Mincho"/>
          <w:szCs w:val="20"/>
          <w:lang w:val="en-US" w:eastAsia="zh-CN"/>
        </w:rPr>
        <w:t xml:space="preserve">amiodarone, </w:t>
      </w:r>
      <w:proofErr w:type="spellStart"/>
      <w:r w:rsidRPr="008E3AC3" w:rsidDel="00C14B7E">
        <w:rPr>
          <w:rFonts w:eastAsia="MS Mincho"/>
          <w:szCs w:val="20"/>
          <w:lang w:val="en-US" w:eastAsia="zh-CN"/>
        </w:rPr>
        <w:t>disopyramide</w:t>
      </w:r>
      <w:proofErr w:type="spellEnd"/>
      <w:r w:rsidRPr="008E3AC3" w:rsidDel="00C14B7E">
        <w:rPr>
          <w:rFonts w:eastAsia="MS Mincho"/>
          <w:szCs w:val="20"/>
          <w:lang w:val="en-US" w:eastAsia="zh-CN"/>
        </w:rPr>
        <w:t>, procainamide, quinidine</w:t>
      </w:r>
      <w:r w:rsidR="00A06A76" w:rsidRPr="008E3AC3">
        <w:rPr>
          <w:rFonts w:eastAsia="MS Mincho"/>
          <w:lang w:val="en-US" w:eastAsia="zh-CN"/>
        </w:rPr>
        <w:t>,</w:t>
      </w:r>
      <w:r w:rsidRPr="008E3AC3" w:rsidDel="00C14B7E">
        <w:rPr>
          <w:rFonts w:eastAsia="MS Mincho"/>
          <w:szCs w:val="20"/>
          <w:lang w:val="en-US" w:eastAsia="zh-CN"/>
        </w:rPr>
        <w:t xml:space="preserve"> </w:t>
      </w:r>
      <w:proofErr w:type="spellStart"/>
      <w:r w:rsidRPr="008E3AC3" w:rsidDel="00C14B7E">
        <w:rPr>
          <w:rFonts w:eastAsia="MS Mincho"/>
          <w:szCs w:val="20"/>
          <w:lang w:val="en-US" w:eastAsia="zh-CN"/>
        </w:rPr>
        <w:t>sotalol</w:t>
      </w:r>
      <w:proofErr w:type="spellEnd"/>
      <w:r w:rsidR="008E3AC3" w:rsidRPr="008E3AC3">
        <w:rPr>
          <w:rFonts w:eastAsia="MS Mincho"/>
          <w:szCs w:val="20"/>
          <w:lang w:val="en-US" w:eastAsia="zh-CN"/>
        </w:rPr>
        <w:t xml:space="preserve">, </w:t>
      </w:r>
      <w:r w:rsidRPr="008E3AC3">
        <w:rPr>
          <w:rFonts w:eastAsia="MS Mincho"/>
          <w:szCs w:val="20"/>
          <w:lang w:val="en-US" w:eastAsia="zh-CN"/>
        </w:rPr>
        <w:t xml:space="preserve">ciprofloxacin, </w:t>
      </w:r>
      <w:proofErr w:type="spellStart"/>
      <w:r w:rsidRPr="008E3AC3">
        <w:rPr>
          <w:rFonts w:eastAsia="MS Mincho"/>
          <w:szCs w:val="20"/>
          <w:lang w:val="en-US" w:eastAsia="zh-CN"/>
        </w:rPr>
        <w:t>moxifloxacin</w:t>
      </w:r>
      <w:proofErr w:type="spellEnd"/>
      <w:r w:rsidRPr="008E3AC3">
        <w:rPr>
          <w:rFonts w:eastAsia="MS Mincho"/>
          <w:szCs w:val="20"/>
          <w:lang w:val="en-US" w:eastAsia="zh-CN"/>
        </w:rPr>
        <w:t xml:space="preserve">, erythromycin, clarithromycin, fluconazole, </w:t>
      </w:r>
      <w:proofErr w:type="spellStart"/>
      <w:r w:rsidRPr="008E3AC3">
        <w:rPr>
          <w:rFonts w:eastAsia="MS Mincho"/>
          <w:szCs w:val="20"/>
          <w:lang w:val="en-US" w:eastAsia="zh-CN"/>
        </w:rPr>
        <w:t>pentamidine</w:t>
      </w:r>
      <w:proofErr w:type="spellEnd"/>
      <w:r w:rsidR="008E3AC3">
        <w:rPr>
          <w:rFonts w:eastAsia="MS Mincho"/>
          <w:szCs w:val="20"/>
          <w:lang w:val="en-US" w:eastAsia="zh-CN"/>
        </w:rPr>
        <w:t xml:space="preserve">, </w:t>
      </w:r>
      <w:r w:rsidRPr="008E3AC3">
        <w:rPr>
          <w:rFonts w:eastAsia="MS Mincho"/>
          <w:szCs w:val="20"/>
          <w:lang w:val="en-US" w:eastAsia="zh-CN"/>
        </w:rPr>
        <w:t xml:space="preserve">citalopram, </w:t>
      </w:r>
      <w:proofErr w:type="spellStart"/>
      <w:r w:rsidRPr="008E3AC3">
        <w:rPr>
          <w:rFonts w:eastAsia="MS Mincho"/>
          <w:szCs w:val="20"/>
          <w:lang w:val="en-US" w:eastAsia="zh-CN"/>
        </w:rPr>
        <w:t>escitalopram</w:t>
      </w:r>
      <w:proofErr w:type="spellEnd"/>
      <w:r w:rsidRPr="008E3AC3">
        <w:rPr>
          <w:rFonts w:eastAsia="MS Mincho"/>
          <w:szCs w:val="20"/>
          <w:lang w:val="en-US" w:eastAsia="zh-CN"/>
        </w:rPr>
        <w:t xml:space="preserve">, </w:t>
      </w:r>
      <w:r w:rsidR="004F1C3C" w:rsidRPr="008E3AC3">
        <w:rPr>
          <w:rFonts w:eastAsia="MS Mincho"/>
          <w:szCs w:val="20"/>
          <w:lang w:val="en-US" w:eastAsia="zh-CN"/>
        </w:rPr>
        <w:t xml:space="preserve"> </w:t>
      </w:r>
      <w:r w:rsidRPr="008E3AC3">
        <w:rPr>
          <w:rFonts w:eastAsia="MS Mincho"/>
          <w:szCs w:val="20"/>
          <w:lang w:val="en-US" w:eastAsia="zh-CN"/>
        </w:rPr>
        <w:t xml:space="preserve">lithium, </w:t>
      </w:r>
      <w:r w:rsidR="008A140F">
        <w:rPr>
          <w:rFonts w:eastAsia="MS Mincho"/>
          <w:szCs w:val="20"/>
          <w:lang w:val="en-US" w:eastAsia="zh-CN"/>
        </w:rPr>
        <w:t xml:space="preserve">clomipramine, </w:t>
      </w:r>
      <w:proofErr w:type="spellStart"/>
      <w:r w:rsidR="008A140F">
        <w:rPr>
          <w:rFonts w:eastAsia="MS Mincho"/>
          <w:szCs w:val="20"/>
          <w:lang w:val="en-US" w:eastAsia="zh-CN"/>
        </w:rPr>
        <w:t>desipramine</w:t>
      </w:r>
      <w:proofErr w:type="spellEnd"/>
      <w:r w:rsidR="008A140F">
        <w:rPr>
          <w:rFonts w:eastAsia="MS Mincho"/>
          <w:szCs w:val="20"/>
          <w:lang w:val="en-US" w:eastAsia="zh-CN"/>
        </w:rPr>
        <w:t xml:space="preserve">, imipramine, </w:t>
      </w:r>
      <w:proofErr w:type="spellStart"/>
      <w:r w:rsidR="008A140F">
        <w:rPr>
          <w:rFonts w:eastAsia="MS Mincho"/>
          <w:szCs w:val="20"/>
          <w:lang w:val="en-US" w:eastAsia="zh-CN"/>
        </w:rPr>
        <w:t>trimipramine</w:t>
      </w:r>
      <w:proofErr w:type="spellEnd"/>
      <w:r w:rsidR="008A140F">
        <w:rPr>
          <w:rFonts w:eastAsia="MS Mincho"/>
          <w:szCs w:val="20"/>
          <w:lang w:val="en-US" w:eastAsia="zh-CN"/>
        </w:rPr>
        <w:t>,</w:t>
      </w:r>
      <w:r w:rsidR="008A140F" w:rsidRPr="008E3AC3" w:rsidDel="008A140F">
        <w:rPr>
          <w:lang w:val="en-US"/>
        </w:rPr>
        <w:t xml:space="preserve"> </w:t>
      </w:r>
      <w:r w:rsidRPr="00966DDE">
        <w:rPr>
          <w:rFonts w:eastAsia="MS Mincho"/>
          <w:szCs w:val="20"/>
          <w:lang w:eastAsia="zh-CN"/>
        </w:rPr>
        <w:t>chlorpromazine, haloperidol, ziprasidone</w:t>
      </w:r>
      <w:r w:rsidR="00966DDE" w:rsidRPr="00966DDE">
        <w:rPr>
          <w:rFonts w:eastAsia="MS Mincho"/>
          <w:szCs w:val="20"/>
          <w:lang w:eastAsia="zh-CN"/>
        </w:rPr>
        <w:t xml:space="preserve">, </w:t>
      </w:r>
      <w:proofErr w:type="spellStart"/>
      <w:r w:rsidR="004561A8" w:rsidRPr="00966DDE">
        <w:rPr>
          <w:rFonts w:eastAsia="MS Mincho"/>
          <w:szCs w:val="20"/>
          <w:lang w:eastAsia="zh-CN"/>
        </w:rPr>
        <w:t>cisapride</w:t>
      </w:r>
      <w:proofErr w:type="spellEnd"/>
      <w:r w:rsidR="004561A8" w:rsidRPr="00966DDE">
        <w:rPr>
          <w:rFonts w:eastAsia="MS Mincho"/>
          <w:szCs w:val="20"/>
          <w:lang w:eastAsia="zh-CN"/>
        </w:rPr>
        <w:t xml:space="preserve">, </w:t>
      </w:r>
      <w:r w:rsidR="004561A8" w:rsidRPr="00966DDE" w:rsidDel="00C14B7E">
        <w:rPr>
          <w:rFonts w:eastAsia="MS Mincho"/>
          <w:szCs w:val="20"/>
          <w:lang w:eastAsia="zh-CN"/>
        </w:rPr>
        <w:t>ondansetron</w:t>
      </w:r>
      <w:r w:rsidR="004561A8" w:rsidRPr="00966DDE">
        <w:rPr>
          <w:rFonts w:eastAsia="MS Mincho"/>
          <w:szCs w:val="20"/>
          <w:lang w:eastAsia="zh-CN"/>
        </w:rPr>
        <w:t xml:space="preserve">, </w:t>
      </w:r>
      <w:proofErr w:type="spellStart"/>
      <w:r w:rsidR="004561A8" w:rsidRPr="00966DDE">
        <w:rPr>
          <w:rFonts w:eastAsia="MS Mincho"/>
          <w:szCs w:val="20"/>
          <w:lang w:eastAsia="zh-CN"/>
        </w:rPr>
        <w:t>dolasetron</w:t>
      </w:r>
      <w:proofErr w:type="spellEnd"/>
      <w:r w:rsidR="004561A8" w:rsidRPr="00966DDE">
        <w:rPr>
          <w:rFonts w:eastAsia="MS Mincho"/>
          <w:szCs w:val="20"/>
          <w:lang w:eastAsia="zh-CN"/>
        </w:rPr>
        <w:t xml:space="preserve">, </w:t>
      </w:r>
      <w:r w:rsidRPr="00966DDE" w:rsidDel="00C14B7E">
        <w:rPr>
          <w:rFonts w:eastAsia="MS Mincho"/>
          <w:szCs w:val="20"/>
          <w:lang w:eastAsia="zh-CN"/>
        </w:rPr>
        <w:t xml:space="preserve">chloroquine, </w:t>
      </w:r>
      <w:proofErr w:type="spellStart"/>
      <w:r w:rsidRPr="00966DDE" w:rsidDel="00C14B7E">
        <w:rPr>
          <w:rFonts w:eastAsia="MS Mincho"/>
          <w:szCs w:val="20"/>
          <w:lang w:eastAsia="zh-CN"/>
        </w:rPr>
        <w:t>halofantrine</w:t>
      </w:r>
      <w:proofErr w:type="spellEnd"/>
      <w:r w:rsidRPr="00966DDE" w:rsidDel="00C14B7E">
        <w:rPr>
          <w:rFonts w:eastAsia="MS Mincho"/>
          <w:szCs w:val="20"/>
          <w:lang w:eastAsia="zh-CN"/>
        </w:rPr>
        <w:t xml:space="preserve">, methadone, </w:t>
      </w:r>
      <w:proofErr w:type="spellStart"/>
      <w:r w:rsidRPr="00966DDE" w:rsidDel="00C14B7E">
        <w:rPr>
          <w:rFonts w:eastAsia="MS Mincho"/>
          <w:szCs w:val="20"/>
          <w:lang w:eastAsia="zh-CN"/>
        </w:rPr>
        <w:t>bepridil</w:t>
      </w:r>
      <w:proofErr w:type="spellEnd"/>
      <w:r w:rsidR="008A140F">
        <w:rPr>
          <w:rFonts w:eastAsia="MS Mincho"/>
          <w:szCs w:val="20"/>
          <w:lang w:eastAsia="zh-CN"/>
        </w:rPr>
        <w:t xml:space="preserve">, and </w:t>
      </w:r>
      <w:proofErr w:type="spellStart"/>
      <w:r w:rsidRPr="00966DDE" w:rsidDel="00C14B7E">
        <w:rPr>
          <w:rFonts w:eastAsia="MS Mincho"/>
          <w:szCs w:val="20"/>
          <w:lang w:eastAsia="zh-CN"/>
        </w:rPr>
        <w:t>pimozide</w:t>
      </w:r>
      <w:proofErr w:type="spellEnd"/>
      <w:r w:rsidR="00106131" w:rsidRPr="00966DDE">
        <w:rPr>
          <w:rFonts w:eastAsia="MS Mincho"/>
          <w:szCs w:val="20"/>
          <w:lang w:eastAsia="zh-CN"/>
        </w:rPr>
        <w:t>)</w:t>
      </w:r>
      <w:r w:rsidRPr="00966DDE" w:rsidDel="00C14B7E">
        <w:rPr>
          <w:rFonts w:eastAsia="MS Mincho"/>
          <w:szCs w:val="20"/>
          <w:lang w:eastAsia="zh-CN"/>
        </w:rPr>
        <w:t xml:space="preserve">. </w:t>
      </w:r>
      <w:r w:rsidRPr="006E197C">
        <w:rPr>
          <w:rFonts w:eastAsia="MS Mincho"/>
          <w:szCs w:val="20"/>
          <w:lang w:val="en-US" w:eastAsia="zh-CN"/>
        </w:rPr>
        <w:t xml:space="preserve">If </w:t>
      </w:r>
      <w:proofErr w:type="spellStart"/>
      <w:r w:rsidRPr="006E197C">
        <w:rPr>
          <w:rFonts w:eastAsia="MS Mincho"/>
          <w:szCs w:val="20"/>
          <w:lang w:val="en-US" w:eastAsia="zh-CN"/>
        </w:rPr>
        <w:t>coadministration</w:t>
      </w:r>
      <w:proofErr w:type="spellEnd"/>
      <w:r w:rsidRPr="006E197C">
        <w:rPr>
          <w:rFonts w:eastAsia="MS Mincho"/>
          <w:szCs w:val="20"/>
          <w:lang w:val="en-US" w:eastAsia="zh-CN"/>
        </w:rPr>
        <w:t xml:space="preserve"> </w:t>
      </w:r>
      <w:proofErr w:type="gramStart"/>
      <w:r w:rsidRPr="006E197C">
        <w:rPr>
          <w:rFonts w:eastAsia="MS Mincho"/>
          <w:szCs w:val="20"/>
          <w:lang w:val="en-US" w:eastAsia="zh-CN"/>
        </w:rPr>
        <w:t>cannot be avoided</w:t>
      </w:r>
      <w:proofErr w:type="gramEnd"/>
      <w:r w:rsidRPr="006E197C">
        <w:rPr>
          <w:rFonts w:eastAsia="MS Mincho"/>
          <w:szCs w:val="20"/>
          <w:lang w:val="en-US" w:eastAsia="zh-CN"/>
        </w:rPr>
        <w:t xml:space="preserve">, consider reducing the dose of </w:t>
      </w:r>
      <w:proofErr w:type="spellStart"/>
      <w:r w:rsidRPr="006E197C">
        <w:rPr>
          <w:rFonts w:eastAsia="MS Mincho"/>
          <w:szCs w:val="20"/>
          <w:lang w:val="en-US" w:eastAsia="zh-CN"/>
        </w:rPr>
        <w:t>ribociclib</w:t>
      </w:r>
      <w:proofErr w:type="spellEnd"/>
      <w:r w:rsidRPr="006E197C">
        <w:rPr>
          <w:rFonts w:eastAsia="MS Mincho"/>
          <w:szCs w:val="20"/>
          <w:lang w:val="en-US" w:eastAsia="zh-CN"/>
        </w:rPr>
        <w:t xml:space="preserve"> and monitor</w:t>
      </w:r>
      <w:r w:rsidR="004C32AE">
        <w:rPr>
          <w:rFonts w:eastAsia="MS Mincho"/>
          <w:szCs w:val="20"/>
          <w:lang w:val="en-US" w:eastAsia="zh-CN"/>
        </w:rPr>
        <w:t xml:space="preserve"> </w:t>
      </w:r>
      <w:r w:rsidRPr="006E197C">
        <w:rPr>
          <w:rFonts w:eastAsia="MS Mincho"/>
          <w:szCs w:val="20"/>
          <w:lang w:val="en-US" w:eastAsia="zh-CN"/>
        </w:rPr>
        <w:t>by ECG for QT prolongation</w:t>
      </w:r>
      <w:r w:rsidR="003A38E6">
        <w:rPr>
          <w:rFonts w:eastAsia="MS Mincho"/>
          <w:szCs w:val="20"/>
          <w:lang w:val="en-US" w:eastAsia="zh-CN"/>
        </w:rPr>
        <w:t xml:space="preserve"> (see INTERACTIONS WITH OTHER MEDICINES - </w:t>
      </w:r>
      <w:r w:rsidR="003A38E6" w:rsidRPr="003A38E6">
        <w:rPr>
          <w:rFonts w:eastAsia="MS Mincho"/>
          <w:szCs w:val="20"/>
          <w:lang w:val="en-US" w:eastAsia="zh-CN"/>
        </w:rPr>
        <w:t xml:space="preserve">Drugs that may increase </w:t>
      </w:r>
      <w:proofErr w:type="spellStart"/>
      <w:r w:rsidR="003A38E6" w:rsidRPr="003A38E6">
        <w:rPr>
          <w:rFonts w:eastAsia="MS Mincho"/>
          <w:szCs w:val="20"/>
          <w:lang w:val="en-US" w:eastAsia="zh-CN"/>
        </w:rPr>
        <w:t>ribociclib</w:t>
      </w:r>
      <w:proofErr w:type="spellEnd"/>
      <w:r w:rsidR="003A38E6" w:rsidRPr="003A38E6">
        <w:rPr>
          <w:rFonts w:eastAsia="MS Mincho"/>
          <w:szCs w:val="20"/>
          <w:lang w:val="en-US" w:eastAsia="zh-CN"/>
        </w:rPr>
        <w:t xml:space="preserve"> plasma concentrations</w:t>
      </w:r>
      <w:r w:rsidR="003A38E6">
        <w:rPr>
          <w:rFonts w:eastAsia="MS Mincho"/>
          <w:szCs w:val="20"/>
          <w:lang w:val="en-US" w:eastAsia="zh-CN"/>
        </w:rPr>
        <w:t>)</w:t>
      </w:r>
      <w:r w:rsidRPr="006E197C">
        <w:rPr>
          <w:rFonts w:eastAsia="MS Mincho"/>
          <w:szCs w:val="20"/>
          <w:lang w:val="en-US" w:eastAsia="zh-CN"/>
        </w:rPr>
        <w:t>.</w:t>
      </w:r>
    </w:p>
    <w:p w14:paraId="3EC4FA89" w14:textId="77777777" w:rsidR="006C0569" w:rsidRDefault="006C0569" w:rsidP="00425C60">
      <w:pPr>
        <w:keepNext/>
        <w:keepLines/>
        <w:spacing w:before="120"/>
        <w:jc w:val="both"/>
        <w:rPr>
          <w:b/>
          <w:u w:val="single"/>
        </w:rPr>
      </w:pPr>
      <w:r w:rsidRPr="007F6B1F">
        <w:rPr>
          <w:b/>
          <w:i/>
          <w:u w:val="single"/>
        </w:rPr>
        <w:t>In vitro</w:t>
      </w:r>
      <w:r w:rsidRPr="009C2FD4">
        <w:rPr>
          <w:b/>
          <w:u w:val="single"/>
        </w:rPr>
        <w:t xml:space="preserve"> interaction data</w:t>
      </w:r>
    </w:p>
    <w:p w14:paraId="25CC3303" w14:textId="77777777" w:rsidR="006C0569" w:rsidRPr="009C2FD4" w:rsidRDefault="006C0569" w:rsidP="00425C60">
      <w:pPr>
        <w:keepNext/>
        <w:keepLines/>
        <w:spacing w:before="120"/>
        <w:jc w:val="both"/>
        <w:rPr>
          <w:rFonts w:eastAsia="MS Mincho"/>
          <w:b/>
          <w:szCs w:val="20"/>
          <w:lang w:val="en-US" w:eastAsia="zh-CN"/>
        </w:rPr>
      </w:pPr>
      <w:r w:rsidRPr="009C2FD4">
        <w:rPr>
          <w:rFonts w:eastAsia="MS Mincho"/>
          <w:b/>
          <w:szCs w:val="20"/>
          <w:lang w:val="en-US" w:eastAsia="zh-CN"/>
        </w:rPr>
        <w:t xml:space="preserve">Effect of </w:t>
      </w:r>
      <w:proofErr w:type="spellStart"/>
      <w:r w:rsidRPr="009C2FD4">
        <w:rPr>
          <w:rFonts w:eastAsia="MS Mincho"/>
          <w:b/>
          <w:szCs w:val="20"/>
          <w:lang w:val="en-US" w:eastAsia="zh-CN"/>
        </w:rPr>
        <w:t>ribociclib</w:t>
      </w:r>
      <w:proofErr w:type="spellEnd"/>
      <w:r w:rsidRPr="009C2FD4">
        <w:rPr>
          <w:rFonts w:eastAsia="MS Mincho"/>
          <w:b/>
          <w:szCs w:val="20"/>
          <w:lang w:val="en-US" w:eastAsia="zh-CN"/>
        </w:rPr>
        <w:t xml:space="preserve"> on cytochrome P450 enzymes</w:t>
      </w:r>
    </w:p>
    <w:p w14:paraId="24A4083B" w14:textId="77777777" w:rsidR="006C0569" w:rsidRPr="006C0569" w:rsidRDefault="006C0569" w:rsidP="006C0569">
      <w:pPr>
        <w:spacing w:before="120"/>
        <w:jc w:val="both"/>
        <w:rPr>
          <w:rFonts w:eastAsia="MS Mincho"/>
          <w:i/>
          <w:szCs w:val="20"/>
          <w:lang w:val="en-US" w:eastAsia="zh-CN"/>
        </w:rPr>
      </w:pPr>
      <w:r w:rsidRPr="006C0569">
        <w:rPr>
          <w:rFonts w:eastAsia="MS Mincho"/>
          <w:i/>
          <w:szCs w:val="20"/>
          <w:lang w:val="en-US" w:eastAsia="zh-CN"/>
        </w:rPr>
        <w:t xml:space="preserve">In vitro, </w:t>
      </w:r>
      <w:proofErr w:type="spellStart"/>
      <w:r w:rsidRPr="006C0569">
        <w:rPr>
          <w:rFonts w:eastAsia="MS Mincho"/>
          <w:szCs w:val="20"/>
          <w:lang w:val="en-US" w:eastAsia="zh-CN"/>
        </w:rPr>
        <w:t>ribociclib</w:t>
      </w:r>
      <w:proofErr w:type="spellEnd"/>
      <w:r w:rsidRPr="006C0569">
        <w:rPr>
          <w:rFonts w:eastAsia="MS Mincho"/>
          <w:szCs w:val="20"/>
          <w:lang w:val="en-US" w:eastAsia="zh-CN"/>
        </w:rPr>
        <w:t xml:space="preserve"> is a reversible inhibitor of CYP1A2, CYP2E1 and CYP3A4/5 and a time</w:t>
      </w:r>
      <w:r w:rsidRPr="006C0569">
        <w:rPr>
          <w:rFonts w:eastAsia="MS Mincho"/>
          <w:szCs w:val="20"/>
          <w:lang w:val="en-US" w:eastAsia="zh-CN"/>
        </w:rPr>
        <w:noBreakHyphen/>
        <w:t xml:space="preserve">dependent inhibitor of CYP3A4/5, at clinically relevant concentrations. In vitro evaluations indicated that </w:t>
      </w:r>
      <w:proofErr w:type="spellStart"/>
      <w:r w:rsidRPr="006C0569">
        <w:rPr>
          <w:rFonts w:eastAsia="MS Mincho"/>
          <w:szCs w:val="20"/>
          <w:lang w:val="en-US" w:eastAsia="zh-CN"/>
        </w:rPr>
        <w:t>ribociclib</w:t>
      </w:r>
      <w:proofErr w:type="spellEnd"/>
      <w:r w:rsidRPr="006C0569">
        <w:rPr>
          <w:rFonts w:eastAsia="MS Mincho"/>
          <w:szCs w:val="20"/>
          <w:lang w:val="en-US" w:eastAsia="zh-CN"/>
        </w:rPr>
        <w:t xml:space="preserve"> has no potential to inhibit the activities of CYP2A6, CYP2B6, CYP2C8, CYP2C9, CYP2C19, and CYP2D6 at clinically relevant concentrations. </w:t>
      </w:r>
      <w:proofErr w:type="spellStart"/>
      <w:r w:rsidRPr="006C0569">
        <w:rPr>
          <w:rFonts w:eastAsia="MS Mincho"/>
          <w:szCs w:val="20"/>
          <w:lang w:val="en-US" w:eastAsia="zh-CN"/>
        </w:rPr>
        <w:t>Ribociclib</w:t>
      </w:r>
      <w:proofErr w:type="spellEnd"/>
      <w:r w:rsidRPr="006C0569">
        <w:rPr>
          <w:rFonts w:eastAsia="MS Mincho"/>
          <w:szCs w:val="20"/>
          <w:lang w:val="en-US" w:eastAsia="zh-CN"/>
        </w:rPr>
        <w:t xml:space="preserve"> has no potential for time</w:t>
      </w:r>
      <w:r w:rsidRPr="006C0569">
        <w:rPr>
          <w:rFonts w:eastAsia="MS Mincho"/>
          <w:szCs w:val="20"/>
          <w:lang w:val="en-US" w:eastAsia="zh-CN"/>
        </w:rPr>
        <w:noBreakHyphen/>
        <w:t>dependent inhibition of CYP1A2, CYP2C9, and CYP2D6.</w:t>
      </w:r>
    </w:p>
    <w:p w14:paraId="6073EF3B" w14:textId="77777777" w:rsidR="006C0569" w:rsidRPr="00686406" w:rsidRDefault="006C0569" w:rsidP="006C0569">
      <w:pPr>
        <w:spacing w:before="120"/>
        <w:jc w:val="both"/>
        <w:rPr>
          <w:rFonts w:eastAsia="MS Mincho"/>
          <w:szCs w:val="20"/>
          <w:lang w:val="en-US" w:eastAsia="zh-CN"/>
        </w:rPr>
      </w:pPr>
      <w:r w:rsidRPr="006C0569">
        <w:rPr>
          <w:rFonts w:eastAsia="MS Mincho"/>
          <w:i/>
          <w:szCs w:val="20"/>
          <w:lang w:val="en-US" w:eastAsia="zh-CN"/>
        </w:rPr>
        <w:t>In vitro</w:t>
      </w:r>
      <w:r w:rsidRPr="006C0569">
        <w:rPr>
          <w:rFonts w:eastAsia="MS Mincho"/>
          <w:szCs w:val="20"/>
          <w:lang w:val="en-US" w:eastAsia="zh-CN"/>
        </w:rPr>
        <w:t xml:space="preserve"> data indicate that </w:t>
      </w:r>
      <w:proofErr w:type="spellStart"/>
      <w:r w:rsidRPr="006C0569">
        <w:rPr>
          <w:rFonts w:eastAsia="MS Mincho"/>
          <w:szCs w:val="20"/>
          <w:lang w:val="en-US" w:eastAsia="zh-CN"/>
        </w:rPr>
        <w:t>ribociclib</w:t>
      </w:r>
      <w:proofErr w:type="spellEnd"/>
      <w:r w:rsidRPr="006C0569">
        <w:rPr>
          <w:rFonts w:eastAsia="MS Mincho"/>
          <w:szCs w:val="20"/>
          <w:lang w:val="en-US" w:eastAsia="zh-CN"/>
        </w:rPr>
        <w:t xml:space="preserve"> has no potential to induce UGT enzymes or the CYP enzymes CYP2B6, CYP2C9, CYP2C19 and CYP3A4 via CAR or PXR. Therefore, </w:t>
      </w:r>
      <w:proofErr w:type="spellStart"/>
      <w:r w:rsidRPr="006C0569">
        <w:rPr>
          <w:rFonts w:eastAsia="MS Mincho"/>
          <w:szCs w:val="20"/>
          <w:lang w:val="en-US" w:eastAsia="zh-CN"/>
        </w:rPr>
        <w:t>Kisqali</w:t>
      </w:r>
      <w:proofErr w:type="spellEnd"/>
      <w:r w:rsidRPr="006C0569">
        <w:rPr>
          <w:rFonts w:eastAsia="MS Mincho"/>
          <w:szCs w:val="20"/>
          <w:lang w:val="en-US" w:eastAsia="zh-CN"/>
        </w:rPr>
        <w:t xml:space="preserve"> is unlikely to affect substrates of these enzymes.</w:t>
      </w:r>
    </w:p>
    <w:p w14:paraId="5AAD9C06" w14:textId="77777777" w:rsidR="006C0569" w:rsidRPr="007F6B1F" w:rsidRDefault="006C0569" w:rsidP="006C0569">
      <w:pPr>
        <w:keepNext/>
        <w:keepLines/>
        <w:spacing w:before="240" w:after="60"/>
        <w:rPr>
          <w:b/>
        </w:rPr>
      </w:pPr>
      <w:r w:rsidRPr="007F6B1F">
        <w:rPr>
          <w:b/>
        </w:rPr>
        <w:t xml:space="preserve">Effect of transporters on </w:t>
      </w:r>
      <w:proofErr w:type="spellStart"/>
      <w:r w:rsidRPr="007F6B1F">
        <w:rPr>
          <w:b/>
        </w:rPr>
        <w:t>ribociclib</w:t>
      </w:r>
      <w:proofErr w:type="spellEnd"/>
      <w:r w:rsidRPr="007F6B1F">
        <w:rPr>
          <w:b/>
        </w:rPr>
        <w:t xml:space="preserve"> </w:t>
      </w:r>
    </w:p>
    <w:p w14:paraId="51477A1B" w14:textId="6C88B890" w:rsidR="006C0569" w:rsidRDefault="006C0569" w:rsidP="006C0569">
      <w:pPr>
        <w:spacing w:before="120"/>
        <w:jc w:val="both"/>
        <w:rPr>
          <w:rFonts w:eastAsia="MS Mincho"/>
          <w:szCs w:val="20"/>
          <w:lang w:val="en-US" w:eastAsia="en-US"/>
        </w:rPr>
      </w:pPr>
      <w:r w:rsidRPr="00482539">
        <w:rPr>
          <w:rFonts w:eastAsia="MS Mincho"/>
          <w:szCs w:val="20"/>
          <w:lang w:val="en-US" w:eastAsia="en-US"/>
        </w:rPr>
        <w:t xml:space="preserve">Based on </w:t>
      </w:r>
      <w:r w:rsidRPr="00482539">
        <w:rPr>
          <w:rFonts w:eastAsia="MS Mincho"/>
          <w:i/>
          <w:szCs w:val="20"/>
          <w:lang w:val="en-US" w:eastAsia="en-US"/>
        </w:rPr>
        <w:t>in vitro</w:t>
      </w:r>
      <w:r w:rsidRPr="00482539">
        <w:rPr>
          <w:rFonts w:eastAsia="MS Mincho"/>
          <w:szCs w:val="20"/>
          <w:lang w:val="en-US" w:eastAsia="en-US"/>
        </w:rPr>
        <w:t xml:space="preserve"> data,</w:t>
      </w:r>
      <w:r w:rsidR="00A455D1">
        <w:rPr>
          <w:rFonts w:eastAsia="MS Mincho"/>
          <w:szCs w:val="20"/>
          <w:lang w:val="en-US" w:eastAsia="en-US"/>
        </w:rPr>
        <w:t xml:space="preserve"> </w:t>
      </w:r>
      <w:proofErr w:type="spellStart"/>
      <w:r w:rsidR="00A455D1" w:rsidRPr="00A455D1">
        <w:rPr>
          <w:rFonts w:eastAsia="MS Mincho"/>
          <w:szCs w:val="20"/>
          <w:lang w:val="en-US" w:eastAsia="en-US"/>
        </w:rPr>
        <w:t>ribociclib</w:t>
      </w:r>
      <w:proofErr w:type="spellEnd"/>
      <w:r w:rsidR="00A455D1" w:rsidRPr="00A455D1">
        <w:rPr>
          <w:rFonts w:eastAsia="MS Mincho"/>
          <w:szCs w:val="20"/>
          <w:lang w:val="en-US" w:eastAsia="en-US"/>
        </w:rPr>
        <w:t xml:space="preserve"> is a substrate of P-</w:t>
      </w:r>
      <w:proofErr w:type="spellStart"/>
      <w:r w:rsidR="00A455D1" w:rsidRPr="00A455D1">
        <w:rPr>
          <w:rFonts w:eastAsia="MS Mincho"/>
          <w:szCs w:val="20"/>
          <w:lang w:val="en-US" w:eastAsia="en-US"/>
        </w:rPr>
        <w:t>gp</w:t>
      </w:r>
      <w:proofErr w:type="spellEnd"/>
      <w:r w:rsidR="00A455D1" w:rsidRPr="00A455D1">
        <w:rPr>
          <w:rFonts w:eastAsia="MS Mincho"/>
          <w:szCs w:val="20"/>
          <w:lang w:val="en-US" w:eastAsia="en-US"/>
        </w:rPr>
        <w:t xml:space="preserve"> but not a substrate of BCRP. However, P-</w:t>
      </w:r>
      <w:proofErr w:type="spellStart"/>
      <w:r w:rsidR="00A455D1" w:rsidRPr="00A455D1">
        <w:rPr>
          <w:rFonts w:eastAsia="MS Mincho"/>
          <w:szCs w:val="20"/>
          <w:lang w:val="en-US" w:eastAsia="en-US"/>
        </w:rPr>
        <w:t>gp</w:t>
      </w:r>
      <w:proofErr w:type="spellEnd"/>
      <w:r w:rsidR="00A455D1" w:rsidRPr="00A455D1">
        <w:rPr>
          <w:rFonts w:eastAsia="MS Mincho"/>
          <w:szCs w:val="20"/>
          <w:lang w:val="en-US" w:eastAsia="en-US"/>
        </w:rPr>
        <w:t xml:space="preserve"> mediated transport is unlikely to affect the extent of oral absorption of </w:t>
      </w:r>
      <w:proofErr w:type="spellStart"/>
      <w:r w:rsidR="00A455D1" w:rsidRPr="00A455D1">
        <w:rPr>
          <w:rFonts w:eastAsia="MS Mincho"/>
          <w:szCs w:val="20"/>
          <w:lang w:val="en-US" w:eastAsia="en-US"/>
        </w:rPr>
        <w:t>ribociclib</w:t>
      </w:r>
      <w:proofErr w:type="spellEnd"/>
      <w:r w:rsidR="00A455D1" w:rsidRPr="00A455D1">
        <w:rPr>
          <w:rFonts w:eastAsia="MS Mincho"/>
          <w:szCs w:val="20"/>
          <w:lang w:val="en-US" w:eastAsia="en-US"/>
        </w:rPr>
        <w:t xml:space="preserve"> at therapeutic doses because of moderate passive permeability</w:t>
      </w:r>
      <w:r w:rsidR="00A455D1">
        <w:rPr>
          <w:rFonts w:eastAsia="MS Mincho"/>
          <w:szCs w:val="20"/>
          <w:lang w:val="en-US" w:eastAsia="en-US"/>
        </w:rPr>
        <w:t>.</w:t>
      </w:r>
    </w:p>
    <w:p w14:paraId="3E24352D" w14:textId="77777777" w:rsidR="006C0569" w:rsidRPr="007F6B1F" w:rsidRDefault="006C0569" w:rsidP="006C0569">
      <w:pPr>
        <w:keepNext/>
        <w:keepLines/>
        <w:spacing w:before="240" w:after="60"/>
        <w:rPr>
          <w:b/>
        </w:rPr>
      </w:pPr>
      <w:r w:rsidRPr="007F6B1F">
        <w:rPr>
          <w:b/>
        </w:rPr>
        <w:t xml:space="preserve">Effect of </w:t>
      </w:r>
      <w:proofErr w:type="spellStart"/>
      <w:r w:rsidRPr="007F6B1F">
        <w:rPr>
          <w:b/>
        </w:rPr>
        <w:t>ribociclib</w:t>
      </w:r>
      <w:proofErr w:type="spellEnd"/>
      <w:r w:rsidRPr="007F6B1F">
        <w:rPr>
          <w:b/>
        </w:rPr>
        <w:t xml:space="preserve"> on transporters</w:t>
      </w:r>
    </w:p>
    <w:p w14:paraId="2B6E4537" w14:textId="541D4E65" w:rsidR="00E60C3A" w:rsidRDefault="00E60C3A" w:rsidP="00465907">
      <w:pPr>
        <w:spacing w:before="120"/>
        <w:jc w:val="both"/>
        <w:rPr>
          <w:rFonts w:eastAsia="MS Mincho"/>
          <w:szCs w:val="20"/>
          <w:lang w:val="en-US" w:eastAsia="zh-CN"/>
        </w:rPr>
      </w:pPr>
      <w:r w:rsidRPr="00E60C3A">
        <w:rPr>
          <w:rFonts w:eastAsia="MS Mincho"/>
          <w:i/>
          <w:szCs w:val="20"/>
          <w:lang w:val="en-US" w:eastAsia="zh-CN"/>
        </w:rPr>
        <w:t>In vitro</w:t>
      </w:r>
      <w:r w:rsidRPr="00E60C3A">
        <w:rPr>
          <w:rFonts w:eastAsia="MS Mincho"/>
          <w:szCs w:val="20"/>
          <w:lang w:val="en-US" w:eastAsia="zh-CN"/>
        </w:rPr>
        <w:t xml:space="preserve"> evaluations indicated that </w:t>
      </w:r>
      <w:proofErr w:type="spellStart"/>
      <w:r w:rsidRPr="00E60C3A">
        <w:rPr>
          <w:rFonts w:eastAsia="MS Mincho"/>
          <w:szCs w:val="20"/>
          <w:lang w:val="en-US" w:eastAsia="zh-CN"/>
        </w:rPr>
        <w:t>ribociclib</w:t>
      </w:r>
      <w:proofErr w:type="spellEnd"/>
      <w:r w:rsidRPr="00E60C3A">
        <w:rPr>
          <w:rFonts w:eastAsia="MS Mincho"/>
          <w:szCs w:val="20"/>
          <w:lang w:val="en-US" w:eastAsia="zh-CN"/>
        </w:rPr>
        <w:t xml:space="preserve"> has a potential to inhibit the activities of drug transporters </w:t>
      </w:r>
      <w:proofErr w:type="spellStart"/>
      <w:r w:rsidRPr="00E60C3A">
        <w:rPr>
          <w:rFonts w:eastAsia="MS Mincho"/>
          <w:szCs w:val="20"/>
          <w:lang w:val="en-US" w:eastAsia="zh-CN"/>
        </w:rPr>
        <w:t>Pgp</w:t>
      </w:r>
      <w:proofErr w:type="spellEnd"/>
      <w:r w:rsidRPr="00E60C3A">
        <w:rPr>
          <w:rFonts w:eastAsia="MS Mincho"/>
          <w:szCs w:val="20"/>
          <w:lang w:val="en-US" w:eastAsia="zh-CN"/>
        </w:rPr>
        <w:t xml:space="preserve">, BCRP, OATP1B1/1B3, OCT1, OCT2, MATE1, MATE2K and BSEP. Caution and monitoring for toxicity are advised during concomitant treatment with sensitive substrates of these </w:t>
      </w:r>
      <w:proofErr w:type="gramStart"/>
      <w:r w:rsidRPr="00E60C3A">
        <w:rPr>
          <w:rFonts w:eastAsia="MS Mincho"/>
          <w:szCs w:val="20"/>
          <w:lang w:val="en-US" w:eastAsia="zh-CN"/>
        </w:rPr>
        <w:t>transporters which</w:t>
      </w:r>
      <w:proofErr w:type="gramEnd"/>
      <w:r w:rsidRPr="00E60C3A">
        <w:rPr>
          <w:rFonts w:eastAsia="MS Mincho"/>
          <w:szCs w:val="20"/>
          <w:lang w:val="en-US" w:eastAsia="zh-CN"/>
        </w:rPr>
        <w:t xml:space="preserve"> exhibit a narrow therapeutic index, including but not limited to digoxin, </w:t>
      </w:r>
      <w:proofErr w:type="spellStart"/>
      <w:r w:rsidRPr="00E60C3A">
        <w:rPr>
          <w:rFonts w:eastAsia="MS Mincho"/>
          <w:szCs w:val="20"/>
          <w:lang w:val="en-US" w:eastAsia="zh-CN"/>
        </w:rPr>
        <w:t>pitavastatin</w:t>
      </w:r>
      <w:proofErr w:type="spellEnd"/>
      <w:r w:rsidRPr="00E60C3A">
        <w:rPr>
          <w:rFonts w:eastAsia="MS Mincho"/>
          <w:szCs w:val="20"/>
          <w:lang w:val="en-US" w:eastAsia="zh-CN"/>
        </w:rPr>
        <w:t xml:space="preserve"> and pravastatin. </w:t>
      </w:r>
      <w:proofErr w:type="spellStart"/>
      <w:r w:rsidRPr="00E60C3A">
        <w:rPr>
          <w:rFonts w:eastAsia="MS Mincho"/>
          <w:szCs w:val="20"/>
          <w:lang w:val="en-US" w:eastAsia="zh-CN"/>
        </w:rPr>
        <w:t>Ribociclib</w:t>
      </w:r>
      <w:proofErr w:type="spellEnd"/>
      <w:r w:rsidRPr="00E60C3A">
        <w:rPr>
          <w:rFonts w:eastAsia="MS Mincho"/>
          <w:szCs w:val="20"/>
          <w:lang w:val="en-US" w:eastAsia="zh-CN"/>
        </w:rPr>
        <w:t xml:space="preserve"> did not inhibit OAT1, OAT3 or MRP2 at clinically relevant concentrations </w:t>
      </w:r>
      <w:r w:rsidRPr="00E60C3A">
        <w:rPr>
          <w:rFonts w:eastAsia="MS Mincho"/>
          <w:i/>
          <w:szCs w:val="20"/>
          <w:lang w:val="en-US" w:eastAsia="zh-CN"/>
        </w:rPr>
        <w:t>in vitro</w:t>
      </w:r>
      <w:r w:rsidRPr="00E60C3A">
        <w:rPr>
          <w:rFonts w:eastAsia="MS Mincho"/>
          <w:szCs w:val="20"/>
          <w:lang w:val="en-US" w:eastAsia="zh-CN"/>
        </w:rPr>
        <w:t>.</w:t>
      </w:r>
    </w:p>
    <w:p w14:paraId="1E5A89DD" w14:textId="7F81C622" w:rsidR="003A131D" w:rsidRPr="007F6B1F" w:rsidRDefault="00E356B0" w:rsidP="00465907">
      <w:pPr>
        <w:autoSpaceDE w:val="0"/>
        <w:autoSpaceDN w:val="0"/>
        <w:adjustRightInd w:val="0"/>
        <w:spacing w:before="120" w:after="120" w:line="300" w:lineRule="exact"/>
        <w:jc w:val="both"/>
        <w:rPr>
          <w:b/>
          <w:u w:val="single"/>
        </w:rPr>
      </w:pPr>
      <w:r w:rsidRPr="00E356B0">
        <w:rPr>
          <w:b/>
          <w:u w:val="single"/>
        </w:rPr>
        <w:t xml:space="preserve">Drug </w:t>
      </w:r>
      <w:proofErr w:type="spellStart"/>
      <w:r w:rsidRPr="00E356B0">
        <w:rPr>
          <w:b/>
          <w:u w:val="single"/>
        </w:rPr>
        <w:t>drug</w:t>
      </w:r>
      <w:proofErr w:type="spellEnd"/>
      <w:r w:rsidRPr="00E356B0">
        <w:rPr>
          <w:b/>
          <w:u w:val="single"/>
        </w:rPr>
        <w:t xml:space="preserve"> interaction between </w:t>
      </w:r>
      <w:proofErr w:type="spellStart"/>
      <w:r w:rsidRPr="00E356B0">
        <w:rPr>
          <w:b/>
          <w:u w:val="single"/>
        </w:rPr>
        <w:t>ribociclib</w:t>
      </w:r>
      <w:proofErr w:type="spellEnd"/>
      <w:r w:rsidRPr="00E356B0">
        <w:rPr>
          <w:b/>
          <w:u w:val="single"/>
        </w:rPr>
        <w:t xml:space="preserve"> and </w:t>
      </w:r>
      <w:proofErr w:type="spellStart"/>
      <w:r w:rsidR="003A131D" w:rsidRPr="007F6B1F">
        <w:rPr>
          <w:b/>
          <w:u w:val="single"/>
        </w:rPr>
        <w:t>Letrozole</w:t>
      </w:r>
      <w:proofErr w:type="spellEnd"/>
    </w:p>
    <w:p w14:paraId="3B822637" w14:textId="309AFA7E" w:rsidR="003A131D" w:rsidRPr="003A131D" w:rsidRDefault="000934A9" w:rsidP="00E975E8">
      <w:pPr>
        <w:autoSpaceDE w:val="0"/>
        <w:autoSpaceDN w:val="0"/>
        <w:adjustRightInd w:val="0"/>
        <w:spacing w:after="120" w:line="300" w:lineRule="exact"/>
        <w:jc w:val="both"/>
      </w:pPr>
      <w:r>
        <w:t>Comparison of d</w:t>
      </w:r>
      <w:r w:rsidR="003A131D" w:rsidRPr="003A131D">
        <w:t>ata from a clinical trial in patients with breast cancer (</w:t>
      </w:r>
      <w:r w:rsidR="00F60442">
        <w:t xml:space="preserve">Study </w:t>
      </w:r>
      <w:r w:rsidR="003A131D" w:rsidRPr="003A131D">
        <w:t xml:space="preserve">X2107) </w:t>
      </w:r>
      <w:r>
        <w:t xml:space="preserve">to historical controls, </w:t>
      </w:r>
      <w:r w:rsidR="003A131D" w:rsidRPr="003A131D">
        <w:t xml:space="preserve">and </w:t>
      </w:r>
      <w:r>
        <w:t xml:space="preserve">a </w:t>
      </w:r>
      <w:r w:rsidR="003A131D" w:rsidRPr="003A131D">
        <w:t xml:space="preserve">population PK analysis indicated no </w:t>
      </w:r>
      <w:r>
        <w:t xml:space="preserve">clinically important </w:t>
      </w:r>
      <w:r w:rsidR="003A131D" w:rsidRPr="003A131D">
        <w:t xml:space="preserve">drug interaction between </w:t>
      </w:r>
      <w:proofErr w:type="spellStart"/>
      <w:r w:rsidR="003A131D" w:rsidRPr="003A131D">
        <w:t>ribociclib</w:t>
      </w:r>
      <w:proofErr w:type="spellEnd"/>
      <w:r w:rsidR="003A131D" w:rsidRPr="003A131D">
        <w:t xml:space="preserve"> and </w:t>
      </w:r>
      <w:proofErr w:type="spellStart"/>
      <w:r w:rsidR="003A131D" w:rsidRPr="003A131D">
        <w:t>letrozole</w:t>
      </w:r>
      <w:proofErr w:type="spellEnd"/>
      <w:r w:rsidR="003A131D" w:rsidRPr="003A131D">
        <w:t xml:space="preserve"> following co-administration of the drugs.</w:t>
      </w:r>
    </w:p>
    <w:p w14:paraId="701ADCCB" w14:textId="020FFDF6" w:rsidR="00E975E8" w:rsidRPr="00D86C98" w:rsidRDefault="00D86C98" w:rsidP="00D76CF5">
      <w:pPr>
        <w:keepNext/>
        <w:autoSpaceDE w:val="0"/>
        <w:autoSpaceDN w:val="0"/>
        <w:adjustRightInd w:val="0"/>
        <w:spacing w:after="120" w:line="300" w:lineRule="exact"/>
        <w:jc w:val="both"/>
        <w:rPr>
          <w:b/>
          <w:u w:val="single"/>
        </w:rPr>
      </w:pPr>
      <w:r w:rsidRPr="00D86C98">
        <w:rPr>
          <w:b/>
          <w:u w:val="single"/>
        </w:rPr>
        <w:t xml:space="preserve">Drugs that may increase </w:t>
      </w:r>
      <w:proofErr w:type="spellStart"/>
      <w:r w:rsidRPr="00D86C98">
        <w:rPr>
          <w:b/>
          <w:u w:val="single"/>
        </w:rPr>
        <w:t>ribociclib</w:t>
      </w:r>
      <w:proofErr w:type="spellEnd"/>
      <w:r w:rsidRPr="00D86C98">
        <w:rPr>
          <w:b/>
          <w:u w:val="single"/>
        </w:rPr>
        <w:t xml:space="preserve"> plasma concentrations</w:t>
      </w:r>
    </w:p>
    <w:p w14:paraId="2BED4A82" w14:textId="566E7C9B" w:rsidR="005A17EF" w:rsidRDefault="005A17EF" w:rsidP="000D0D1E">
      <w:pPr>
        <w:widowControl w:val="0"/>
        <w:autoSpaceDE w:val="0"/>
        <w:autoSpaceDN w:val="0"/>
        <w:adjustRightInd w:val="0"/>
        <w:spacing w:before="120" w:after="120" w:line="300" w:lineRule="exact"/>
        <w:jc w:val="both"/>
      </w:pPr>
      <w:proofErr w:type="spellStart"/>
      <w:r w:rsidRPr="00A65C39">
        <w:rPr>
          <w:rFonts w:eastAsia="MS Mincho"/>
          <w:szCs w:val="20"/>
          <w:lang w:val="en-US" w:eastAsia="zh-CN"/>
        </w:rPr>
        <w:t>Ribociclib</w:t>
      </w:r>
      <w:proofErr w:type="spellEnd"/>
      <w:r w:rsidRPr="00A65C39">
        <w:rPr>
          <w:rFonts w:eastAsia="MS Mincho"/>
          <w:szCs w:val="20"/>
          <w:lang w:val="en-US" w:eastAsia="zh-CN"/>
        </w:rPr>
        <w:t xml:space="preserve"> </w:t>
      </w:r>
      <w:proofErr w:type="gramStart"/>
      <w:r w:rsidRPr="00A65C39">
        <w:rPr>
          <w:rFonts w:eastAsia="MS Mincho"/>
          <w:szCs w:val="20"/>
          <w:lang w:val="en-US" w:eastAsia="zh-CN"/>
        </w:rPr>
        <w:t>is primarily metabolized</w:t>
      </w:r>
      <w:proofErr w:type="gramEnd"/>
      <w:r w:rsidRPr="00A65C39">
        <w:rPr>
          <w:rFonts w:eastAsia="MS Mincho"/>
          <w:szCs w:val="20"/>
          <w:lang w:val="en-US" w:eastAsia="zh-CN"/>
        </w:rPr>
        <w:t xml:space="preserve"> by CYP3A</w:t>
      </w:r>
      <w:r w:rsidR="00BA7443">
        <w:rPr>
          <w:rFonts w:eastAsia="MS Mincho"/>
          <w:szCs w:val="20"/>
          <w:lang w:val="en-US" w:eastAsia="zh-CN"/>
        </w:rPr>
        <w:t>4</w:t>
      </w:r>
      <w:r w:rsidR="00BE1432">
        <w:rPr>
          <w:rFonts w:eastAsia="MS Mincho"/>
          <w:szCs w:val="20"/>
          <w:lang w:val="en-US" w:eastAsia="zh-CN"/>
        </w:rPr>
        <w:t xml:space="preserve"> and is a time-dependent inhibitor of CYP3A</w:t>
      </w:r>
      <w:r w:rsidR="00BA7443">
        <w:rPr>
          <w:rFonts w:eastAsia="MS Mincho"/>
          <w:szCs w:val="20"/>
          <w:lang w:val="en-US" w:eastAsia="zh-CN"/>
        </w:rPr>
        <w:t>4</w:t>
      </w:r>
      <w:r w:rsidR="00BE1432">
        <w:rPr>
          <w:rFonts w:eastAsia="MS Mincho"/>
          <w:szCs w:val="20"/>
          <w:lang w:val="en-US" w:eastAsia="zh-CN"/>
        </w:rPr>
        <w:t xml:space="preserve"> </w:t>
      </w:r>
      <w:r w:rsidR="00BE1432" w:rsidRPr="00BE1432">
        <w:rPr>
          <w:rFonts w:eastAsia="MS Mincho"/>
          <w:i/>
          <w:szCs w:val="20"/>
          <w:lang w:val="en-US" w:eastAsia="zh-CN"/>
        </w:rPr>
        <w:t>in vitro</w:t>
      </w:r>
      <w:r w:rsidR="00BE1432">
        <w:rPr>
          <w:rFonts w:eastAsia="MS Mincho"/>
          <w:i/>
          <w:szCs w:val="20"/>
          <w:lang w:val="en-US" w:eastAsia="zh-CN"/>
        </w:rPr>
        <w:t xml:space="preserve"> </w:t>
      </w:r>
      <w:r w:rsidR="00BE1432" w:rsidRPr="00BE1432">
        <w:rPr>
          <w:rFonts w:eastAsia="MS Mincho"/>
          <w:szCs w:val="20"/>
          <w:lang w:val="en-US" w:eastAsia="zh-CN"/>
        </w:rPr>
        <w:t>(see PHARMACOLOGY</w:t>
      </w:r>
      <w:r w:rsidR="00BE1432">
        <w:rPr>
          <w:rFonts w:eastAsia="MS Mincho"/>
          <w:i/>
          <w:szCs w:val="20"/>
          <w:lang w:val="en-US" w:eastAsia="zh-CN"/>
        </w:rPr>
        <w:t xml:space="preserve"> – </w:t>
      </w:r>
      <w:r w:rsidR="00BE1432">
        <w:rPr>
          <w:rFonts w:eastAsia="MS Mincho"/>
          <w:szCs w:val="20"/>
          <w:lang w:val="en-US" w:eastAsia="zh-CN"/>
        </w:rPr>
        <w:t xml:space="preserve">Pharmacokinetics: </w:t>
      </w:r>
      <w:r w:rsidR="00BE1432" w:rsidRPr="00BE1432">
        <w:rPr>
          <w:rFonts w:eastAsia="MS Mincho"/>
          <w:szCs w:val="20"/>
          <w:lang w:val="en-US" w:eastAsia="zh-CN"/>
        </w:rPr>
        <w:t>Biotransformation/Metabolism</w:t>
      </w:r>
      <w:r w:rsidR="00BE1432">
        <w:rPr>
          <w:rFonts w:eastAsia="MS Mincho"/>
          <w:szCs w:val="20"/>
          <w:lang w:val="en-US" w:eastAsia="zh-CN"/>
        </w:rPr>
        <w:t>)</w:t>
      </w:r>
      <w:r w:rsidRPr="00A65C39">
        <w:rPr>
          <w:rFonts w:eastAsia="MS Mincho"/>
          <w:szCs w:val="20"/>
          <w:lang w:val="en-US" w:eastAsia="zh-CN"/>
        </w:rPr>
        <w:t xml:space="preserve">. Therefore, medicinal </w:t>
      </w:r>
      <w:proofErr w:type="gramStart"/>
      <w:r w:rsidRPr="00A65C39">
        <w:rPr>
          <w:rFonts w:eastAsia="MS Mincho"/>
          <w:szCs w:val="20"/>
          <w:lang w:val="en-US" w:eastAsia="zh-CN"/>
        </w:rPr>
        <w:t>products which can influence</w:t>
      </w:r>
      <w:r w:rsidRPr="00E975E8">
        <w:t xml:space="preserve"> CYP3A4 enzyme activity</w:t>
      </w:r>
      <w:proofErr w:type="gramEnd"/>
      <w:r w:rsidRPr="00E975E8">
        <w:t xml:space="preserve"> may alter the </w:t>
      </w:r>
      <w:r>
        <w:t>PK</w:t>
      </w:r>
      <w:r w:rsidRPr="00E975E8">
        <w:t xml:space="preserve"> of </w:t>
      </w:r>
      <w:proofErr w:type="spellStart"/>
      <w:r w:rsidRPr="00E975E8">
        <w:t>ribociclib</w:t>
      </w:r>
      <w:proofErr w:type="spellEnd"/>
      <w:r>
        <w:t xml:space="preserve">. </w:t>
      </w:r>
      <w:r w:rsidRPr="000E7858">
        <w:t xml:space="preserve">No dose adjustments are required for mild and moderate CYP3A4 inhibitors, however, if treatment with a moderate CYP3A4 inhibitor </w:t>
      </w:r>
      <w:proofErr w:type="gramStart"/>
      <w:r w:rsidRPr="000E7858">
        <w:t>is initiated</w:t>
      </w:r>
      <w:proofErr w:type="gramEnd"/>
      <w:r w:rsidRPr="000E7858">
        <w:t xml:space="preserve">, close monitoring for </w:t>
      </w:r>
      <w:proofErr w:type="spellStart"/>
      <w:r w:rsidRPr="000E7858">
        <w:t>ribociclib</w:t>
      </w:r>
      <w:proofErr w:type="spellEnd"/>
      <w:r w:rsidRPr="000E7858">
        <w:t xml:space="preserve">-related AEs is </w:t>
      </w:r>
      <w:r w:rsidRPr="000E7858">
        <w:lastRenderedPageBreak/>
        <w:t>recommended</w:t>
      </w:r>
      <w:r>
        <w:t>.</w:t>
      </w:r>
    </w:p>
    <w:p w14:paraId="5BD52ED8" w14:textId="3CC957BB" w:rsidR="00155DEC" w:rsidRDefault="000A6EAA" w:rsidP="00155DEC">
      <w:pPr>
        <w:autoSpaceDE w:val="0"/>
        <w:autoSpaceDN w:val="0"/>
        <w:adjustRightInd w:val="0"/>
        <w:spacing w:after="120" w:line="300" w:lineRule="exact"/>
        <w:jc w:val="both"/>
      </w:pPr>
      <w:r w:rsidRPr="000A6EAA">
        <w:t xml:space="preserve">Concomitant use of strong CYP3A inhibitors including, but not limited to, clarithromycin, </w:t>
      </w:r>
      <w:proofErr w:type="spellStart"/>
      <w:r w:rsidRPr="000A6EAA">
        <w:t>indinavir</w:t>
      </w:r>
      <w:proofErr w:type="spellEnd"/>
      <w:r w:rsidRPr="000A6EAA">
        <w:t xml:space="preserve">, </w:t>
      </w:r>
      <w:proofErr w:type="spellStart"/>
      <w:r w:rsidRPr="000A6EAA">
        <w:t>itraconazole</w:t>
      </w:r>
      <w:proofErr w:type="spellEnd"/>
      <w:r w:rsidRPr="000A6EAA">
        <w:t xml:space="preserve">, ketoconazole, </w:t>
      </w:r>
      <w:proofErr w:type="spellStart"/>
      <w:r w:rsidRPr="000A6EAA">
        <w:t>lopinavir</w:t>
      </w:r>
      <w:proofErr w:type="spellEnd"/>
      <w:r w:rsidRPr="000A6EAA">
        <w:t>,</w:t>
      </w:r>
      <w:r w:rsidR="00E04342">
        <w:t xml:space="preserve"> </w:t>
      </w:r>
      <w:r w:rsidRPr="000A6EAA">
        <w:t>ritonavir</w:t>
      </w:r>
      <w:r w:rsidR="00E04342">
        <w:t xml:space="preserve"> (see below)</w:t>
      </w:r>
      <w:r w:rsidRPr="000A6EAA">
        <w:t xml:space="preserve">, </w:t>
      </w:r>
      <w:proofErr w:type="spellStart"/>
      <w:r w:rsidRPr="000A6EAA">
        <w:t>nefazodone</w:t>
      </w:r>
      <w:proofErr w:type="spellEnd"/>
      <w:r w:rsidRPr="000A6EAA">
        <w:t xml:space="preserve">, nelfinavir, </w:t>
      </w:r>
      <w:proofErr w:type="spellStart"/>
      <w:r w:rsidRPr="000A6EAA">
        <w:t>posaconazole</w:t>
      </w:r>
      <w:proofErr w:type="spellEnd"/>
      <w:r w:rsidRPr="000A6EAA">
        <w:t xml:space="preserve">, ritonavir, </w:t>
      </w:r>
      <w:proofErr w:type="spellStart"/>
      <w:r w:rsidRPr="000A6EAA">
        <w:t>saquinavir</w:t>
      </w:r>
      <w:proofErr w:type="spellEnd"/>
      <w:r w:rsidRPr="000A6EAA">
        <w:t xml:space="preserve">, </w:t>
      </w:r>
      <w:proofErr w:type="spellStart"/>
      <w:r w:rsidRPr="000A6EAA">
        <w:t>telaprevir</w:t>
      </w:r>
      <w:proofErr w:type="spellEnd"/>
      <w:r w:rsidRPr="000A6EAA">
        <w:t xml:space="preserve">, </w:t>
      </w:r>
      <w:proofErr w:type="spellStart"/>
      <w:r w:rsidRPr="000A6EAA">
        <w:t>telithromycin</w:t>
      </w:r>
      <w:proofErr w:type="spellEnd"/>
      <w:r w:rsidRPr="000A6EAA">
        <w:t xml:space="preserve">, verapamil, and </w:t>
      </w:r>
      <w:proofErr w:type="spellStart"/>
      <w:r w:rsidRPr="000A6EAA">
        <w:t>voriconazole</w:t>
      </w:r>
      <w:proofErr w:type="spellEnd"/>
      <w:r w:rsidRPr="000A6EAA">
        <w:t xml:space="preserve"> should be avoided</w:t>
      </w:r>
      <w:r>
        <w:t xml:space="preserve"> </w:t>
      </w:r>
      <w:r w:rsidRPr="000A6EAA">
        <w:t xml:space="preserve">(see PRECAUTIONS). Alternative concomitant medications with less potential to inhibit CYP3A </w:t>
      </w:r>
      <w:proofErr w:type="gramStart"/>
      <w:r w:rsidRPr="000A6EAA">
        <w:t>should be considered</w:t>
      </w:r>
      <w:proofErr w:type="gramEnd"/>
      <w:r w:rsidRPr="000A6EAA">
        <w:t xml:space="preserve"> and patients should be monitored for </w:t>
      </w:r>
      <w:r w:rsidR="00E04342">
        <w:t>adverse drug reactions (</w:t>
      </w:r>
      <w:r w:rsidRPr="000A6EAA">
        <w:t>ADRs</w:t>
      </w:r>
      <w:r w:rsidR="00E04342">
        <w:t>)</w:t>
      </w:r>
      <w:r w:rsidRPr="000A6EAA">
        <w:t xml:space="preserve"> </w:t>
      </w:r>
      <w:r>
        <w:t>(see DOSAGE AND ADMINISTRATION, PRECAUTIONS, and PHARMACOLOGY</w:t>
      </w:r>
      <w:r w:rsidR="00E04342">
        <w:t xml:space="preserve"> </w:t>
      </w:r>
      <w:r w:rsidR="00E62312">
        <w:t>–</w:t>
      </w:r>
      <w:r w:rsidR="00E04342">
        <w:t xml:space="preserve"> Pharmacokinetics</w:t>
      </w:r>
      <w:r w:rsidR="00E62312">
        <w:t>:</w:t>
      </w:r>
      <w:r w:rsidR="00E62312" w:rsidRPr="00E62312">
        <w:t xml:space="preserve"> Biotransformation/</w:t>
      </w:r>
      <w:r w:rsidR="00065A78" w:rsidRPr="00E62312">
        <w:t>Metabolism</w:t>
      </w:r>
      <w:r w:rsidR="00065A78">
        <w:t>)</w:t>
      </w:r>
      <w:r>
        <w:t>.</w:t>
      </w:r>
    </w:p>
    <w:p w14:paraId="1C72EC10" w14:textId="3EEBAF83" w:rsidR="00155DEC" w:rsidRDefault="00155DEC" w:rsidP="00155DEC">
      <w:pPr>
        <w:autoSpaceDE w:val="0"/>
        <w:autoSpaceDN w:val="0"/>
        <w:adjustRightInd w:val="0"/>
        <w:spacing w:after="120" w:line="300" w:lineRule="exact"/>
        <w:jc w:val="both"/>
      </w:pPr>
      <w:r>
        <w:t xml:space="preserve">If co-administration of </w:t>
      </w:r>
      <w:proofErr w:type="spellStart"/>
      <w:r>
        <w:t>ribociclib</w:t>
      </w:r>
      <w:proofErr w:type="spellEnd"/>
      <w:r>
        <w:t xml:space="preserve"> with a strong CYP3A inhibitor </w:t>
      </w:r>
      <w:proofErr w:type="gramStart"/>
      <w:r>
        <w:t>cannot be avoided</w:t>
      </w:r>
      <w:proofErr w:type="gramEnd"/>
      <w:r>
        <w:t xml:space="preserve">, reduce </w:t>
      </w:r>
      <w:r w:rsidR="004969A3">
        <w:t>KISQALI</w:t>
      </w:r>
      <w:r>
        <w:t xml:space="preserve"> dose to 200 mg. However, there are no clinical data with this dose adjustment (see </w:t>
      </w:r>
      <w:r w:rsidR="008427CB">
        <w:t>DOSAGE AND ADMINISTRATION</w:t>
      </w:r>
      <w:r>
        <w:t xml:space="preserve">). If the strong inhibitor is discontinued, resume the </w:t>
      </w:r>
      <w:r w:rsidR="004969A3">
        <w:t>KISQALI</w:t>
      </w:r>
      <w:r>
        <w:t xml:space="preserve"> dose (after at least </w:t>
      </w:r>
      <w:proofErr w:type="gramStart"/>
      <w:r>
        <w:t>5</w:t>
      </w:r>
      <w:proofErr w:type="gramEnd"/>
      <w:r>
        <w:t xml:space="preserve"> half-lives of the CYP3A inhibitor) to the dose used prior to the initiation of the strong CYP3A inhibitor. Due </w:t>
      </w:r>
      <w:r w:rsidR="00676FBA">
        <w:t>to inter</w:t>
      </w:r>
      <w:r>
        <w:t xml:space="preserve">-patient variability, the recommended dose adjustments may not be optimal in all </w:t>
      </w:r>
      <w:proofErr w:type="gramStart"/>
      <w:r w:rsidR="00676FBA">
        <w:t>patients</w:t>
      </w:r>
      <w:proofErr w:type="gramEnd"/>
      <w:r w:rsidR="00676FBA">
        <w:t xml:space="preserve"> individuals</w:t>
      </w:r>
      <w:r>
        <w:t xml:space="preserve">, therefore close monitoring for </w:t>
      </w:r>
      <w:proofErr w:type="spellStart"/>
      <w:r w:rsidR="00C71668">
        <w:t>ribociclib</w:t>
      </w:r>
      <w:proofErr w:type="spellEnd"/>
      <w:r w:rsidR="00C71668">
        <w:t xml:space="preserve"> related AEs</w:t>
      </w:r>
      <w:r>
        <w:t xml:space="preserve"> is recommended. In case of </w:t>
      </w:r>
      <w:proofErr w:type="spellStart"/>
      <w:r w:rsidR="00C71668">
        <w:t>ribociclib</w:t>
      </w:r>
      <w:proofErr w:type="spellEnd"/>
      <w:r w:rsidR="00C71668">
        <w:t xml:space="preserve"> </w:t>
      </w:r>
      <w:r>
        <w:t xml:space="preserve">related toxicity, </w:t>
      </w:r>
      <w:r w:rsidRPr="00AA3684">
        <w:t xml:space="preserve">dose </w:t>
      </w:r>
      <w:proofErr w:type="gramStart"/>
      <w:r w:rsidRPr="00AA3684">
        <w:t>should be modified</w:t>
      </w:r>
      <w:proofErr w:type="gramEnd"/>
      <w:r w:rsidRPr="00AA3684">
        <w:t xml:space="preserve"> (see </w:t>
      </w:r>
      <w:r w:rsidR="008427CB" w:rsidRPr="00AA3684">
        <w:t>DOSAGE AND ADMINISTRATION</w:t>
      </w:r>
      <w:r w:rsidRPr="00AA3684">
        <w:t xml:space="preserve">), </w:t>
      </w:r>
      <w:r w:rsidR="00AA3684" w:rsidRPr="00AA3684">
        <w:t xml:space="preserve">or </w:t>
      </w:r>
      <w:r w:rsidRPr="00AA3684">
        <w:t>treatment should be interrupted until</w:t>
      </w:r>
      <w:r>
        <w:t xml:space="preserve"> toxicity is resolved. (</w:t>
      </w:r>
      <w:r w:rsidR="00676FBA">
        <w:t>See</w:t>
      </w:r>
      <w:r>
        <w:t xml:space="preserve"> </w:t>
      </w:r>
      <w:r w:rsidR="008427CB">
        <w:t>DOSAGE AND ADMINISTRATION</w:t>
      </w:r>
      <w:r>
        <w:t xml:space="preserve">, </w:t>
      </w:r>
      <w:r w:rsidR="008427CB">
        <w:t>and PHARMACOLOGY</w:t>
      </w:r>
      <w:r w:rsidR="00BF6F2E">
        <w:t xml:space="preserve"> </w:t>
      </w:r>
      <w:r w:rsidR="00E62312">
        <w:t>–</w:t>
      </w:r>
      <w:r w:rsidR="00BF6F2E" w:rsidRPr="00BF6F2E">
        <w:t xml:space="preserve"> Pharmacokinetics</w:t>
      </w:r>
      <w:r w:rsidR="00E62312">
        <w:t xml:space="preserve">: </w:t>
      </w:r>
      <w:r w:rsidR="00E62312" w:rsidRPr="00E62312">
        <w:t>Biotransformation/</w:t>
      </w:r>
      <w:r w:rsidR="00123303">
        <w:t xml:space="preserve"> </w:t>
      </w:r>
      <w:r w:rsidR="00E62312" w:rsidRPr="00E62312">
        <w:t>Metabolism</w:t>
      </w:r>
      <w:r w:rsidR="00E62312">
        <w:t>.)</w:t>
      </w:r>
    </w:p>
    <w:p w14:paraId="4BE65ABF" w14:textId="5104F2D0" w:rsidR="006E5E1B" w:rsidRPr="006E5E1B" w:rsidRDefault="00D76CF5" w:rsidP="0018664B">
      <w:pPr>
        <w:widowControl w:val="0"/>
        <w:autoSpaceDE w:val="0"/>
        <w:autoSpaceDN w:val="0"/>
        <w:adjustRightInd w:val="0"/>
        <w:spacing w:line="300" w:lineRule="exact"/>
        <w:jc w:val="both"/>
        <w:rPr>
          <w:b/>
        </w:rPr>
      </w:pPr>
      <w:r>
        <w:rPr>
          <w:b/>
        </w:rPr>
        <w:t>Ritonavir</w:t>
      </w:r>
    </w:p>
    <w:p w14:paraId="3CE8EDA1" w14:textId="182DE93E" w:rsidR="00B76C4A" w:rsidRDefault="00D853F0" w:rsidP="00B76C4A">
      <w:pPr>
        <w:autoSpaceDE w:val="0"/>
        <w:autoSpaceDN w:val="0"/>
        <w:adjustRightInd w:val="0"/>
        <w:spacing w:after="120" w:line="300" w:lineRule="exact"/>
        <w:jc w:val="both"/>
      </w:pPr>
      <w:r w:rsidRPr="00D853F0">
        <w:t xml:space="preserve">A drug interaction trial in healthy subjects </w:t>
      </w:r>
      <w:proofErr w:type="gramStart"/>
      <w:r w:rsidRPr="00D853F0">
        <w:t>was conducted</w:t>
      </w:r>
      <w:proofErr w:type="gramEnd"/>
      <w:r w:rsidRPr="00D853F0">
        <w:t xml:space="preserve"> with ritonavir (strong CYP3A inhibitor). Compared to </w:t>
      </w:r>
      <w:proofErr w:type="spellStart"/>
      <w:r w:rsidRPr="00D853F0">
        <w:t>ribociclib</w:t>
      </w:r>
      <w:proofErr w:type="spellEnd"/>
      <w:r w:rsidRPr="00D853F0">
        <w:t xml:space="preserve"> alone, ritonavir (100 mg bid for 14 days) increased </w:t>
      </w:r>
      <w:proofErr w:type="spellStart"/>
      <w:r w:rsidRPr="00D853F0">
        <w:t>ribociclib</w:t>
      </w:r>
      <w:proofErr w:type="spellEnd"/>
      <w:r w:rsidRPr="00D853F0">
        <w:t xml:space="preserve"> </w:t>
      </w:r>
      <w:proofErr w:type="spellStart"/>
      <w:r w:rsidRPr="00D853F0">
        <w:t>C</w:t>
      </w:r>
      <w:r w:rsidRPr="00D853F0">
        <w:rPr>
          <w:vertAlign w:val="subscript"/>
        </w:rPr>
        <w:t>max</w:t>
      </w:r>
      <w:proofErr w:type="spellEnd"/>
      <w:r w:rsidRPr="00D853F0">
        <w:t xml:space="preserve"> and </w:t>
      </w:r>
      <w:proofErr w:type="spellStart"/>
      <w:r w:rsidRPr="00D853F0">
        <w:t>AUC</w:t>
      </w:r>
      <w:r w:rsidRPr="00D853F0">
        <w:rPr>
          <w:vertAlign w:val="subscript"/>
        </w:rPr>
        <w:t>inf</w:t>
      </w:r>
      <w:proofErr w:type="spellEnd"/>
      <w:r w:rsidRPr="00D853F0">
        <w:rPr>
          <w:vertAlign w:val="subscript"/>
        </w:rPr>
        <w:t xml:space="preserve"> </w:t>
      </w:r>
      <w:r w:rsidRPr="00D853F0">
        <w:t xml:space="preserve">by 1.7-fold and 3.2-fold, respectively, following a single 400 mg </w:t>
      </w:r>
      <w:proofErr w:type="spellStart"/>
      <w:r w:rsidRPr="00D853F0">
        <w:t>ribociclib</w:t>
      </w:r>
      <w:proofErr w:type="spellEnd"/>
      <w:r w:rsidRPr="00D853F0">
        <w:t xml:space="preserve"> dose. </w:t>
      </w:r>
      <w:proofErr w:type="spellStart"/>
      <w:r w:rsidRPr="00D853F0">
        <w:t>C</w:t>
      </w:r>
      <w:r w:rsidRPr="00D853F0">
        <w:rPr>
          <w:vertAlign w:val="subscript"/>
        </w:rPr>
        <w:t>max</w:t>
      </w:r>
      <w:proofErr w:type="spellEnd"/>
      <w:r w:rsidRPr="00D853F0">
        <w:rPr>
          <w:vertAlign w:val="subscript"/>
        </w:rPr>
        <w:t xml:space="preserve"> </w:t>
      </w:r>
      <w:r w:rsidRPr="00D853F0">
        <w:t xml:space="preserve">and </w:t>
      </w:r>
      <w:proofErr w:type="spellStart"/>
      <w:r w:rsidRPr="00D853F0">
        <w:t>AUC</w:t>
      </w:r>
      <w:r w:rsidRPr="00D853F0">
        <w:rPr>
          <w:vertAlign w:val="subscript"/>
        </w:rPr>
        <w:t>last</w:t>
      </w:r>
      <w:proofErr w:type="spellEnd"/>
      <w:r w:rsidRPr="00D853F0">
        <w:rPr>
          <w:vertAlign w:val="subscript"/>
        </w:rPr>
        <w:t xml:space="preserve"> </w:t>
      </w:r>
      <w:r w:rsidRPr="00D853F0">
        <w:t>for LEQ803 (a prominent metabolite of LEE011, accounting for</w:t>
      </w:r>
      <w:r>
        <w:t xml:space="preserve"> &lt;</w:t>
      </w:r>
      <w:r w:rsidRPr="00D853F0">
        <w:t xml:space="preserve"> 10</w:t>
      </w:r>
      <w:r>
        <w:t xml:space="preserve"> </w:t>
      </w:r>
      <w:proofErr w:type="gramStart"/>
      <w:r w:rsidRPr="00D853F0">
        <w:t>%</w:t>
      </w:r>
      <w:proofErr w:type="gramEnd"/>
      <w:r w:rsidRPr="00D853F0">
        <w:t xml:space="preserve"> of parent exposure) decreased by 96</w:t>
      </w:r>
      <w:r>
        <w:t xml:space="preserve"> </w:t>
      </w:r>
      <w:r w:rsidRPr="00D853F0">
        <w:t>% and 98</w:t>
      </w:r>
      <w:r>
        <w:t xml:space="preserve"> </w:t>
      </w:r>
      <w:r w:rsidR="00D76CF5">
        <w:t>%, respectively.</w:t>
      </w:r>
    </w:p>
    <w:p w14:paraId="029B8BB5" w14:textId="488BD896" w:rsidR="00D853F0" w:rsidRDefault="00D853F0" w:rsidP="0018664B">
      <w:pPr>
        <w:widowControl w:val="0"/>
        <w:autoSpaceDE w:val="0"/>
        <w:autoSpaceDN w:val="0"/>
        <w:adjustRightInd w:val="0"/>
        <w:spacing w:line="300" w:lineRule="exact"/>
        <w:jc w:val="both"/>
      </w:pPr>
      <w:r w:rsidRPr="00D853F0">
        <w:rPr>
          <w:b/>
        </w:rPr>
        <w:t>Erythromycin</w:t>
      </w:r>
    </w:p>
    <w:p w14:paraId="661B7F8C" w14:textId="4CEBDE12" w:rsidR="00D853F0" w:rsidRPr="00D853F0" w:rsidRDefault="00D853F0" w:rsidP="0018664B">
      <w:pPr>
        <w:widowControl w:val="0"/>
        <w:autoSpaceDE w:val="0"/>
        <w:autoSpaceDN w:val="0"/>
        <w:adjustRightInd w:val="0"/>
        <w:spacing w:after="120" w:line="300" w:lineRule="exact"/>
        <w:jc w:val="both"/>
      </w:pPr>
      <w:r w:rsidRPr="00D853F0">
        <w:t xml:space="preserve">Simulations using </w:t>
      </w:r>
      <w:proofErr w:type="gramStart"/>
      <w:r w:rsidRPr="00D853F0">
        <w:t>physiologically-based</w:t>
      </w:r>
      <w:proofErr w:type="gramEnd"/>
      <w:r w:rsidRPr="00D853F0">
        <w:t xml:space="preserve"> pharmacokinetic </w:t>
      </w:r>
      <w:r w:rsidR="00676FBA" w:rsidRPr="00D853F0">
        <w:t>modelling</w:t>
      </w:r>
      <w:r w:rsidRPr="00D853F0">
        <w:t xml:space="preserve"> (PBPK) suggested that erythromycin, a moderate CYP3A4 inhibitor, may increase </w:t>
      </w:r>
      <w:proofErr w:type="spellStart"/>
      <w:r w:rsidRPr="00D853F0">
        <w:t>ribociclib</w:t>
      </w:r>
      <w:proofErr w:type="spellEnd"/>
      <w:r w:rsidRPr="00D853F0">
        <w:t xml:space="preserve"> </w:t>
      </w:r>
      <w:proofErr w:type="spellStart"/>
      <w:r w:rsidRPr="00D853F0">
        <w:t>C</w:t>
      </w:r>
      <w:r w:rsidRPr="00D853F0">
        <w:rPr>
          <w:vertAlign w:val="subscript"/>
        </w:rPr>
        <w:t>max</w:t>
      </w:r>
      <w:proofErr w:type="spellEnd"/>
      <w:r w:rsidRPr="00D853F0">
        <w:t xml:space="preserve"> and AUC by 1.3-fold and 1.9-fold, respectively</w:t>
      </w:r>
      <w:r w:rsidR="00D76CF5">
        <w:t>.</w:t>
      </w:r>
    </w:p>
    <w:p w14:paraId="3359DCAD" w14:textId="77777777" w:rsidR="00400AD3" w:rsidRPr="00400AD3" w:rsidRDefault="00400AD3" w:rsidP="00646CE8">
      <w:pPr>
        <w:widowControl w:val="0"/>
        <w:spacing w:before="240" w:after="60"/>
        <w:rPr>
          <w:b/>
          <w:u w:val="single"/>
        </w:rPr>
      </w:pPr>
      <w:r w:rsidRPr="00400AD3">
        <w:rPr>
          <w:b/>
          <w:u w:val="single"/>
        </w:rPr>
        <w:t xml:space="preserve">Drugs that may decrease </w:t>
      </w:r>
      <w:proofErr w:type="spellStart"/>
      <w:r w:rsidRPr="00400AD3">
        <w:rPr>
          <w:b/>
          <w:u w:val="single"/>
        </w:rPr>
        <w:t>ribociclib</w:t>
      </w:r>
      <w:proofErr w:type="spellEnd"/>
      <w:r w:rsidRPr="00400AD3">
        <w:rPr>
          <w:b/>
          <w:u w:val="single"/>
        </w:rPr>
        <w:t xml:space="preserve"> plasma concentrations</w:t>
      </w:r>
    </w:p>
    <w:p w14:paraId="1897C7B8" w14:textId="06F128C8" w:rsidR="00D853F0" w:rsidRDefault="00D853F0" w:rsidP="00646CE8">
      <w:pPr>
        <w:widowControl w:val="0"/>
        <w:autoSpaceDE w:val="0"/>
        <w:autoSpaceDN w:val="0"/>
        <w:adjustRightInd w:val="0"/>
        <w:spacing w:after="120" w:line="300" w:lineRule="exact"/>
        <w:jc w:val="both"/>
        <w:rPr>
          <w:rFonts w:eastAsia="MS Mincho"/>
          <w:szCs w:val="20"/>
          <w:lang w:val="en-US" w:eastAsia="zh-CN"/>
        </w:rPr>
      </w:pPr>
      <w:r w:rsidRPr="00400AD3">
        <w:rPr>
          <w:rFonts w:eastAsia="MS Mincho"/>
          <w:szCs w:val="20"/>
          <w:lang w:val="en-US" w:eastAsia="zh-CN"/>
        </w:rPr>
        <w:t xml:space="preserve">Avoid concomitant use of strong CYP3A inducers, including, but not limited to, phenytoin, rifampin, carbamazepine and St John’s </w:t>
      </w:r>
      <w:proofErr w:type="spellStart"/>
      <w:r w:rsidRPr="00400AD3">
        <w:rPr>
          <w:rFonts w:eastAsia="MS Mincho"/>
          <w:szCs w:val="20"/>
          <w:lang w:val="en-US" w:eastAsia="zh-CN"/>
        </w:rPr>
        <w:t>Wort</w:t>
      </w:r>
      <w:proofErr w:type="spellEnd"/>
      <w:r w:rsidRPr="00400AD3">
        <w:rPr>
          <w:rFonts w:eastAsia="MS Mincho"/>
          <w:i/>
          <w:szCs w:val="20"/>
          <w:lang w:val="en-US" w:eastAsia="zh-CN"/>
        </w:rPr>
        <w:t xml:space="preserve"> (</w:t>
      </w:r>
      <w:proofErr w:type="spellStart"/>
      <w:r w:rsidRPr="00400AD3">
        <w:rPr>
          <w:rFonts w:eastAsia="MS Mincho"/>
          <w:i/>
          <w:szCs w:val="20"/>
          <w:lang w:val="en-US" w:eastAsia="zh-CN"/>
        </w:rPr>
        <w:t>Hypericum</w:t>
      </w:r>
      <w:proofErr w:type="spellEnd"/>
      <w:r w:rsidRPr="00400AD3">
        <w:rPr>
          <w:rFonts w:eastAsia="MS Mincho"/>
          <w:i/>
          <w:szCs w:val="20"/>
          <w:lang w:val="en-US" w:eastAsia="zh-CN"/>
        </w:rPr>
        <w:t xml:space="preserve"> </w:t>
      </w:r>
      <w:proofErr w:type="spellStart"/>
      <w:r w:rsidRPr="00400AD3">
        <w:rPr>
          <w:rFonts w:eastAsia="MS Mincho"/>
          <w:i/>
          <w:szCs w:val="20"/>
          <w:lang w:val="en-US" w:eastAsia="zh-CN"/>
        </w:rPr>
        <w:t>perforatum</w:t>
      </w:r>
      <w:proofErr w:type="spellEnd"/>
      <w:r w:rsidRPr="00400AD3">
        <w:rPr>
          <w:rFonts w:eastAsia="MS Mincho"/>
          <w:i/>
          <w:szCs w:val="20"/>
          <w:lang w:val="en-US" w:eastAsia="zh-CN"/>
        </w:rPr>
        <w:t>)</w:t>
      </w:r>
      <w:r w:rsidRPr="00400AD3">
        <w:rPr>
          <w:rFonts w:eastAsia="MS Mincho"/>
          <w:szCs w:val="20"/>
          <w:lang w:val="en-US" w:eastAsia="zh-CN"/>
        </w:rPr>
        <w:t>. Consider an alternate concomitant medication with no or minimal potential to induce CYP3A (see PRECAUTIONS)</w:t>
      </w:r>
      <w:r w:rsidR="00D76CF5">
        <w:rPr>
          <w:rFonts w:eastAsia="MS Mincho"/>
          <w:szCs w:val="20"/>
          <w:lang w:val="en-US" w:eastAsia="zh-CN"/>
        </w:rPr>
        <w:t>.</w:t>
      </w:r>
    </w:p>
    <w:p w14:paraId="3A411E6E" w14:textId="30CCC598" w:rsidR="00D853F0" w:rsidRPr="0018664B" w:rsidRDefault="00D76CF5" w:rsidP="00D76CF5">
      <w:pPr>
        <w:keepNext/>
        <w:widowControl w:val="0"/>
        <w:autoSpaceDE w:val="0"/>
        <w:autoSpaceDN w:val="0"/>
        <w:adjustRightInd w:val="0"/>
        <w:spacing w:line="300" w:lineRule="exact"/>
        <w:jc w:val="both"/>
        <w:rPr>
          <w:b/>
        </w:rPr>
      </w:pPr>
      <w:r>
        <w:rPr>
          <w:b/>
        </w:rPr>
        <w:t>Rifampicin</w:t>
      </w:r>
    </w:p>
    <w:p w14:paraId="32639FDB" w14:textId="53F93DC8" w:rsidR="00104FCD" w:rsidRDefault="00A60F80" w:rsidP="00400AD3">
      <w:pPr>
        <w:autoSpaceDE w:val="0"/>
        <w:autoSpaceDN w:val="0"/>
        <w:adjustRightInd w:val="0"/>
        <w:spacing w:after="120" w:line="300" w:lineRule="exact"/>
        <w:jc w:val="both"/>
        <w:rPr>
          <w:rFonts w:eastAsia="MS Mincho"/>
          <w:szCs w:val="20"/>
          <w:lang w:val="en-US" w:eastAsia="zh-CN"/>
        </w:rPr>
      </w:pPr>
      <w:r w:rsidRPr="00A60F80">
        <w:rPr>
          <w:rFonts w:eastAsia="MS Mincho"/>
          <w:szCs w:val="20"/>
          <w:lang w:val="en-US" w:eastAsia="zh-CN"/>
        </w:rPr>
        <w:t xml:space="preserve">A drug interaction trial in healthy subjects </w:t>
      </w:r>
      <w:proofErr w:type="gramStart"/>
      <w:r w:rsidRPr="00A60F80">
        <w:rPr>
          <w:rFonts w:eastAsia="MS Mincho"/>
          <w:szCs w:val="20"/>
          <w:lang w:val="en-US" w:eastAsia="zh-CN"/>
        </w:rPr>
        <w:t>was conducted</w:t>
      </w:r>
      <w:proofErr w:type="gramEnd"/>
      <w:r w:rsidRPr="00A60F80">
        <w:rPr>
          <w:rFonts w:eastAsia="MS Mincho"/>
          <w:szCs w:val="20"/>
          <w:lang w:val="en-US" w:eastAsia="zh-CN"/>
        </w:rPr>
        <w:t xml:space="preserve"> with rifampicin</w:t>
      </w:r>
      <w:r>
        <w:rPr>
          <w:rFonts w:eastAsia="MS Mincho"/>
          <w:szCs w:val="20"/>
          <w:lang w:val="en-US" w:eastAsia="zh-CN"/>
        </w:rPr>
        <w:t xml:space="preserve">, a </w:t>
      </w:r>
      <w:r w:rsidRPr="00A60F80">
        <w:rPr>
          <w:rFonts w:eastAsia="MS Mincho"/>
          <w:szCs w:val="20"/>
          <w:lang w:val="en-US" w:eastAsia="zh-CN"/>
        </w:rPr>
        <w:t xml:space="preserve">strong CYP3A4 inducer. Compared to </w:t>
      </w:r>
      <w:proofErr w:type="spellStart"/>
      <w:r w:rsidRPr="00A60F80">
        <w:rPr>
          <w:rFonts w:eastAsia="MS Mincho"/>
          <w:szCs w:val="20"/>
          <w:lang w:val="en-US" w:eastAsia="zh-CN"/>
        </w:rPr>
        <w:t>ribociclib</w:t>
      </w:r>
      <w:proofErr w:type="spellEnd"/>
      <w:r w:rsidRPr="00A60F80">
        <w:rPr>
          <w:rFonts w:eastAsia="MS Mincho"/>
          <w:szCs w:val="20"/>
          <w:lang w:val="en-US" w:eastAsia="zh-CN"/>
        </w:rPr>
        <w:t xml:space="preserve"> alone, </w:t>
      </w:r>
      <w:r>
        <w:rPr>
          <w:rFonts w:eastAsia="MS Mincho"/>
          <w:szCs w:val="20"/>
          <w:lang w:val="en-US" w:eastAsia="zh-CN"/>
        </w:rPr>
        <w:t xml:space="preserve">co-administration with </w:t>
      </w:r>
      <w:r w:rsidRPr="00A60F80">
        <w:rPr>
          <w:rFonts w:eastAsia="MS Mincho"/>
          <w:szCs w:val="20"/>
          <w:lang w:val="en-US" w:eastAsia="zh-CN"/>
        </w:rPr>
        <w:t xml:space="preserve">rifampicin (600 mg daily for 14 days) decreased </w:t>
      </w:r>
      <w:proofErr w:type="spellStart"/>
      <w:r w:rsidRPr="00A60F80">
        <w:rPr>
          <w:rFonts w:eastAsia="MS Mincho"/>
          <w:szCs w:val="20"/>
          <w:lang w:val="en-US" w:eastAsia="zh-CN"/>
        </w:rPr>
        <w:t>ribociclib</w:t>
      </w:r>
      <w:proofErr w:type="spellEnd"/>
      <w:r w:rsidRPr="00A60F80">
        <w:rPr>
          <w:rFonts w:eastAsia="MS Mincho"/>
          <w:szCs w:val="20"/>
          <w:lang w:val="en-US" w:eastAsia="zh-CN"/>
        </w:rPr>
        <w:t xml:space="preserve"> </w:t>
      </w:r>
      <w:proofErr w:type="spellStart"/>
      <w:r w:rsidRPr="00A60F80">
        <w:rPr>
          <w:rFonts w:eastAsia="MS Mincho"/>
          <w:szCs w:val="20"/>
          <w:lang w:val="en-US" w:eastAsia="zh-CN"/>
        </w:rPr>
        <w:t>C</w:t>
      </w:r>
      <w:r w:rsidRPr="00A60F80">
        <w:rPr>
          <w:rFonts w:eastAsia="MS Mincho"/>
          <w:szCs w:val="20"/>
          <w:vertAlign w:val="subscript"/>
          <w:lang w:val="en-US" w:eastAsia="zh-CN"/>
        </w:rPr>
        <w:t>max</w:t>
      </w:r>
      <w:proofErr w:type="spellEnd"/>
      <w:r w:rsidRPr="00A60F80">
        <w:rPr>
          <w:rFonts w:eastAsia="MS Mincho"/>
          <w:szCs w:val="20"/>
          <w:vertAlign w:val="subscript"/>
          <w:lang w:val="en-US" w:eastAsia="zh-CN"/>
        </w:rPr>
        <w:t xml:space="preserve"> </w:t>
      </w:r>
      <w:r w:rsidRPr="00A60F80">
        <w:rPr>
          <w:rFonts w:eastAsia="MS Mincho"/>
          <w:szCs w:val="20"/>
          <w:lang w:val="en-US" w:eastAsia="zh-CN"/>
        </w:rPr>
        <w:t xml:space="preserve">and </w:t>
      </w:r>
      <w:proofErr w:type="spellStart"/>
      <w:r w:rsidRPr="00A60F80">
        <w:rPr>
          <w:rFonts w:eastAsia="MS Mincho"/>
          <w:szCs w:val="20"/>
          <w:lang w:val="en-US" w:eastAsia="zh-CN"/>
        </w:rPr>
        <w:t>AUC</w:t>
      </w:r>
      <w:r w:rsidRPr="00A60F80">
        <w:rPr>
          <w:rFonts w:eastAsia="MS Mincho"/>
          <w:szCs w:val="20"/>
          <w:vertAlign w:val="subscript"/>
          <w:lang w:val="en-US" w:eastAsia="zh-CN"/>
        </w:rPr>
        <w:t>inf</w:t>
      </w:r>
      <w:proofErr w:type="spellEnd"/>
      <w:r w:rsidRPr="00A60F80">
        <w:rPr>
          <w:rFonts w:eastAsia="MS Mincho"/>
          <w:szCs w:val="20"/>
          <w:lang w:val="en-US" w:eastAsia="zh-CN"/>
        </w:rPr>
        <w:t xml:space="preserve"> by 81</w:t>
      </w:r>
      <w:r>
        <w:rPr>
          <w:rFonts w:eastAsia="MS Mincho"/>
          <w:szCs w:val="20"/>
          <w:lang w:val="en-US" w:eastAsia="zh-CN"/>
        </w:rPr>
        <w:t xml:space="preserve"> </w:t>
      </w:r>
      <w:r w:rsidRPr="00A60F80">
        <w:rPr>
          <w:rFonts w:eastAsia="MS Mincho"/>
          <w:szCs w:val="20"/>
          <w:lang w:val="en-US" w:eastAsia="zh-CN"/>
        </w:rPr>
        <w:t>% and 89</w:t>
      </w:r>
      <w:r>
        <w:rPr>
          <w:rFonts w:eastAsia="MS Mincho"/>
          <w:szCs w:val="20"/>
          <w:lang w:val="en-US" w:eastAsia="zh-CN"/>
        </w:rPr>
        <w:t xml:space="preserve"> </w:t>
      </w:r>
      <w:r w:rsidRPr="00A60F80">
        <w:rPr>
          <w:rFonts w:eastAsia="MS Mincho"/>
          <w:szCs w:val="20"/>
          <w:lang w:val="en-US" w:eastAsia="zh-CN"/>
        </w:rPr>
        <w:t xml:space="preserve">%, respectively, following a single 600 mg </w:t>
      </w:r>
      <w:proofErr w:type="spellStart"/>
      <w:r w:rsidRPr="00A60F80">
        <w:rPr>
          <w:rFonts w:eastAsia="MS Mincho"/>
          <w:szCs w:val="20"/>
          <w:lang w:val="en-US" w:eastAsia="zh-CN"/>
        </w:rPr>
        <w:t>ribociclib</w:t>
      </w:r>
      <w:proofErr w:type="spellEnd"/>
      <w:r w:rsidRPr="00A60F80">
        <w:rPr>
          <w:rFonts w:eastAsia="MS Mincho"/>
          <w:szCs w:val="20"/>
          <w:lang w:val="en-US" w:eastAsia="zh-CN"/>
        </w:rPr>
        <w:t xml:space="preserve"> dose. LEQ803 </w:t>
      </w:r>
      <w:proofErr w:type="spellStart"/>
      <w:r w:rsidRPr="00A60F80">
        <w:rPr>
          <w:rFonts w:eastAsia="MS Mincho"/>
          <w:szCs w:val="20"/>
          <w:lang w:val="en-US" w:eastAsia="zh-CN"/>
        </w:rPr>
        <w:t>C</w:t>
      </w:r>
      <w:r w:rsidRPr="00104FCD">
        <w:rPr>
          <w:rFonts w:eastAsia="MS Mincho"/>
          <w:szCs w:val="20"/>
          <w:vertAlign w:val="subscript"/>
          <w:lang w:val="en-US" w:eastAsia="zh-CN"/>
        </w:rPr>
        <w:t>max</w:t>
      </w:r>
      <w:proofErr w:type="spellEnd"/>
      <w:r w:rsidRPr="00A60F80">
        <w:rPr>
          <w:rFonts w:eastAsia="MS Mincho"/>
          <w:szCs w:val="20"/>
          <w:lang w:val="en-US" w:eastAsia="zh-CN"/>
        </w:rPr>
        <w:t xml:space="preserve"> increased 1.7-fold and </w:t>
      </w:r>
      <w:proofErr w:type="spellStart"/>
      <w:r w:rsidRPr="00A60F80">
        <w:rPr>
          <w:rFonts w:eastAsia="MS Mincho"/>
          <w:szCs w:val="20"/>
          <w:lang w:val="en-US" w:eastAsia="zh-CN"/>
        </w:rPr>
        <w:t>AUC</w:t>
      </w:r>
      <w:r w:rsidRPr="00104FCD">
        <w:rPr>
          <w:rFonts w:eastAsia="MS Mincho"/>
          <w:szCs w:val="20"/>
          <w:vertAlign w:val="subscript"/>
          <w:lang w:val="en-US" w:eastAsia="zh-CN"/>
        </w:rPr>
        <w:t>inf</w:t>
      </w:r>
      <w:proofErr w:type="spellEnd"/>
      <w:r w:rsidRPr="00A60F80">
        <w:rPr>
          <w:rFonts w:eastAsia="MS Mincho"/>
          <w:szCs w:val="20"/>
          <w:lang w:val="en-US" w:eastAsia="zh-CN"/>
        </w:rPr>
        <w:t xml:space="preserve"> decreased by 27</w:t>
      </w:r>
      <w:r>
        <w:rPr>
          <w:rFonts w:eastAsia="MS Mincho"/>
          <w:szCs w:val="20"/>
          <w:lang w:val="en-US" w:eastAsia="zh-CN"/>
        </w:rPr>
        <w:t xml:space="preserve"> </w:t>
      </w:r>
      <w:r w:rsidR="00D76CF5">
        <w:rPr>
          <w:rFonts w:eastAsia="MS Mincho"/>
          <w:szCs w:val="20"/>
          <w:lang w:val="en-US" w:eastAsia="zh-CN"/>
        </w:rPr>
        <w:t>%, respectively.</w:t>
      </w:r>
    </w:p>
    <w:p w14:paraId="712C7D01" w14:textId="6CE65E70" w:rsidR="00104FCD" w:rsidRPr="0018664B" w:rsidRDefault="00D76CF5" w:rsidP="00D77C4E">
      <w:pPr>
        <w:keepNext/>
        <w:widowControl w:val="0"/>
        <w:autoSpaceDE w:val="0"/>
        <w:autoSpaceDN w:val="0"/>
        <w:adjustRightInd w:val="0"/>
        <w:spacing w:line="300" w:lineRule="exact"/>
        <w:jc w:val="both"/>
        <w:rPr>
          <w:b/>
        </w:rPr>
      </w:pPr>
      <w:proofErr w:type="spellStart"/>
      <w:r>
        <w:rPr>
          <w:b/>
        </w:rPr>
        <w:lastRenderedPageBreak/>
        <w:t>Efavirenz</w:t>
      </w:r>
      <w:proofErr w:type="spellEnd"/>
    </w:p>
    <w:p w14:paraId="03179949" w14:textId="323FB3CD" w:rsidR="00400AD3" w:rsidRDefault="00A60F80" w:rsidP="000D0D1E">
      <w:pPr>
        <w:widowControl w:val="0"/>
        <w:autoSpaceDE w:val="0"/>
        <w:autoSpaceDN w:val="0"/>
        <w:adjustRightInd w:val="0"/>
        <w:spacing w:after="120" w:line="300" w:lineRule="exact"/>
        <w:jc w:val="both"/>
        <w:rPr>
          <w:rFonts w:eastAsia="MS Mincho"/>
          <w:szCs w:val="20"/>
          <w:lang w:val="en-US" w:eastAsia="zh-CN"/>
        </w:rPr>
      </w:pPr>
      <w:r w:rsidRPr="00A60F80">
        <w:rPr>
          <w:rFonts w:eastAsia="MS Mincho"/>
          <w:szCs w:val="20"/>
          <w:lang w:val="en-US" w:eastAsia="zh-CN"/>
        </w:rPr>
        <w:t xml:space="preserve">Simulations using PBPK suggested that </w:t>
      </w:r>
      <w:proofErr w:type="spellStart"/>
      <w:r w:rsidR="00104FCD" w:rsidRPr="00A60F80">
        <w:rPr>
          <w:rFonts w:eastAsia="MS Mincho"/>
          <w:szCs w:val="20"/>
          <w:lang w:val="en-US" w:eastAsia="zh-CN"/>
        </w:rPr>
        <w:t>efavirenz</w:t>
      </w:r>
      <w:proofErr w:type="spellEnd"/>
      <w:r w:rsidR="00104FCD">
        <w:rPr>
          <w:rFonts w:eastAsia="MS Mincho"/>
          <w:szCs w:val="20"/>
          <w:lang w:val="en-US" w:eastAsia="zh-CN"/>
        </w:rPr>
        <w:t>,</w:t>
      </w:r>
      <w:r w:rsidR="00104FCD" w:rsidRPr="00A60F80">
        <w:rPr>
          <w:rFonts w:eastAsia="MS Mincho"/>
          <w:szCs w:val="20"/>
          <w:lang w:val="en-US" w:eastAsia="zh-CN"/>
        </w:rPr>
        <w:t xml:space="preserve"> </w:t>
      </w:r>
      <w:r w:rsidRPr="00A60F80">
        <w:rPr>
          <w:rFonts w:eastAsia="MS Mincho"/>
          <w:szCs w:val="20"/>
          <w:lang w:val="en-US" w:eastAsia="zh-CN"/>
        </w:rPr>
        <w:t>a moderate CYP3A inducer</w:t>
      </w:r>
      <w:r w:rsidR="00104FCD">
        <w:rPr>
          <w:rFonts w:eastAsia="MS Mincho"/>
          <w:szCs w:val="20"/>
          <w:lang w:val="en-US" w:eastAsia="zh-CN"/>
        </w:rPr>
        <w:t xml:space="preserve">, </w:t>
      </w:r>
      <w:proofErr w:type="gramStart"/>
      <w:r w:rsidRPr="00A60F80">
        <w:rPr>
          <w:rFonts w:eastAsia="MS Mincho"/>
          <w:szCs w:val="20"/>
          <w:lang w:val="en-US" w:eastAsia="zh-CN"/>
        </w:rPr>
        <w:t>may</w:t>
      </w:r>
      <w:proofErr w:type="gramEnd"/>
      <w:r w:rsidRPr="00A60F80">
        <w:rPr>
          <w:rFonts w:eastAsia="MS Mincho"/>
          <w:szCs w:val="20"/>
          <w:lang w:val="en-US" w:eastAsia="zh-CN"/>
        </w:rPr>
        <w:t xml:space="preserve"> decrease </w:t>
      </w:r>
      <w:proofErr w:type="spellStart"/>
      <w:r w:rsidRPr="00A60F80">
        <w:rPr>
          <w:rFonts w:eastAsia="MS Mincho"/>
          <w:szCs w:val="20"/>
          <w:lang w:val="en-US" w:eastAsia="zh-CN"/>
        </w:rPr>
        <w:t>ribociclib</w:t>
      </w:r>
      <w:proofErr w:type="spellEnd"/>
      <w:r w:rsidRPr="00A60F80">
        <w:rPr>
          <w:rFonts w:eastAsia="MS Mincho"/>
          <w:szCs w:val="20"/>
          <w:lang w:val="en-US" w:eastAsia="zh-CN"/>
        </w:rPr>
        <w:t xml:space="preserve"> </w:t>
      </w:r>
      <w:proofErr w:type="spellStart"/>
      <w:r w:rsidRPr="00A60F80">
        <w:rPr>
          <w:rFonts w:eastAsia="MS Mincho"/>
          <w:szCs w:val="20"/>
          <w:lang w:val="en-US" w:eastAsia="zh-CN"/>
        </w:rPr>
        <w:t>C</w:t>
      </w:r>
      <w:r w:rsidRPr="00104FCD">
        <w:rPr>
          <w:rFonts w:eastAsia="MS Mincho"/>
          <w:szCs w:val="20"/>
          <w:vertAlign w:val="subscript"/>
          <w:lang w:val="en-US" w:eastAsia="zh-CN"/>
        </w:rPr>
        <w:t>max</w:t>
      </w:r>
      <w:proofErr w:type="spellEnd"/>
      <w:r w:rsidRPr="00A60F80">
        <w:rPr>
          <w:rFonts w:eastAsia="MS Mincho"/>
          <w:szCs w:val="20"/>
          <w:lang w:val="en-US" w:eastAsia="zh-CN"/>
        </w:rPr>
        <w:t xml:space="preserve"> and AUC by 37</w:t>
      </w:r>
      <w:r>
        <w:rPr>
          <w:rFonts w:eastAsia="MS Mincho"/>
          <w:szCs w:val="20"/>
          <w:lang w:val="en-US" w:eastAsia="zh-CN"/>
        </w:rPr>
        <w:t xml:space="preserve"> </w:t>
      </w:r>
      <w:r w:rsidRPr="00A60F80">
        <w:rPr>
          <w:rFonts w:eastAsia="MS Mincho"/>
          <w:szCs w:val="20"/>
          <w:lang w:val="en-US" w:eastAsia="zh-CN"/>
        </w:rPr>
        <w:t>% and 60</w:t>
      </w:r>
      <w:r>
        <w:rPr>
          <w:rFonts w:eastAsia="MS Mincho"/>
          <w:szCs w:val="20"/>
          <w:lang w:val="en-US" w:eastAsia="zh-CN"/>
        </w:rPr>
        <w:t xml:space="preserve"> </w:t>
      </w:r>
      <w:r w:rsidRPr="00A60F80">
        <w:rPr>
          <w:rFonts w:eastAsia="MS Mincho"/>
          <w:szCs w:val="20"/>
          <w:lang w:val="en-US" w:eastAsia="zh-CN"/>
        </w:rPr>
        <w:t>%, respectively</w:t>
      </w:r>
      <w:r w:rsidR="00D76CF5">
        <w:rPr>
          <w:rFonts w:eastAsia="MS Mincho"/>
          <w:szCs w:val="20"/>
          <w:lang w:val="en-US" w:eastAsia="zh-CN"/>
        </w:rPr>
        <w:t>.</w:t>
      </w:r>
    </w:p>
    <w:p w14:paraId="576DC90C" w14:textId="77777777" w:rsidR="00686406" w:rsidRPr="00686406" w:rsidRDefault="00686406" w:rsidP="00686406">
      <w:pPr>
        <w:keepNext/>
        <w:keepLines/>
        <w:spacing w:before="240" w:after="60"/>
        <w:rPr>
          <w:b/>
          <w:u w:val="single"/>
        </w:rPr>
      </w:pPr>
      <w:r w:rsidRPr="00686406">
        <w:rPr>
          <w:b/>
          <w:u w:val="single"/>
        </w:rPr>
        <w:t xml:space="preserve">Drugs that may have their plasma concentrations altered by </w:t>
      </w:r>
      <w:proofErr w:type="spellStart"/>
      <w:r w:rsidRPr="00686406">
        <w:rPr>
          <w:b/>
          <w:u w:val="single"/>
        </w:rPr>
        <w:t>ribociclib</w:t>
      </w:r>
      <w:proofErr w:type="spellEnd"/>
    </w:p>
    <w:p w14:paraId="7850105B" w14:textId="77777777" w:rsidR="00AE098F" w:rsidRDefault="00AE098F" w:rsidP="00686406">
      <w:pPr>
        <w:spacing w:before="120"/>
        <w:jc w:val="both"/>
        <w:rPr>
          <w:rFonts w:eastAsia="MS Mincho"/>
          <w:szCs w:val="20"/>
          <w:lang w:val="en-US" w:eastAsia="zh-CN"/>
        </w:rPr>
      </w:pPr>
      <w:proofErr w:type="spellStart"/>
      <w:r w:rsidRPr="00AE098F">
        <w:rPr>
          <w:rFonts w:eastAsia="MS Mincho"/>
          <w:szCs w:val="20"/>
          <w:lang w:val="en-US" w:eastAsia="zh-CN"/>
        </w:rPr>
        <w:t>Ribociclib</w:t>
      </w:r>
      <w:proofErr w:type="spellEnd"/>
      <w:r w:rsidRPr="00AE098F">
        <w:rPr>
          <w:rFonts w:eastAsia="MS Mincho"/>
          <w:szCs w:val="20"/>
          <w:lang w:val="en-US" w:eastAsia="zh-CN"/>
        </w:rPr>
        <w:t xml:space="preserve"> is a moderate to strong CYP3A4 inhibitor and may interact with medicinal substrates that are </w:t>
      </w:r>
      <w:proofErr w:type="spellStart"/>
      <w:r w:rsidRPr="00AE098F">
        <w:rPr>
          <w:rFonts w:eastAsia="MS Mincho"/>
          <w:szCs w:val="20"/>
          <w:lang w:val="en-US" w:eastAsia="zh-CN"/>
        </w:rPr>
        <w:t>metabolised</w:t>
      </w:r>
      <w:proofErr w:type="spellEnd"/>
      <w:r w:rsidRPr="00AE098F">
        <w:rPr>
          <w:rFonts w:eastAsia="MS Mincho"/>
          <w:szCs w:val="20"/>
          <w:lang w:val="en-US" w:eastAsia="zh-CN"/>
        </w:rPr>
        <w:t xml:space="preserve"> via CYP3A4, which can lead to increased serum concentrations of the concomitantly used medicinal product.</w:t>
      </w:r>
    </w:p>
    <w:p w14:paraId="5BFD5E87" w14:textId="73FE289D" w:rsidR="00C316BF" w:rsidRDefault="00C316BF" w:rsidP="00686406">
      <w:pPr>
        <w:spacing w:before="120"/>
        <w:jc w:val="both"/>
        <w:rPr>
          <w:rFonts w:eastAsia="MS Mincho"/>
          <w:szCs w:val="20"/>
          <w:lang w:val="en-US" w:eastAsia="zh-CN"/>
        </w:rPr>
      </w:pPr>
      <w:r>
        <w:rPr>
          <w:rFonts w:eastAsia="MS Mincho"/>
          <w:szCs w:val="20"/>
          <w:lang w:val="en-US" w:eastAsia="zh-CN"/>
        </w:rPr>
        <w:t>C</w:t>
      </w:r>
      <w:r w:rsidRPr="00686406">
        <w:rPr>
          <w:rFonts w:eastAsia="MS Mincho"/>
          <w:szCs w:val="20"/>
          <w:lang w:val="en-US" w:eastAsia="zh-CN"/>
        </w:rPr>
        <w:t xml:space="preserve">aution </w:t>
      </w:r>
      <w:proofErr w:type="gramStart"/>
      <w:r w:rsidRPr="00686406">
        <w:rPr>
          <w:rFonts w:eastAsia="MS Mincho"/>
          <w:szCs w:val="20"/>
          <w:lang w:val="en-US" w:eastAsia="zh-CN"/>
        </w:rPr>
        <w:t>is recommended</w:t>
      </w:r>
      <w:proofErr w:type="gramEnd"/>
      <w:r w:rsidRPr="00686406">
        <w:rPr>
          <w:rFonts w:eastAsia="MS Mincho"/>
          <w:szCs w:val="20"/>
          <w:lang w:val="en-US" w:eastAsia="zh-CN"/>
        </w:rPr>
        <w:t xml:space="preserve"> </w:t>
      </w:r>
      <w:r w:rsidR="00AE098F" w:rsidRPr="00AE098F">
        <w:rPr>
          <w:rFonts w:eastAsia="MS Mincho"/>
          <w:szCs w:val="20"/>
          <w:lang w:val="en-US" w:eastAsia="zh-CN"/>
        </w:rPr>
        <w:t>in case of concomitant use</w:t>
      </w:r>
      <w:r w:rsidRPr="00686406">
        <w:rPr>
          <w:rFonts w:eastAsia="MS Mincho"/>
          <w:szCs w:val="20"/>
          <w:lang w:val="en-US" w:eastAsia="zh-CN"/>
        </w:rPr>
        <w:t xml:space="preserve"> with </w:t>
      </w:r>
      <w:r w:rsidR="00AE098F">
        <w:rPr>
          <w:rFonts w:eastAsia="MS Mincho"/>
          <w:szCs w:val="20"/>
          <w:lang w:val="en-US" w:eastAsia="zh-CN"/>
        </w:rPr>
        <w:t xml:space="preserve">sensitive </w:t>
      </w:r>
      <w:r w:rsidRPr="00686406">
        <w:rPr>
          <w:rFonts w:eastAsia="MS Mincho"/>
          <w:szCs w:val="20"/>
          <w:lang w:val="en-US" w:eastAsia="zh-CN"/>
        </w:rPr>
        <w:t>CYP3A substrates with a narrow therapeutic index</w:t>
      </w:r>
      <w:r w:rsidR="00AE098F">
        <w:rPr>
          <w:rFonts w:eastAsia="MS Mincho"/>
          <w:szCs w:val="20"/>
          <w:lang w:val="en-US" w:eastAsia="zh-CN"/>
        </w:rPr>
        <w:t xml:space="preserve"> (see PRECAUTIONS)</w:t>
      </w:r>
      <w:r w:rsidRPr="00686406">
        <w:rPr>
          <w:rFonts w:eastAsia="MS Mincho"/>
          <w:szCs w:val="20"/>
          <w:lang w:val="en-US" w:eastAsia="zh-CN"/>
        </w:rPr>
        <w:t xml:space="preserve">. The dose of a sensitive CYP3A substrate with a narrow therapeutic index, including but not limited to </w:t>
      </w:r>
      <w:proofErr w:type="spellStart"/>
      <w:r w:rsidRPr="00686406">
        <w:rPr>
          <w:rFonts w:eastAsia="MS Mincho"/>
          <w:szCs w:val="20"/>
          <w:lang w:val="en-US" w:eastAsia="zh-CN"/>
        </w:rPr>
        <w:t>alfentanil</w:t>
      </w:r>
      <w:proofErr w:type="spellEnd"/>
      <w:r w:rsidRPr="00686406">
        <w:rPr>
          <w:rFonts w:eastAsia="MS Mincho"/>
          <w:szCs w:val="20"/>
          <w:lang w:val="en-US" w:eastAsia="zh-CN"/>
        </w:rPr>
        <w:t xml:space="preserve">, cyclosporine, </w:t>
      </w:r>
      <w:proofErr w:type="spellStart"/>
      <w:r w:rsidRPr="00686406">
        <w:rPr>
          <w:rFonts w:eastAsia="MS Mincho"/>
          <w:szCs w:val="20"/>
          <w:lang w:val="en-US" w:eastAsia="zh-CN"/>
        </w:rPr>
        <w:t>dihydroergotamine</w:t>
      </w:r>
      <w:proofErr w:type="spellEnd"/>
      <w:r w:rsidRPr="00686406">
        <w:rPr>
          <w:rFonts w:eastAsia="MS Mincho"/>
          <w:szCs w:val="20"/>
          <w:lang w:val="en-US" w:eastAsia="zh-CN"/>
        </w:rPr>
        <w:t xml:space="preserve">, ergotamine, </w:t>
      </w:r>
      <w:proofErr w:type="spellStart"/>
      <w:r w:rsidRPr="00686406">
        <w:rPr>
          <w:rFonts w:eastAsia="MS Mincho"/>
          <w:szCs w:val="20"/>
          <w:lang w:val="en-US" w:eastAsia="zh-CN"/>
        </w:rPr>
        <w:t>everolimus</w:t>
      </w:r>
      <w:proofErr w:type="spellEnd"/>
      <w:r w:rsidRPr="00686406">
        <w:rPr>
          <w:rFonts w:eastAsia="MS Mincho"/>
          <w:szCs w:val="20"/>
          <w:lang w:val="en-US" w:eastAsia="zh-CN"/>
        </w:rPr>
        <w:t xml:space="preserve">, fentanyl, </w:t>
      </w:r>
      <w:proofErr w:type="spellStart"/>
      <w:r w:rsidRPr="00686406">
        <w:rPr>
          <w:rFonts w:eastAsia="MS Mincho"/>
          <w:szCs w:val="20"/>
          <w:lang w:val="en-US" w:eastAsia="zh-CN"/>
        </w:rPr>
        <w:t>pimozide</w:t>
      </w:r>
      <w:proofErr w:type="spellEnd"/>
      <w:r w:rsidRPr="00686406">
        <w:rPr>
          <w:rFonts w:eastAsia="MS Mincho"/>
          <w:szCs w:val="20"/>
          <w:lang w:val="en-US" w:eastAsia="zh-CN"/>
        </w:rPr>
        <w:t xml:space="preserve">, quinidine, </w:t>
      </w:r>
      <w:proofErr w:type="spellStart"/>
      <w:r w:rsidRPr="00686406">
        <w:rPr>
          <w:rFonts w:eastAsia="MS Mincho"/>
          <w:szCs w:val="20"/>
          <w:lang w:val="en-US" w:eastAsia="zh-CN"/>
        </w:rPr>
        <w:t>sirolimus</w:t>
      </w:r>
      <w:proofErr w:type="spellEnd"/>
      <w:r w:rsidRPr="00686406">
        <w:rPr>
          <w:rFonts w:eastAsia="MS Mincho"/>
          <w:szCs w:val="20"/>
          <w:lang w:val="en-US" w:eastAsia="zh-CN"/>
        </w:rPr>
        <w:t xml:space="preserve"> and tacrolimus, may need to be reduced as </w:t>
      </w:r>
      <w:proofErr w:type="spellStart"/>
      <w:r w:rsidRPr="00686406">
        <w:rPr>
          <w:rFonts w:eastAsia="MS Mincho"/>
          <w:szCs w:val="20"/>
          <w:lang w:val="en-US" w:eastAsia="zh-CN"/>
        </w:rPr>
        <w:t>ribociclib</w:t>
      </w:r>
      <w:proofErr w:type="spellEnd"/>
      <w:r w:rsidRPr="00686406">
        <w:rPr>
          <w:rFonts w:eastAsia="MS Mincho"/>
          <w:szCs w:val="20"/>
          <w:lang w:val="en-US" w:eastAsia="zh-CN"/>
        </w:rPr>
        <w:t xml:space="preserve"> can increase their exposure.</w:t>
      </w:r>
    </w:p>
    <w:p w14:paraId="09BF2DFC" w14:textId="21FF5D87" w:rsidR="00C316BF" w:rsidRPr="00C316BF" w:rsidRDefault="00C316BF" w:rsidP="00E435A1">
      <w:pPr>
        <w:keepNext/>
        <w:spacing w:before="120"/>
        <w:jc w:val="both"/>
        <w:rPr>
          <w:rFonts w:eastAsia="MS Mincho"/>
          <w:b/>
          <w:szCs w:val="20"/>
          <w:lang w:val="en-US" w:eastAsia="en-US"/>
        </w:rPr>
      </w:pPr>
      <w:r w:rsidRPr="00C316BF">
        <w:rPr>
          <w:rFonts w:eastAsia="MS Mincho"/>
          <w:b/>
          <w:szCs w:val="20"/>
          <w:lang w:val="en-US" w:eastAsia="en-US"/>
        </w:rPr>
        <w:t xml:space="preserve">Midazolam </w:t>
      </w:r>
    </w:p>
    <w:p w14:paraId="490705F5" w14:textId="39EC0325" w:rsidR="000A5A12" w:rsidRDefault="000A5A12" w:rsidP="0018664B">
      <w:pPr>
        <w:widowControl w:val="0"/>
        <w:jc w:val="both"/>
        <w:rPr>
          <w:rFonts w:eastAsia="MS Mincho"/>
          <w:szCs w:val="20"/>
          <w:lang w:val="en-US" w:eastAsia="en-US"/>
        </w:rPr>
      </w:pPr>
      <w:r w:rsidRPr="000A5A12">
        <w:rPr>
          <w:rFonts w:eastAsia="MS Mincho"/>
          <w:szCs w:val="20"/>
          <w:lang w:val="en-US" w:eastAsia="en-US"/>
        </w:rPr>
        <w:t xml:space="preserve">Simulations using PBPK suggested that at a 600 mg </w:t>
      </w:r>
      <w:proofErr w:type="spellStart"/>
      <w:r w:rsidRPr="000A5A12">
        <w:rPr>
          <w:rFonts w:eastAsia="MS Mincho"/>
          <w:szCs w:val="20"/>
          <w:lang w:val="en-US" w:eastAsia="en-US"/>
        </w:rPr>
        <w:t>ribociclib</w:t>
      </w:r>
      <w:proofErr w:type="spellEnd"/>
      <w:r w:rsidRPr="000A5A12">
        <w:rPr>
          <w:rFonts w:eastAsia="MS Mincho"/>
          <w:szCs w:val="20"/>
          <w:lang w:val="en-US" w:eastAsia="en-US"/>
        </w:rPr>
        <w:t xml:space="preserve"> dose, midazolam </w:t>
      </w:r>
      <w:proofErr w:type="spellStart"/>
      <w:r w:rsidRPr="000A5A12">
        <w:rPr>
          <w:rFonts w:eastAsia="MS Mincho"/>
          <w:szCs w:val="20"/>
          <w:lang w:val="en-US" w:eastAsia="en-US"/>
        </w:rPr>
        <w:t>Cmax</w:t>
      </w:r>
      <w:proofErr w:type="spellEnd"/>
      <w:r w:rsidRPr="000A5A12">
        <w:rPr>
          <w:rFonts w:eastAsia="MS Mincho"/>
          <w:szCs w:val="20"/>
          <w:lang w:val="en-US" w:eastAsia="en-US"/>
        </w:rPr>
        <w:t xml:space="preserve"> and AUC </w:t>
      </w:r>
      <w:proofErr w:type="gramStart"/>
      <w:r w:rsidRPr="000A5A12">
        <w:rPr>
          <w:rFonts w:eastAsia="MS Mincho"/>
          <w:szCs w:val="20"/>
          <w:lang w:val="en-US" w:eastAsia="en-US"/>
        </w:rPr>
        <w:t>may</w:t>
      </w:r>
      <w:proofErr w:type="gramEnd"/>
      <w:r w:rsidRPr="000A5A12">
        <w:rPr>
          <w:rFonts w:eastAsia="MS Mincho"/>
          <w:szCs w:val="20"/>
          <w:lang w:val="en-US" w:eastAsia="en-US"/>
        </w:rPr>
        <w:t xml:space="preserve"> increase 2.4-f</w:t>
      </w:r>
      <w:r w:rsidR="00D76CF5">
        <w:rPr>
          <w:rFonts w:eastAsia="MS Mincho"/>
          <w:szCs w:val="20"/>
          <w:lang w:val="en-US" w:eastAsia="en-US"/>
        </w:rPr>
        <w:t>old and 5.2-fold, respectively.</w:t>
      </w:r>
    </w:p>
    <w:p w14:paraId="29C6BE15" w14:textId="566BE61A" w:rsidR="00686406" w:rsidRPr="00686406" w:rsidRDefault="00686406" w:rsidP="00686406">
      <w:pPr>
        <w:spacing w:before="120"/>
        <w:jc w:val="both"/>
        <w:rPr>
          <w:rFonts w:eastAsia="MS Mincho"/>
          <w:szCs w:val="20"/>
          <w:lang w:val="en-US" w:eastAsia="zh-CN"/>
        </w:rPr>
      </w:pPr>
      <w:r w:rsidRPr="00686406">
        <w:rPr>
          <w:rFonts w:eastAsia="MS Mincho"/>
          <w:szCs w:val="20"/>
          <w:lang w:val="en-US" w:eastAsia="en-US"/>
        </w:rPr>
        <w:t xml:space="preserve">Co-administration of midazolam (CYP3A4 substrate) with multiple doses of </w:t>
      </w:r>
      <w:proofErr w:type="spellStart"/>
      <w:r w:rsidRPr="00686406">
        <w:rPr>
          <w:rFonts w:eastAsia="MS Mincho"/>
          <w:szCs w:val="20"/>
          <w:lang w:val="en-US" w:eastAsia="en-US"/>
        </w:rPr>
        <w:t>ribociclib</w:t>
      </w:r>
      <w:proofErr w:type="spellEnd"/>
      <w:r w:rsidRPr="00686406">
        <w:rPr>
          <w:rFonts w:eastAsia="MS Mincho"/>
          <w:szCs w:val="20"/>
          <w:lang w:val="en-US" w:eastAsia="en-US"/>
        </w:rPr>
        <w:t xml:space="preserve"> (400 mg) increased the midazolam exposure by 280</w:t>
      </w:r>
      <w:r w:rsidR="005C62D4">
        <w:rPr>
          <w:rFonts w:eastAsia="MS Mincho"/>
          <w:szCs w:val="20"/>
          <w:lang w:val="en-US" w:eastAsia="en-US"/>
        </w:rPr>
        <w:t xml:space="preserve"> </w:t>
      </w:r>
      <w:r w:rsidRPr="00686406">
        <w:rPr>
          <w:rFonts w:eastAsia="MS Mincho"/>
          <w:szCs w:val="20"/>
          <w:lang w:val="en-US" w:eastAsia="en-US"/>
        </w:rPr>
        <w:t xml:space="preserve">% (3.8-fold) in healthy subjects, compared with administration of midazolam alone. </w:t>
      </w:r>
      <w:r w:rsidRPr="00686406">
        <w:rPr>
          <w:rFonts w:eastAsia="MS Mincho"/>
          <w:szCs w:val="20"/>
          <w:lang w:val="en-US" w:eastAsia="zh-CN"/>
        </w:rPr>
        <w:t xml:space="preserve">Simulations using physiologically-based PK (PBPK) models suggested that </w:t>
      </w:r>
      <w:proofErr w:type="spellStart"/>
      <w:r w:rsidRPr="00686406">
        <w:rPr>
          <w:rFonts w:eastAsia="MS Mincho"/>
          <w:szCs w:val="20"/>
          <w:lang w:val="en-US" w:eastAsia="zh-CN"/>
        </w:rPr>
        <w:t>ribociclib</w:t>
      </w:r>
      <w:proofErr w:type="spellEnd"/>
      <w:r w:rsidRPr="00686406">
        <w:rPr>
          <w:rFonts w:eastAsia="MS Mincho"/>
          <w:szCs w:val="20"/>
          <w:lang w:val="en-US" w:eastAsia="zh-CN"/>
        </w:rPr>
        <w:t xml:space="preserve"> given at the clinically relevant dose of 600 mg is expected to increase the midazolam AUC by 5.2-fold.</w:t>
      </w:r>
    </w:p>
    <w:p w14:paraId="05149520" w14:textId="0888CB9E" w:rsidR="00C316BF" w:rsidRDefault="00D76CF5" w:rsidP="00686406">
      <w:pPr>
        <w:spacing w:before="120"/>
        <w:jc w:val="both"/>
        <w:rPr>
          <w:rFonts w:eastAsia="MS Mincho"/>
          <w:b/>
          <w:szCs w:val="20"/>
          <w:lang w:val="en-US" w:eastAsia="en-US"/>
        </w:rPr>
      </w:pPr>
      <w:r>
        <w:rPr>
          <w:rFonts w:eastAsia="MS Mincho"/>
          <w:b/>
          <w:szCs w:val="20"/>
          <w:lang w:val="en-US" w:eastAsia="en-US"/>
        </w:rPr>
        <w:t>Caffeine</w:t>
      </w:r>
    </w:p>
    <w:p w14:paraId="0B31AD2C" w14:textId="2298B6B3" w:rsidR="00CE7283" w:rsidRPr="00CE7283" w:rsidRDefault="00CE7283" w:rsidP="0018664B">
      <w:pPr>
        <w:jc w:val="both"/>
        <w:rPr>
          <w:rFonts w:eastAsia="MS Mincho"/>
          <w:szCs w:val="20"/>
          <w:lang w:val="en-US" w:eastAsia="en-US"/>
        </w:rPr>
      </w:pPr>
      <w:r w:rsidRPr="00CE7283">
        <w:rPr>
          <w:rFonts w:eastAsia="MS Mincho"/>
          <w:szCs w:val="20"/>
          <w:lang w:val="en-US" w:eastAsia="en-US"/>
        </w:rPr>
        <w:t xml:space="preserve">Simulations using PBPK suggested only weak inhibitory effects on CYP1A2 substrates at a 600 mg </w:t>
      </w:r>
      <w:proofErr w:type="spellStart"/>
      <w:r w:rsidRPr="00CE7283">
        <w:rPr>
          <w:rFonts w:eastAsia="MS Mincho"/>
          <w:szCs w:val="20"/>
          <w:lang w:val="en-US" w:eastAsia="en-US"/>
        </w:rPr>
        <w:t>ribociclib</w:t>
      </w:r>
      <w:proofErr w:type="spellEnd"/>
      <w:r w:rsidRPr="00CE7283">
        <w:rPr>
          <w:rFonts w:eastAsia="MS Mincho"/>
          <w:szCs w:val="20"/>
          <w:lang w:val="en-US" w:eastAsia="en-US"/>
        </w:rPr>
        <w:t xml:space="preserve"> dose.</w:t>
      </w:r>
    </w:p>
    <w:p w14:paraId="4876F49C" w14:textId="152AE086" w:rsidR="00686406" w:rsidRPr="00686406" w:rsidRDefault="00686406" w:rsidP="00686406">
      <w:pPr>
        <w:spacing w:before="120"/>
        <w:jc w:val="both"/>
        <w:rPr>
          <w:rFonts w:eastAsia="MS Mincho"/>
          <w:szCs w:val="20"/>
          <w:lang w:val="en-US" w:eastAsia="zh-CN"/>
        </w:rPr>
      </w:pPr>
      <w:r w:rsidRPr="00686406">
        <w:rPr>
          <w:rFonts w:eastAsia="MS Mincho"/>
          <w:szCs w:val="20"/>
          <w:lang w:val="en-US" w:eastAsia="en-US"/>
        </w:rPr>
        <w:t xml:space="preserve">Co-administration of caffeine (CYP1A2 substrate) with multiple doses of </w:t>
      </w:r>
      <w:proofErr w:type="spellStart"/>
      <w:r w:rsidRPr="00686406">
        <w:rPr>
          <w:rFonts w:eastAsia="MS Mincho"/>
          <w:szCs w:val="20"/>
          <w:lang w:val="en-US" w:eastAsia="en-US"/>
        </w:rPr>
        <w:t>ribociclib</w:t>
      </w:r>
      <w:proofErr w:type="spellEnd"/>
      <w:r w:rsidRPr="00686406">
        <w:rPr>
          <w:rFonts w:eastAsia="MS Mincho"/>
          <w:szCs w:val="20"/>
          <w:lang w:val="en-US" w:eastAsia="en-US"/>
        </w:rPr>
        <w:t xml:space="preserve"> (400 mg) </w:t>
      </w:r>
      <w:r w:rsidR="00CE7283">
        <w:rPr>
          <w:rFonts w:eastAsia="MS Mincho"/>
          <w:szCs w:val="20"/>
          <w:lang w:val="en-US" w:eastAsia="en-US"/>
        </w:rPr>
        <w:t xml:space="preserve">decreased </w:t>
      </w:r>
      <w:proofErr w:type="spellStart"/>
      <w:r w:rsidR="00CE7283">
        <w:rPr>
          <w:rFonts w:eastAsia="MS Mincho"/>
          <w:szCs w:val="20"/>
          <w:lang w:val="en-US" w:eastAsia="en-US"/>
        </w:rPr>
        <w:t>C</w:t>
      </w:r>
      <w:r w:rsidR="00CE7283" w:rsidRPr="00CE7283">
        <w:rPr>
          <w:rFonts w:eastAsia="MS Mincho"/>
          <w:szCs w:val="20"/>
          <w:vertAlign w:val="subscript"/>
          <w:lang w:val="en-US" w:eastAsia="en-US"/>
        </w:rPr>
        <w:t>max</w:t>
      </w:r>
      <w:proofErr w:type="spellEnd"/>
      <w:r w:rsidR="00CE7283">
        <w:rPr>
          <w:rFonts w:eastAsia="MS Mincho"/>
          <w:szCs w:val="20"/>
          <w:lang w:val="en-US" w:eastAsia="en-US"/>
        </w:rPr>
        <w:t xml:space="preserve"> by 10 % and </w:t>
      </w:r>
      <w:r w:rsidRPr="00686406">
        <w:rPr>
          <w:rFonts w:eastAsia="MS Mincho"/>
          <w:szCs w:val="20"/>
          <w:lang w:val="en-US" w:eastAsia="en-US"/>
        </w:rPr>
        <w:t xml:space="preserve">increased the caffeine </w:t>
      </w:r>
      <w:proofErr w:type="spellStart"/>
      <w:r w:rsidR="00CE7283">
        <w:rPr>
          <w:rFonts w:eastAsia="MS Mincho"/>
          <w:szCs w:val="20"/>
          <w:lang w:val="en-US" w:eastAsia="en-US"/>
        </w:rPr>
        <w:t>AUC</w:t>
      </w:r>
      <w:r w:rsidR="00CE7283" w:rsidRPr="00CE7283">
        <w:rPr>
          <w:rFonts w:eastAsia="MS Mincho"/>
          <w:szCs w:val="20"/>
          <w:vertAlign w:val="subscript"/>
          <w:lang w:val="en-US" w:eastAsia="en-US"/>
        </w:rPr>
        <w:t>inf</w:t>
      </w:r>
      <w:proofErr w:type="spellEnd"/>
      <w:r w:rsidRPr="00686406">
        <w:rPr>
          <w:rFonts w:eastAsia="MS Mincho"/>
          <w:szCs w:val="20"/>
          <w:lang w:val="en-US" w:eastAsia="en-US"/>
        </w:rPr>
        <w:t xml:space="preserve"> by </w:t>
      </w:r>
      <w:r w:rsidRPr="00686406">
        <w:rPr>
          <w:rFonts w:eastAsia="MS Mincho"/>
          <w:szCs w:val="20"/>
          <w:lang w:val="en-US" w:eastAsia="zh-CN"/>
        </w:rPr>
        <w:t>20</w:t>
      </w:r>
      <w:r w:rsidR="005C62D4">
        <w:rPr>
          <w:rFonts w:eastAsia="MS Mincho"/>
          <w:szCs w:val="20"/>
          <w:lang w:val="en-US" w:eastAsia="zh-CN"/>
        </w:rPr>
        <w:t xml:space="preserve"> </w:t>
      </w:r>
      <w:r w:rsidRPr="00686406">
        <w:rPr>
          <w:rFonts w:eastAsia="MS Mincho"/>
          <w:szCs w:val="20"/>
          <w:lang w:val="en-US" w:eastAsia="zh-CN"/>
        </w:rPr>
        <w:t xml:space="preserve">% (1.2-fold) in healthy subjects, compared with administration of caffeine alone. At the clinically relevant dose of 600 mg, simulations using PBPK models predicted only weak inhibitory effects of </w:t>
      </w:r>
      <w:proofErr w:type="spellStart"/>
      <w:r w:rsidRPr="00686406">
        <w:rPr>
          <w:rFonts w:eastAsia="MS Mincho"/>
          <w:szCs w:val="20"/>
          <w:lang w:val="en-US" w:eastAsia="zh-CN"/>
        </w:rPr>
        <w:t>ribociclib</w:t>
      </w:r>
      <w:proofErr w:type="spellEnd"/>
      <w:r w:rsidRPr="00686406">
        <w:rPr>
          <w:rFonts w:eastAsia="MS Mincho"/>
          <w:szCs w:val="20"/>
          <w:lang w:val="en-US" w:eastAsia="zh-CN"/>
        </w:rPr>
        <w:t xml:space="preserve"> on CYP1A2 substra</w:t>
      </w:r>
      <w:r w:rsidR="00D76CF5">
        <w:rPr>
          <w:rFonts w:eastAsia="MS Mincho"/>
          <w:szCs w:val="20"/>
          <w:lang w:val="en-US" w:eastAsia="zh-CN"/>
        </w:rPr>
        <w:t>tes (&lt; 2-fold increase in AUC).</w:t>
      </w:r>
    </w:p>
    <w:p w14:paraId="789B9951" w14:textId="4BE76538" w:rsidR="00686406" w:rsidRPr="00686406" w:rsidRDefault="00686406" w:rsidP="00425C60">
      <w:pPr>
        <w:keepNext/>
        <w:keepLines/>
        <w:spacing w:before="120" w:after="60"/>
        <w:rPr>
          <w:b/>
          <w:u w:val="single"/>
        </w:rPr>
      </w:pPr>
      <w:r w:rsidRPr="00686406">
        <w:rPr>
          <w:b/>
          <w:u w:val="single"/>
        </w:rPr>
        <w:t>Drug-food interactions</w:t>
      </w:r>
    </w:p>
    <w:p w14:paraId="2E35670B" w14:textId="20A89D1A" w:rsidR="0087109B" w:rsidRDefault="0087109B" w:rsidP="00686406">
      <w:pPr>
        <w:spacing w:before="120"/>
        <w:jc w:val="both"/>
        <w:rPr>
          <w:rFonts w:eastAsia="MS Mincho"/>
          <w:szCs w:val="20"/>
          <w:lang w:val="en-US" w:eastAsia="zh-CN"/>
        </w:rPr>
      </w:pPr>
      <w:bookmarkStart w:id="3" w:name="_Toc259706932"/>
      <w:bookmarkStart w:id="4" w:name="_Toc259707103"/>
      <w:bookmarkStart w:id="5" w:name="_Toc259707166"/>
      <w:bookmarkStart w:id="6" w:name="_Toc259713112"/>
      <w:bookmarkStart w:id="7" w:name="_Toc260745243"/>
      <w:bookmarkStart w:id="8" w:name="_Toc266784434"/>
      <w:bookmarkStart w:id="9" w:name="_Toc266880198"/>
      <w:r w:rsidRPr="0087109B">
        <w:rPr>
          <w:rFonts w:eastAsia="MS Mincho"/>
          <w:szCs w:val="20"/>
          <w:lang w:val="en-US" w:eastAsia="zh-CN"/>
        </w:rPr>
        <w:t xml:space="preserve">Patients </w:t>
      </w:r>
      <w:proofErr w:type="gramStart"/>
      <w:r w:rsidRPr="0087109B">
        <w:rPr>
          <w:rFonts w:eastAsia="MS Mincho"/>
          <w:szCs w:val="20"/>
          <w:lang w:val="en-US" w:eastAsia="zh-CN"/>
        </w:rPr>
        <w:t>should be instructed</w:t>
      </w:r>
      <w:proofErr w:type="gramEnd"/>
      <w:r w:rsidRPr="0087109B">
        <w:rPr>
          <w:rFonts w:eastAsia="MS Mincho"/>
          <w:szCs w:val="20"/>
          <w:lang w:val="en-US" w:eastAsia="zh-CN"/>
        </w:rPr>
        <w:t xml:space="preserve"> to avoid pomegranate</w:t>
      </w:r>
      <w:r>
        <w:rPr>
          <w:rFonts w:eastAsia="MS Mincho"/>
          <w:szCs w:val="20"/>
          <w:lang w:val="en-US" w:eastAsia="zh-CN"/>
        </w:rPr>
        <w:t xml:space="preserve"> fruit</w:t>
      </w:r>
      <w:r w:rsidRPr="0087109B">
        <w:rPr>
          <w:rFonts w:eastAsia="MS Mincho"/>
          <w:szCs w:val="20"/>
          <w:lang w:val="en-US" w:eastAsia="zh-CN"/>
        </w:rPr>
        <w:t xml:space="preserve"> or pomegranate juice, </w:t>
      </w:r>
      <w:r w:rsidR="00F3207F">
        <w:rPr>
          <w:rFonts w:eastAsia="MS Mincho"/>
          <w:szCs w:val="20"/>
          <w:lang w:val="en-US" w:eastAsia="zh-CN"/>
        </w:rPr>
        <w:t xml:space="preserve">and </w:t>
      </w:r>
      <w:r w:rsidRPr="0087109B">
        <w:rPr>
          <w:rFonts w:eastAsia="MS Mincho"/>
          <w:szCs w:val="20"/>
          <w:lang w:val="en-US" w:eastAsia="zh-CN"/>
        </w:rPr>
        <w:t>grapefruits or grapefruit juice, all of which are known to inhibit cytochrome CYP3A enzymes and may incre</w:t>
      </w:r>
      <w:r w:rsidR="00D76CF5">
        <w:rPr>
          <w:rFonts w:eastAsia="MS Mincho"/>
          <w:szCs w:val="20"/>
          <w:lang w:val="en-US" w:eastAsia="zh-CN"/>
        </w:rPr>
        <w:t xml:space="preserve">ase the exposure to </w:t>
      </w:r>
      <w:proofErr w:type="spellStart"/>
      <w:r w:rsidR="00D76CF5">
        <w:rPr>
          <w:rFonts w:eastAsia="MS Mincho"/>
          <w:szCs w:val="20"/>
          <w:lang w:val="en-US" w:eastAsia="zh-CN"/>
        </w:rPr>
        <w:t>ribociclib</w:t>
      </w:r>
      <w:proofErr w:type="spellEnd"/>
      <w:r w:rsidR="00D76CF5">
        <w:rPr>
          <w:rFonts w:eastAsia="MS Mincho"/>
          <w:szCs w:val="20"/>
          <w:lang w:val="en-US" w:eastAsia="zh-CN"/>
        </w:rPr>
        <w:t>.</w:t>
      </w:r>
    </w:p>
    <w:p w14:paraId="0455C3A6" w14:textId="51BEE24B" w:rsidR="00686406" w:rsidRPr="00686406" w:rsidRDefault="004969A3" w:rsidP="00686406">
      <w:pPr>
        <w:spacing w:before="120"/>
        <w:jc w:val="both"/>
        <w:rPr>
          <w:rFonts w:eastAsia="MS Mincho"/>
          <w:szCs w:val="20"/>
          <w:lang w:val="en-US" w:eastAsia="zh-CN"/>
        </w:rPr>
      </w:pPr>
      <w:r>
        <w:rPr>
          <w:rFonts w:eastAsia="MS Mincho"/>
          <w:szCs w:val="20"/>
          <w:lang w:val="en-US" w:eastAsia="zh-CN"/>
        </w:rPr>
        <w:t>KISQALI</w:t>
      </w:r>
      <w:r w:rsidR="00686406" w:rsidRPr="00686406">
        <w:rPr>
          <w:rFonts w:eastAsia="MS Mincho"/>
          <w:szCs w:val="20"/>
          <w:lang w:val="en-US" w:eastAsia="zh-CN"/>
        </w:rPr>
        <w:t xml:space="preserve"> </w:t>
      </w:r>
      <w:proofErr w:type="gramStart"/>
      <w:r w:rsidR="00686406" w:rsidRPr="00686406">
        <w:rPr>
          <w:rFonts w:eastAsia="MS Mincho"/>
          <w:szCs w:val="20"/>
          <w:lang w:val="en-US" w:eastAsia="zh-CN"/>
        </w:rPr>
        <w:t>can be administered</w:t>
      </w:r>
      <w:proofErr w:type="gramEnd"/>
      <w:r w:rsidR="00686406" w:rsidRPr="00686406">
        <w:rPr>
          <w:rFonts w:eastAsia="MS Mincho"/>
          <w:szCs w:val="20"/>
          <w:lang w:val="en-US" w:eastAsia="zh-CN"/>
        </w:rPr>
        <w:t xml:space="preserve"> with or without food (see </w:t>
      </w:r>
      <w:r w:rsidR="001A7FFB" w:rsidRPr="00686406">
        <w:rPr>
          <w:rFonts w:eastAsia="MS Mincho"/>
          <w:szCs w:val="20"/>
          <w:lang w:val="en-US" w:eastAsia="zh-CN"/>
        </w:rPr>
        <w:t xml:space="preserve">DOSAGE AND </w:t>
      </w:r>
      <w:r w:rsidR="001A7FFB">
        <w:rPr>
          <w:rFonts w:eastAsia="MS Mincho"/>
          <w:szCs w:val="20"/>
          <w:lang w:val="en-US" w:eastAsia="zh-CN"/>
        </w:rPr>
        <w:t>A</w:t>
      </w:r>
      <w:r w:rsidR="001A7FFB" w:rsidRPr="00686406">
        <w:rPr>
          <w:rFonts w:eastAsia="MS Mincho"/>
          <w:szCs w:val="20"/>
          <w:lang w:val="en-US" w:eastAsia="zh-CN"/>
        </w:rPr>
        <w:t>DMINISTRATION</w:t>
      </w:r>
      <w:r w:rsidR="00686406" w:rsidRPr="00686406">
        <w:rPr>
          <w:rFonts w:eastAsia="MS Mincho"/>
          <w:szCs w:val="20"/>
          <w:lang w:val="en-US" w:eastAsia="zh-CN"/>
        </w:rPr>
        <w:t>).</w:t>
      </w:r>
    </w:p>
    <w:p w14:paraId="693F574C" w14:textId="604C8B27" w:rsidR="00686406" w:rsidRPr="00686406" w:rsidRDefault="00686406" w:rsidP="00686406">
      <w:pPr>
        <w:spacing w:before="120"/>
        <w:jc w:val="both"/>
        <w:rPr>
          <w:rFonts w:eastAsia="MS Mincho"/>
          <w:szCs w:val="20"/>
          <w:lang w:val="en-US" w:eastAsia="zh-CN"/>
        </w:rPr>
      </w:pPr>
      <w:r w:rsidRPr="00686406">
        <w:rPr>
          <w:rFonts w:eastAsia="MS Mincho"/>
          <w:szCs w:val="20"/>
          <w:lang w:val="en-US" w:eastAsia="en-US"/>
        </w:rPr>
        <w:t xml:space="preserve">Compared to the fasted state, oral administration of a single 600 mg dose of </w:t>
      </w:r>
      <w:proofErr w:type="spellStart"/>
      <w:r w:rsidRPr="00686406">
        <w:rPr>
          <w:rFonts w:eastAsia="MS Mincho"/>
          <w:lang w:val="en-US" w:eastAsia="zh-CN"/>
        </w:rPr>
        <w:t>ribociclib</w:t>
      </w:r>
      <w:proofErr w:type="spellEnd"/>
      <w:r w:rsidRPr="00686406">
        <w:rPr>
          <w:rFonts w:eastAsia="MS Mincho"/>
          <w:szCs w:val="20"/>
          <w:lang w:val="en-US" w:eastAsia="en-US"/>
        </w:rPr>
        <w:t xml:space="preserve"> film-coated tablet formulation with a high-fat, high-calorie meal had no effect on the rate and extent of absorption of </w:t>
      </w:r>
      <w:proofErr w:type="spellStart"/>
      <w:r w:rsidRPr="00686406">
        <w:rPr>
          <w:rFonts w:eastAsia="MS Mincho"/>
          <w:lang w:val="en-US" w:eastAsia="zh-CN"/>
        </w:rPr>
        <w:t>ribociclib</w:t>
      </w:r>
      <w:proofErr w:type="spellEnd"/>
      <w:r w:rsidRPr="00686406">
        <w:rPr>
          <w:rFonts w:eastAsia="MS Mincho"/>
          <w:lang w:val="en-US" w:eastAsia="zh-CN"/>
        </w:rPr>
        <w:t xml:space="preserve"> (</w:t>
      </w:r>
      <w:proofErr w:type="spellStart"/>
      <w:r w:rsidRPr="00686406">
        <w:rPr>
          <w:rFonts w:eastAsia="MS Mincho"/>
          <w:szCs w:val="20"/>
          <w:lang w:val="en-US" w:eastAsia="en-US"/>
        </w:rPr>
        <w:t>C</w:t>
      </w:r>
      <w:r w:rsidRPr="00686406">
        <w:rPr>
          <w:rFonts w:eastAsia="MS Mincho"/>
          <w:szCs w:val="20"/>
          <w:vertAlign w:val="subscript"/>
          <w:lang w:val="en-US" w:eastAsia="en-US"/>
        </w:rPr>
        <w:t>max</w:t>
      </w:r>
      <w:proofErr w:type="spellEnd"/>
      <w:r w:rsidRPr="00686406">
        <w:rPr>
          <w:rFonts w:eastAsia="MS Mincho"/>
          <w:szCs w:val="20"/>
          <w:lang w:val="en-US" w:eastAsia="en-US"/>
        </w:rPr>
        <w:t xml:space="preserve"> GMR: 1.00; 90</w:t>
      </w:r>
      <w:r w:rsidR="008720BE">
        <w:rPr>
          <w:rFonts w:eastAsia="MS Mincho"/>
          <w:szCs w:val="20"/>
          <w:lang w:val="en-US" w:eastAsia="en-US"/>
        </w:rPr>
        <w:t xml:space="preserve"> </w:t>
      </w:r>
      <w:r w:rsidRPr="00686406">
        <w:rPr>
          <w:rFonts w:eastAsia="MS Mincho"/>
          <w:szCs w:val="20"/>
          <w:lang w:val="en-US" w:eastAsia="en-US"/>
        </w:rPr>
        <w:t xml:space="preserve">% CI: 0.898, 1.11; </w:t>
      </w:r>
      <w:proofErr w:type="spellStart"/>
      <w:r w:rsidRPr="00686406">
        <w:rPr>
          <w:rFonts w:eastAsia="MS Mincho"/>
          <w:szCs w:val="20"/>
          <w:lang w:val="en-US" w:eastAsia="en-US"/>
        </w:rPr>
        <w:t>AUC</w:t>
      </w:r>
      <w:r w:rsidRPr="00686406">
        <w:rPr>
          <w:rFonts w:eastAsia="MS Mincho"/>
          <w:szCs w:val="20"/>
          <w:vertAlign w:val="subscript"/>
          <w:lang w:val="en-US" w:eastAsia="en-US"/>
        </w:rPr>
        <w:t>inf</w:t>
      </w:r>
      <w:proofErr w:type="spellEnd"/>
      <w:r w:rsidRPr="00686406">
        <w:rPr>
          <w:rFonts w:eastAsia="MS Mincho"/>
          <w:szCs w:val="20"/>
          <w:vertAlign w:val="subscript"/>
          <w:lang w:val="en-US" w:eastAsia="en-US"/>
        </w:rPr>
        <w:t xml:space="preserve"> </w:t>
      </w:r>
      <w:r w:rsidRPr="00686406">
        <w:rPr>
          <w:rFonts w:eastAsia="MS Mincho"/>
          <w:szCs w:val="20"/>
          <w:lang w:val="en-US" w:eastAsia="en-US"/>
        </w:rPr>
        <w:t>GMR: 1.06; 90</w:t>
      </w:r>
      <w:r w:rsidR="008720BE">
        <w:rPr>
          <w:rFonts w:eastAsia="MS Mincho"/>
          <w:szCs w:val="20"/>
          <w:lang w:val="en-US" w:eastAsia="en-US"/>
        </w:rPr>
        <w:t xml:space="preserve"> </w:t>
      </w:r>
      <w:r w:rsidRPr="00686406">
        <w:rPr>
          <w:rFonts w:eastAsia="MS Mincho"/>
          <w:szCs w:val="20"/>
          <w:lang w:val="en-US" w:eastAsia="en-US"/>
        </w:rPr>
        <w:t>% CI: 1.01, 1.12</w:t>
      </w:r>
      <w:r w:rsidR="00C04C50">
        <w:rPr>
          <w:rFonts w:eastAsia="MS Mincho"/>
          <w:szCs w:val="20"/>
          <w:lang w:val="en-US" w:eastAsia="en-US"/>
        </w:rPr>
        <w:t>)</w:t>
      </w:r>
      <w:r w:rsidR="00D76CF5">
        <w:rPr>
          <w:rFonts w:eastAsia="MS Mincho"/>
          <w:szCs w:val="20"/>
          <w:lang w:val="en-US" w:eastAsia="en-US"/>
        </w:rPr>
        <w:t>.</w:t>
      </w:r>
    </w:p>
    <w:p w14:paraId="3E04EDF4" w14:textId="32889ED7" w:rsidR="00686406" w:rsidRPr="00686406" w:rsidRDefault="00686406" w:rsidP="00D77C4E">
      <w:pPr>
        <w:keepNext/>
        <w:widowControl w:val="0"/>
        <w:spacing w:before="240" w:after="60"/>
        <w:rPr>
          <w:b/>
          <w:u w:val="single"/>
        </w:rPr>
      </w:pPr>
      <w:r w:rsidRPr="00686406">
        <w:rPr>
          <w:b/>
          <w:u w:val="single"/>
        </w:rPr>
        <w:lastRenderedPageBreak/>
        <w:t>G</w:t>
      </w:r>
      <w:r w:rsidR="00D76CF5">
        <w:rPr>
          <w:b/>
          <w:u w:val="single"/>
        </w:rPr>
        <w:t>astric pH elevating medications</w:t>
      </w:r>
    </w:p>
    <w:p w14:paraId="4C4BCCF6" w14:textId="0F93988B" w:rsidR="003A6277" w:rsidRPr="0069233F" w:rsidRDefault="00686406" w:rsidP="0069233F">
      <w:pPr>
        <w:spacing w:before="120"/>
        <w:jc w:val="both"/>
        <w:rPr>
          <w:rFonts w:eastAsia="MS Mincho"/>
          <w:szCs w:val="20"/>
          <w:lang w:val="en-US" w:eastAsia="zh-CN"/>
        </w:rPr>
      </w:pPr>
      <w:proofErr w:type="spellStart"/>
      <w:r w:rsidRPr="0069233F">
        <w:rPr>
          <w:rFonts w:eastAsia="MS Mincho"/>
          <w:szCs w:val="20"/>
          <w:lang w:val="en-US" w:eastAsia="zh-CN"/>
        </w:rPr>
        <w:t>Ribociclib</w:t>
      </w:r>
      <w:proofErr w:type="spellEnd"/>
      <w:r w:rsidRPr="0069233F">
        <w:rPr>
          <w:rFonts w:eastAsia="MS Mincho"/>
          <w:szCs w:val="20"/>
          <w:lang w:val="en-US" w:eastAsia="zh-CN"/>
        </w:rPr>
        <w:t xml:space="preserve"> exhibits high solubility at or below pH 4.5 and in bio-relevant media (at pH 5.0 and 6.5). Co-administration of </w:t>
      </w:r>
      <w:proofErr w:type="spellStart"/>
      <w:r w:rsidRPr="0069233F">
        <w:rPr>
          <w:rFonts w:eastAsia="MS Mincho"/>
          <w:szCs w:val="20"/>
          <w:lang w:val="en-US" w:eastAsia="zh-CN"/>
        </w:rPr>
        <w:t>ribociclib</w:t>
      </w:r>
      <w:proofErr w:type="spellEnd"/>
      <w:r w:rsidRPr="0069233F">
        <w:rPr>
          <w:rFonts w:eastAsia="MS Mincho"/>
          <w:szCs w:val="20"/>
          <w:lang w:val="en-US" w:eastAsia="zh-CN"/>
        </w:rPr>
        <w:t xml:space="preserve"> with </w:t>
      </w:r>
      <w:r w:rsidR="00E356B0" w:rsidRPr="0069233F">
        <w:rPr>
          <w:rFonts w:eastAsia="MS Mincho"/>
          <w:szCs w:val="20"/>
          <w:lang w:val="en-US" w:eastAsia="zh-CN"/>
        </w:rPr>
        <w:t xml:space="preserve">medicinal products </w:t>
      </w:r>
      <w:r w:rsidRPr="0069233F">
        <w:rPr>
          <w:rFonts w:eastAsia="MS Mincho"/>
          <w:szCs w:val="20"/>
          <w:lang w:val="en-US" w:eastAsia="zh-CN"/>
        </w:rPr>
        <w:t xml:space="preserve">that elevate the gastric pH </w:t>
      </w:r>
      <w:proofErr w:type="gramStart"/>
      <w:r w:rsidRPr="0069233F">
        <w:rPr>
          <w:rFonts w:eastAsia="MS Mincho"/>
          <w:szCs w:val="20"/>
          <w:lang w:val="en-US" w:eastAsia="zh-CN"/>
        </w:rPr>
        <w:t>was not evaluated</w:t>
      </w:r>
      <w:proofErr w:type="gramEnd"/>
      <w:r w:rsidRPr="0069233F">
        <w:rPr>
          <w:rFonts w:eastAsia="MS Mincho"/>
          <w:szCs w:val="20"/>
          <w:lang w:val="en-US" w:eastAsia="zh-CN"/>
        </w:rPr>
        <w:t xml:space="preserve"> in a clinical trial</w:t>
      </w:r>
      <w:r w:rsidR="00E356B0" w:rsidRPr="0069233F">
        <w:rPr>
          <w:rFonts w:eastAsia="MS Mincho"/>
          <w:szCs w:val="20"/>
          <w:lang w:val="en-US" w:eastAsia="zh-CN"/>
        </w:rPr>
        <w:t xml:space="preserve">; however, altered </w:t>
      </w:r>
      <w:proofErr w:type="spellStart"/>
      <w:r w:rsidR="00E356B0" w:rsidRPr="0069233F">
        <w:rPr>
          <w:rFonts w:eastAsia="MS Mincho"/>
          <w:szCs w:val="20"/>
          <w:lang w:val="en-US" w:eastAsia="zh-CN"/>
        </w:rPr>
        <w:t>ribociclib</w:t>
      </w:r>
      <w:proofErr w:type="spellEnd"/>
      <w:r w:rsidR="00E356B0" w:rsidRPr="0069233F">
        <w:rPr>
          <w:rFonts w:eastAsia="MS Mincho"/>
          <w:szCs w:val="20"/>
          <w:lang w:val="en-US" w:eastAsia="zh-CN"/>
        </w:rPr>
        <w:t xml:space="preserve"> absorption with proton pump inhibitors was not observed in population pharmacokinetic analysis</w:t>
      </w:r>
      <w:r w:rsidR="00476015" w:rsidRPr="0069233F">
        <w:rPr>
          <w:rFonts w:eastAsia="MS Mincho"/>
          <w:szCs w:val="20"/>
          <w:lang w:val="en-US" w:eastAsia="zh-CN"/>
        </w:rPr>
        <w:t>, non–compartmental pharmacokinetic analyses</w:t>
      </w:r>
      <w:r w:rsidR="00E356B0" w:rsidRPr="0069233F">
        <w:rPr>
          <w:rFonts w:eastAsia="MS Mincho"/>
          <w:szCs w:val="20"/>
          <w:lang w:val="en-US" w:eastAsia="zh-CN"/>
        </w:rPr>
        <w:t xml:space="preserve"> nor in simulations using PBPK models.</w:t>
      </w:r>
      <w:bookmarkEnd w:id="3"/>
      <w:bookmarkEnd w:id="4"/>
      <w:bookmarkEnd w:id="5"/>
      <w:bookmarkEnd w:id="6"/>
      <w:bookmarkEnd w:id="7"/>
      <w:bookmarkEnd w:id="8"/>
      <w:bookmarkEnd w:id="9"/>
    </w:p>
    <w:p w14:paraId="5553BC1B" w14:textId="1302E2DF" w:rsidR="0083330E" w:rsidRPr="004553F8" w:rsidRDefault="006C4A20" w:rsidP="00C04C50">
      <w:pPr>
        <w:pStyle w:val="Heading2"/>
        <w:spacing w:before="120" w:after="120" w:line="276" w:lineRule="auto"/>
        <w:jc w:val="left"/>
        <w:rPr>
          <w:rFonts w:eastAsiaTheme="minorHAnsi"/>
          <w:caps/>
          <w:sz w:val="30"/>
          <w:lang w:val="en-GB"/>
        </w:rPr>
      </w:pPr>
      <w:r w:rsidRPr="004553F8">
        <w:rPr>
          <w:rFonts w:eastAsiaTheme="minorHAnsi"/>
          <w:caps/>
          <w:sz w:val="30"/>
          <w:lang w:val="en-GB"/>
        </w:rPr>
        <w:t>AD</w:t>
      </w:r>
      <w:smartTag w:uri="schemas-GSKSiteLocations-com/fourthcoffee" w:element="flavor">
        <w:r w:rsidRPr="004553F8">
          <w:rPr>
            <w:rFonts w:eastAsiaTheme="minorHAnsi"/>
            <w:caps/>
            <w:sz w:val="30"/>
            <w:lang w:val="en-GB"/>
          </w:rPr>
          <w:t>VER</w:t>
        </w:r>
      </w:smartTag>
      <w:r w:rsidRPr="004553F8">
        <w:rPr>
          <w:rFonts w:eastAsiaTheme="minorHAnsi"/>
          <w:caps/>
          <w:sz w:val="30"/>
          <w:lang w:val="en-GB"/>
        </w:rPr>
        <w:t xml:space="preserve">SE </w:t>
      </w:r>
      <w:r w:rsidR="002B46E2" w:rsidRPr="004553F8">
        <w:rPr>
          <w:rFonts w:eastAsiaTheme="minorHAnsi"/>
          <w:caps/>
          <w:sz w:val="30"/>
          <w:lang w:val="en-GB"/>
        </w:rPr>
        <w:t>EFFECTS</w:t>
      </w:r>
    </w:p>
    <w:p w14:paraId="5553BC1D" w14:textId="77777777" w:rsidR="006C4A20" w:rsidRDefault="0083330E" w:rsidP="0085485E">
      <w:pPr>
        <w:spacing w:after="120" w:line="300" w:lineRule="exact"/>
        <w:rPr>
          <w:b/>
          <w:u w:val="single"/>
        </w:rPr>
      </w:pPr>
      <w:r w:rsidRPr="004553F8">
        <w:rPr>
          <w:b/>
          <w:u w:val="single"/>
        </w:rPr>
        <w:t>C</w:t>
      </w:r>
      <w:r w:rsidR="006C4A20" w:rsidRPr="004553F8">
        <w:rPr>
          <w:b/>
          <w:u w:val="single"/>
        </w:rPr>
        <w:t>linical Trial Data</w:t>
      </w:r>
    </w:p>
    <w:p w14:paraId="27AB3E72" w14:textId="77777777" w:rsidR="0055481E" w:rsidRPr="0055481E" w:rsidRDefault="0055481E" w:rsidP="0055481E">
      <w:pPr>
        <w:spacing w:before="120"/>
        <w:jc w:val="both"/>
        <w:rPr>
          <w:rFonts w:eastAsia="MS Mincho"/>
          <w:b/>
          <w:lang w:val="en-US" w:eastAsia="zh-CN"/>
        </w:rPr>
      </w:pPr>
      <w:bookmarkStart w:id="10" w:name="_Toc259706920"/>
      <w:bookmarkStart w:id="11" w:name="_Toc259707091"/>
      <w:bookmarkStart w:id="12" w:name="_Toc259707154"/>
      <w:bookmarkStart w:id="13" w:name="_Toc259713096"/>
      <w:r w:rsidRPr="0055481E">
        <w:rPr>
          <w:rFonts w:eastAsia="MS Mincho"/>
          <w:b/>
          <w:lang w:val="en-US" w:eastAsia="zh-CN"/>
        </w:rPr>
        <w:t>Summary of the safety profile</w:t>
      </w:r>
    </w:p>
    <w:p w14:paraId="6F87521C" w14:textId="69CF8DDB" w:rsidR="0055481E" w:rsidRPr="0055481E" w:rsidRDefault="0055481E" w:rsidP="004D3485">
      <w:pPr>
        <w:jc w:val="both"/>
        <w:rPr>
          <w:rFonts w:eastAsia="MS Mincho"/>
          <w:lang w:val="en-US" w:eastAsia="zh-CN"/>
        </w:rPr>
      </w:pPr>
      <w:r w:rsidRPr="0055481E">
        <w:rPr>
          <w:rFonts w:eastAsia="MS Mincho"/>
          <w:lang w:val="en-US" w:eastAsia="zh-CN"/>
        </w:rPr>
        <w:t xml:space="preserve">The overall safety evaluation of </w:t>
      </w:r>
      <w:r>
        <w:rPr>
          <w:rFonts w:eastAsia="MS Mincho"/>
          <w:lang w:val="en-US" w:eastAsia="zh-CN"/>
        </w:rPr>
        <w:t>KISQALI</w:t>
      </w:r>
      <w:r w:rsidRPr="0055481E">
        <w:rPr>
          <w:rFonts w:eastAsia="MS Mincho"/>
          <w:lang w:val="en-US" w:eastAsia="zh-CN"/>
        </w:rPr>
        <w:t xml:space="preserve"> </w:t>
      </w:r>
      <w:proofErr w:type="gramStart"/>
      <w:r w:rsidRPr="0055481E">
        <w:rPr>
          <w:rFonts w:eastAsia="MS Mincho"/>
          <w:lang w:val="en-US" w:eastAsia="zh-CN"/>
        </w:rPr>
        <w:t>is based</w:t>
      </w:r>
      <w:proofErr w:type="gramEnd"/>
      <w:r w:rsidRPr="0055481E">
        <w:rPr>
          <w:rFonts w:eastAsia="MS Mincho"/>
          <w:lang w:val="en-US" w:eastAsia="zh-CN"/>
        </w:rPr>
        <w:t xml:space="preserve"> on data from 898 patients</w:t>
      </w:r>
      <w:r w:rsidR="00C358EB">
        <w:rPr>
          <w:rFonts w:eastAsia="MS Mincho"/>
          <w:lang w:val="en-US" w:eastAsia="zh-CN"/>
        </w:rPr>
        <w:t xml:space="preserve">. </w:t>
      </w:r>
      <w:proofErr w:type="gramStart"/>
      <w:r w:rsidR="00C358EB" w:rsidRPr="00C358EB">
        <w:rPr>
          <w:rFonts w:eastAsia="MS Mincho"/>
          <w:lang w:val="en-US" w:eastAsia="zh-CN"/>
        </w:rPr>
        <w:t xml:space="preserve">This includes 381 patients who received KISQALI at the recommended 600-mg dose, using the proposed treatment regimen (Days 1-21 of a 28-day cycle) in combination with </w:t>
      </w:r>
      <w:proofErr w:type="spellStart"/>
      <w:r w:rsidR="00C358EB" w:rsidRPr="00C358EB">
        <w:rPr>
          <w:rFonts w:eastAsia="MS Mincho"/>
          <w:lang w:val="en-US" w:eastAsia="zh-CN"/>
        </w:rPr>
        <w:t>letrozole</w:t>
      </w:r>
      <w:proofErr w:type="spellEnd"/>
      <w:r w:rsidR="00C358EB" w:rsidRPr="00C358EB">
        <w:rPr>
          <w:rFonts w:eastAsia="MS Mincho"/>
          <w:lang w:val="en-US" w:eastAsia="zh-CN"/>
        </w:rPr>
        <w:t xml:space="preserve"> at the approved 2.5</w:t>
      </w:r>
      <w:r w:rsidR="00C04C50">
        <w:rPr>
          <w:rFonts w:eastAsia="MS Mincho"/>
          <w:lang w:val="en-US" w:eastAsia="zh-CN"/>
        </w:rPr>
        <w:t xml:space="preserve"> </w:t>
      </w:r>
      <w:r w:rsidR="00C358EB" w:rsidRPr="00C358EB">
        <w:rPr>
          <w:rFonts w:eastAsia="MS Mincho"/>
          <w:lang w:val="en-US" w:eastAsia="zh-CN"/>
        </w:rPr>
        <w:t xml:space="preserve">mg daily dose; 330 patients who received placebo in combination with </w:t>
      </w:r>
      <w:proofErr w:type="spellStart"/>
      <w:r w:rsidR="00C358EB" w:rsidRPr="00C358EB">
        <w:rPr>
          <w:rFonts w:eastAsia="MS Mincho"/>
          <w:lang w:val="en-US" w:eastAsia="zh-CN"/>
        </w:rPr>
        <w:t>letrozole</w:t>
      </w:r>
      <w:proofErr w:type="spellEnd"/>
      <w:r w:rsidR="00C358EB" w:rsidRPr="00C358EB">
        <w:rPr>
          <w:rFonts w:eastAsia="MS Mincho"/>
          <w:lang w:val="en-US" w:eastAsia="zh-CN"/>
        </w:rPr>
        <w:t xml:space="preserve"> and 187 patients who received </w:t>
      </w:r>
      <w:proofErr w:type="spellStart"/>
      <w:r w:rsidR="00C358EB" w:rsidRPr="00C358EB">
        <w:rPr>
          <w:rFonts w:eastAsia="MS Mincho"/>
          <w:lang w:val="en-US" w:eastAsia="zh-CN"/>
        </w:rPr>
        <w:t>ribociclib</w:t>
      </w:r>
      <w:proofErr w:type="spellEnd"/>
      <w:r w:rsidR="00C358EB" w:rsidRPr="00C358EB">
        <w:rPr>
          <w:rFonts w:eastAsia="MS Mincho"/>
          <w:lang w:val="en-US" w:eastAsia="zh-CN"/>
        </w:rPr>
        <w:t xml:space="preserve"> monotherapy (does range from 50</w:t>
      </w:r>
      <w:r w:rsidR="00C04C50">
        <w:rPr>
          <w:rFonts w:eastAsia="MS Mincho"/>
          <w:lang w:val="en-US" w:eastAsia="zh-CN"/>
        </w:rPr>
        <w:t xml:space="preserve"> </w:t>
      </w:r>
      <w:r w:rsidR="00C358EB" w:rsidRPr="00C358EB">
        <w:rPr>
          <w:rFonts w:eastAsia="MS Mincho"/>
          <w:lang w:val="en-US" w:eastAsia="zh-CN"/>
        </w:rPr>
        <w:t>mg daily to 1200</w:t>
      </w:r>
      <w:r w:rsidR="00C04C50">
        <w:rPr>
          <w:rFonts w:eastAsia="MS Mincho"/>
          <w:lang w:val="en-US" w:eastAsia="zh-CN"/>
        </w:rPr>
        <w:t xml:space="preserve"> </w:t>
      </w:r>
      <w:r w:rsidR="00C358EB" w:rsidRPr="00C358EB">
        <w:rPr>
          <w:rFonts w:eastAsia="MS Mincho"/>
          <w:lang w:val="en-US" w:eastAsia="zh-CN"/>
        </w:rPr>
        <w:t>mg daily).</w:t>
      </w:r>
      <w:proofErr w:type="gramEnd"/>
    </w:p>
    <w:p w14:paraId="5ABF39B5" w14:textId="77777777" w:rsidR="00F97A10" w:rsidRDefault="00F97A10" w:rsidP="0055481E">
      <w:pPr>
        <w:spacing w:before="120"/>
        <w:jc w:val="both"/>
        <w:rPr>
          <w:rFonts w:eastAsia="MS Mincho"/>
          <w:u w:val="single"/>
          <w:lang w:val="en-US" w:eastAsia="zh-CN"/>
        </w:rPr>
      </w:pPr>
      <w:r w:rsidRPr="00F97A10">
        <w:rPr>
          <w:rFonts w:eastAsia="MS Mincho"/>
          <w:u w:val="single"/>
          <w:lang w:val="en-US" w:eastAsia="zh-CN"/>
        </w:rPr>
        <w:t>Study CLEE011A2301 (MONALEESA 2)</w:t>
      </w:r>
    </w:p>
    <w:p w14:paraId="223F9B44" w14:textId="23D78108" w:rsidR="0055481E" w:rsidRPr="0055481E" w:rsidRDefault="0055481E" w:rsidP="0055481E">
      <w:pPr>
        <w:spacing w:before="120"/>
        <w:jc w:val="both"/>
        <w:rPr>
          <w:rFonts w:eastAsia="MS Mincho"/>
          <w:lang w:val="en-US" w:eastAsia="zh-CN"/>
        </w:rPr>
      </w:pPr>
      <w:r w:rsidRPr="0055481E">
        <w:rPr>
          <w:rFonts w:eastAsia="MS Mincho"/>
          <w:lang w:val="en-US" w:eastAsia="zh-CN"/>
        </w:rPr>
        <w:t>The safety data reported below are based on the phase III clinical study of 668</w:t>
      </w:r>
      <w:r w:rsidR="00946917">
        <w:rPr>
          <w:rFonts w:eastAsia="MS Mincho"/>
          <w:lang w:val="en-US" w:eastAsia="zh-CN"/>
        </w:rPr>
        <w:t xml:space="preserve"> </w:t>
      </w:r>
      <w:r w:rsidRPr="0055481E">
        <w:rPr>
          <w:rFonts w:eastAsia="MS Mincho"/>
          <w:lang w:val="en-US" w:eastAsia="zh-CN"/>
        </w:rPr>
        <w:t xml:space="preserve">postmenopausal women, </w:t>
      </w:r>
      <w:proofErr w:type="spellStart"/>
      <w:r w:rsidRPr="0055481E">
        <w:rPr>
          <w:rFonts w:eastAsia="MS Mincho"/>
          <w:lang w:val="en-US" w:eastAsia="zh-CN"/>
        </w:rPr>
        <w:t>randomised</w:t>
      </w:r>
      <w:proofErr w:type="spellEnd"/>
      <w:r w:rsidRPr="0055481E">
        <w:rPr>
          <w:rFonts w:eastAsia="MS Mincho"/>
          <w:lang w:val="en-US" w:eastAsia="zh-CN"/>
        </w:rPr>
        <w:t xml:space="preserve"> (1:1) receiving KISQALI plus </w:t>
      </w:r>
      <w:proofErr w:type="spellStart"/>
      <w:r w:rsidRPr="0055481E">
        <w:rPr>
          <w:rFonts w:eastAsia="MS Mincho"/>
          <w:lang w:val="en-US" w:eastAsia="zh-CN"/>
        </w:rPr>
        <w:t>letrozole</w:t>
      </w:r>
      <w:proofErr w:type="spellEnd"/>
      <w:r w:rsidRPr="0055481E">
        <w:rPr>
          <w:rFonts w:eastAsia="MS Mincho"/>
          <w:lang w:val="en-US" w:eastAsia="zh-CN"/>
        </w:rPr>
        <w:t xml:space="preserve"> or placebo plus </w:t>
      </w:r>
      <w:proofErr w:type="spellStart"/>
      <w:r w:rsidRPr="0055481E">
        <w:rPr>
          <w:rFonts w:eastAsia="MS Mincho"/>
          <w:lang w:val="en-US" w:eastAsia="zh-CN"/>
        </w:rPr>
        <w:t>letrozole</w:t>
      </w:r>
      <w:proofErr w:type="spellEnd"/>
      <w:r w:rsidRPr="0055481E">
        <w:rPr>
          <w:rFonts w:eastAsia="MS Mincho"/>
          <w:lang w:val="en-US" w:eastAsia="zh-CN"/>
        </w:rPr>
        <w:t xml:space="preserve">. The median duration of exposure to </w:t>
      </w:r>
      <w:r w:rsidR="004969A3">
        <w:rPr>
          <w:rFonts w:eastAsia="MS Mincho"/>
          <w:lang w:val="en-US" w:eastAsia="zh-CN"/>
        </w:rPr>
        <w:t>KISQALI</w:t>
      </w:r>
      <w:r w:rsidRPr="0055481E">
        <w:rPr>
          <w:rFonts w:eastAsia="MS Mincho"/>
          <w:lang w:val="en-US" w:eastAsia="zh-CN"/>
        </w:rPr>
        <w:t xml:space="preserve"> plus </w:t>
      </w:r>
      <w:proofErr w:type="spellStart"/>
      <w:r w:rsidRPr="0055481E">
        <w:rPr>
          <w:rFonts w:eastAsia="MS Mincho"/>
          <w:lang w:val="en-US" w:eastAsia="zh-CN"/>
        </w:rPr>
        <w:t>letrozole</w:t>
      </w:r>
      <w:proofErr w:type="spellEnd"/>
      <w:r w:rsidRPr="0055481E">
        <w:rPr>
          <w:rFonts w:eastAsia="MS Mincho"/>
          <w:lang w:val="en-US" w:eastAsia="zh-CN"/>
        </w:rPr>
        <w:t xml:space="preserve"> </w:t>
      </w:r>
      <w:proofErr w:type="gramStart"/>
      <w:r w:rsidRPr="0055481E">
        <w:rPr>
          <w:rFonts w:eastAsia="MS Mincho"/>
          <w:lang w:val="en-US" w:eastAsia="zh-CN"/>
        </w:rPr>
        <w:t>was 13 months with 58.1</w:t>
      </w:r>
      <w:r w:rsidR="0098787B">
        <w:rPr>
          <w:rFonts w:eastAsia="MS Mincho"/>
          <w:lang w:val="en-US" w:eastAsia="zh-CN"/>
        </w:rPr>
        <w:t xml:space="preserve"> </w:t>
      </w:r>
      <w:r w:rsidRPr="0055481E">
        <w:rPr>
          <w:rFonts w:eastAsia="MS Mincho"/>
          <w:lang w:val="en-US" w:eastAsia="zh-CN"/>
        </w:rPr>
        <w:t>% pa</w:t>
      </w:r>
      <w:r w:rsidR="009117B3">
        <w:rPr>
          <w:rFonts w:eastAsia="MS Mincho"/>
          <w:lang w:val="en-US" w:eastAsia="zh-CN"/>
        </w:rPr>
        <w:t>tients exposed</w:t>
      </w:r>
      <w:proofErr w:type="gramEnd"/>
      <w:r w:rsidR="009117B3">
        <w:rPr>
          <w:rFonts w:eastAsia="MS Mincho"/>
          <w:lang w:val="en-US" w:eastAsia="zh-CN"/>
        </w:rPr>
        <w:t xml:space="preserve"> for &gt; 12 months</w:t>
      </w:r>
      <w:r w:rsidRPr="0055481E">
        <w:rPr>
          <w:rFonts w:eastAsia="MS Mincho"/>
          <w:lang w:val="en-US" w:eastAsia="zh-CN"/>
        </w:rPr>
        <w:t>.</w:t>
      </w:r>
    </w:p>
    <w:p w14:paraId="7D343EA4" w14:textId="7FD97592" w:rsidR="0055481E" w:rsidRPr="0055481E" w:rsidRDefault="0055481E" w:rsidP="0055481E">
      <w:pPr>
        <w:spacing w:before="120"/>
        <w:jc w:val="both"/>
        <w:rPr>
          <w:rFonts w:eastAsia="MS Mincho"/>
          <w:lang w:val="en-US" w:eastAsia="zh-CN"/>
        </w:rPr>
      </w:pPr>
      <w:r w:rsidRPr="0055481E">
        <w:rPr>
          <w:rFonts w:eastAsia="MS Mincho"/>
          <w:lang w:val="en-US" w:eastAsia="zh-CN"/>
        </w:rPr>
        <w:t xml:space="preserve">Dose reductions due to AEs, regardless of causality occurred in </w:t>
      </w:r>
      <w:r w:rsidR="00F50BCF">
        <w:rPr>
          <w:rFonts w:eastAsia="MS Mincho"/>
          <w:lang w:val="en-US" w:eastAsia="zh-CN"/>
        </w:rPr>
        <w:t>44.6</w:t>
      </w:r>
      <w:r w:rsidRPr="0055481E">
        <w:rPr>
          <w:rFonts w:eastAsia="MS Mincho"/>
          <w:lang w:val="en-US" w:eastAsia="zh-CN"/>
        </w:rPr>
        <w:t xml:space="preserve"> % of patients receiving </w:t>
      </w:r>
      <w:r w:rsidR="004969A3">
        <w:rPr>
          <w:rFonts w:eastAsia="MS Mincho"/>
          <w:lang w:val="en-US" w:eastAsia="zh-CN"/>
        </w:rPr>
        <w:t>KISQALI</w:t>
      </w:r>
      <w:r w:rsidRPr="0055481E">
        <w:rPr>
          <w:rFonts w:eastAsia="MS Mincho"/>
          <w:lang w:val="en-US" w:eastAsia="zh-CN"/>
        </w:rPr>
        <w:t xml:space="preserve"> plus </w:t>
      </w:r>
      <w:proofErr w:type="spellStart"/>
      <w:r w:rsidRPr="0055481E">
        <w:rPr>
          <w:rFonts w:eastAsia="MS Mincho"/>
          <w:lang w:val="en-US" w:eastAsia="zh-CN"/>
        </w:rPr>
        <w:t>letrozole</w:t>
      </w:r>
      <w:proofErr w:type="spellEnd"/>
      <w:r w:rsidRPr="0055481E">
        <w:rPr>
          <w:rFonts w:eastAsia="MS Mincho"/>
          <w:lang w:val="en-US" w:eastAsia="zh-CN"/>
        </w:rPr>
        <w:t xml:space="preserve"> and in </w:t>
      </w:r>
      <w:r w:rsidR="00F50BCF">
        <w:rPr>
          <w:rFonts w:eastAsia="MS Mincho"/>
          <w:lang w:val="en-US" w:eastAsia="zh-CN"/>
        </w:rPr>
        <w:t>3.0</w:t>
      </w:r>
      <w:r w:rsidR="00946917">
        <w:rPr>
          <w:rFonts w:eastAsia="MS Mincho"/>
          <w:lang w:val="en-US" w:eastAsia="zh-CN"/>
        </w:rPr>
        <w:t xml:space="preserve"> </w:t>
      </w:r>
      <w:r w:rsidRPr="0055481E">
        <w:rPr>
          <w:rFonts w:eastAsia="MS Mincho"/>
          <w:lang w:val="en-US" w:eastAsia="zh-CN"/>
        </w:rPr>
        <w:t xml:space="preserve">% of patients receiving placebo plus </w:t>
      </w:r>
      <w:proofErr w:type="spellStart"/>
      <w:r w:rsidRPr="0055481E">
        <w:rPr>
          <w:rFonts w:eastAsia="MS Mincho"/>
          <w:lang w:val="en-US" w:eastAsia="zh-CN"/>
        </w:rPr>
        <w:t>letrozole</w:t>
      </w:r>
      <w:proofErr w:type="spellEnd"/>
      <w:r w:rsidRPr="0055481E">
        <w:rPr>
          <w:rFonts w:eastAsia="MS Mincho"/>
          <w:lang w:val="en-US" w:eastAsia="zh-CN"/>
        </w:rPr>
        <w:t xml:space="preserve">. </w:t>
      </w:r>
      <w:r w:rsidRPr="00E435A1">
        <w:rPr>
          <w:rFonts w:eastAsia="MS Mincho"/>
          <w:lang w:val="en-US" w:eastAsia="zh-CN"/>
        </w:rPr>
        <w:t>Permanent discontinuations</w:t>
      </w:r>
      <w:r w:rsidR="007B15B1" w:rsidRPr="007B15B1">
        <w:rPr>
          <w:rFonts w:eastAsia="MS Mincho"/>
          <w:lang w:val="en-US" w:eastAsia="zh-CN"/>
        </w:rPr>
        <w:t xml:space="preserve"> </w:t>
      </w:r>
      <w:r w:rsidRPr="00E435A1">
        <w:rPr>
          <w:rFonts w:eastAsia="MS Mincho"/>
          <w:lang w:val="en-US" w:eastAsia="zh-CN"/>
        </w:rPr>
        <w:t xml:space="preserve">due to adverse events </w:t>
      </w:r>
      <w:proofErr w:type="gramStart"/>
      <w:r w:rsidRPr="00E435A1">
        <w:rPr>
          <w:rFonts w:eastAsia="MS Mincho"/>
          <w:lang w:val="en-US" w:eastAsia="zh-CN"/>
        </w:rPr>
        <w:t>were reported</w:t>
      </w:r>
      <w:proofErr w:type="gramEnd"/>
      <w:r w:rsidRPr="00E435A1">
        <w:rPr>
          <w:rFonts w:eastAsia="MS Mincho"/>
          <w:lang w:val="en-US" w:eastAsia="zh-CN"/>
        </w:rPr>
        <w:t xml:space="preserve"> in 7.5</w:t>
      </w:r>
      <w:r w:rsidR="00946917" w:rsidRPr="00E435A1">
        <w:rPr>
          <w:rFonts w:eastAsia="MS Mincho"/>
          <w:lang w:val="en-US" w:eastAsia="zh-CN"/>
        </w:rPr>
        <w:t xml:space="preserve"> </w:t>
      </w:r>
      <w:r w:rsidRPr="00E435A1">
        <w:rPr>
          <w:rFonts w:eastAsia="MS Mincho"/>
          <w:lang w:val="en-US" w:eastAsia="zh-CN"/>
        </w:rPr>
        <w:t xml:space="preserve">% </w:t>
      </w:r>
      <w:r w:rsidR="00676FBA" w:rsidRPr="00E435A1">
        <w:rPr>
          <w:rFonts w:eastAsia="MS Mincho"/>
          <w:lang w:val="en-US" w:eastAsia="zh-CN"/>
        </w:rPr>
        <w:t>of patients</w:t>
      </w:r>
      <w:r w:rsidRPr="00E435A1">
        <w:rPr>
          <w:rFonts w:eastAsia="MS Mincho"/>
          <w:lang w:val="en-US" w:eastAsia="zh-CN"/>
        </w:rPr>
        <w:t xml:space="preserve"> receiving </w:t>
      </w:r>
      <w:r w:rsidR="004969A3" w:rsidRPr="00E435A1">
        <w:rPr>
          <w:rFonts w:eastAsia="MS Mincho"/>
          <w:lang w:val="en-US" w:eastAsia="zh-CN"/>
        </w:rPr>
        <w:t>KISQALI</w:t>
      </w:r>
      <w:r w:rsidRPr="00E435A1">
        <w:rPr>
          <w:rFonts w:eastAsia="MS Mincho"/>
          <w:lang w:val="en-US" w:eastAsia="zh-CN"/>
        </w:rPr>
        <w:t xml:space="preserve"> plus </w:t>
      </w:r>
      <w:proofErr w:type="spellStart"/>
      <w:r w:rsidRPr="00E435A1">
        <w:rPr>
          <w:rFonts w:eastAsia="MS Mincho"/>
          <w:lang w:val="en-US" w:eastAsia="zh-CN"/>
        </w:rPr>
        <w:t>letrozole</w:t>
      </w:r>
      <w:proofErr w:type="spellEnd"/>
      <w:r w:rsidRPr="00E435A1">
        <w:rPr>
          <w:rFonts w:eastAsia="MS Mincho"/>
          <w:lang w:val="en-US" w:eastAsia="zh-CN"/>
        </w:rPr>
        <w:t xml:space="preserve"> and 2.1</w:t>
      </w:r>
      <w:r w:rsidR="0098787B" w:rsidRPr="00E435A1">
        <w:rPr>
          <w:rFonts w:eastAsia="MS Mincho"/>
          <w:lang w:val="en-US" w:eastAsia="zh-CN"/>
        </w:rPr>
        <w:t xml:space="preserve"> </w:t>
      </w:r>
      <w:r w:rsidRPr="00E435A1">
        <w:rPr>
          <w:rFonts w:eastAsia="MS Mincho"/>
          <w:lang w:val="en-US" w:eastAsia="zh-CN"/>
        </w:rPr>
        <w:t xml:space="preserve">% in patients receiving placebo plus </w:t>
      </w:r>
      <w:proofErr w:type="spellStart"/>
      <w:r w:rsidRPr="00E435A1">
        <w:rPr>
          <w:rFonts w:eastAsia="MS Mincho"/>
          <w:lang w:val="en-US" w:eastAsia="zh-CN"/>
        </w:rPr>
        <w:t>letrozole</w:t>
      </w:r>
      <w:proofErr w:type="spellEnd"/>
      <w:r w:rsidRPr="00E435A1">
        <w:rPr>
          <w:rFonts w:eastAsia="MS Mincho"/>
          <w:lang w:val="en-US" w:eastAsia="zh-CN"/>
        </w:rPr>
        <w:t>. The most common A</w:t>
      </w:r>
      <w:r w:rsidR="00536243" w:rsidRPr="00E435A1">
        <w:rPr>
          <w:rFonts w:eastAsia="MS Mincho"/>
          <w:lang w:val="en-US" w:eastAsia="zh-CN"/>
        </w:rPr>
        <w:t>Es</w:t>
      </w:r>
      <w:r w:rsidRPr="0055481E">
        <w:rPr>
          <w:rFonts w:eastAsia="MS Mincho"/>
          <w:lang w:val="en-US" w:eastAsia="zh-CN"/>
        </w:rPr>
        <w:t xml:space="preserve"> leading to </w:t>
      </w:r>
      <w:r w:rsidRPr="0055481E" w:rsidDel="007B15B1">
        <w:rPr>
          <w:rFonts w:eastAsia="MS Mincho"/>
          <w:lang w:val="en-US" w:eastAsia="zh-CN"/>
        </w:rPr>
        <w:t xml:space="preserve">treatment </w:t>
      </w:r>
      <w:r w:rsidRPr="0055481E">
        <w:rPr>
          <w:rFonts w:eastAsia="MS Mincho"/>
          <w:lang w:val="en-US" w:eastAsia="zh-CN"/>
        </w:rPr>
        <w:t xml:space="preserve">discontinuation in patients receiving </w:t>
      </w:r>
      <w:r w:rsidR="004969A3">
        <w:rPr>
          <w:rFonts w:eastAsia="MS Mincho"/>
          <w:lang w:val="en-US" w:eastAsia="zh-CN"/>
        </w:rPr>
        <w:t>KISQALI</w:t>
      </w:r>
      <w:r w:rsidRPr="0055481E">
        <w:rPr>
          <w:rFonts w:eastAsia="MS Mincho"/>
          <w:lang w:val="en-US" w:eastAsia="zh-CN"/>
        </w:rPr>
        <w:t xml:space="preserve"> plus </w:t>
      </w:r>
      <w:proofErr w:type="spellStart"/>
      <w:r w:rsidRPr="0055481E">
        <w:rPr>
          <w:rFonts w:eastAsia="MS Mincho"/>
          <w:lang w:val="en-US" w:eastAsia="zh-CN"/>
        </w:rPr>
        <w:t>letrozole</w:t>
      </w:r>
      <w:proofErr w:type="spellEnd"/>
      <w:r w:rsidRPr="0055481E">
        <w:rPr>
          <w:rFonts w:eastAsia="MS Mincho"/>
          <w:lang w:val="en-US" w:eastAsia="zh-CN"/>
        </w:rPr>
        <w:t xml:space="preserve"> were ALT increased (</w:t>
      </w:r>
      <w:r w:rsidR="00F50BCF">
        <w:rPr>
          <w:rFonts w:eastAsia="MS Mincho"/>
          <w:lang w:val="en-US" w:eastAsia="zh-CN"/>
        </w:rPr>
        <w:t>2.7</w:t>
      </w:r>
      <w:r w:rsidR="0098787B">
        <w:rPr>
          <w:rFonts w:eastAsia="MS Mincho"/>
          <w:lang w:val="en-US" w:eastAsia="zh-CN"/>
        </w:rPr>
        <w:t xml:space="preserve"> </w:t>
      </w:r>
      <w:r w:rsidR="00F50BCF">
        <w:rPr>
          <w:rFonts w:eastAsia="MS Mincho"/>
          <w:lang w:val="en-US" w:eastAsia="zh-CN"/>
        </w:rPr>
        <w:t>%), AST increased (2.4</w:t>
      </w:r>
      <w:r w:rsidR="00946917">
        <w:rPr>
          <w:rFonts w:eastAsia="MS Mincho"/>
          <w:lang w:val="en-US" w:eastAsia="zh-CN"/>
        </w:rPr>
        <w:t xml:space="preserve"> </w:t>
      </w:r>
      <w:r w:rsidRPr="0055481E">
        <w:rPr>
          <w:rFonts w:eastAsia="MS Mincho"/>
          <w:lang w:val="en-US" w:eastAsia="zh-CN"/>
        </w:rPr>
        <w:t>%) and vomiting (</w:t>
      </w:r>
      <w:r w:rsidR="00F50BCF">
        <w:rPr>
          <w:rFonts w:eastAsia="MS Mincho"/>
          <w:lang w:val="en-US" w:eastAsia="zh-CN"/>
        </w:rPr>
        <w:t>1.5</w:t>
      </w:r>
      <w:r w:rsidR="00946917">
        <w:rPr>
          <w:rFonts w:eastAsia="MS Mincho"/>
          <w:lang w:val="en-US" w:eastAsia="zh-CN"/>
        </w:rPr>
        <w:t xml:space="preserve"> </w:t>
      </w:r>
      <w:r w:rsidR="00D76CF5">
        <w:rPr>
          <w:rFonts w:eastAsia="MS Mincho"/>
          <w:lang w:val="en-US" w:eastAsia="zh-CN"/>
        </w:rPr>
        <w:t>%).</w:t>
      </w:r>
    </w:p>
    <w:p w14:paraId="58540998" w14:textId="7876706A" w:rsidR="0055481E" w:rsidRPr="0055481E" w:rsidRDefault="0055481E" w:rsidP="0055481E">
      <w:pPr>
        <w:spacing w:before="120"/>
        <w:jc w:val="both"/>
        <w:rPr>
          <w:rFonts w:eastAsia="MS Mincho"/>
          <w:lang w:val="en-US" w:eastAsia="zh-CN"/>
        </w:rPr>
      </w:pPr>
      <w:r w:rsidRPr="0055481E">
        <w:rPr>
          <w:rFonts w:eastAsia="MS Mincho"/>
          <w:lang w:val="en-US" w:eastAsia="zh-CN"/>
        </w:rPr>
        <w:t xml:space="preserve">On-treatment deaths, regardless of causality, were reported in </w:t>
      </w:r>
      <w:proofErr w:type="gramStart"/>
      <w:r w:rsidR="00E7381C">
        <w:rPr>
          <w:rFonts w:eastAsia="MS Mincho"/>
          <w:lang w:val="en-US" w:eastAsia="zh-CN"/>
        </w:rPr>
        <w:t>3</w:t>
      </w:r>
      <w:proofErr w:type="gramEnd"/>
      <w:r w:rsidR="00E7381C">
        <w:rPr>
          <w:rFonts w:eastAsia="MS Mincho"/>
          <w:lang w:val="en-US" w:eastAsia="zh-CN"/>
        </w:rPr>
        <w:t xml:space="preserve"> cases (</w:t>
      </w:r>
      <w:r w:rsidRPr="0055481E">
        <w:rPr>
          <w:rFonts w:eastAsia="MS Mincho"/>
          <w:lang w:val="en-US" w:eastAsia="zh-CN"/>
        </w:rPr>
        <w:t>0.9</w:t>
      </w:r>
      <w:r w:rsidR="00946917">
        <w:rPr>
          <w:rFonts w:eastAsia="MS Mincho"/>
          <w:lang w:val="en-US" w:eastAsia="zh-CN"/>
        </w:rPr>
        <w:t xml:space="preserve"> </w:t>
      </w:r>
      <w:r w:rsidR="00E7381C">
        <w:rPr>
          <w:rFonts w:eastAsia="MS Mincho"/>
          <w:lang w:val="en-US" w:eastAsia="zh-CN"/>
        </w:rPr>
        <w:t>%</w:t>
      </w:r>
      <w:r w:rsidRPr="0055481E">
        <w:rPr>
          <w:rFonts w:eastAsia="MS Mincho"/>
          <w:lang w:val="en-US" w:eastAsia="zh-CN"/>
        </w:rPr>
        <w:t xml:space="preserve">) of </w:t>
      </w:r>
      <w:r w:rsidR="004969A3">
        <w:rPr>
          <w:rFonts w:eastAsia="MS Mincho"/>
          <w:lang w:val="en-US" w:eastAsia="zh-CN"/>
        </w:rPr>
        <w:t>KISQALI</w:t>
      </w:r>
      <w:r w:rsidRPr="0055481E">
        <w:rPr>
          <w:rFonts w:eastAsia="MS Mincho"/>
          <w:lang w:val="en-US" w:eastAsia="zh-CN"/>
        </w:rPr>
        <w:t xml:space="preserve"> plus </w:t>
      </w:r>
      <w:proofErr w:type="spellStart"/>
      <w:r w:rsidRPr="0055481E">
        <w:rPr>
          <w:rFonts w:eastAsia="MS Mincho"/>
          <w:lang w:val="en-US" w:eastAsia="zh-CN"/>
        </w:rPr>
        <w:t>letrozole</w:t>
      </w:r>
      <w:proofErr w:type="spellEnd"/>
      <w:r w:rsidRPr="0055481E">
        <w:rPr>
          <w:rFonts w:eastAsia="MS Mincho"/>
          <w:lang w:val="en-US" w:eastAsia="zh-CN"/>
        </w:rPr>
        <w:t xml:space="preserve"> treated patients vs. 1 case (0.3</w:t>
      </w:r>
      <w:r w:rsidR="00946917">
        <w:rPr>
          <w:rFonts w:eastAsia="MS Mincho"/>
          <w:lang w:val="en-US" w:eastAsia="zh-CN"/>
        </w:rPr>
        <w:t xml:space="preserve"> </w:t>
      </w:r>
      <w:r w:rsidRPr="0055481E">
        <w:rPr>
          <w:rFonts w:eastAsia="MS Mincho"/>
          <w:lang w:val="en-US" w:eastAsia="zh-CN"/>
        </w:rPr>
        <w:t xml:space="preserve">%) of placebo plus </w:t>
      </w:r>
      <w:proofErr w:type="spellStart"/>
      <w:r w:rsidRPr="0055481E">
        <w:rPr>
          <w:rFonts w:eastAsia="MS Mincho"/>
          <w:lang w:val="en-US" w:eastAsia="zh-CN"/>
        </w:rPr>
        <w:t>letrozole</w:t>
      </w:r>
      <w:proofErr w:type="spellEnd"/>
      <w:r w:rsidRPr="0055481E">
        <w:rPr>
          <w:rFonts w:eastAsia="MS Mincho"/>
          <w:lang w:val="en-US" w:eastAsia="zh-CN"/>
        </w:rPr>
        <w:t xml:space="preserve"> treated patients. Causes of death on </w:t>
      </w:r>
      <w:r w:rsidR="004969A3">
        <w:rPr>
          <w:rFonts w:eastAsia="MS Mincho"/>
          <w:lang w:val="en-US" w:eastAsia="zh-CN"/>
        </w:rPr>
        <w:t>KISQALI</w:t>
      </w:r>
      <w:r w:rsidRPr="0055481E">
        <w:rPr>
          <w:rFonts w:eastAsia="MS Mincho"/>
          <w:lang w:val="en-US" w:eastAsia="zh-CN"/>
        </w:rPr>
        <w:t xml:space="preserve"> plus </w:t>
      </w:r>
      <w:proofErr w:type="spellStart"/>
      <w:r w:rsidRPr="0055481E">
        <w:rPr>
          <w:rFonts w:eastAsia="MS Mincho"/>
          <w:lang w:val="en-US" w:eastAsia="zh-CN"/>
        </w:rPr>
        <w:t>letrozole</w:t>
      </w:r>
      <w:proofErr w:type="spellEnd"/>
      <w:r w:rsidRPr="0055481E">
        <w:rPr>
          <w:rFonts w:eastAsia="MS Mincho"/>
          <w:lang w:val="en-US" w:eastAsia="zh-CN"/>
        </w:rPr>
        <w:t xml:space="preserve"> included one case of each of the following: study indication, death (cause unknown) and sudden death (in the setting of Grade 3 hypokalemia and Grade 2 QT prolongation). There was one death due to study indication on the placebo plus </w:t>
      </w:r>
      <w:proofErr w:type="spellStart"/>
      <w:r w:rsidRPr="0055481E">
        <w:rPr>
          <w:rFonts w:eastAsia="MS Mincho"/>
          <w:lang w:val="en-US" w:eastAsia="zh-CN"/>
        </w:rPr>
        <w:t>letrozole</w:t>
      </w:r>
      <w:proofErr w:type="spellEnd"/>
      <w:r w:rsidRPr="0055481E">
        <w:rPr>
          <w:rFonts w:eastAsia="MS Mincho"/>
          <w:lang w:val="en-US" w:eastAsia="zh-CN"/>
        </w:rPr>
        <w:t xml:space="preserve"> arm.  </w:t>
      </w:r>
    </w:p>
    <w:p w14:paraId="2B00FB57" w14:textId="52AB3C01" w:rsidR="0055481E" w:rsidRPr="0055481E" w:rsidRDefault="0055481E" w:rsidP="0055481E">
      <w:pPr>
        <w:spacing w:before="120"/>
        <w:jc w:val="both"/>
        <w:rPr>
          <w:rFonts w:eastAsia="MS Mincho"/>
          <w:lang w:val="en-US" w:eastAsia="zh-CN"/>
        </w:rPr>
      </w:pPr>
      <w:r w:rsidRPr="0055481E">
        <w:rPr>
          <w:rFonts w:eastAsia="MS Mincho"/>
          <w:lang w:val="en-US" w:eastAsia="zh-CN"/>
        </w:rPr>
        <w:t>The most common AD</w:t>
      </w:r>
      <w:r w:rsidR="00E7381C">
        <w:rPr>
          <w:rFonts w:eastAsia="MS Mincho"/>
          <w:lang w:val="en-US" w:eastAsia="zh-CN"/>
        </w:rPr>
        <w:t>Rs (reported at an incidence &gt; 2</w:t>
      </w:r>
      <w:r w:rsidRPr="0055481E">
        <w:rPr>
          <w:rFonts w:eastAsia="MS Mincho"/>
          <w:lang w:val="en-US" w:eastAsia="zh-CN"/>
        </w:rPr>
        <w:t>0</w:t>
      </w:r>
      <w:r w:rsidR="0098787B">
        <w:rPr>
          <w:rFonts w:eastAsia="MS Mincho"/>
          <w:lang w:val="en-US" w:eastAsia="zh-CN"/>
        </w:rPr>
        <w:t xml:space="preserve"> </w:t>
      </w:r>
      <w:proofErr w:type="gramStart"/>
      <w:r w:rsidRPr="0055481E">
        <w:rPr>
          <w:rFonts w:eastAsia="MS Mincho"/>
          <w:lang w:val="en-US" w:eastAsia="zh-CN"/>
        </w:rPr>
        <w:t>%</w:t>
      </w:r>
      <w:proofErr w:type="gramEnd"/>
      <w:r w:rsidRPr="0055481E">
        <w:rPr>
          <w:rFonts w:eastAsia="MS Mincho"/>
          <w:lang w:val="en-US" w:eastAsia="zh-CN"/>
        </w:rPr>
        <w:t xml:space="preserve"> and for which the rate for </w:t>
      </w:r>
      <w:r w:rsidR="004969A3">
        <w:rPr>
          <w:rFonts w:eastAsia="MS Mincho"/>
          <w:lang w:val="en-US" w:eastAsia="zh-CN"/>
        </w:rPr>
        <w:t>KISQALI</w:t>
      </w:r>
      <w:r w:rsidRPr="0055481E">
        <w:rPr>
          <w:rFonts w:eastAsia="MS Mincho"/>
          <w:lang w:val="en-US" w:eastAsia="zh-CN"/>
        </w:rPr>
        <w:t xml:space="preserve"> plus </w:t>
      </w:r>
      <w:proofErr w:type="spellStart"/>
      <w:r w:rsidRPr="0055481E">
        <w:rPr>
          <w:rFonts w:eastAsia="MS Mincho"/>
          <w:lang w:val="en-US" w:eastAsia="zh-CN"/>
        </w:rPr>
        <w:t>letrozole</w:t>
      </w:r>
      <w:proofErr w:type="spellEnd"/>
      <w:r w:rsidRPr="0055481E">
        <w:rPr>
          <w:rFonts w:eastAsia="MS Mincho"/>
          <w:lang w:val="en-US" w:eastAsia="zh-CN"/>
        </w:rPr>
        <w:t xml:space="preserve"> exceeds the rate for placebo plus </w:t>
      </w:r>
      <w:proofErr w:type="spellStart"/>
      <w:r w:rsidRPr="0055481E">
        <w:rPr>
          <w:rFonts w:eastAsia="MS Mincho"/>
          <w:lang w:val="en-US" w:eastAsia="zh-CN"/>
        </w:rPr>
        <w:t>letrozole</w:t>
      </w:r>
      <w:proofErr w:type="spellEnd"/>
      <w:r w:rsidRPr="0055481E">
        <w:rPr>
          <w:rFonts w:eastAsia="MS Mincho"/>
          <w:lang w:val="en-US" w:eastAsia="zh-CN"/>
        </w:rPr>
        <w:t xml:space="preserve">) were neutropenia, </w:t>
      </w:r>
      <w:r w:rsidR="00E7381C" w:rsidRPr="00E7381C">
        <w:rPr>
          <w:rFonts w:eastAsia="MS Mincho"/>
          <w:lang w:val="en-US" w:eastAsia="zh-CN"/>
        </w:rPr>
        <w:t xml:space="preserve">leukopenia, headache, </w:t>
      </w:r>
      <w:r w:rsidR="00065A78" w:rsidRPr="00E7381C">
        <w:rPr>
          <w:rFonts w:eastAsia="MS Mincho"/>
          <w:lang w:val="en-US" w:eastAsia="zh-CN"/>
        </w:rPr>
        <w:t>back pain</w:t>
      </w:r>
      <w:r w:rsidR="00E7381C">
        <w:rPr>
          <w:rFonts w:eastAsia="MS Mincho"/>
          <w:lang w:val="en-US" w:eastAsia="zh-CN"/>
        </w:rPr>
        <w:t xml:space="preserve">, </w:t>
      </w:r>
      <w:r w:rsidRPr="0055481E">
        <w:rPr>
          <w:rFonts w:eastAsia="MS Mincho"/>
          <w:lang w:val="en-US" w:eastAsia="zh-CN"/>
        </w:rPr>
        <w:t xml:space="preserve">nausea, fatigue, </w:t>
      </w:r>
      <w:proofErr w:type="spellStart"/>
      <w:r w:rsidRPr="0055481E">
        <w:rPr>
          <w:rFonts w:eastAsia="MS Mincho"/>
          <w:lang w:val="en-US" w:eastAsia="zh-CN"/>
        </w:rPr>
        <w:t>diarrh</w:t>
      </w:r>
      <w:r w:rsidR="00E7381C">
        <w:rPr>
          <w:rFonts w:eastAsia="MS Mincho"/>
          <w:lang w:val="en-US" w:eastAsia="zh-CN"/>
        </w:rPr>
        <w:t>o</w:t>
      </w:r>
      <w:r w:rsidRPr="0055481E">
        <w:rPr>
          <w:rFonts w:eastAsia="MS Mincho"/>
          <w:lang w:val="en-US" w:eastAsia="zh-CN"/>
        </w:rPr>
        <w:t>ea</w:t>
      </w:r>
      <w:proofErr w:type="spellEnd"/>
      <w:r w:rsidRPr="0055481E">
        <w:rPr>
          <w:rFonts w:eastAsia="MS Mincho"/>
          <w:lang w:val="en-US" w:eastAsia="zh-CN"/>
        </w:rPr>
        <w:t xml:space="preserve">, </w:t>
      </w:r>
      <w:r w:rsidR="00E7381C">
        <w:rPr>
          <w:rFonts w:eastAsia="MS Mincho"/>
          <w:lang w:val="en-US" w:eastAsia="zh-CN"/>
        </w:rPr>
        <w:t xml:space="preserve">vomiting, </w:t>
      </w:r>
      <w:r w:rsidR="00065A78">
        <w:rPr>
          <w:rFonts w:eastAsia="MS Mincho"/>
          <w:lang w:val="en-US" w:eastAsia="zh-CN"/>
        </w:rPr>
        <w:t>constipation</w:t>
      </w:r>
      <w:r w:rsidR="00E7381C">
        <w:rPr>
          <w:rFonts w:eastAsia="MS Mincho"/>
          <w:lang w:val="en-US" w:eastAsia="zh-CN"/>
        </w:rPr>
        <w:t xml:space="preserve">, </w:t>
      </w:r>
      <w:r w:rsidRPr="0055481E">
        <w:rPr>
          <w:rFonts w:eastAsia="MS Mincho"/>
          <w:lang w:val="en-US" w:eastAsia="zh-CN"/>
        </w:rPr>
        <w:t>alopecia</w:t>
      </w:r>
      <w:r w:rsidR="00E7381C">
        <w:rPr>
          <w:rFonts w:eastAsia="MS Mincho"/>
          <w:lang w:val="en-US" w:eastAsia="zh-CN"/>
        </w:rPr>
        <w:t>, and rash</w:t>
      </w:r>
      <w:r w:rsidRPr="0055481E">
        <w:rPr>
          <w:rFonts w:eastAsia="MS Mincho"/>
          <w:lang w:val="en-US" w:eastAsia="zh-CN"/>
        </w:rPr>
        <w:t>.</w:t>
      </w:r>
    </w:p>
    <w:p w14:paraId="54C82E52" w14:textId="7F869F0D" w:rsidR="0055481E" w:rsidRPr="0055481E" w:rsidRDefault="0055481E" w:rsidP="009F7F0A">
      <w:pPr>
        <w:spacing w:before="120"/>
        <w:jc w:val="both"/>
        <w:rPr>
          <w:rFonts w:eastAsia="MS Mincho"/>
          <w:lang w:val="en-US" w:eastAsia="zh-CN"/>
        </w:rPr>
      </w:pPr>
      <w:r w:rsidRPr="0055481E">
        <w:rPr>
          <w:rFonts w:eastAsia="MS Mincho"/>
          <w:lang w:val="en-US" w:eastAsia="zh-CN"/>
        </w:rPr>
        <w:t xml:space="preserve">The most common </w:t>
      </w:r>
      <w:r w:rsidR="00946917">
        <w:rPr>
          <w:rFonts w:eastAsia="MS Mincho"/>
          <w:lang w:val="en-US" w:eastAsia="zh-CN"/>
        </w:rPr>
        <w:t>G</w:t>
      </w:r>
      <w:r w:rsidRPr="0055481E">
        <w:rPr>
          <w:rFonts w:eastAsia="MS Mincho"/>
          <w:lang w:val="en-US" w:eastAsia="zh-CN"/>
        </w:rPr>
        <w:t xml:space="preserve">rade 3/4 ADRs (reported at an incidence </w:t>
      </w:r>
      <w:r w:rsidR="00E7381C">
        <w:rPr>
          <w:rFonts w:eastAsia="MS Mincho"/>
          <w:lang w:val="en-US" w:eastAsia="zh-CN"/>
        </w:rPr>
        <w:t>≥</w:t>
      </w:r>
      <w:r w:rsidRPr="0055481E">
        <w:rPr>
          <w:rFonts w:eastAsia="MS Mincho"/>
          <w:lang w:val="en-US" w:eastAsia="zh-CN"/>
        </w:rPr>
        <w:t xml:space="preserve"> 2</w:t>
      </w:r>
      <w:r w:rsidR="005E6617">
        <w:rPr>
          <w:rFonts w:eastAsia="MS Mincho"/>
          <w:lang w:val="en-US" w:eastAsia="zh-CN"/>
        </w:rPr>
        <w:t xml:space="preserve"> </w:t>
      </w:r>
      <w:r w:rsidRPr="0055481E">
        <w:rPr>
          <w:rFonts w:eastAsia="MS Mincho"/>
          <w:lang w:val="en-US" w:eastAsia="zh-CN"/>
        </w:rPr>
        <w:t xml:space="preserve">% and for which the rate for </w:t>
      </w:r>
      <w:r w:rsidR="004969A3">
        <w:rPr>
          <w:rFonts w:eastAsia="MS Mincho"/>
          <w:lang w:val="en-US" w:eastAsia="zh-CN"/>
        </w:rPr>
        <w:t>KISQALI</w:t>
      </w:r>
      <w:r w:rsidRPr="0055481E">
        <w:rPr>
          <w:rFonts w:eastAsia="MS Mincho"/>
          <w:lang w:val="en-US" w:eastAsia="zh-CN"/>
        </w:rPr>
        <w:t xml:space="preserve"> plus </w:t>
      </w:r>
      <w:proofErr w:type="spellStart"/>
      <w:r w:rsidRPr="0055481E">
        <w:rPr>
          <w:rFonts w:eastAsia="MS Mincho"/>
          <w:lang w:val="en-US" w:eastAsia="zh-CN"/>
        </w:rPr>
        <w:t>letrozole</w:t>
      </w:r>
      <w:proofErr w:type="spellEnd"/>
      <w:r w:rsidRPr="0055481E">
        <w:rPr>
          <w:rFonts w:eastAsia="MS Mincho"/>
          <w:lang w:val="en-US" w:eastAsia="zh-CN"/>
        </w:rPr>
        <w:t xml:space="preserve"> exceeds the rate for placebo plus </w:t>
      </w:r>
      <w:proofErr w:type="spellStart"/>
      <w:r w:rsidRPr="0055481E">
        <w:rPr>
          <w:rFonts w:eastAsia="MS Mincho"/>
          <w:lang w:val="en-US" w:eastAsia="zh-CN"/>
        </w:rPr>
        <w:t>letrozole</w:t>
      </w:r>
      <w:proofErr w:type="spellEnd"/>
      <w:r w:rsidRPr="0055481E">
        <w:rPr>
          <w:rFonts w:eastAsia="MS Mincho"/>
          <w:lang w:val="en-US" w:eastAsia="zh-CN"/>
        </w:rPr>
        <w:t xml:space="preserve">) were neutropenia, </w:t>
      </w:r>
      <w:r w:rsidR="00942260" w:rsidRPr="00942260">
        <w:rPr>
          <w:rFonts w:eastAsia="MS Mincho"/>
          <w:lang w:val="en-US" w:eastAsia="zh-CN"/>
        </w:rPr>
        <w:t xml:space="preserve">leukopenia, abnormal </w:t>
      </w:r>
      <w:r w:rsidR="00DF2FC4">
        <w:rPr>
          <w:rFonts w:eastAsia="MS Mincho"/>
          <w:lang w:val="en-US" w:eastAsia="zh-CN"/>
        </w:rPr>
        <w:t>LFT</w:t>
      </w:r>
      <w:r w:rsidR="00942260" w:rsidRPr="00942260">
        <w:rPr>
          <w:rFonts w:eastAsia="MS Mincho"/>
          <w:lang w:val="en-US" w:eastAsia="zh-CN"/>
        </w:rPr>
        <w:t xml:space="preserve">, </w:t>
      </w:r>
      <w:proofErr w:type="spellStart"/>
      <w:r w:rsidR="00942260" w:rsidRPr="00942260">
        <w:rPr>
          <w:rFonts w:eastAsia="MS Mincho"/>
          <w:lang w:val="en-US" w:eastAsia="zh-CN"/>
        </w:rPr>
        <w:t>lymphopenia</w:t>
      </w:r>
      <w:proofErr w:type="spellEnd"/>
      <w:r w:rsidR="00942260" w:rsidRPr="00942260">
        <w:rPr>
          <w:rFonts w:eastAsia="MS Mincho"/>
          <w:lang w:val="en-US" w:eastAsia="zh-CN"/>
        </w:rPr>
        <w:t xml:space="preserve">, </w:t>
      </w:r>
      <w:proofErr w:type="spellStart"/>
      <w:r w:rsidR="00942260" w:rsidRPr="00942260">
        <w:rPr>
          <w:rFonts w:eastAsia="MS Mincho"/>
          <w:lang w:val="en-US" w:eastAsia="zh-CN"/>
        </w:rPr>
        <w:t>hypophosphataemia</w:t>
      </w:r>
      <w:proofErr w:type="spellEnd"/>
      <w:r w:rsidR="00942260" w:rsidRPr="00942260">
        <w:rPr>
          <w:rFonts w:eastAsia="MS Mincho"/>
          <w:lang w:val="en-US" w:eastAsia="zh-CN"/>
        </w:rPr>
        <w:t>, vomiting, nausea, fatigue, and back pain</w:t>
      </w:r>
      <w:r w:rsidRPr="0055481E">
        <w:rPr>
          <w:rFonts w:eastAsia="MS Mincho"/>
          <w:lang w:val="en-US" w:eastAsia="zh-CN"/>
        </w:rPr>
        <w:t>.</w:t>
      </w:r>
    </w:p>
    <w:bookmarkEnd w:id="10"/>
    <w:bookmarkEnd w:id="11"/>
    <w:bookmarkEnd w:id="12"/>
    <w:bookmarkEnd w:id="13"/>
    <w:p w14:paraId="73C72645" w14:textId="77777777" w:rsidR="000A34A0" w:rsidRPr="000A34A0" w:rsidRDefault="000A34A0" w:rsidP="000A34A0">
      <w:pPr>
        <w:spacing w:before="120"/>
        <w:jc w:val="both"/>
        <w:rPr>
          <w:rFonts w:eastAsia="MS Mincho"/>
          <w:b/>
          <w:lang w:val="en-US" w:eastAsia="zh-CN"/>
        </w:rPr>
      </w:pPr>
      <w:r w:rsidRPr="000A34A0">
        <w:rPr>
          <w:rFonts w:eastAsia="MS Mincho"/>
          <w:b/>
          <w:lang w:val="en-US" w:eastAsia="zh-CN"/>
        </w:rPr>
        <w:t>Tabulated summary of adverse drug reactions from clinical trials in oncology</w:t>
      </w:r>
    </w:p>
    <w:p w14:paraId="56A8A948" w14:textId="3793D228" w:rsidR="00B422A4" w:rsidRDefault="000A34A0" w:rsidP="000A34A0">
      <w:pPr>
        <w:widowControl w:val="0"/>
        <w:spacing w:after="120" w:line="300" w:lineRule="exact"/>
        <w:jc w:val="both"/>
        <w:rPr>
          <w:rFonts w:eastAsia="MS Mincho"/>
          <w:lang w:val="en-US" w:eastAsia="zh-CN"/>
        </w:rPr>
      </w:pPr>
      <w:proofErr w:type="gramStart"/>
      <w:r w:rsidRPr="000A34A0">
        <w:rPr>
          <w:rFonts w:eastAsia="MS Mincho"/>
          <w:lang w:val="en-US" w:eastAsia="zh-CN"/>
        </w:rPr>
        <w:t xml:space="preserve">Adverse drug reactions from the Phase-III clinical trial </w:t>
      </w:r>
      <w:r w:rsidR="008D3787">
        <w:rPr>
          <w:rFonts w:eastAsia="MS Mincho"/>
          <w:lang w:val="en-US" w:eastAsia="zh-CN"/>
        </w:rPr>
        <w:t xml:space="preserve">A2301 </w:t>
      </w:r>
      <w:r w:rsidRPr="000A34A0">
        <w:rPr>
          <w:rFonts w:eastAsia="MS Mincho"/>
          <w:lang w:val="en-US" w:eastAsia="zh-CN"/>
        </w:rPr>
        <w:t xml:space="preserve">are listed by </w:t>
      </w:r>
      <w:proofErr w:type="spellStart"/>
      <w:r w:rsidRPr="000A34A0">
        <w:rPr>
          <w:rFonts w:eastAsia="MS Mincho"/>
          <w:lang w:val="en-US" w:eastAsia="zh-CN"/>
        </w:rPr>
        <w:t>MedDRA</w:t>
      </w:r>
      <w:proofErr w:type="spellEnd"/>
      <w:r w:rsidRPr="000A34A0">
        <w:rPr>
          <w:rFonts w:eastAsia="MS Mincho"/>
          <w:lang w:val="en-US" w:eastAsia="zh-CN"/>
        </w:rPr>
        <w:t xml:space="preserve"> system organ class</w:t>
      </w:r>
      <w:r w:rsidR="008D3787">
        <w:rPr>
          <w:rFonts w:eastAsia="MS Mincho"/>
          <w:lang w:val="en-US" w:eastAsia="zh-CN"/>
        </w:rPr>
        <w:t xml:space="preserve"> </w:t>
      </w:r>
      <w:r w:rsidR="008D3787" w:rsidRPr="000A34A0">
        <w:rPr>
          <w:rFonts w:eastAsia="MS Mincho"/>
          <w:lang w:val="en-US" w:eastAsia="zh-CN"/>
        </w:rPr>
        <w:t xml:space="preserve">(Table </w:t>
      </w:r>
      <w:r w:rsidR="00830E53">
        <w:rPr>
          <w:rFonts w:eastAsia="MS Mincho"/>
          <w:lang w:val="en-US" w:eastAsia="zh-CN"/>
        </w:rPr>
        <w:t>2</w:t>
      </w:r>
      <w:r w:rsidR="008D3787" w:rsidRPr="000A34A0">
        <w:rPr>
          <w:rFonts w:eastAsia="MS Mincho"/>
          <w:lang w:val="en-US" w:eastAsia="zh-CN"/>
        </w:rPr>
        <w:t>)</w:t>
      </w:r>
      <w:proofErr w:type="gramEnd"/>
      <w:r w:rsidRPr="000A34A0">
        <w:rPr>
          <w:rFonts w:eastAsia="MS Mincho"/>
          <w:lang w:val="en-US" w:eastAsia="zh-CN"/>
        </w:rPr>
        <w:t xml:space="preserve">. Within each system organ class, the adverse drug reactions are ranked by frequency, with the most frequent reactions first. Within each frequency grouping, adverse drug reactions </w:t>
      </w:r>
      <w:proofErr w:type="gramStart"/>
      <w:r w:rsidRPr="000A34A0">
        <w:rPr>
          <w:rFonts w:eastAsia="MS Mincho"/>
          <w:lang w:val="en-US" w:eastAsia="zh-CN"/>
        </w:rPr>
        <w:t>are presented</w:t>
      </w:r>
      <w:proofErr w:type="gramEnd"/>
      <w:r w:rsidRPr="000A34A0">
        <w:rPr>
          <w:rFonts w:eastAsia="MS Mincho"/>
          <w:lang w:val="en-US" w:eastAsia="zh-CN"/>
        </w:rPr>
        <w:t xml:space="preserve"> in order of decreasing seriousness. In addition, the corresponding </w:t>
      </w:r>
      <w:r w:rsidRPr="000A34A0">
        <w:rPr>
          <w:rFonts w:eastAsia="MS Mincho"/>
          <w:lang w:val="en-US" w:eastAsia="zh-CN"/>
        </w:rPr>
        <w:lastRenderedPageBreak/>
        <w:t xml:space="preserve">frequency category for each adverse drug reaction </w:t>
      </w:r>
      <w:proofErr w:type="gramStart"/>
      <w:r w:rsidRPr="000A34A0">
        <w:rPr>
          <w:rFonts w:eastAsia="MS Mincho"/>
          <w:lang w:val="en-US" w:eastAsia="zh-CN"/>
        </w:rPr>
        <w:t>is based</w:t>
      </w:r>
      <w:proofErr w:type="gramEnd"/>
      <w:r w:rsidRPr="000A34A0">
        <w:rPr>
          <w:rFonts w:eastAsia="MS Mincho"/>
          <w:lang w:val="en-US" w:eastAsia="zh-CN"/>
        </w:rPr>
        <w:t xml:space="preserve"> on the fo</w:t>
      </w:r>
      <w:r w:rsidR="00D76CF5">
        <w:rPr>
          <w:rFonts w:eastAsia="MS Mincho"/>
          <w:lang w:val="en-US" w:eastAsia="zh-CN"/>
        </w:rPr>
        <w:t>llowing convention (CIOMS III):</w:t>
      </w:r>
    </w:p>
    <w:p w14:paraId="3A14135D" w14:textId="7F5DFFB8" w:rsidR="000A34A0" w:rsidRDefault="000A34A0" w:rsidP="000A34A0">
      <w:pPr>
        <w:widowControl w:val="0"/>
        <w:spacing w:after="120" w:line="300" w:lineRule="exact"/>
        <w:jc w:val="both"/>
        <w:rPr>
          <w:rFonts w:eastAsia="MS Mincho"/>
          <w:lang w:val="en-US" w:eastAsia="zh-CN"/>
        </w:rPr>
      </w:pPr>
      <w:proofErr w:type="gramStart"/>
      <w:r w:rsidRPr="000A34A0">
        <w:rPr>
          <w:rFonts w:eastAsia="MS Mincho"/>
          <w:lang w:val="en-US" w:eastAsia="zh-CN"/>
        </w:rPr>
        <w:t>very</w:t>
      </w:r>
      <w:proofErr w:type="gramEnd"/>
      <w:r w:rsidRPr="000A34A0">
        <w:rPr>
          <w:rFonts w:eastAsia="MS Mincho"/>
          <w:lang w:val="en-US" w:eastAsia="zh-CN"/>
        </w:rPr>
        <w:t xml:space="preserve"> common (≥1/10); common (≥1/100 to &lt;1/10); uncommon (≥1/1,000 to &lt;1/100); rare (≥1/10,000 to &lt;1/1,000); very rare (&lt;1/10,000)</w:t>
      </w:r>
      <w:r w:rsidR="00024210">
        <w:rPr>
          <w:rFonts w:eastAsia="MS Mincho"/>
          <w:lang w:val="en-US" w:eastAsia="zh-CN"/>
        </w:rPr>
        <w:t xml:space="preserve">; </w:t>
      </w:r>
      <w:r w:rsidR="00024210" w:rsidRPr="00024210">
        <w:rPr>
          <w:rFonts w:eastAsia="MS Mincho"/>
          <w:lang w:val="en-US" w:eastAsia="zh-CN"/>
        </w:rPr>
        <w:t>and not known (cannot be estimated from the available data)</w:t>
      </w:r>
      <w:r w:rsidRPr="000A34A0">
        <w:rPr>
          <w:rFonts w:eastAsia="MS Mincho"/>
          <w:lang w:val="en-US" w:eastAsia="zh-CN"/>
        </w:rPr>
        <w:t>.</w:t>
      </w:r>
    </w:p>
    <w:p w14:paraId="63CF0556" w14:textId="799401A0" w:rsidR="00B422A4" w:rsidRPr="00B422A4" w:rsidRDefault="00B422A4" w:rsidP="00B422A4">
      <w:pPr>
        <w:keepNext/>
        <w:keepLines/>
        <w:spacing w:before="240" w:after="120"/>
        <w:ind w:left="1440" w:hanging="1440"/>
        <w:outlineLvl w:val="5"/>
        <w:rPr>
          <w:rFonts w:ascii="Arial" w:eastAsia="MS Gothic" w:hAnsi="Arial" w:cs="Arial"/>
          <w:b/>
          <w:color w:val="8064A2"/>
          <w:sz w:val="22"/>
          <w:szCs w:val="20"/>
          <w:lang w:val="en-US" w:eastAsia="zh-CN"/>
        </w:rPr>
      </w:pPr>
      <w:bookmarkStart w:id="14" w:name="_Toc422250000"/>
      <w:bookmarkStart w:id="15" w:name="_Toc454368756"/>
      <w:bookmarkStart w:id="16" w:name="_Toc456881093"/>
      <w:r w:rsidRPr="00B422A4">
        <w:rPr>
          <w:rFonts w:ascii="Arial" w:eastAsia="MS Gothic" w:hAnsi="Arial" w:cs="Arial"/>
          <w:b/>
          <w:sz w:val="22"/>
          <w:szCs w:val="20"/>
          <w:lang w:val="en-US" w:eastAsia="zh-CN"/>
        </w:rPr>
        <w:t xml:space="preserve">Table </w:t>
      </w:r>
      <w:proofErr w:type="gramStart"/>
      <w:r w:rsidR="00830E53">
        <w:rPr>
          <w:rFonts w:ascii="Arial" w:eastAsia="MS Gothic" w:hAnsi="Arial" w:cs="Arial"/>
          <w:b/>
          <w:sz w:val="22"/>
          <w:szCs w:val="20"/>
          <w:lang w:val="en-US" w:eastAsia="zh-CN"/>
        </w:rPr>
        <w:t>2</w:t>
      </w:r>
      <w:proofErr w:type="gramEnd"/>
      <w:r w:rsidRPr="00B422A4">
        <w:rPr>
          <w:rFonts w:ascii="Arial" w:eastAsia="MS Gothic" w:hAnsi="Arial" w:cs="Arial"/>
          <w:b/>
          <w:sz w:val="22"/>
          <w:szCs w:val="20"/>
          <w:lang w:val="en-US" w:eastAsia="zh-CN"/>
        </w:rPr>
        <w:tab/>
        <w:t>Adverse drug reactions observed in the phase III clinical study</w:t>
      </w:r>
      <w:bookmarkEnd w:id="14"/>
      <w:bookmarkEnd w:id="15"/>
      <w:bookmarkEnd w:id="16"/>
      <w:r w:rsidR="00E27AF7">
        <w:rPr>
          <w:rFonts w:ascii="Arial" w:eastAsia="MS Gothic" w:hAnsi="Arial" w:cs="Arial"/>
          <w:b/>
          <w:sz w:val="22"/>
          <w:szCs w:val="20"/>
          <w:lang w:val="en-US" w:eastAsia="zh-CN"/>
        </w:rPr>
        <w:t xml:space="preserve"> A2301</w:t>
      </w:r>
      <w:r w:rsidRPr="00B422A4">
        <w:rPr>
          <w:rFonts w:ascii="Arial" w:eastAsia="MS Gothic" w:hAnsi="Arial" w:cs="Arial"/>
          <w:b/>
          <w:sz w:val="22"/>
          <w:szCs w:val="20"/>
          <w:lang w:val="en-US" w:eastAsia="zh-CN"/>
        </w:rPr>
        <w:t xml:space="preserve">  </w:t>
      </w:r>
    </w:p>
    <w:tbl>
      <w:tblPr>
        <w:tblW w:w="9000" w:type="dxa"/>
        <w:tblLayout w:type="fixed"/>
        <w:tblLook w:val="01E0" w:firstRow="1" w:lastRow="1" w:firstColumn="1" w:lastColumn="1" w:noHBand="0" w:noVBand="0"/>
      </w:tblPr>
      <w:tblGrid>
        <w:gridCol w:w="2479"/>
        <w:gridCol w:w="1350"/>
        <w:gridCol w:w="1350"/>
        <w:gridCol w:w="1260"/>
        <w:gridCol w:w="1170"/>
        <w:gridCol w:w="1391"/>
      </w:tblGrid>
      <w:tr w:rsidR="00B422A4" w:rsidRPr="00B422A4" w14:paraId="30FA8DE5" w14:textId="77777777" w:rsidTr="007C4AD3">
        <w:trPr>
          <w:trHeight w:val="1577"/>
          <w:tblHeader/>
        </w:trPr>
        <w:tc>
          <w:tcPr>
            <w:tcW w:w="2479" w:type="dxa"/>
            <w:tcBorders>
              <w:top w:val="single" w:sz="4" w:space="0" w:color="auto"/>
              <w:bottom w:val="single" w:sz="4" w:space="0" w:color="auto"/>
            </w:tcBorders>
            <w:vAlign w:val="center"/>
          </w:tcPr>
          <w:p w14:paraId="1C67308A" w14:textId="77777777" w:rsidR="00B422A4" w:rsidRPr="00B422A4" w:rsidRDefault="00B422A4" w:rsidP="00B422A4">
            <w:pPr>
              <w:keepNext/>
              <w:keepLines/>
              <w:tabs>
                <w:tab w:val="left" w:pos="284"/>
              </w:tabs>
              <w:spacing w:before="40" w:after="20"/>
              <w:rPr>
                <w:rFonts w:ascii="Arial" w:eastAsia="MS Mincho" w:hAnsi="Arial" w:cs="Arial"/>
                <w:b/>
                <w:sz w:val="18"/>
                <w:szCs w:val="18"/>
                <w:lang w:val="en-US" w:eastAsia="zh-CN"/>
              </w:rPr>
            </w:pPr>
            <w:r w:rsidRPr="00B422A4">
              <w:rPr>
                <w:rFonts w:ascii="Arial" w:eastAsia="MS Mincho" w:hAnsi="Arial" w:cs="Arial"/>
                <w:b/>
                <w:sz w:val="18"/>
                <w:szCs w:val="18"/>
                <w:lang w:val="en-US" w:eastAsia="zh-CN"/>
              </w:rPr>
              <w:t>Adverse drug reactions</w:t>
            </w:r>
          </w:p>
        </w:tc>
        <w:tc>
          <w:tcPr>
            <w:tcW w:w="1350" w:type="dxa"/>
            <w:tcBorders>
              <w:top w:val="single" w:sz="4" w:space="0" w:color="auto"/>
              <w:bottom w:val="single" w:sz="4" w:space="0" w:color="auto"/>
            </w:tcBorders>
            <w:vAlign w:val="center"/>
          </w:tcPr>
          <w:p w14:paraId="3DBDED8F" w14:textId="5A6A51E4" w:rsidR="00B422A4" w:rsidRPr="00327C2F" w:rsidRDefault="004969A3" w:rsidP="00465907">
            <w:pPr>
              <w:keepNext/>
              <w:keepLines/>
              <w:tabs>
                <w:tab w:val="left" w:pos="284"/>
              </w:tabs>
              <w:spacing w:before="40" w:after="20"/>
              <w:jc w:val="center"/>
              <w:rPr>
                <w:rFonts w:ascii="Arial" w:eastAsia="MS Mincho" w:hAnsi="Arial" w:cs="Arial"/>
                <w:b/>
                <w:sz w:val="17"/>
                <w:szCs w:val="17"/>
                <w:lang w:val="en-US" w:eastAsia="zh-CN"/>
              </w:rPr>
            </w:pPr>
            <w:r w:rsidRPr="00327C2F">
              <w:rPr>
                <w:rFonts w:ascii="Arial" w:eastAsia="MS Mincho" w:hAnsi="Arial" w:cs="Arial"/>
                <w:b/>
                <w:sz w:val="17"/>
                <w:szCs w:val="17"/>
                <w:lang w:val="en-US" w:eastAsia="zh-CN"/>
              </w:rPr>
              <w:t>KISQALI</w:t>
            </w:r>
            <w:r w:rsidR="00B422A4" w:rsidRPr="00327C2F">
              <w:rPr>
                <w:rFonts w:ascii="Arial" w:eastAsia="MS Mincho" w:hAnsi="Arial" w:cs="Arial"/>
                <w:b/>
                <w:sz w:val="17"/>
                <w:szCs w:val="17"/>
                <w:lang w:val="en-US" w:eastAsia="zh-CN"/>
              </w:rPr>
              <w:t xml:space="preserve"> + </w:t>
            </w:r>
            <w:proofErr w:type="spellStart"/>
            <w:r w:rsidR="00B422A4" w:rsidRPr="00327C2F">
              <w:rPr>
                <w:rFonts w:ascii="Arial" w:eastAsia="MS Mincho" w:hAnsi="Arial" w:cs="Arial"/>
                <w:b/>
                <w:sz w:val="17"/>
                <w:szCs w:val="17"/>
                <w:lang w:val="en-US" w:eastAsia="zh-CN"/>
              </w:rPr>
              <w:t>Letrozole</w:t>
            </w:r>
            <w:proofErr w:type="spellEnd"/>
          </w:p>
          <w:p w14:paraId="3A4F4F1B" w14:textId="3930BD0E" w:rsidR="00B422A4" w:rsidRPr="00327C2F" w:rsidRDefault="00B422A4" w:rsidP="00465907">
            <w:pPr>
              <w:keepNext/>
              <w:keepLines/>
              <w:tabs>
                <w:tab w:val="left" w:pos="284"/>
              </w:tabs>
              <w:spacing w:before="40" w:after="20"/>
              <w:jc w:val="center"/>
              <w:rPr>
                <w:rFonts w:ascii="Arial" w:eastAsia="MS Mincho" w:hAnsi="Arial" w:cs="Arial"/>
                <w:b/>
                <w:sz w:val="17"/>
                <w:szCs w:val="17"/>
                <w:lang w:val="en-US" w:eastAsia="zh-CN"/>
              </w:rPr>
            </w:pPr>
            <w:r w:rsidRPr="00327C2F">
              <w:rPr>
                <w:rFonts w:ascii="Arial" w:eastAsia="MS Mincho" w:hAnsi="Arial" w:cs="Arial"/>
                <w:b/>
                <w:sz w:val="17"/>
                <w:szCs w:val="17"/>
                <w:lang w:val="en-US" w:eastAsia="zh-CN"/>
              </w:rPr>
              <w:t>N=</w:t>
            </w:r>
            <w:r w:rsidR="00783460" w:rsidRPr="00327C2F">
              <w:rPr>
                <w:rFonts w:ascii="Arial" w:eastAsia="MS Mincho" w:hAnsi="Arial" w:cs="Arial"/>
                <w:b/>
                <w:sz w:val="17"/>
                <w:szCs w:val="17"/>
                <w:lang w:val="en-US" w:eastAsia="zh-CN"/>
              </w:rPr>
              <w:t>334</w:t>
            </w:r>
          </w:p>
          <w:p w14:paraId="0F9A9594" w14:textId="77777777" w:rsidR="00B422A4" w:rsidRPr="00327C2F" w:rsidRDefault="00B422A4" w:rsidP="00465907">
            <w:pPr>
              <w:keepNext/>
              <w:keepLines/>
              <w:tabs>
                <w:tab w:val="left" w:pos="284"/>
              </w:tabs>
              <w:spacing w:before="40" w:after="20"/>
              <w:jc w:val="center"/>
              <w:rPr>
                <w:rFonts w:ascii="Arial" w:eastAsia="MS Mincho" w:hAnsi="Arial" w:cs="Arial"/>
                <w:b/>
                <w:sz w:val="17"/>
                <w:szCs w:val="17"/>
                <w:lang w:val="en-US" w:eastAsia="zh-CN"/>
              </w:rPr>
            </w:pPr>
            <w:proofErr w:type="gramStart"/>
            <w:r w:rsidRPr="00327C2F">
              <w:rPr>
                <w:rFonts w:ascii="Arial" w:eastAsia="MS Mincho" w:hAnsi="Arial" w:cs="Arial"/>
                <w:b/>
                <w:sz w:val="17"/>
                <w:szCs w:val="17"/>
                <w:lang w:val="en-US" w:eastAsia="zh-CN"/>
              </w:rPr>
              <w:t>n</w:t>
            </w:r>
            <w:proofErr w:type="gramEnd"/>
            <w:r w:rsidRPr="00327C2F">
              <w:rPr>
                <w:rFonts w:ascii="Arial" w:eastAsia="MS Mincho" w:hAnsi="Arial" w:cs="Arial"/>
                <w:b/>
                <w:sz w:val="17"/>
                <w:szCs w:val="17"/>
                <w:lang w:val="en-US" w:eastAsia="zh-CN"/>
              </w:rPr>
              <w:t xml:space="preserve"> (%)</w:t>
            </w:r>
          </w:p>
          <w:p w14:paraId="38690F48" w14:textId="45A0782C" w:rsidR="00B422A4" w:rsidRPr="00327C2F" w:rsidRDefault="00B422A4" w:rsidP="00465907">
            <w:pPr>
              <w:keepNext/>
              <w:keepLines/>
              <w:tabs>
                <w:tab w:val="left" w:pos="284"/>
              </w:tabs>
              <w:spacing w:before="40" w:after="20"/>
              <w:jc w:val="center"/>
              <w:rPr>
                <w:rFonts w:ascii="Arial" w:eastAsia="MS Mincho" w:hAnsi="Arial" w:cs="Arial"/>
                <w:b/>
                <w:sz w:val="17"/>
                <w:szCs w:val="17"/>
                <w:lang w:val="en-US" w:eastAsia="zh-CN"/>
              </w:rPr>
            </w:pPr>
            <w:r w:rsidRPr="00327C2F">
              <w:rPr>
                <w:rFonts w:ascii="Arial" w:eastAsia="MS Mincho" w:hAnsi="Arial" w:cs="Arial"/>
                <w:b/>
                <w:sz w:val="17"/>
                <w:szCs w:val="17"/>
                <w:lang w:val="en-US" w:eastAsia="zh-CN"/>
              </w:rPr>
              <w:t xml:space="preserve">All </w:t>
            </w:r>
            <w:r w:rsidR="00783460" w:rsidRPr="00327C2F">
              <w:rPr>
                <w:rFonts w:ascii="Arial" w:eastAsia="MS Mincho" w:hAnsi="Arial" w:cs="Arial"/>
                <w:b/>
                <w:sz w:val="17"/>
                <w:szCs w:val="17"/>
                <w:lang w:val="en-US" w:eastAsia="zh-CN"/>
              </w:rPr>
              <w:t>G</w:t>
            </w:r>
            <w:r w:rsidRPr="00327C2F">
              <w:rPr>
                <w:rFonts w:ascii="Arial" w:eastAsia="MS Mincho" w:hAnsi="Arial" w:cs="Arial"/>
                <w:b/>
                <w:sz w:val="17"/>
                <w:szCs w:val="17"/>
                <w:lang w:val="en-US" w:eastAsia="zh-CN"/>
              </w:rPr>
              <w:t>rades</w:t>
            </w:r>
          </w:p>
        </w:tc>
        <w:tc>
          <w:tcPr>
            <w:tcW w:w="1350" w:type="dxa"/>
            <w:tcBorders>
              <w:top w:val="single" w:sz="4" w:space="0" w:color="auto"/>
              <w:bottom w:val="single" w:sz="4" w:space="0" w:color="auto"/>
            </w:tcBorders>
            <w:vAlign w:val="center"/>
          </w:tcPr>
          <w:p w14:paraId="317BFFB2" w14:textId="77777777" w:rsidR="00B422A4" w:rsidRPr="00327C2F" w:rsidRDefault="00B422A4" w:rsidP="00465907">
            <w:pPr>
              <w:keepLines/>
              <w:tabs>
                <w:tab w:val="left" w:pos="284"/>
              </w:tabs>
              <w:spacing w:before="40" w:after="20"/>
              <w:jc w:val="center"/>
              <w:rPr>
                <w:rFonts w:ascii="Arial" w:eastAsia="MS Mincho" w:hAnsi="Arial" w:cs="Arial"/>
                <w:b/>
                <w:sz w:val="17"/>
                <w:szCs w:val="17"/>
                <w:lang w:val="en-US" w:eastAsia="zh-CN"/>
              </w:rPr>
            </w:pPr>
            <w:r w:rsidRPr="00327C2F">
              <w:rPr>
                <w:rFonts w:ascii="Arial" w:eastAsia="MS Mincho" w:hAnsi="Arial" w:cs="Arial"/>
                <w:b/>
                <w:sz w:val="17"/>
                <w:szCs w:val="17"/>
                <w:lang w:val="en-US" w:eastAsia="zh-CN"/>
              </w:rPr>
              <w:t xml:space="preserve">Placebo + </w:t>
            </w:r>
            <w:proofErr w:type="spellStart"/>
            <w:r w:rsidRPr="00327C2F">
              <w:rPr>
                <w:rFonts w:ascii="Arial" w:eastAsia="MS Mincho" w:hAnsi="Arial" w:cs="Arial"/>
                <w:b/>
                <w:sz w:val="17"/>
                <w:szCs w:val="17"/>
                <w:lang w:val="en-US" w:eastAsia="zh-CN"/>
              </w:rPr>
              <w:t>Letrozole</w:t>
            </w:r>
            <w:proofErr w:type="spellEnd"/>
          </w:p>
          <w:p w14:paraId="7D0D0E87" w14:textId="0EEA12AB" w:rsidR="00B422A4" w:rsidRPr="00327C2F" w:rsidRDefault="00B422A4" w:rsidP="00465907">
            <w:pPr>
              <w:keepLines/>
              <w:tabs>
                <w:tab w:val="left" w:pos="284"/>
              </w:tabs>
              <w:spacing w:before="40" w:after="20"/>
              <w:jc w:val="center"/>
              <w:rPr>
                <w:rFonts w:ascii="Arial" w:eastAsia="MS Mincho" w:hAnsi="Arial" w:cs="Arial"/>
                <w:b/>
                <w:sz w:val="17"/>
                <w:szCs w:val="17"/>
                <w:lang w:val="en-US" w:eastAsia="zh-CN"/>
              </w:rPr>
            </w:pPr>
            <w:r w:rsidRPr="00327C2F">
              <w:rPr>
                <w:rFonts w:ascii="Arial" w:eastAsia="MS Mincho" w:hAnsi="Arial" w:cs="Arial"/>
                <w:b/>
                <w:sz w:val="17"/>
                <w:szCs w:val="17"/>
                <w:lang w:val="en-US" w:eastAsia="zh-CN"/>
              </w:rPr>
              <w:t>N=</w:t>
            </w:r>
            <w:r w:rsidR="00783460" w:rsidRPr="00327C2F">
              <w:rPr>
                <w:rFonts w:ascii="Arial" w:eastAsia="MS Mincho" w:hAnsi="Arial" w:cs="Arial"/>
                <w:b/>
                <w:sz w:val="17"/>
                <w:szCs w:val="17"/>
                <w:lang w:val="en-US" w:eastAsia="zh-CN"/>
              </w:rPr>
              <w:t>330</w:t>
            </w:r>
          </w:p>
          <w:p w14:paraId="78F33A17" w14:textId="77777777" w:rsidR="00B422A4" w:rsidRPr="00327C2F" w:rsidRDefault="00B422A4" w:rsidP="00465907">
            <w:pPr>
              <w:keepLines/>
              <w:tabs>
                <w:tab w:val="left" w:pos="284"/>
              </w:tabs>
              <w:spacing w:before="40" w:after="20"/>
              <w:jc w:val="center"/>
              <w:rPr>
                <w:rFonts w:ascii="Arial" w:eastAsia="MS Mincho" w:hAnsi="Arial" w:cs="Arial"/>
                <w:b/>
                <w:sz w:val="17"/>
                <w:szCs w:val="17"/>
                <w:lang w:val="en-US" w:eastAsia="zh-CN"/>
              </w:rPr>
            </w:pPr>
            <w:proofErr w:type="gramStart"/>
            <w:r w:rsidRPr="00327C2F">
              <w:rPr>
                <w:rFonts w:ascii="Arial" w:eastAsia="MS Mincho" w:hAnsi="Arial" w:cs="Arial"/>
                <w:b/>
                <w:sz w:val="17"/>
                <w:szCs w:val="17"/>
                <w:lang w:val="en-US" w:eastAsia="zh-CN"/>
              </w:rPr>
              <w:t>n</w:t>
            </w:r>
            <w:proofErr w:type="gramEnd"/>
            <w:r w:rsidRPr="00327C2F">
              <w:rPr>
                <w:rFonts w:ascii="Arial" w:eastAsia="MS Mincho" w:hAnsi="Arial" w:cs="Arial"/>
                <w:b/>
                <w:sz w:val="17"/>
                <w:szCs w:val="17"/>
                <w:lang w:val="en-US" w:eastAsia="zh-CN"/>
              </w:rPr>
              <w:t xml:space="preserve"> (%)</w:t>
            </w:r>
          </w:p>
          <w:p w14:paraId="260877AC" w14:textId="7E6DC2C5" w:rsidR="00B422A4" w:rsidRPr="00327C2F" w:rsidRDefault="00B422A4" w:rsidP="00465907">
            <w:pPr>
              <w:keepNext/>
              <w:keepLines/>
              <w:tabs>
                <w:tab w:val="left" w:pos="284"/>
              </w:tabs>
              <w:spacing w:before="40" w:after="20"/>
              <w:jc w:val="center"/>
              <w:rPr>
                <w:rFonts w:ascii="Arial" w:eastAsia="MS Mincho" w:hAnsi="Arial" w:cs="Arial"/>
                <w:b/>
                <w:sz w:val="17"/>
                <w:szCs w:val="17"/>
                <w:lang w:val="en-US" w:eastAsia="zh-CN"/>
              </w:rPr>
            </w:pPr>
            <w:r w:rsidRPr="00327C2F">
              <w:rPr>
                <w:rFonts w:ascii="Arial" w:eastAsia="MS Mincho" w:hAnsi="Arial" w:cs="Arial"/>
                <w:b/>
                <w:sz w:val="17"/>
                <w:szCs w:val="17"/>
                <w:lang w:val="en-US" w:eastAsia="zh-CN"/>
              </w:rPr>
              <w:t xml:space="preserve">All </w:t>
            </w:r>
            <w:r w:rsidR="00783460" w:rsidRPr="00327C2F">
              <w:rPr>
                <w:rFonts w:ascii="Arial" w:eastAsia="MS Mincho" w:hAnsi="Arial" w:cs="Arial"/>
                <w:b/>
                <w:sz w:val="17"/>
                <w:szCs w:val="17"/>
                <w:lang w:val="en-US" w:eastAsia="zh-CN"/>
              </w:rPr>
              <w:t>G</w:t>
            </w:r>
            <w:r w:rsidRPr="00327C2F">
              <w:rPr>
                <w:rFonts w:ascii="Arial" w:eastAsia="MS Mincho" w:hAnsi="Arial" w:cs="Arial"/>
                <w:b/>
                <w:sz w:val="17"/>
                <w:szCs w:val="17"/>
                <w:lang w:val="en-US" w:eastAsia="zh-CN"/>
              </w:rPr>
              <w:t>rades</w:t>
            </w:r>
          </w:p>
        </w:tc>
        <w:tc>
          <w:tcPr>
            <w:tcW w:w="1260" w:type="dxa"/>
            <w:tcBorders>
              <w:top w:val="single" w:sz="4" w:space="0" w:color="auto"/>
              <w:bottom w:val="single" w:sz="4" w:space="0" w:color="auto"/>
            </w:tcBorders>
            <w:vAlign w:val="center"/>
          </w:tcPr>
          <w:p w14:paraId="2DE3C9F1" w14:textId="63FC120B" w:rsidR="00B422A4" w:rsidRPr="00327C2F" w:rsidRDefault="004969A3" w:rsidP="00465907">
            <w:pPr>
              <w:keepNext/>
              <w:keepLines/>
              <w:tabs>
                <w:tab w:val="left" w:pos="284"/>
              </w:tabs>
              <w:spacing w:before="40" w:after="20"/>
              <w:jc w:val="center"/>
              <w:rPr>
                <w:rFonts w:ascii="Arial" w:eastAsia="MS Mincho" w:hAnsi="Arial" w:cs="Arial"/>
                <w:b/>
                <w:sz w:val="17"/>
                <w:szCs w:val="17"/>
                <w:lang w:val="it-IT" w:eastAsia="zh-CN"/>
              </w:rPr>
            </w:pPr>
            <w:r w:rsidRPr="00327C2F">
              <w:rPr>
                <w:rFonts w:ascii="Arial" w:eastAsia="MS Mincho" w:hAnsi="Arial" w:cs="Arial"/>
                <w:b/>
                <w:sz w:val="17"/>
                <w:szCs w:val="17"/>
                <w:lang w:val="it-IT" w:eastAsia="zh-CN"/>
              </w:rPr>
              <w:t>KISQALI</w:t>
            </w:r>
            <w:r w:rsidR="00B422A4" w:rsidRPr="00327C2F">
              <w:rPr>
                <w:rFonts w:ascii="Arial" w:eastAsia="MS Mincho" w:hAnsi="Arial" w:cs="Arial"/>
                <w:b/>
                <w:sz w:val="17"/>
                <w:szCs w:val="17"/>
                <w:lang w:val="it-IT" w:eastAsia="zh-CN"/>
              </w:rPr>
              <w:t>+ Letrozole</w:t>
            </w:r>
          </w:p>
          <w:p w14:paraId="16C6EED5" w14:textId="1A46BDD9" w:rsidR="00B422A4" w:rsidRPr="00327C2F" w:rsidRDefault="00B422A4" w:rsidP="00465907">
            <w:pPr>
              <w:keepNext/>
              <w:keepLines/>
              <w:tabs>
                <w:tab w:val="left" w:pos="284"/>
              </w:tabs>
              <w:spacing w:before="40" w:after="20"/>
              <w:jc w:val="center"/>
              <w:rPr>
                <w:rFonts w:ascii="Arial" w:eastAsia="MS Mincho" w:hAnsi="Arial" w:cs="Arial"/>
                <w:b/>
                <w:sz w:val="17"/>
                <w:szCs w:val="17"/>
                <w:lang w:val="it-IT" w:eastAsia="zh-CN"/>
              </w:rPr>
            </w:pPr>
            <w:r w:rsidRPr="00327C2F">
              <w:rPr>
                <w:rFonts w:ascii="Arial" w:eastAsia="MS Mincho" w:hAnsi="Arial" w:cs="Arial"/>
                <w:b/>
                <w:sz w:val="17"/>
                <w:szCs w:val="17"/>
                <w:lang w:val="it-IT" w:eastAsia="zh-CN"/>
              </w:rPr>
              <w:t>N=</w:t>
            </w:r>
            <w:r w:rsidR="00783460" w:rsidRPr="00327C2F">
              <w:rPr>
                <w:rFonts w:ascii="Arial" w:eastAsia="MS Mincho" w:hAnsi="Arial" w:cs="Arial"/>
                <w:b/>
                <w:sz w:val="17"/>
                <w:szCs w:val="17"/>
                <w:lang w:val="it-IT" w:eastAsia="zh-CN"/>
              </w:rPr>
              <w:t>334</w:t>
            </w:r>
          </w:p>
          <w:p w14:paraId="68C51168" w14:textId="77777777" w:rsidR="00B422A4" w:rsidRPr="00327C2F" w:rsidRDefault="00B422A4" w:rsidP="00465907">
            <w:pPr>
              <w:keepNext/>
              <w:keepLines/>
              <w:tabs>
                <w:tab w:val="left" w:pos="284"/>
              </w:tabs>
              <w:spacing w:before="40" w:after="20"/>
              <w:jc w:val="center"/>
              <w:rPr>
                <w:rFonts w:ascii="Arial" w:eastAsia="MS Mincho" w:hAnsi="Arial" w:cs="Arial"/>
                <w:b/>
                <w:sz w:val="17"/>
                <w:szCs w:val="17"/>
                <w:lang w:val="it-IT" w:eastAsia="zh-CN"/>
              </w:rPr>
            </w:pPr>
            <w:r w:rsidRPr="00327C2F">
              <w:rPr>
                <w:rFonts w:ascii="Arial" w:eastAsia="MS Mincho" w:hAnsi="Arial" w:cs="Arial"/>
                <w:b/>
                <w:sz w:val="17"/>
                <w:szCs w:val="17"/>
                <w:lang w:val="it-IT" w:eastAsia="zh-CN"/>
              </w:rPr>
              <w:t>n (%)</w:t>
            </w:r>
          </w:p>
          <w:p w14:paraId="6B39AD2D" w14:textId="77777777" w:rsidR="00B422A4" w:rsidRPr="00327C2F" w:rsidRDefault="00B422A4" w:rsidP="00465907">
            <w:pPr>
              <w:keepNext/>
              <w:keepLines/>
              <w:tabs>
                <w:tab w:val="left" w:pos="284"/>
              </w:tabs>
              <w:spacing w:before="40" w:after="20"/>
              <w:jc w:val="center"/>
              <w:rPr>
                <w:rFonts w:ascii="Arial" w:eastAsia="MS Mincho" w:hAnsi="Arial" w:cs="Arial"/>
                <w:b/>
                <w:sz w:val="17"/>
                <w:szCs w:val="17"/>
                <w:lang w:val="it-IT" w:eastAsia="zh-CN"/>
              </w:rPr>
            </w:pPr>
            <w:r w:rsidRPr="00327C2F">
              <w:rPr>
                <w:rFonts w:ascii="Arial" w:eastAsia="MS Mincho" w:hAnsi="Arial" w:cs="Arial"/>
                <w:b/>
                <w:sz w:val="17"/>
                <w:szCs w:val="17"/>
                <w:lang w:val="it-IT" w:eastAsia="zh-CN"/>
              </w:rPr>
              <w:t>Grades 3/4</w:t>
            </w:r>
          </w:p>
        </w:tc>
        <w:tc>
          <w:tcPr>
            <w:tcW w:w="1170" w:type="dxa"/>
            <w:tcBorders>
              <w:top w:val="single" w:sz="4" w:space="0" w:color="auto"/>
              <w:bottom w:val="single" w:sz="4" w:space="0" w:color="auto"/>
            </w:tcBorders>
            <w:vAlign w:val="center"/>
          </w:tcPr>
          <w:p w14:paraId="1EB594DB" w14:textId="77777777" w:rsidR="00B422A4" w:rsidRPr="00327C2F" w:rsidRDefault="00B422A4" w:rsidP="00465907">
            <w:pPr>
              <w:keepLines/>
              <w:tabs>
                <w:tab w:val="left" w:pos="284"/>
              </w:tabs>
              <w:spacing w:before="40" w:after="20"/>
              <w:jc w:val="center"/>
              <w:rPr>
                <w:rFonts w:ascii="Arial" w:eastAsia="MS Mincho" w:hAnsi="Arial" w:cs="Arial"/>
                <w:b/>
                <w:sz w:val="17"/>
                <w:szCs w:val="17"/>
                <w:lang w:val="en-US" w:eastAsia="zh-CN"/>
              </w:rPr>
            </w:pPr>
            <w:r w:rsidRPr="00327C2F">
              <w:rPr>
                <w:rFonts w:ascii="Arial" w:eastAsia="MS Mincho" w:hAnsi="Arial" w:cs="Arial"/>
                <w:b/>
                <w:sz w:val="17"/>
                <w:szCs w:val="17"/>
                <w:lang w:val="en-US" w:eastAsia="zh-CN"/>
              </w:rPr>
              <w:t xml:space="preserve">Placebo + </w:t>
            </w:r>
            <w:proofErr w:type="spellStart"/>
            <w:r w:rsidRPr="00327C2F">
              <w:rPr>
                <w:rFonts w:ascii="Arial" w:eastAsia="MS Mincho" w:hAnsi="Arial" w:cs="Arial"/>
                <w:b/>
                <w:sz w:val="17"/>
                <w:szCs w:val="17"/>
                <w:lang w:val="en-US" w:eastAsia="zh-CN"/>
              </w:rPr>
              <w:t>Letrozole</w:t>
            </w:r>
            <w:proofErr w:type="spellEnd"/>
          </w:p>
          <w:p w14:paraId="371C52A0" w14:textId="1175E804" w:rsidR="00B422A4" w:rsidRPr="00327C2F" w:rsidRDefault="00B422A4" w:rsidP="00465907">
            <w:pPr>
              <w:keepLines/>
              <w:tabs>
                <w:tab w:val="left" w:pos="284"/>
              </w:tabs>
              <w:spacing w:before="40" w:after="20"/>
              <w:jc w:val="center"/>
              <w:rPr>
                <w:rFonts w:ascii="Arial" w:eastAsia="MS Mincho" w:hAnsi="Arial" w:cs="Arial"/>
                <w:b/>
                <w:sz w:val="17"/>
                <w:szCs w:val="17"/>
                <w:lang w:val="en-US" w:eastAsia="zh-CN"/>
              </w:rPr>
            </w:pPr>
            <w:r w:rsidRPr="00327C2F">
              <w:rPr>
                <w:rFonts w:ascii="Arial" w:eastAsia="MS Mincho" w:hAnsi="Arial" w:cs="Arial"/>
                <w:b/>
                <w:sz w:val="17"/>
                <w:szCs w:val="17"/>
                <w:lang w:val="en-US" w:eastAsia="zh-CN"/>
              </w:rPr>
              <w:t>N=</w:t>
            </w:r>
            <w:r w:rsidR="00783460" w:rsidRPr="00327C2F">
              <w:rPr>
                <w:rFonts w:ascii="Arial" w:eastAsia="MS Mincho" w:hAnsi="Arial" w:cs="Arial"/>
                <w:b/>
                <w:sz w:val="17"/>
                <w:szCs w:val="17"/>
                <w:lang w:val="en-US" w:eastAsia="zh-CN"/>
              </w:rPr>
              <w:t>330</w:t>
            </w:r>
          </w:p>
          <w:p w14:paraId="549A9F63" w14:textId="77777777" w:rsidR="00B422A4" w:rsidRPr="00327C2F" w:rsidRDefault="00B422A4" w:rsidP="00465907">
            <w:pPr>
              <w:keepLines/>
              <w:tabs>
                <w:tab w:val="left" w:pos="284"/>
              </w:tabs>
              <w:spacing w:before="40" w:after="20"/>
              <w:jc w:val="center"/>
              <w:rPr>
                <w:rFonts w:ascii="Arial" w:eastAsia="MS Mincho" w:hAnsi="Arial" w:cs="Arial"/>
                <w:b/>
                <w:sz w:val="17"/>
                <w:szCs w:val="17"/>
                <w:lang w:val="en-US" w:eastAsia="zh-CN"/>
              </w:rPr>
            </w:pPr>
            <w:proofErr w:type="gramStart"/>
            <w:r w:rsidRPr="00327C2F">
              <w:rPr>
                <w:rFonts w:ascii="Arial" w:eastAsia="MS Mincho" w:hAnsi="Arial" w:cs="Arial"/>
                <w:b/>
                <w:sz w:val="17"/>
                <w:szCs w:val="17"/>
                <w:lang w:val="en-US" w:eastAsia="zh-CN"/>
              </w:rPr>
              <w:t>n</w:t>
            </w:r>
            <w:proofErr w:type="gramEnd"/>
            <w:r w:rsidRPr="00327C2F">
              <w:rPr>
                <w:rFonts w:ascii="Arial" w:eastAsia="MS Mincho" w:hAnsi="Arial" w:cs="Arial"/>
                <w:b/>
                <w:sz w:val="17"/>
                <w:szCs w:val="17"/>
                <w:lang w:val="en-US" w:eastAsia="zh-CN"/>
              </w:rPr>
              <w:t xml:space="preserve"> (%)</w:t>
            </w:r>
          </w:p>
          <w:p w14:paraId="4AE17BF2" w14:textId="2CBBE152" w:rsidR="00B422A4" w:rsidRPr="00327C2F" w:rsidRDefault="00B422A4" w:rsidP="00465907">
            <w:pPr>
              <w:keepNext/>
              <w:keepLines/>
              <w:tabs>
                <w:tab w:val="left" w:pos="284"/>
              </w:tabs>
              <w:spacing w:before="40" w:after="20"/>
              <w:jc w:val="center"/>
              <w:rPr>
                <w:rFonts w:ascii="Arial" w:eastAsia="MS Mincho" w:hAnsi="Arial" w:cs="Arial"/>
                <w:b/>
                <w:sz w:val="17"/>
                <w:szCs w:val="17"/>
                <w:lang w:val="en-US" w:eastAsia="zh-CN"/>
              </w:rPr>
            </w:pPr>
            <w:r w:rsidRPr="00327C2F">
              <w:rPr>
                <w:rFonts w:ascii="Arial" w:eastAsia="MS Mincho" w:hAnsi="Arial" w:cs="Arial"/>
                <w:b/>
                <w:sz w:val="17"/>
                <w:szCs w:val="17"/>
                <w:lang w:val="en-US" w:eastAsia="zh-CN"/>
              </w:rPr>
              <w:t xml:space="preserve">Grades </w:t>
            </w:r>
            <w:r w:rsidRPr="00327C2F">
              <w:rPr>
                <w:rFonts w:ascii="Arial" w:eastAsia="MS Mincho" w:hAnsi="Arial" w:cs="Arial"/>
                <w:b/>
                <w:sz w:val="17"/>
                <w:szCs w:val="17"/>
                <w:lang w:val="it-IT" w:eastAsia="zh-CN"/>
              </w:rPr>
              <w:t>3/4</w:t>
            </w:r>
          </w:p>
        </w:tc>
        <w:tc>
          <w:tcPr>
            <w:tcW w:w="1391" w:type="dxa"/>
            <w:tcBorders>
              <w:top w:val="single" w:sz="4" w:space="0" w:color="auto"/>
              <w:bottom w:val="single" w:sz="4" w:space="0" w:color="auto"/>
            </w:tcBorders>
            <w:vAlign w:val="center"/>
          </w:tcPr>
          <w:p w14:paraId="475CCABB" w14:textId="6C59A31B" w:rsidR="00B422A4" w:rsidRPr="00327C2F" w:rsidRDefault="00B422A4" w:rsidP="00465907">
            <w:pPr>
              <w:keepNext/>
              <w:keepLines/>
              <w:tabs>
                <w:tab w:val="left" w:pos="284"/>
              </w:tabs>
              <w:spacing w:before="40" w:after="20"/>
              <w:jc w:val="center"/>
              <w:rPr>
                <w:rFonts w:ascii="Arial" w:eastAsia="MS Mincho" w:hAnsi="Arial" w:cs="Arial"/>
                <w:b/>
                <w:sz w:val="17"/>
                <w:szCs w:val="17"/>
                <w:lang w:val="en-US" w:eastAsia="zh-CN"/>
              </w:rPr>
            </w:pPr>
            <w:r w:rsidRPr="00327C2F">
              <w:rPr>
                <w:rFonts w:ascii="Arial" w:eastAsia="MS Mincho" w:hAnsi="Arial" w:cs="Arial"/>
                <w:b/>
                <w:sz w:val="17"/>
                <w:szCs w:val="17"/>
                <w:lang w:val="en-US" w:eastAsia="zh-CN"/>
              </w:rPr>
              <w:br/>
              <w:t>Frequency category</w:t>
            </w:r>
          </w:p>
          <w:p w14:paraId="4DDA3D47" w14:textId="77777777" w:rsidR="00B422A4" w:rsidRPr="00327C2F" w:rsidRDefault="00B422A4" w:rsidP="00465907">
            <w:pPr>
              <w:keepNext/>
              <w:keepLines/>
              <w:tabs>
                <w:tab w:val="left" w:pos="284"/>
              </w:tabs>
              <w:spacing w:before="40" w:after="20"/>
              <w:jc w:val="center"/>
              <w:rPr>
                <w:rFonts w:ascii="Arial" w:eastAsia="MS Mincho" w:hAnsi="Arial" w:cs="Arial"/>
                <w:b/>
                <w:sz w:val="17"/>
                <w:szCs w:val="17"/>
                <w:lang w:val="en-US" w:eastAsia="zh-CN"/>
              </w:rPr>
            </w:pPr>
          </w:p>
          <w:p w14:paraId="486DA25C" w14:textId="54ADAFB5" w:rsidR="00B422A4" w:rsidRPr="00327C2F" w:rsidRDefault="00B422A4" w:rsidP="00465907">
            <w:pPr>
              <w:keepNext/>
              <w:spacing w:before="120"/>
              <w:jc w:val="center"/>
              <w:rPr>
                <w:rFonts w:eastAsia="MS Mincho"/>
                <w:b/>
                <w:i/>
                <w:color w:val="BF30B5"/>
                <w:sz w:val="17"/>
                <w:szCs w:val="17"/>
                <w:lang w:val="en-US" w:eastAsia="zh-CN"/>
              </w:rPr>
            </w:pPr>
            <w:r w:rsidRPr="00327C2F">
              <w:rPr>
                <w:rFonts w:ascii="Arial" w:eastAsia="MS Mincho" w:hAnsi="Arial" w:cs="Arial"/>
                <w:b/>
                <w:sz w:val="17"/>
                <w:szCs w:val="17"/>
                <w:lang w:val="en-US" w:eastAsia="zh-CN"/>
              </w:rPr>
              <w:t xml:space="preserve">All </w:t>
            </w:r>
            <w:r w:rsidR="00783460" w:rsidRPr="00327C2F">
              <w:rPr>
                <w:rFonts w:ascii="Arial" w:eastAsia="MS Mincho" w:hAnsi="Arial" w:cs="Arial"/>
                <w:b/>
                <w:sz w:val="17"/>
                <w:szCs w:val="17"/>
                <w:lang w:val="en-US" w:eastAsia="zh-CN"/>
              </w:rPr>
              <w:t>G</w:t>
            </w:r>
            <w:r w:rsidRPr="00327C2F">
              <w:rPr>
                <w:rFonts w:ascii="Arial" w:eastAsia="MS Mincho" w:hAnsi="Arial" w:cs="Arial"/>
                <w:b/>
                <w:sz w:val="17"/>
                <w:szCs w:val="17"/>
                <w:lang w:val="en-US" w:eastAsia="zh-CN"/>
              </w:rPr>
              <w:t>rades</w:t>
            </w:r>
          </w:p>
        </w:tc>
      </w:tr>
      <w:tr w:rsidR="00B422A4" w:rsidRPr="00B422A4" w14:paraId="1E083135" w14:textId="77777777" w:rsidTr="00A62591">
        <w:tc>
          <w:tcPr>
            <w:tcW w:w="9000" w:type="dxa"/>
            <w:gridSpan w:val="6"/>
            <w:tcBorders>
              <w:top w:val="single" w:sz="4" w:space="0" w:color="auto"/>
            </w:tcBorders>
          </w:tcPr>
          <w:p w14:paraId="1722684E" w14:textId="77777777" w:rsidR="00B422A4" w:rsidRPr="00B422A4" w:rsidRDefault="00B422A4" w:rsidP="00D25D8D">
            <w:pPr>
              <w:keepNext/>
              <w:keepLines/>
              <w:tabs>
                <w:tab w:val="left" w:pos="284"/>
              </w:tabs>
              <w:spacing w:before="40" w:after="20"/>
              <w:rPr>
                <w:rFonts w:ascii="Arial" w:eastAsia="MS Mincho" w:hAnsi="Arial" w:cs="Arial"/>
                <w:b/>
                <w:bCs/>
                <w:sz w:val="18"/>
                <w:szCs w:val="18"/>
                <w:lang w:val="en-US" w:eastAsia="zh-CN"/>
              </w:rPr>
            </w:pPr>
            <w:r w:rsidRPr="00B422A4">
              <w:rPr>
                <w:rFonts w:ascii="Arial" w:eastAsia="MS Mincho" w:hAnsi="Arial" w:cs="Arial"/>
                <w:b/>
                <w:bCs/>
                <w:sz w:val="18"/>
                <w:szCs w:val="18"/>
                <w:lang w:val="en-US" w:eastAsia="zh-CN"/>
              </w:rPr>
              <w:t>Infections and infestations</w:t>
            </w:r>
          </w:p>
        </w:tc>
      </w:tr>
      <w:tr w:rsidR="00783460" w:rsidRPr="00B422A4" w14:paraId="2A8997EF" w14:textId="77777777" w:rsidTr="00A62591">
        <w:tc>
          <w:tcPr>
            <w:tcW w:w="2479" w:type="dxa"/>
            <w:tcBorders>
              <w:bottom w:val="single" w:sz="4" w:space="0" w:color="auto"/>
            </w:tcBorders>
            <w:vAlign w:val="center"/>
          </w:tcPr>
          <w:p w14:paraId="3B5492EC" w14:textId="77777777" w:rsidR="00783460" w:rsidRPr="00B422A4" w:rsidRDefault="00783460"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Urinary tract infection</w:t>
            </w:r>
            <w:r w:rsidRPr="00B422A4">
              <w:rPr>
                <w:rFonts w:ascii="Arial" w:eastAsia="MS Mincho" w:hAnsi="Arial" w:cs="Arial"/>
                <w:sz w:val="18"/>
                <w:szCs w:val="18"/>
                <w:vertAlign w:val="superscript"/>
                <w:lang w:val="en-US" w:eastAsia="zh-CN"/>
              </w:rPr>
              <w:t>1</w:t>
            </w:r>
          </w:p>
        </w:tc>
        <w:tc>
          <w:tcPr>
            <w:tcW w:w="1350" w:type="dxa"/>
            <w:tcBorders>
              <w:bottom w:val="single" w:sz="4" w:space="0" w:color="auto"/>
            </w:tcBorders>
          </w:tcPr>
          <w:p w14:paraId="36954B51" w14:textId="711CA6C8" w:rsidR="00783460" w:rsidRPr="00783460" w:rsidRDefault="00783460" w:rsidP="00465907">
            <w:pPr>
              <w:keepLines/>
              <w:tabs>
                <w:tab w:val="left" w:pos="284"/>
              </w:tabs>
              <w:spacing w:before="40" w:after="20"/>
              <w:jc w:val="center"/>
              <w:rPr>
                <w:rFonts w:ascii="Arial" w:eastAsia="MS Mincho" w:hAnsi="Arial" w:cs="Arial"/>
                <w:sz w:val="18"/>
                <w:szCs w:val="18"/>
                <w:lang w:val="en-US" w:eastAsia="zh-CN"/>
              </w:rPr>
            </w:pPr>
            <w:r w:rsidRPr="00783460">
              <w:rPr>
                <w:rFonts w:ascii="Arial" w:eastAsia="MS Mincho" w:hAnsi="Arial" w:cs="Arial"/>
                <w:sz w:val="18"/>
                <w:szCs w:val="18"/>
                <w:lang w:val="en-US" w:eastAsia="zh-CN"/>
              </w:rPr>
              <w:t>44 (13.2)</w:t>
            </w:r>
          </w:p>
        </w:tc>
        <w:tc>
          <w:tcPr>
            <w:tcW w:w="1350" w:type="dxa"/>
            <w:tcBorders>
              <w:bottom w:val="single" w:sz="4" w:space="0" w:color="auto"/>
            </w:tcBorders>
          </w:tcPr>
          <w:p w14:paraId="18772544" w14:textId="2B2A71B9" w:rsidR="00783460" w:rsidRPr="00783460" w:rsidRDefault="00783460" w:rsidP="00465907">
            <w:pPr>
              <w:keepLines/>
              <w:tabs>
                <w:tab w:val="left" w:pos="284"/>
              </w:tabs>
              <w:spacing w:before="40" w:after="20"/>
              <w:jc w:val="center"/>
              <w:rPr>
                <w:rFonts w:ascii="Arial" w:eastAsia="MS Mincho" w:hAnsi="Arial" w:cs="Arial"/>
                <w:sz w:val="18"/>
                <w:szCs w:val="18"/>
                <w:lang w:val="en-US" w:eastAsia="zh-CN"/>
              </w:rPr>
            </w:pPr>
            <w:r w:rsidRPr="00783460">
              <w:rPr>
                <w:rFonts w:ascii="Arial" w:eastAsia="MS Mincho" w:hAnsi="Arial" w:cs="Arial"/>
                <w:sz w:val="18"/>
                <w:szCs w:val="18"/>
                <w:lang w:val="en-US" w:eastAsia="zh-CN"/>
              </w:rPr>
              <w:t>28 (8.5)</w:t>
            </w:r>
          </w:p>
        </w:tc>
        <w:tc>
          <w:tcPr>
            <w:tcW w:w="1260" w:type="dxa"/>
            <w:tcBorders>
              <w:bottom w:val="single" w:sz="4" w:space="0" w:color="auto"/>
            </w:tcBorders>
          </w:tcPr>
          <w:p w14:paraId="2DDD5614" w14:textId="02F130FD" w:rsidR="00783460" w:rsidRPr="00B422A4" w:rsidRDefault="00783460" w:rsidP="00465907">
            <w:pPr>
              <w:keepLines/>
              <w:tabs>
                <w:tab w:val="left" w:pos="284"/>
              </w:tabs>
              <w:spacing w:before="40" w:after="20"/>
              <w:jc w:val="center"/>
              <w:rPr>
                <w:rFonts w:ascii="Arial" w:eastAsia="MS Mincho" w:hAnsi="Arial" w:cs="Arial"/>
                <w:sz w:val="18"/>
                <w:szCs w:val="18"/>
                <w:lang w:val="en-US" w:eastAsia="zh-CN"/>
              </w:rPr>
            </w:pPr>
            <w:r w:rsidRPr="00783460">
              <w:rPr>
                <w:rFonts w:ascii="Arial" w:eastAsia="MS Mincho" w:hAnsi="Arial" w:cs="Arial"/>
                <w:sz w:val="18"/>
                <w:szCs w:val="18"/>
                <w:lang w:val="en-US" w:eastAsia="zh-CN"/>
              </w:rPr>
              <w:t>2 (0.6)</w:t>
            </w:r>
          </w:p>
        </w:tc>
        <w:tc>
          <w:tcPr>
            <w:tcW w:w="1170" w:type="dxa"/>
            <w:tcBorders>
              <w:bottom w:val="single" w:sz="4" w:space="0" w:color="auto"/>
            </w:tcBorders>
          </w:tcPr>
          <w:p w14:paraId="1F3C15D5" w14:textId="31674BF3" w:rsidR="00783460" w:rsidRPr="00B422A4" w:rsidRDefault="00783460" w:rsidP="00465907">
            <w:pPr>
              <w:keepLines/>
              <w:tabs>
                <w:tab w:val="left" w:pos="284"/>
              </w:tabs>
              <w:spacing w:before="40" w:after="20"/>
              <w:jc w:val="center"/>
              <w:rPr>
                <w:rFonts w:ascii="Arial" w:eastAsia="MS Mincho" w:hAnsi="Arial" w:cs="Arial"/>
                <w:sz w:val="18"/>
                <w:szCs w:val="18"/>
                <w:lang w:val="en-US" w:eastAsia="zh-CN"/>
              </w:rPr>
            </w:pPr>
            <w:r w:rsidRPr="00783460">
              <w:rPr>
                <w:rFonts w:ascii="Arial" w:eastAsia="MS Mincho" w:hAnsi="Arial" w:cs="Arial"/>
                <w:sz w:val="18"/>
                <w:szCs w:val="18"/>
                <w:lang w:val="en-US" w:eastAsia="zh-CN"/>
              </w:rPr>
              <w:t>0 (0.0)</w:t>
            </w:r>
          </w:p>
        </w:tc>
        <w:tc>
          <w:tcPr>
            <w:tcW w:w="1391" w:type="dxa"/>
            <w:tcBorders>
              <w:bottom w:val="single" w:sz="4" w:space="0" w:color="auto"/>
            </w:tcBorders>
            <w:vAlign w:val="center"/>
          </w:tcPr>
          <w:p w14:paraId="5F1E5AAD" w14:textId="77777777" w:rsidR="00783460" w:rsidRPr="00B422A4" w:rsidRDefault="00783460"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55AB350A" w14:textId="77777777" w:rsidTr="00A62591">
        <w:tc>
          <w:tcPr>
            <w:tcW w:w="9000" w:type="dxa"/>
            <w:gridSpan w:val="6"/>
            <w:tcBorders>
              <w:top w:val="single" w:sz="4" w:space="0" w:color="auto"/>
            </w:tcBorders>
          </w:tcPr>
          <w:p w14:paraId="31A302B2" w14:textId="77777777" w:rsidR="00B422A4" w:rsidRPr="00B422A4" w:rsidRDefault="00B422A4" w:rsidP="00D25D8D">
            <w:pPr>
              <w:keepLines/>
              <w:tabs>
                <w:tab w:val="left" w:pos="284"/>
              </w:tabs>
              <w:spacing w:before="40" w:after="20"/>
              <w:rPr>
                <w:rFonts w:ascii="Arial" w:eastAsia="MS Mincho" w:hAnsi="Arial" w:cs="Arial"/>
                <w:b/>
                <w:bCs/>
                <w:sz w:val="18"/>
                <w:szCs w:val="18"/>
                <w:lang w:val="en-US" w:eastAsia="zh-CN"/>
              </w:rPr>
            </w:pPr>
            <w:r w:rsidRPr="00B422A4">
              <w:rPr>
                <w:rFonts w:ascii="Arial" w:eastAsia="MS Mincho" w:hAnsi="Arial" w:cs="Arial"/>
                <w:b/>
                <w:bCs/>
                <w:sz w:val="18"/>
                <w:szCs w:val="18"/>
                <w:lang w:val="en-US" w:eastAsia="zh-CN"/>
              </w:rPr>
              <w:t>Blood and lymphatic system disorders</w:t>
            </w:r>
          </w:p>
        </w:tc>
      </w:tr>
      <w:tr w:rsidR="00B422A4" w:rsidRPr="00B422A4" w14:paraId="4705EDC1" w14:textId="77777777" w:rsidTr="00D25D8D">
        <w:trPr>
          <w:trHeight w:val="362"/>
        </w:trPr>
        <w:tc>
          <w:tcPr>
            <w:tcW w:w="2479" w:type="dxa"/>
            <w:shd w:val="clear" w:color="auto" w:fill="auto"/>
            <w:vAlign w:val="center"/>
          </w:tcPr>
          <w:p w14:paraId="241E9A53" w14:textId="16DB9CA8"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Neutropenia</w:t>
            </w:r>
          </w:p>
        </w:tc>
        <w:tc>
          <w:tcPr>
            <w:tcW w:w="1350" w:type="dxa"/>
            <w:shd w:val="clear" w:color="auto" w:fill="auto"/>
            <w:vAlign w:val="center"/>
          </w:tcPr>
          <w:p w14:paraId="451325E3" w14:textId="77777777" w:rsidR="00B422A4" w:rsidRPr="00B422A4" w:rsidRDefault="00B422A4" w:rsidP="00465907">
            <w:pPr>
              <w:keepLines/>
              <w:tabs>
                <w:tab w:val="left" w:pos="284"/>
              </w:tabs>
              <w:spacing w:before="40" w:after="20"/>
              <w:jc w:val="center"/>
              <w:rPr>
                <w:rFonts w:ascii="ArialMT" w:hAnsi="ArialMT" w:cs="Arial"/>
                <w:sz w:val="18"/>
                <w:szCs w:val="18"/>
                <w:lang w:val="en-US" w:eastAsia="en-US"/>
              </w:rPr>
            </w:pPr>
            <w:r w:rsidRPr="00B422A4">
              <w:rPr>
                <w:rFonts w:ascii="Arial" w:eastAsia="MS Mincho" w:hAnsi="Arial" w:cs="Arial"/>
                <w:sz w:val="18"/>
                <w:szCs w:val="18"/>
                <w:lang w:val="en-US" w:eastAsia="zh-CN"/>
              </w:rPr>
              <w:t>248 (74.3)</w:t>
            </w:r>
          </w:p>
        </w:tc>
        <w:tc>
          <w:tcPr>
            <w:tcW w:w="1350" w:type="dxa"/>
            <w:vAlign w:val="center"/>
          </w:tcPr>
          <w:p w14:paraId="0AA1571A"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17 (5.2)</w:t>
            </w:r>
          </w:p>
        </w:tc>
        <w:tc>
          <w:tcPr>
            <w:tcW w:w="1260" w:type="dxa"/>
            <w:shd w:val="clear" w:color="auto" w:fill="auto"/>
            <w:vAlign w:val="center"/>
          </w:tcPr>
          <w:p w14:paraId="6A97278E"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198 (59.3)</w:t>
            </w:r>
          </w:p>
        </w:tc>
        <w:tc>
          <w:tcPr>
            <w:tcW w:w="1170" w:type="dxa"/>
          </w:tcPr>
          <w:p w14:paraId="43D56BBF"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 (0.9)</w:t>
            </w:r>
          </w:p>
        </w:tc>
        <w:tc>
          <w:tcPr>
            <w:tcW w:w="1391" w:type="dxa"/>
            <w:shd w:val="clear" w:color="auto" w:fill="auto"/>
            <w:vAlign w:val="center"/>
          </w:tcPr>
          <w:p w14:paraId="6D934D35"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5A0CFCEC" w14:textId="77777777" w:rsidTr="00D25D8D">
        <w:tc>
          <w:tcPr>
            <w:tcW w:w="2479" w:type="dxa"/>
            <w:shd w:val="clear" w:color="auto" w:fill="auto"/>
            <w:vAlign w:val="center"/>
          </w:tcPr>
          <w:p w14:paraId="497ED68F" w14:textId="0215978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Leukopenia</w:t>
            </w:r>
          </w:p>
        </w:tc>
        <w:tc>
          <w:tcPr>
            <w:tcW w:w="1350" w:type="dxa"/>
            <w:shd w:val="clear" w:color="auto" w:fill="auto"/>
            <w:vAlign w:val="center"/>
          </w:tcPr>
          <w:p w14:paraId="21FA16C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110 (32.9)</w:t>
            </w:r>
          </w:p>
        </w:tc>
        <w:tc>
          <w:tcPr>
            <w:tcW w:w="1350" w:type="dxa"/>
            <w:vAlign w:val="center"/>
          </w:tcPr>
          <w:p w14:paraId="12496AB3" w14:textId="45D32EDB"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13 (3.9)</w:t>
            </w:r>
          </w:p>
        </w:tc>
        <w:tc>
          <w:tcPr>
            <w:tcW w:w="1260" w:type="dxa"/>
            <w:shd w:val="clear" w:color="auto" w:fill="auto"/>
          </w:tcPr>
          <w:p w14:paraId="258F1FA8" w14:textId="51B95EB3"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70 (21.0)</w:t>
            </w:r>
          </w:p>
        </w:tc>
        <w:tc>
          <w:tcPr>
            <w:tcW w:w="1170" w:type="dxa"/>
          </w:tcPr>
          <w:p w14:paraId="7EBE469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2 (0.6)</w:t>
            </w:r>
          </w:p>
        </w:tc>
        <w:tc>
          <w:tcPr>
            <w:tcW w:w="1391" w:type="dxa"/>
            <w:shd w:val="clear" w:color="auto" w:fill="auto"/>
            <w:vAlign w:val="center"/>
          </w:tcPr>
          <w:p w14:paraId="64A6475F"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3412037E" w14:textId="77777777" w:rsidTr="00D25D8D">
        <w:tc>
          <w:tcPr>
            <w:tcW w:w="2479" w:type="dxa"/>
            <w:shd w:val="clear" w:color="auto" w:fill="auto"/>
            <w:vAlign w:val="center"/>
          </w:tcPr>
          <w:p w14:paraId="3F4FDBC7" w14:textId="1162B5E4"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proofErr w:type="spellStart"/>
            <w:r w:rsidRPr="00B422A4">
              <w:rPr>
                <w:rFonts w:ascii="Arial" w:eastAsia="MS Mincho" w:hAnsi="Arial" w:cs="Arial"/>
                <w:sz w:val="18"/>
                <w:szCs w:val="18"/>
                <w:lang w:val="en-US" w:eastAsia="zh-CN"/>
              </w:rPr>
              <w:t>Anaemia</w:t>
            </w:r>
            <w:proofErr w:type="spellEnd"/>
          </w:p>
        </w:tc>
        <w:tc>
          <w:tcPr>
            <w:tcW w:w="1350" w:type="dxa"/>
            <w:shd w:val="clear" w:color="auto" w:fill="auto"/>
            <w:vAlign w:val="center"/>
          </w:tcPr>
          <w:p w14:paraId="75AF264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63 (18.9)</w:t>
            </w:r>
          </w:p>
        </w:tc>
        <w:tc>
          <w:tcPr>
            <w:tcW w:w="1350" w:type="dxa"/>
            <w:vAlign w:val="center"/>
          </w:tcPr>
          <w:p w14:paraId="5B5D3CFA"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15 (4.5)</w:t>
            </w:r>
          </w:p>
        </w:tc>
        <w:tc>
          <w:tcPr>
            <w:tcW w:w="1260" w:type="dxa"/>
            <w:shd w:val="clear" w:color="auto" w:fill="auto"/>
          </w:tcPr>
          <w:p w14:paraId="22F916F8"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4 (1.2)</w:t>
            </w:r>
          </w:p>
        </w:tc>
        <w:tc>
          <w:tcPr>
            <w:tcW w:w="1170" w:type="dxa"/>
          </w:tcPr>
          <w:p w14:paraId="48F2DAE5"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4 (1.2)</w:t>
            </w:r>
          </w:p>
        </w:tc>
        <w:tc>
          <w:tcPr>
            <w:tcW w:w="1391" w:type="dxa"/>
            <w:shd w:val="clear" w:color="auto" w:fill="auto"/>
            <w:vAlign w:val="center"/>
          </w:tcPr>
          <w:p w14:paraId="27C462E0"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5E9082FB" w14:textId="77777777" w:rsidTr="00D25D8D">
        <w:tc>
          <w:tcPr>
            <w:tcW w:w="2479" w:type="dxa"/>
            <w:shd w:val="clear" w:color="auto" w:fill="auto"/>
            <w:vAlign w:val="center"/>
          </w:tcPr>
          <w:p w14:paraId="321CC3A1" w14:textId="12E8A6E1"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proofErr w:type="spellStart"/>
            <w:r w:rsidRPr="00B422A4">
              <w:rPr>
                <w:rFonts w:ascii="Arial" w:eastAsia="MS Mincho" w:hAnsi="Arial" w:cs="Arial"/>
                <w:sz w:val="18"/>
                <w:szCs w:val="18"/>
                <w:lang w:val="en-US" w:eastAsia="zh-CN"/>
              </w:rPr>
              <w:t>Lymphopenia</w:t>
            </w:r>
            <w:proofErr w:type="spellEnd"/>
          </w:p>
        </w:tc>
        <w:tc>
          <w:tcPr>
            <w:tcW w:w="1350" w:type="dxa"/>
            <w:shd w:val="clear" w:color="auto" w:fill="auto"/>
            <w:vAlign w:val="center"/>
          </w:tcPr>
          <w:p w14:paraId="1489BC93"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35 (10.5)</w:t>
            </w:r>
          </w:p>
        </w:tc>
        <w:tc>
          <w:tcPr>
            <w:tcW w:w="1350" w:type="dxa"/>
            <w:vAlign w:val="center"/>
          </w:tcPr>
          <w:p w14:paraId="03141904"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7 (2.1)</w:t>
            </w:r>
          </w:p>
        </w:tc>
        <w:tc>
          <w:tcPr>
            <w:tcW w:w="1260" w:type="dxa"/>
            <w:shd w:val="clear" w:color="auto" w:fill="auto"/>
          </w:tcPr>
          <w:p w14:paraId="3510581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23 (6.9)</w:t>
            </w:r>
          </w:p>
        </w:tc>
        <w:tc>
          <w:tcPr>
            <w:tcW w:w="1170" w:type="dxa"/>
          </w:tcPr>
          <w:p w14:paraId="4F112A14"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 (0.9)</w:t>
            </w:r>
          </w:p>
        </w:tc>
        <w:tc>
          <w:tcPr>
            <w:tcW w:w="1391" w:type="dxa"/>
            <w:shd w:val="clear" w:color="auto" w:fill="auto"/>
            <w:vAlign w:val="center"/>
          </w:tcPr>
          <w:p w14:paraId="60880E11"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200DB7CA" w14:textId="77777777" w:rsidTr="00D25D8D">
        <w:tc>
          <w:tcPr>
            <w:tcW w:w="2479" w:type="dxa"/>
            <w:shd w:val="clear" w:color="auto" w:fill="auto"/>
            <w:vAlign w:val="center"/>
          </w:tcPr>
          <w:p w14:paraId="68FDCB18" w14:textId="0256AEF4"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Thrombocytopenia</w:t>
            </w:r>
          </w:p>
        </w:tc>
        <w:tc>
          <w:tcPr>
            <w:tcW w:w="1350" w:type="dxa"/>
            <w:shd w:val="clear" w:color="auto" w:fill="auto"/>
            <w:vAlign w:val="center"/>
          </w:tcPr>
          <w:p w14:paraId="6B6557D8" w14:textId="77777777" w:rsidR="00B422A4" w:rsidRPr="00B422A4" w:rsidDel="005721D6"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30 (9.0)</w:t>
            </w:r>
          </w:p>
        </w:tc>
        <w:tc>
          <w:tcPr>
            <w:tcW w:w="1350" w:type="dxa"/>
            <w:vAlign w:val="center"/>
          </w:tcPr>
          <w:p w14:paraId="29E7EA8A"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2 (0.6)</w:t>
            </w:r>
          </w:p>
        </w:tc>
        <w:tc>
          <w:tcPr>
            <w:tcW w:w="1260" w:type="dxa"/>
            <w:shd w:val="clear" w:color="auto" w:fill="auto"/>
          </w:tcPr>
          <w:p w14:paraId="411D675B"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2 (0.6)</w:t>
            </w:r>
          </w:p>
        </w:tc>
        <w:tc>
          <w:tcPr>
            <w:tcW w:w="1170" w:type="dxa"/>
          </w:tcPr>
          <w:p w14:paraId="2012E2E1"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shd w:val="clear" w:color="auto" w:fill="auto"/>
            <w:vAlign w:val="center"/>
          </w:tcPr>
          <w:p w14:paraId="0F969CE5"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4B581480" w14:textId="77777777" w:rsidTr="00A62591">
        <w:tc>
          <w:tcPr>
            <w:tcW w:w="2479" w:type="dxa"/>
            <w:tcBorders>
              <w:bottom w:val="single" w:sz="4" w:space="0" w:color="auto"/>
            </w:tcBorders>
            <w:shd w:val="clear" w:color="auto" w:fill="auto"/>
            <w:vAlign w:val="center"/>
          </w:tcPr>
          <w:p w14:paraId="49507582"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Febrile neutropenia</w:t>
            </w:r>
          </w:p>
        </w:tc>
        <w:tc>
          <w:tcPr>
            <w:tcW w:w="1350" w:type="dxa"/>
            <w:tcBorders>
              <w:bottom w:val="single" w:sz="4" w:space="0" w:color="auto"/>
            </w:tcBorders>
            <w:shd w:val="clear" w:color="auto" w:fill="auto"/>
            <w:vAlign w:val="center"/>
          </w:tcPr>
          <w:p w14:paraId="2EB8CDC0" w14:textId="77777777" w:rsidR="00B422A4" w:rsidRPr="00B422A4" w:rsidDel="005721D6"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5 (1.5)</w:t>
            </w:r>
          </w:p>
        </w:tc>
        <w:tc>
          <w:tcPr>
            <w:tcW w:w="1350" w:type="dxa"/>
            <w:tcBorders>
              <w:bottom w:val="single" w:sz="4" w:space="0" w:color="auto"/>
            </w:tcBorders>
            <w:vAlign w:val="center"/>
          </w:tcPr>
          <w:p w14:paraId="02BA0A35"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0</w:t>
            </w:r>
          </w:p>
        </w:tc>
        <w:tc>
          <w:tcPr>
            <w:tcW w:w="1260" w:type="dxa"/>
            <w:tcBorders>
              <w:bottom w:val="single" w:sz="4" w:space="0" w:color="auto"/>
            </w:tcBorders>
            <w:shd w:val="clear" w:color="auto" w:fill="auto"/>
          </w:tcPr>
          <w:p w14:paraId="3626435C"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4 (1.2)</w:t>
            </w:r>
          </w:p>
        </w:tc>
        <w:tc>
          <w:tcPr>
            <w:tcW w:w="1170" w:type="dxa"/>
            <w:tcBorders>
              <w:bottom w:val="single" w:sz="4" w:space="0" w:color="auto"/>
            </w:tcBorders>
          </w:tcPr>
          <w:p w14:paraId="74F2EB6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tcBorders>
              <w:bottom w:val="single" w:sz="4" w:space="0" w:color="auto"/>
            </w:tcBorders>
            <w:shd w:val="clear" w:color="auto" w:fill="auto"/>
            <w:vAlign w:val="center"/>
          </w:tcPr>
          <w:p w14:paraId="263E9EA0"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51A7997A" w14:textId="77777777" w:rsidTr="00A62591">
        <w:tc>
          <w:tcPr>
            <w:tcW w:w="9000" w:type="dxa"/>
            <w:gridSpan w:val="6"/>
            <w:tcBorders>
              <w:top w:val="single" w:sz="4" w:space="0" w:color="auto"/>
            </w:tcBorders>
            <w:shd w:val="clear" w:color="auto" w:fill="auto"/>
            <w:vAlign w:val="center"/>
          </w:tcPr>
          <w:p w14:paraId="0D174B12" w14:textId="77777777" w:rsidR="00B422A4" w:rsidRPr="00B422A4" w:rsidRDefault="00B422A4" w:rsidP="00D25D8D">
            <w:pPr>
              <w:keepLines/>
              <w:tabs>
                <w:tab w:val="left" w:pos="284"/>
              </w:tabs>
              <w:spacing w:before="40" w:after="20"/>
              <w:rPr>
                <w:rFonts w:ascii="Arial" w:eastAsia="MS Mincho" w:hAnsi="Arial" w:cs="Arial"/>
                <w:b/>
                <w:sz w:val="18"/>
                <w:szCs w:val="18"/>
                <w:lang w:val="en-US" w:eastAsia="zh-CN"/>
              </w:rPr>
            </w:pPr>
            <w:r w:rsidRPr="00B422A4">
              <w:rPr>
                <w:rFonts w:ascii="Arial" w:eastAsia="MS Mincho" w:hAnsi="Arial" w:cs="Arial"/>
                <w:b/>
                <w:sz w:val="18"/>
                <w:szCs w:val="18"/>
                <w:lang w:val="en-US" w:eastAsia="zh-CN"/>
              </w:rPr>
              <w:t>Eye disorders</w:t>
            </w:r>
          </w:p>
        </w:tc>
      </w:tr>
      <w:tr w:rsidR="00B422A4" w:rsidRPr="00B422A4" w14:paraId="472EEC93" w14:textId="77777777" w:rsidTr="00D25D8D">
        <w:tc>
          <w:tcPr>
            <w:tcW w:w="2479" w:type="dxa"/>
            <w:shd w:val="clear" w:color="auto" w:fill="auto"/>
            <w:vAlign w:val="center"/>
          </w:tcPr>
          <w:p w14:paraId="25B7B00B"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Lacrimation increased</w:t>
            </w:r>
          </w:p>
        </w:tc>
        <w:tc>
          <w:tcPr>
            <w:tcW w:w="1350" w:type="dxa"/>
            <w:shd w:val="clear" w:color="auto" w:fill="auto"/>
            <w:vAlign w:val="center"/>
          </w:tcPr>
          <w:p w14:paraId="12E95DDB" w14:textId="77777777" w:rsidR="00B422A4" w:rsidRPr="00B422A4" w:rsidDel="005721D6"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23 (6.9)</w:t>
            </w:r>
          </w:p>
        </w:tc>
        <w:tc>
          <w:tcPr>
            <w:tcW w:w="1350" w:type="dxa"/>
          </w:tcPr>
          <w:p w14:paraId="1DC25574" w14:textId="4F72DC62"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6 (1.8)</w:t>
            </w:r>
          </w:p>
        </w:tc>
        <w:tc>
          <w:tcPr>
            <w:tcW w:w="1260" w:type="dxa"/>
            <w:shd w:val="clear" w:color="auto" w:fill="auto"/>
            <w:vAlign w:val="center"/>
          </w:tcPr>
          <w:p w14:paraId="43551423"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170" w:type="dxa"/>
          </w:tcPr>
          <w:p w14:paraId="31F26A1E"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shd w:val="clear" w:color="auto" w:fill="auto"/>
            <w:vAlign w:val="center"/>
          </w:tcPr>
          <w:p w14:paraId="3BDDCDDA"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556B680F" w14:textId="77777777" w:rsidTr="00A62591">
        <w:tc>
          <w:tcPr>
            <w:tcW w:w="2479" w:type="dxa"/>
            <w:tcBorders>
              <w:bottom w:val="single" w:sz="4" w:space="0" w:color="auto"/>
            </w:tcBorders>
            <w:shd w:val="clear" w:color="auto" w:fill="auto"/>
            <w:vAlign w:val="center"/>
          </w:tcPr>
          <w:p w14:paraId="6E36AF12"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Dry eye</w:t>
            </w:r>
          </w:p>
        </w:tc>
        <w:tc>
          <w:tcPr>
            <w:tcW w:w="1350" w:type="dxa"/>
            <w:tcBorders>
              <w:bottom w:val="single" w:sz="4" w:space="0" w:color="auto"/>
            </w:tcBorders>
            <w:shd w:val="clear" w:color="auto" w:fill="auto"/>
            <w:vAlign w:val="center"/>
          </w:tcPr>
          <w:p w14:paraId="42E7466A" w14:textId="77777777" w:rsidR="00B422A4" w:rsidRPr="00B422A4" w:rsidDel="005721D6"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19 (5.7)</w:t>
            </w:r>
          </w:p>
        </w:tc>
        <w:tc>
          <w:tcPr>
            <w:tcW w:w="1350" w:type="dxa"/>
            <w:tcBorders>
              <w:bottom w:val="single" w:sz="4" w:space="0" w:color="auto"/>
            </w:tcBorders>
          </w:tcPr>
          <w:p w14:paraId="3D853A88"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7 (2.1)</w:t>
            </w:r>
          </w:p>
        </w:tc>
        <w:tc>
          <w:tcPr>
            <w:tcW w:w="1260" w:type="dxa"/>
            <w:tcBorders>
              <w:bottom w:val="single" w:sz="4" w:space="0" w:color="auto"/>
            </w:tcBorders>
            <w:shd w:val="clear" w:color="auto" w:fill="auto"/>
            <w:vAlign w:val="center"/>
          </w:tcPr>
          <w:p w14:paraId="3B234E1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170" w:type="dxa"/>
            <w:tcBorders>
              <w:bottom w:val="single" w:sz="4" w:space="0" w:color="auto"/>
            </w:tcBorders>
          </w:tcPr>
          <w:p w14:paraId="5476DA23"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tcBorders>
              <w:bottom w:val="single" w:sz="4" w:space="0" w:color="auto"/>
            </w:tcBorders>
            <w:shd w:val="clear" w:color="auto" w:fill="auto"/>
            <w:vAlign w:val="center"/>
          </w:tcPr>
          <w:p w14:paraId="6E9B432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25FE7C2C" w14:textId="77777777" w:rsidTr="00A62591">
        <w:tc>
          <w:tcPr>
            <w:tcW w:w="9000" w:type="dxa"/>
            <w:gridSpan w:val="6"/>
            <w:tcBorders>
              <w:top w:val="single" w:sz="4" w:space="0" w:color="auto"/>
            </w:tcBorders>
          </w:tcPr>
          <w:p w14:paraId="1483F945" w14:textId="77777777" w:rsidR="00B422A4" w:rsidRPr="00B422A4" w:rsidRDefault="00B422A4" w:rsidP="00D25D8D">
            <w:pPr>
              <w:keepLines/>
              <w:tabs>
                <w:tab w:val="left" w:pos="284"/>
              </w:tabs>
              <w:spacing w:before="40" w:after="20"/>
              <w:rPr>
                <w:rFonts w:ascii="Arial" w:eastAsia="MS Mincho" w:hAnsi="Arial" w:cs="Arial"/>
                <w:b/>
                <w:bCs/>
                <w:sz w:val="18"/>
                <w:szCs w:val="18"/>
                <w:lang w:val="en-US" w:eastAsia="zh-CN"/>
              </w:rPr>
            </w:pPr>
            <w:r w:rsidRPr="00B422A4">
              <w:rPr>
                <w:rFonts w:ascii="Arial" w:eastAsia="MS Mincho" w:hAnsi="Arial" w:cs="Arial"/>
                <w:b/>
                <w:bCs/>
                <w:sz w:val="18"/>
                <w:szCs w:val="18"/>
                <w:lang w:val="en-US" w:eastAsia="zh-CN"/>
              </w:rPr>
              <w:t>Metabolism and nutrition disorders</w:t>
            </w:r>
          </w:p>
        </w:tc>
      </w:tr>
      <w:tr w:rsidR="00B422A4" w:rsidRPr="00B422A4" w14:paraId="3477F70D" w14:textId="77777777" w:rsidTr="00D25D8D">
        <w:tc>
          <w:tcPr>
            <w:tcW w:w="2479" w:type="dxa"/>
            <w:shd w:val="clear" w:color="auto" w:fill="auto"/>
            <w:vAlign w:val="center"/>
          </w:tcPr>
          <w:p w14:paraId="2EEE6EFD"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Decreased appetite</w:t>
            </w:r>
          </w:p>
        </w:tc>
        <w:tc>
          <w:tcPr>
            <w:tcW w:w="1350" w:type="dxa"/>
            <w:shd w:val="clear" w:color="auto" w:fill="auto"/>
            <w:vAlign w:val="center"/>
          </w:tcPr>
          <w:p w14:paraId="0C24B2EF"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62</w:t>
            </w:r>
            <w:r w:rsidRPr="00B422A4">
              <w:rPr>
                <w:rFonts w:ascii="Arial" w:eastAsia="MS Mincho" w:hAnsi="Arial" w:cs="Arial"/>
                <w:sz w:val="18"/>
                <w:szCs w:val="18"/>
                <w:lang w:val="en-US" w:eastAsia="zh-CN"/>
              </w:rPr>
              <w:tab/>
              <w:t>(18.6)</w:t>
            </w:r>
          </w:p>
        </w:tc>
        <w:tc>
          <w:tcPr>
            <w:tcW w:w="1350" w:type="dxa"/>
          </w:tcPr>
          <w:p w14:paraId="76F13830"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50 (15.2)</w:t>
            </w:r>
          </w:p>
        </w:tc>
        <w:tc>
          <w:tcPr>
            <w:tcW w:w="1260" w:type="dxa"/>
            <w:shd w:val="clear" w:color="auto" w:fill="auto"/>
            <w:vAlign w:val="center"/>
          </w:tcPr>
          <w:p w14:paraId="1F058093"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5 (1.5)</w:t>
            </w:r>
          </w:p>
        </w:tc>
        <w:tc>
          <w:tcPr>
            <w:tcW w:w="1170" w:type="dxa"/>
          </w:tcPr>
          <w:p w14:paraId="31225A0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 (0.3)</w:t>
            </w:r>
          </w:p>
        </w:tc>
        <w:tc>
          <w:tcPr>
            <w:tcW w:w="1391" w:type="dxa"/>
            <w:shd w:val="clear" w:color="auto" w:fill="auto"/>
          </w:tcPr>
          <w:p w14:paraId="0DE5659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1402C9AF" w14:textId="77777777" w:rsidTr="00D25D8D">
        <w:tc>
          <w:tcPr>
            <w:tcW w:w="2479" w:type="dxa"/>
            <w:shd w:val="clear" w:color="auto" w:fill="auto"/>
            <w:vAlign w:val="center"/>
          </w:tcPr>
          <w:p w14:paraId="794D7E58" w14:textId="5282765F"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Hypocalcaemia</w:t>
            </w:r>
          </w:p>
        </w:tc>
        <w:tc>
          <w:tcPr>
            <w:tcW w:w="1350" w:type="dxa"/>
            <w:shd w:val="clear" w:color="auto" w:fill="auto"/>
            <w:vAlign w:val="center"/>
          </w:tcPr>
          <w:p w14:paraId="2CF4E0E5"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18</w:t>
            </w:r>
            <w:r w:rsidRPr="00B422A4">
              <w:rPr>
                <w:rFonts w:ascii="Arial" w:eastAsia="MS Mincho" w:hAnsi="Arial" w:cs="Arial"/>
                <w:sz w:val="18"/>
                <w:szCs w:val="18"/>
                <w:lang w:val="en-US" w:eastAsia="zh-CN"/>
              </w:rPr>
              <w:tab/>
              <w:t>(5.4)</w:t>
            </w:r>
          </w:p>
        </w:tc>
        <w:tc>
          <w:tcPr>
            <w:tcW w:w="1350" w:type="dxa"/>
          </w:tcPr>
          <w:p w14:paraId="49646C76"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6 (1.8)</w:t>
            </w:r>
          </w:p>
        </w:tc>
        <w:tc>
          <w:tcPr>
            <w:tcW w:w="1260" w:type="dxa"/>
            <w:shd w:val="clear" w:color="auto" w:fill="auto"/>
            <w:vAlign w:val="center"/>
          </w:tcPr>
          <w:p w14:paraId="2CA1B858"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5 (1.5)</w:t>
            </w:r>
          </w:p>
        </w:tc>
        <w:tc>
          <w:tcPr>
            <w:tcW w:w="1170" w:type="dxa"/>
          </w:tcPr>
          <w:p w14:paraId="5329DAC3"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shd w:val="clear" w:color="auto" w:fill="auto"/>
          </w:tcPr>
          <w:p w14:paraId="07BA6008"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23146A10" w14:textId="77777777" w:rsidTr="00D25D8D">
        <w:tc>
          <w:tcPr>
            <w:tcW w:w="2479" w:type="dxa"/>
            <w:shd w:val="clear" w:color="auto" w:fill="auto"/>
            <w:vAlign w:val="center"/>
          </w:tcPr>
          <w:p w14:paraId="49FFE995"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proofErr w:type="spellStart"/>
            <w:r w:rsidRPr="00B422A4">
              <w:rPr>
                <w:rFonts w:ascii="Arial" w:eastAsia="MS Mincho" w:hAnsi="Arial" w:cs="Arial"/>
                <w:sz w:val="18"/>
                <w:szCs w:val="18"/>
                <w:lang w:val="en-US" w:eastAsia="zh-CN"/>
              </w:rPr>
              <w:t>Hypokalaemia</w:t>
            </w:r>
            <w:proofErr w:type="spellEnd"/>
          </w:p>
        </w:tc>
        <w:tc>
          <w:tcPr>
            <w:tcW w:w="1350" w:type="dxa"/>
            <w:shd w:val="clear" w:color="auto" w:fill="auto"/>
            <w:vAlign w:val="center"/>
          </w:tcPr>
          <w:p w14:paraId="79B0DD01" w14:textId="77777777" w:rsidR="00B422A4" w:rsidRPr="00B422A4" w:rsidDel="005721D6"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15</w:t>
            </w:r>
            <w:r w:rsidRPr="00B422A4">
              <w:rPr>
                <w:rFonts w:ascii="Arial" w:eastAsia="MS Mincho" w:hAnsi="Arial" w:cs="Arial"/>
                <w:sz w:val="18"/>
                <w:szCs w:val="18"/>
                <w:lang w:val="en-US" w:eastAsia="zh-CN"/>
              </w:rPr>
              <w:tab/>
              <w:t>(4.5)</w:t>
            </w:r>
          </w:p>
        </w:tc>
        <w:tc>
          <w:tcPr>
            <w:tcW w:w="1350" w:type="dxa"/>
          </w:tcPr>
          <w:p w14:paraId="111B7470"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10 (3.0)</w:t>
            </w:r>
          </w:p>
        </w:tc>
        <w:tc>
          <w:tcPr>
            <w:tcW w:w="1260" w:type="dxa"/>
            <w:shd w:val="clear" w:color="auto" w:fill="auto"/>
            <w:vAlign w:val="center"/>
          </w:tcPr>
          <w:p w14:paraId="654EB6F1"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4 (1.2)</w:t>
            </w:r>
          </w:p>
        </w:tc>
        <w:tc>
          <w:tcPr>
            <w:tcW w:w="1170" w:type="dxa"/>
          </w:tcPr>
          <w:p w14:paraId="17CD159E"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 (0.9)</w:t>
            </w:r>
          </w:p>
        </w:tc>
        <w:tc>
          <w:tcPr>
            <w:tcW w:w="1391" w:type="dxa"/>
            <w:shd w:val="clear" w:color="auto" w:fill="auto"/>
          </w:tcPr>
          <w:p w14:paraId="31C30E9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37D48BEE" w14:textId="77777777" w:rsidTr="00A62591">
        <w:tc>
          <w:tcPr>
            <w:tcW w:w="2479" w:type="dxa"/>
            <w:tcBorders>
              <w:bottom w:val="single" w:sz="4" w:space="0" w:color="auto"/>
            </w:tcBorders>
            <w:shd w:val="clear" w:color="auto" w:fill="auto"/>
            <w:vAlign w:val="center"/>
          </w:tcPr>
          <w:p w14:paraId="6135B729" w14:textId="7203E909"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proofErr w:type="spellStart"/>
            <w:r w:rsidRPr="00B422A4">
              <w:rPr>
                <w:rFonts w:ascii="Arial" w:eastAsia="MS Mincho" w:hAnsi="Arial" w:cs="Arial"/>
                <w:sz w:val="18"/>
                <w:szCs w:val="18"/>
                <w:lang w:val="en-US" w:eastAsia="zh-CN"/>
              </w:rPr>
              <w:t>Hypophosphataemia</w:t>
            </w:r>
            <w:proofErr w:type="spellEnd"/>
          </w:p>
        </w:tc>
        <w:tc>
          <w:tcPr>
            <w:tcW w:w="1350" w:type="dxa"/>
            <w:tcBorders>
              <w:bottom w:val="single" w:sz="4" w:space="0" w:color="auto"/>
            </w:tcBorders>
            <w:shd w:val="clear" w:color="auto" w:fill="auto"/>
            <w:vAlign w:val="center"/>
          </w:tcPr>
          <w:p w14:paraId="64C0877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14   (4.2)</w:t>
            </w:r>
          </w:p>
        </w:tc>
        <w:tc>
          <w:tcPr>
            <w:tcW w:w="1350" w:type="dxa"/>
            <w:tcBorders>
              <w:bottom w:val="single" w:sz="4" w:space="0" w:color="auto"/>
            </w:tcBorders>
          </w:tcPr>
          <w:p w14:paraId="4918FB4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 (0.9)</w:t>
            </w:r>
          </w:p>
        </w:tc>
        <w:tc>
          <w:tcPr>
            <w:tcW w:w="1260" w:type="dxa"/>
            <w:tcBorders>
              <w:bottom w:val="single" w:sz="4" w:space="0" w:color="auto"/>
            </w:tcBorders>
            <w:shd w:val="clear" w:color="auto" w:fill="auto"/>
            <w:vAlign w:val="center"/>
          </w:tcPr>
          <w:p w14:paraId="5E6D9F79"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12 (3.6)</w:t>
            </w:r>
          </w:p>
        </w:tc>
        <w:tc>
          <w:tcPr>
            <w:tcW w:w="1170" w:type="dxa"/>
            <w:tcBorders>
              <w:bottom w:val="single" w:sz="4" w:space="0" w:color="auto"/>
            </w:tcBorders>
          </w:tcPr>
          <w:p w14:paraId="2E8BD161"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2 (0.6)</w:t>
            </w:r>
          </w:p>
        </w:tc>
        <w:tc>
          <w:tcPr>
            <w:tcW w:w="1391" w:type="dxa"/>
            <w:tcBorders>
              <w:bottom w:val="single" w:sz="4" w:space="0" w:color="auto"/>
            </w:tcBorders>
            <w:shd w:val="clear" w:color="auto" w:fill="auto"/>
          </w:tcPr>
          <w:p w14:paraId="44EC49B5"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257FCAC2" w14:textId="77777777" w:rsidTr="00A62591">
        <w:tc>
          <w:tcPr>
            <w:tcW w:w="9000" w:type="dxa"/>
            <w:gridSpan w:val="6"/>
            <w:tcBorders>
              <w:top w:val="single" w:sz="4" w:space="0" w:color="auto"/>
            </w:tcBorders>
          </w:tcPr>
          <w:p w14:paraId="700907DE" w14:textId="77777777" w:rsidR="00B422A4" w:rsidRPr="00B422A4" w:rsidRDefault="00B422A4" w:rsidP="00D25D8D">
            <w:pPr>
              <w:keepLines/>
              <w:tabs>
                <w:tab w:val="left" w:pos="284"/>
              </w:tabs>
              <w:spacing w:before="40" w:after="20"/>
              <w:rPr>
                <w:rFonts w:ascii="Arial" w:eastAsia="MS Mincho" w:hAnsi="Arial" w:cs="Arial"/>
                <w:b/>
                <w:bCs/>
                <w:sz w:val="18"/>
                <w:szCs w:val="18"/>
                <w:lang w:val="en-US" w:eastAsia="zh-CN"/>
              </w:rPr>
            </w:pPr>
            <w:r w:rsidRPr="00B422A4">
              <w:rPr>
                <w:rFonts w:ascii="Arial" w:eastAsia="MS Mincho" w:hAnsi="Arial" w:cs="Arial"/>
                <w:b/>
                <w:bCs/>
                <w:sz w:val="18"/>
                <w:szCs w:val="18"/>
                <w:lang w:val="en-US" w:eastAsia="zh-CN"/>
              </w:rPr>
              <w:t>Nervous system disorders</w:t>
            </w:r>
          </w:p>
        </w:tc>
      </w:tr>
      <w:tr w:rsidR="00B422A4" w:rsidRPr="00B422A4" w14:paraId="43EDC9F8" w14:textId="77777777" w:rsidTr="00D25D8D">
        <w:tc>
          <w:tcPr>
            <w:tcW w:w="2479" w:type="dxa"/>
            <w:shd w:val="clear" w:color="auto" w:fill="auto"/>
            <w:vAlign w:val="center"/>
          </w:tcPr>
          <w:p w14:paraId="329238BD"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Headache</w:t>
            </w:r>
          </w:p>
        </w:tc>
        <w:tc>
          <w:tcPr>
            <w:tcW w:w="1350" w:type="dxa"/>
            <w:shd w:val="clear" w:color="auto" w:fill="auto"/>
            <w:vAlign w:val="center"/>
          </w:tcPr>
          <w:p w14:paraId="2E977058"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74 (22.2)</w:t>
            </w:r>
          </w:p>
        </w:tc>
        <w:tc>
          <w:tcPr>
            <w:tcW w:w="1350" w:type="dxa"/>
          </w:tcPr>
          <w:p w14:paraId="02BDB6F7"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63 (19.1)</w:t>
            </w:r>
          </w:p>
        </w:tc>
        <w:tc>
          <w:tcPr>
            <w:tcW w:w="1260" w:type="dxa"/>
            <w:shd w:val="clear" w:color="auto" w:fill="auto"/>
            <w:vAlign w:val="center"/>
          </w:tcPr>
          <w:p w14:paraId="4320D0C9"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 (0.3)</w:t>
            </w:r>
          </w:p>
        </w:tc>
        <w:tc>
          <w:tcPr>
            <w:tcW w:w="1170" w:type="dxa"/>
          </w:tcPr>
          <w:p w14:paraId="5CF68B8F"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 (0.3)</w:t>
            </w:r>
          </w:p>
        </w:tc>
        <w:tc>
          <w:tcPr>
            <w:tcW w:w="1391" w:type="dxa"/>
            <w:shd w:val="clear" w:color="auto" w:fill="auto"/>
            <w:vAlign w:val="center"/>
          </w:tcPr>
          <w:p w14:paraId="7954C3F0"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38861D26" w14:textId="77777777" w:rsidTr="00A62591">
        <w:tc>
          <w:tcPr>
            <w:tcW w:w="2479" w:type="dxa"/>
            <w:tcBorders>
              <w:bottom w:val="single" w:sz="4" w:space="0" w:color="auto"/>
            </w:tcBorders>
            <w:shd w:val="clear" w:color="auto" w:fill="auto"/>
            <w:vAlign w:val="center"/>
          </w:tcPr>
          <w:p w14:paraId="146A0BA2"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Insomnia</w:t>
            </w:r>
          </w:p>
        </w:tc>
        <w:tc>
          <w:tcPr>
            <w:tcW w:w="1350" w:type="dxa"/>
            <w:tcBorders>
              <w:bottom w:val="single" w:sz="4" w:space="0" w:color="auto"/>
            </w:tcBorders>
            <w:shd w:val="clear" w:color="auto" w:fill="auto"/>
            <w:vAlign w:val="center"/>
          </w:tcPr>
          <w:p w14:paraId="434D05D7"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39 (11.7)</w:t>
            </w:r>
          </w:p>
        </w:tc>
        <w:tc>
          <w:tcPr>
            <w:tcW w:w="1350" w:type="dxa"/>
            <w:tcBorders>
              <w:bottom w:val="single" w:sz="4" w:space="0" w:color="auto"/>
            </w:tcBorders>
          </w:tcPr>
          <w:p w14:paraId="7CE5E796"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31 (9.4)</w:t>
            </w:r>
          </w:p>
        </w:tc>
        <w:tc>
          <w:tcPr>
            <w:tcW w:w="1260" w:type="dxa"/>
            <w:tcBorders>
              <w:bottom w:val="single" w:sz="4" w:space="0" w:color="auto"/>
            </w:tcBorders>
            <w:shd w:val="clear" w:color="auto" w:fill="auto"/>
            <w:vAlign w:val="center"/>
          </w:tcPr>
          <w:p w14:paraId="1AF2679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 (0.3)</w:t>
            </w:r>
          </w:p>
        </w:tc>
        <w:tc>
          <w:tcPr>
            <w:tcW w:w="1170" w:type="dxa"/>
            <w:tcBorders>
              <w:bottom w:val="single" w:sz="4" w:space="0" w:color="auto"/>
            </w:tcBorders>
          </w:tcPr>
          <w:p w14:paraId="607C0C1A"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tcBorders>
              <w:bottom w:val="single" w:sz="4" w:space="0" w:color="auto"/>
            </w:tcBorders>
            <w:shd w:val="clear" w:color="auto" w:fill="auto"/>
            <w:vAlign w:val="center"/>
          </w:tcPr>
          <w:p w14:paraId="11E926E7"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356B5B75" w14:textId="77777777" w:rsidTr="00A62591">
        <w:tc>
          <w:tcPr>
            <w:tcW w:w="9000" w:type="dxa"/>
            <w:gridSpan w:val="6"/>
            <w:tcBorders>
              <w:top w:val="single" w:sz="4" w:space="0" w:color="auto"/>
            </w:tcBorders>
          </w:tcPr>
          <w:p w14:paraId="0C18FB3F" w14:textId="77777777" w:rsidR="00B422A4" w:rsidRPr="00B422A4" w:rsidRDefault="00B422A4" w:rsidP="00D25D8D">
            <w:pPr>
              <w:keepLines/>
              <w:tabs>
                <w:tab w:val="left" w:pos="284"/>
              </w:tabs>
              <w:spacing w:before="40" w:after="20"/>
              <w:rPr>
                <w:rFonts w:ascii="Arial" w:eastAsia="MS Mincho" w:hAnsi="Arial" w:cs="Arial"/>
                <w:b/>
                <w:bCs/>
                <w:sz w:val="18"/>
                <w:szCs w:val="18"/>
                <w:lang w:val="en-US" w:eastAsia="zh-CN"/>
              </w:rPr>
            </w:pPr>
            <w:r w:rsidRPr="00B422A4">
              <w:rPr>
                <w:rFonts w:ascii="Arial" w:eastAsia="MS Mincho" w:hAnsi="Arial" w:cs="Arial"/>
                <w:b/>
                <w:bCs/>
                <w:sz w:val="18"/>
                <w:szCs w:val="18"/>
                <w:lang w:val="en-US" w:eastAsia="zh-CN"/>
              </w:rPr>
              <w:t>Cardiac disorders</w:t>
            </w:r>
          </w:p>
        </w:tc>
      </w:tr>
      <w:tr w:rsidR="00B422A4" w:rsidRPr="00B422A4" w14:paraId="1F35821A" w14:textId="77777777" w:rsidTr="00A62591">
        <w:tc>
          <w:tcPr>
            <w:tcW w:w="2479" w:type="dxa"/>
            <w:tcBorders>
              <w:bottom w:val="single" w:sz="4" w:space="0" w:color="auto"/>
            </w:tcBorders>
            <w:shd w:val="clear" w:color="auto" w:fill="auto"/>
            <w:vAlign w:val="center"/>
          </w:tcPr>
          <w:p w14:paraId="72A05A7D" w14:textId="77777777" w:rsidR="00B422A4" w:rsidRPr="006E343E" w:rsidRDefault="00B422A4" w:rsidP="007F0198">
            <w:pPr>
              <w:keepLines/>
              <w:tabs>
                <w:tab w:val="left" w:pos="284"/>
              </w:tabs>
              <w:spacing w:before="40" w:after="20"/>
              <w:jc w:val="right"/>
              <w:rPr>
                <w:rFonts w:ascii="Arial" w:eastAsia="MS Mincho" w:hAnsi="Arial" w:cs="Arial"/>
                <w:sz w:val="18"/>
                <w:szCs w:val="18"/>
                <w:lang w:val="en-US" w:eastAsia="zh-CN"/>
              </w:rPr>
            </w:pPr>
            <w:r w:rsidRPr="006E343E">
              <w:rPr>
                <w:rFonts w:ascii="Arial" w:eastAsia="MS Mincho" w:hAnsi="Arial" w:cs="Arial"/>
                <w:sz w:val="18"/>
                <w:szCs w:val="18"/>
                <w:lang w:val="en-US" w:eastAsia="zh-CN"/>
              </w:rPr>
              <w:t>Syncope</w:t>
            </w:r>
          </w:p>
        </w:tc>
        <w:tc>
          <w:tcPr>
            <w:tcW w:w="1350" w:type="dxa"/>
            <w:tcBorders>
              <w:bottom w:val="single" w:sz="4" w:space="0" w:color="auto"/>
            </w:tcBorders>
            <w:shd w:val="clear" w:color="auto" w:fill="auto"/>
            <w:vAlign w:val="center"/>
          </w:tcPr>
          <w:p w14:paraId="0CBC5617" w14:textId="77777777" w:rsidR="00B422A4" w:rsidRPr="006E343E" w:rsidRDefault="00B422A4" w:rsidP="00465907">
            <w:pPr>
              <w:keepLines/>
              <w:tabs>
                <w:tab w:val="left" w:pos="284"/>
              </w:tabs>
              <w:spacing w:before="40" w:after="20"/>
              <w:jc w:val="center"/>
              <w:rPr>
                <w:rFonts w:ascii="Arial" w:eastAsia="MS Mincho" w:hAnsi="Arial" w:cs="Arial"/>
                <w:sz w:val="18"/>
                <w:szCs w:val="18"/>
                <w:lang w:val="en-US" w:eastAsia="zh-CN"/>
              </w:rPr>
            </w:pPr>
            <w:r w:rsidRPr="006E343E">
              <w:rPr>
                <w:rFonts w:ascii="Arial" w:eastAsia="MS Mincho" w:hAnsi="Arial" w:cs="Arial"/>
                <w:sz w:val="18"/>
                <w:szCs w:val="18"/>
                <w:lang w:val="en-US" w:eastAsia="zh-CN"/>
              </w:rPr>
              <w:t>9 (2.7)</w:t>
            </w:r>
          </w:p>
        </w:tc>
        <w:tc>
          <w:tcPr>
            <w:tcW w:w="1350" w:type="dxa"/>
            <w:tcBorders>
              <w:bottom w:val="single" w:sz="4" w:space="0" w:color="auto"/>
            </w:tcBorders>
          </w:tcPr>
          <w:p w14:paraId="303F5A64" w14:textId="77777777" w:rsidR="00B422A4" w:rsidRPr="006E343E" w:rsidRDefault="00B422A4" w:rsidP="00465907">
            <w:pPr>
              <w:keepLines/>
              <w:tabs>
                <w:tab w:val="left" w:pos="284"/>
              </w:tabs>
              <w:spacing w:before="40" w:after="20"/>
              <w:jc w:val="center"/>
              <w:rPr>
                <w:rFonts w:ascii="Arial" w:eastAsia="MS Mincho" w:hAnsi="Arial" w:cs="Arial"/>
                <w:sz w:val="18"/>
                <w:szCs w:val="18"/>
                <w:lang w:val="en-US" w:eastAsia="zh-CN"/>
              </w:rPr>
            </w:pPr>
            <w:r w:rsidRPr="006E343E">
              <w:rPr>
                <w:rFonts w:ascii="Arial" w:eastAsia="MS Mincho" w:hAnsi="Arial" w:cs="Arial"/>
                <w:sz w:val="18"/>
                <w:szCs w:val="18"/>
                <w:lang w:val="en-US" w:eastAsia="zh-CN"/>
              </w:rPr>
              <w:t>3 (0.9)</w:t>
            </w:r>
          </w:p>
        </w:tc>
        <w:tc>
          <w:tcPr>
            <w:tcW w:w="1260" w:type="dxa"/>
            <w:tcBorders>
              <w:bottom w:val="single" w:sz="4" w:space="0" w:color="auto"/>
            </w:tcBorders>
            <w:shd w:val="clear" w:color="auto" w:fill="auto"/>
            <w:vAlign w:val="center"/>
          </w:tcPr>
          <w:p w14:paraId="097B8459" w14:textId="77777777" w:rsidR="00B422A4" w:rsidRPr="006E343E" w:rsidRDefault="00B422A4" w:rsidP="00465907">
            <w:pPr>
              <w:keepLines/>
              <w:tabs>
                <w:tab w:val="left" w:pos="284"/>
              </w:tabs>
              <w:spacing w:before="40" w:after="20"/>
              <w:jc w:val="center"/>
              <w:rPr>
                <w:rFonts w:ascii="Arial" w:eastAsia="MS Mincho" w:hAnsi="Arial" w:cs="Arial"/>
                <w:sz w:val="18"/>
                <w:szCs w:val="18"/>
                <w:lang w:val="en-US" w:eastAsia="zh-CN"/>
              </w:rPr>
            </w:pPr>
            <w:r w:rsidRPr="006E343E">
              <w:rPr>
                <w:rFonts w:ascii="Arial" w:eastAsia="MS Mincho" w:hAnsi="Arial" w:cs="Arial"/>
                <w:sz w:val="18"/>
                <w:szCs w:val="18"/>
                <w:lang w:val="en-US" w:eastAsia="zh-CN"/>
              </w:rPr>
              <w:t>6 (1.8)</w:t>
            </w:r>
          </w:p>
        </w:tc>
        <w:tc>
          <w:tcPr>
            <w:tcW w:w="1170" w:type="dxa"/>
            <w:tcBorders>
              <w:bottom w:val="single" w:sz="4" w:space="0" w:color="auto"/>
            </w:tcBorders>
          </w:tcPr>
          <w:p w14:paraId="629111E3" w14:textId="77777777" w:rsidR="00B422A4" w:rsidRPr="006E343E" w:rsidRDefault="00B422A4" w:rsidP="00465907">
            <w:pPr>
              <w:keepLines/>
              <w:tabs>
                <w:tab w:val="left" w:pos="284"/>
              </w:tabs>
              <w:spacing w:before="40" w:after="20"/>
              <w:jc w:val="center"/>
              <w:rPr>
                <w:rFonts w:ascii="Arial" w:eastAsia="MS Mincho" w:hAnsi="Arial" w:cs="Arial"/>
                <w:sz w:val="18"/>
                <w:szCs w:val="18"/>
                <w:lang w:val="en-US" w:eastAsia="zh-CN"/>
              </w:rPr>
            </w:pPr>
            <w:r w:rsidRPr="006E343E">
              <w:rPr>
                <w:rFonts w:ascii="Arial" w:eastAsia="MS Mincho" w:hAnsi="Arial" w:cs="Arial"/>
                <w:sz w:val="18"/>
                <w:szCs w:val="18"/>
                <w:lang w:val="en-US" w:eastAsia="zh-CN"/>
              </w:rPr>
              <w:t>2 (0.6)</w:t>
            </w:r>
          </w:p>
        </w:tc>
        <w:tc>
          <w:tcPr>
            <w:tcW w:w="1391" w:type="dxa"/>
            <w:tcBorders>
              <w:bottom w:val="single" w:sz="4" w:space="0" w:color="auto"/>
            </w:tcBorders>
            <w:shd w:val="clear" w:color="auto" w:fill="auto"/>
            <w:vAlign w:val="center"/>
          </w:tcPr>
          <w:p w14:paraId="72681D35" w14:textId="77777777" w:rsidR="00B422A4" w:rsidRPr="006E343E" w:rsidRDefault="00B422A4" w:rsidP="00465907">
            <w:pPr>
              <w:keepLines/>
              <w:tabs>
                <w:tab w:val="left" w:pos="284"/>
              </w:tabs>
              <w:spacing w:before="40" w:after="20"/>
              <w:jc w:val="center"/>
              <w:rPr>
                <w:rFonts w:ascii="Arial" w:eastAsia="MS Mincho" w:hAnsi="Arial" w:cs="Arial"/>
                <w:sz w:val="18"/>
                <w:szCs w:val="18"/>
                <w:lang w:val="en-US" w:eastAsia="zh-CN"/>
              </w:rPr>
            </w:pPr>
            <w:r w:rsidRPr="006E343E">
              <w:rPr>
                <w:rFonts w:ascii="Arial" w:eastAsia="MS Mincho" w:hAnsi="Arial" w:cs="Arial"/>
                <w:sz w:val="18"/>
                <w:szCs w:val="18"/>
                <w:lang w:val="en-US" w:eastAsia="zh-CN"/>
              </w:rPr>
              <w:t>Common</w:t>
            </w:r>
          </w:p>
        </w:tc>
      </w:tr>
      <w:tr w:rsidR="00B422A4" w:rsidRPr="00B422A4" w14:paraId="68962474" w14:textId="77777777" w:rsidTr="00A62591">
        <w:tc>
          <w:tcPr>
            <w:tcW w:w="9000" w:type="dxa"/>
            <w:gridSpan w:val="6"/>
            <w:tcBorders>
              <w:top w:val="single" w:sz="4" w:space="0" w:color="auto"/>
            </w:tcBorders>
          </w:tcPr>
          <w:p w14:paraId="62CCDF0F" w14:textId="58C6D1BC" w:rsidR="00B422A4" w:rsidRPr="00B422A4" w:rsidRDefault="00B422A4" w:rsidP="00D25D8D">
            <w:pPr>
              <w:keepLines/>
              <w:tabs>
                <w:tab w:val="left" w:pos="284"/>
              </w:tabs>
              <w:spacing w:before="40" w:after="20"/>
              <w:rPr>
                <w:rFonts w:ascii="Arial" w:eastAsia="MS Mincho" w:hAnsi="Arial" w:cs="Arial"/>
                <w:b/>
                <w:bCs/>
                <w:sz w:val="18"/>
                <w:szCs w:val="18"/>
                <w:lang w:val="en-US" w:eastAsia="zh-CN"/>
              </w:rPr>
            </w:pPr>
            <w:r w:rsidRPr="00B422A4">
              <w:rPr>
                <w:rFonts w:ascii="Arial" w:eastAsia="MS Mincho" w:hAnsi="Arial" w:cs="Arial"/>
                <w:b/>
                <w:bCs/>
                <w:sz w:val="18"/>
                <w:szCs w:val="18"/>
                <w:lang w:val="en-US" w:eastAsia="zh-CN"/>
              </w:rPr>
              <w:t>Respiratory, thoracic and mediastinal disorders</w:t>
            </w:r>
          </w:p>
        </w:tc>
      </w:tr>
      <w:tr w:rsidR="00B422A4" w:rsidRPr="00B422A4" w14:paraId="35A7F618" w14:textId="77777777" w:rsidTr="00D25D8D">
        <w:tc>
          <w:tcPr>
            <w:tcW w:w="2479" w:type="dxa"/>
            <w:shd w:val="clear" w:color="auto" w:fill="auto"/>
            <w:vAlign w:val="center"/>
          </w:tcPr>
          <w:p w14:paraId="63016675"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proofErr w:type="spellStart"/>
            <w:r w:rsidRPr="00B422A4">
              <w:rPr>
                <w:rFonts w:ascii="Arial" w:eastAsia="MS Mincho" w:hAnsi="Arial" w:cs="Arial"/>
                <w:sz w:val="18"/>
                <w:szCs w:val="18"/>
                <w:lang w:val="en-US" w:eastAsia="zh-CN"/>
              </w:rPr>
              <w:t>Dyspnoea</w:t>
            </w:r>
            <w:proofErr w:type="spellEnd"/>
          </w:p>
        </w:tc>
        <w:tc>
          <w:tcPr>
            <w:tcW w:w="1350" w:type="dxa"/>
            <w:shd w:val="clear" w:color="auto" w:fill="auto"/>
            <w:vAlign w:val="center"/>
          </w:tcPr>
          <w:p w14:paraId="47C47B0F"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39 (11.7)</w:t>
            </w:r>
          </w:p>
        </w:tc>
        <w:tc>
          <w:tcPr>
            <w:tcW w:w="1350" w:type="dxa"/>
          </w:tcPr>
          <w:p w14:paraId="57B1BF25"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29 (8.8)</w:t>
            </w:r>
          </w:p>
        </w:tc>
        <w:tc>
          <w:tcPr>
            <w:tcW w:w="1260" w:type="dxa"/>
            <w:shd w:val="clear" w:color="auto" w:fill="auto"/>
            <w:vAlign w:val="center"/>
          </w:tcPr>
          <w:p w14:paraId="58FEE055"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4 (1.2)</w:t>
            </w:r>
          </w:p>
        </w:tc>
        <w:tc>
          <w:tcPr>
            <w:tcW w:w="1170" w:type="dxa"/>
          </w:tcPr>
          <w:p w14:paraId="44F0FA51"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2 (0.6)</w:t>
            </w:r>
          </w:p>
        </w:tc>
        <w:tc>
          <w:tcPr>
            <w:tcW w:w="1391" w:type="dxa"/>
            <w:shd w:val="clear" w:color="auto" w:fill="auto"/>
          </w:tcPr>
          <w:p w14:paraId="6BBFBC4E"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3A77237F" w14:textId="77777777" w:rsidTr="00A62591">
        <w:tc>
          <w:tcPr>
            <w:tcW w:w="2479" w:type="dxa"/>
            <w:tcBorders>
              <w:bottom w:val="single" w:sz="4" w:space="0" w:color="auto"/>
            </w:tcBorders>
            <w:shd w:val="clear" w:color="auto" w:fill="auto"/>
            <w:vAlign w:val="center"/>
          </w:tcPr>
          <w:p w14:paraId="0798D701"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Epistaxis</w:t>
            </w:r>
          </w:p>
        </w:tc>
        <w:tc>
          <w:tcPr>
            <w:tcW w:w="1350" w:type="dxa"/>
            <w:tcBorders>
              <w:bottom w:val="single" w:sz="4" w:space="0" w:color="auto"/>
            </w:tcBorders>
            <w:shd w:val="clear" w:color="auto" w:fill="auto"/>
            <w:vAlign w:val="center"/>
          </w:tcPr>
          <w:p w14:paraId="0D7D0481"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15 (4.5)</w:t>
            </w:r>
          </w:p>
        </w:tc>
        <w:tc>
          <w:tcPr>
            <w:tcW w:w="1350" w:type="dxa"/>
            <w:tcBorders>
              <w:bottom w:val="single" w:sz="4" w:space="0" w:color="auto"/>
            </w:tcBorders>
          </w:tcPr>
          <w:p w14:paraId="102272C0"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6 (1.8)</w:t>
            </w:r>
          </w:p>
        </w:tc>
        <w:tc>
          <w:tcPr>
            <w:tcW w:w="1260" w:type="dxa"/>
            <w:tcBorders>
              <w:bottom w:val="single" w:sz="4" w:space="0" w:color="auto"/>
            </w:tcBorders>
            <w:shd w:val="clear" w:color="auto" w:fill="auto"/>
            <w:vAlign w:val="center"/>
          </w:tcPr>
          <w:p w14:paraId="1498F7D6"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170" w:type="dxa"/>
            <w:tcBorders>
              <w:bottom w:val="single" w:sz="4" w:space="0" w:color="auto"/>
            </w:tcBorders>
          </w:tcPr>
          <w:p w14:paraId="4B68762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tcBorders>
              <w:bottom w:val="single" w:sz="4" w:space="0" w:color="auto"/>
            </w:tcBorders>
            <w:shd w:val="clear" w:color="auto" w:fill="auto"/>
          </w:tcPr>
          <w:p w14:paraId="018A8759"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270AD470" w14:textId="77777777" w:rsidTr="00A62591">
        <w:tc>
          <w:tcPr>
            <w:tcW w:w="9000" w:type="dxa"/>
            <w:gridSpan w:val="6"/>
            <w:tcBorders>
              <w:top w:val="single" w:sz="4" w:space="0" w:color="auto"/>
            </w:tcBorders>
            <w:shd w:val="clear" w:color="auto" w:fill="auto"/>
            <w:vAlign w:val="center"/>
          </w:tcPr>
          <w:p w14:paraId="07998187" w14:textId="77777777" w:rsidR="00B422A4" w:rsidRPr="00B422A4" w:rsidRDefault="00B422A4" w:rsidP="00D25D8D">
            <w:pPr>
              <w:keepLines/>
              <w:tabs>
                <w:tab w:val="left" w:pos="284"/>
              </w:tabs>
              <w:spacing w:before="40" w:after="20"/>
              <w:rPr>
                <w:rFonts w:ascii="Arial" w:eastAsia="MS Mincho" w:hAnsi="Arial" w:cs="Arial"/>
                <w:sz w:val="18"/>
                <w:szCs w:val="18"/>
                <w:lang w:val="en-US" w:eastAsia="zh-CN"/>
              </w:rPr>
            </w:pPr>
            <w:r w:rsidRPr="00B422A4">
              <w:rPr>
                <w:rFonts w:ascii="Arial" w:eastAsia="MS Mincho" w:hAnsi="Arial" w:cs="Arial"/>
                <w:b/>
                <w:bCs/>
                <w:sz w:val="18"/>
                <w:szCs w:val="18"/>
                <w:lang w:val="en-US" w:eastAsia="zh-CN"/>
              </w:rPr>
              <w:t>Musculoskeletal and connective tissue disorders</w:t>
            </w:r>
          </w:p>
        </w:tc>
      </w:tr>
      <w:tr w:rsidR="00B422A4" w:rsidRPr="00B422A4" w14:paraId="566A4C2A" w14:textId="77777777" w:rsidTr="00A62591">
        <w:tc>
          <w:tcPr>
            <w:tcW w:w="2479" w:type="dxa"/>
            <w:tcBorders>
              <w:bottom w:val="single" w:sz="4" w:space="0" w:color="auto"/>
            </w:tcBorders>
            <w:shd w:val="clear" w:color="auto" w:fill="auto"/>
            <w:vAlign w:val="center"/>
          </w:tcPr>
          <w:p w14:paraId="65848F99"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Back pain</w:t>
            </w:r>
          </w:p>
        </w:tc>
        <w:tc>
          <w:tcPr>
            <w:tcW w:w="1350" w:type="dxa"/>
            <w:tcBorders>
              <w:bottom w:val="single" w:sz="4" w:space="0" w:color="auto"/>
            </w:tcBorders>
            <w:shd w:val="clear" w:color="auto" w:fill="auto"/>
            <w:vAlign w:val="center"/>
          </w:tcPr>
          <w:p w14:paraId="2985C24A"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66 (19.8)</w:t>
            </w:r>
          </w:p>
        </w:tc>
        <w:tc>
          <w:tcPr>
            <w:tcW w:w="1350" w:type="dxa"/>
            <w:tcBorders>
              <w:bottom w:val="single" w:sz="4" w:space="0" w:color="auto"/>
            </w:tcBorders>
          </w:tcPr>
          <w:p w14:paraId="0B7B6555"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58 (17.6)</w:t>
            </w:r>
          </w:p>
        </w:tc>
        <w:tc>
          <w:tcPr>
            <w:tcW w:w="1260" w:type="dxa"/>
            <w:tcBorders>
              <w:bottom w:val="single" w:sz="4" w:space="0" w:color="auto"/>
            </w:tcBorders>
            <w:shd w:val="clear" w:color="auto" w:fill="auto"/>
            <w:vAlign w:val="center"/>
          </w:tcPr>
          <w:p w14:paraId="17EB1631"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7 (2.1)</w:t>
            </w:r>
          </w:p>
        </w:tc>
        <w:tc>
          <w:tcPr>
            <w:tcW w:w="1170" w:type="dxa"/>
            <w:tcBorders>
              <w:bottom w:val="single" w:sz="4" w:space="0" w:color="auto"/>
            </w:tcBorders>
          </w:tcPr>
          <w:p w14:paraId="30BF2500"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 (0.3)</w:t>
            </w:r>
          </w:p>
        </w:tc>
        <w:tc>
          <w:tcPr>
            <w:tcW w:w="1391" w:type="dxa"/>
            <w:tcBorders>
              <w:bottom w:val="single" w:sz="4" w:space="0" w:color="auto"/>
            </w:tcBorders>
            <w:shd w:val="clear" w:color="auto" w:fill="auto"/>
          </w:tcPr>
          <w:p w14:paraId="2FFB4A9E"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51DDB931" w14:textId="77777777" w:rsidTr="00A62591">
        <w:tc>
          <w:tcPr>
            <w:tcW w:w="9000" w:type="dxa"/>
            <w:gridSpan w:val="6"/>
            <w:tcBorders>
              <w:top w:val="single" w:sz="4" w:space="0" w:color="auto"/>
            </w:tcBorders>
          </w:tcPr>
          <w:p w14:paraId="46F8CD03" w14:textId="77777777" w:rsidR="00B422A4" w:rsidRPr="00B422A4" w:rsidRDefault="00B422A4" w:rsidP="00D25D8D">
            <w:pPr>
              <w:keepLines/>
              <w:tabs>
                <w:tab w:val="left" w:pos="284"/>
              </w:tabs>
              <w:spacing w:before="40" w:after="20"/>
              <w:rPr>
                <w:rFonts w:ascii="Arial" w:eastAsia="MS Mincho" w:hAnsi="Arial" w:cs="Arial"/>
                <w:b/>
                <w:bCs/>
                <w:sz w:val="18"/>
                <w:szCs w:val="18"/>
                <w:lang w:val="en-US" w:eastAsia="zh-CN"/>
              </w:rPr>
            </w:pPr>
            <w:r w:rsidRPr="00B422A4">
              <w:rPr>
                <w:rFonts w:ascii="Arial" w:eastAsia="MS Mincho" w:hAnsi="Arial" w:cs="Arial"/>
                <w:b/>
                <w:bCs/>
                <w:sz w:val="18"/>
                <w:szCs w:val="18"/>
                <w:lang w:val="en-US" w:eastAsia="zh-CN"/>
              </w:rPr>
              <w:t>Gastrointestinal disorders</w:t>
            </w:r>
          </w:p>
        </w:tc>
      </w:tr>
      <w:tr w:rsidR="00B422A4" w:rsidRPr="00B422A4" w14:paraId="4465A768" w14:textId="77777777" w:rsidTr="00D25D8D">
        <w:tc>
          <w:tcPr>
            <w:tcW w:w="2479" w:type="dxa"/>
            <w:shd w:val="clear" w:color="auto" w:fill="auto"/>
            <w:vAlign w:val="center"/>
          </w:tcPr>
          <w:p w14:paraId="4216631E"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Nausea</w:t>
            </w:r>
          </w:p>
        </w:tc>
        <w:tc>
          <w:tcPr>
            <w:tcW w:w="1350" w:type="dxa"/>
            <w:shd w:val="clear" w:color="auto" w:fill="auto"/>
            <w:vAlign w:val="center"/>
          </w:tcPr>
          <w:p w14:paraId="6FE55953"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172 (51.5)</w:t>
            </w:r>
          </w:p>
        </w:tc>
        <w:tc>
          <w:tcPr>
            <w:tcW w:w="1350" w:type="dxa"/>
          </w:tcPr>
          <w:p w14:paraId="4CA0C6C7"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94 (28.5)</w:t>
            </w:r>
          </w:p>
        </w:tc>
        <w:tc>
          <w:tcPr>
            <w:tcW w:w="1260" w:type="dxa"/>
            <w:shd w:val="clear" w:color="auto" w:fill="auto"/>
            <w:vAlign w:val="center"/>
          </w:tcPr>
          <w:p w14:paraId="4EF6A36C"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8 (2.4)</w:t>
            </w:r>
          </w:p>
        </w:tc>
        <w:tc>
          <w:tcPr>
            <w:tcW w:w="1170" w:type="dxa"/>
          </w:tcPr>
          <w:p w14:paraId="66E84BFC"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2 (0.6)</w:t>
            </w:r>
          </w:p>
        </w:tc>
        <w:tc>
          <w:tcPr>
            <w:tcW w:w="1391" w:type="dxa"/>
            <w:shd w:val="clear" w:color="auto" w:fill="auto"/>
          </w:tcPr>
          <w:p w14:paraId="78B7F60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2325E58C" w14:textId="77777777" w:rsidTr="00D25D8D">
        <w:tc>
          <w:tcPr>
            <w:tcW w:w="2479" w:type="dxa"/>
            <w:shd w:val="clear" w:color="auto" w:fill="auto"/>
            <w:vAlign w:val="center"/>
          </w:tcPr>
          <w:p w14:paraId="0AD42437"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proofErr w:type="spellStart"/>
            <w:r w:rsidRPr="00B422A4">
              <w:rPr>
                <w:rFonts w:ascii="Arial" w:eastAsia="MS Mincho" w:hAnsi="Arial" w:cs="Arial"/>
                <w:sz w:val="18"/>
                <w:szCs w:val="18"/>
                <w:lang w:val="en-US" w:eastAsia="zh-CN"/>
              </w:rPr>
              <w:t>Diarrhoea</w:t>
            </w:r>
            <w:proofErr w:type="spellEnd"/>
          </w:p>
        </w:tc>
        <w:tc>
          <w:tcPr>
            <w:tcW w:w="1350" w:type="dxa"/>
            <w:shd w:val="clear" w:color="auto" w:fill="auto"/>
            <w:vAlign w:val="center"/>
          </w:tcPr>
          <w:p w14:paraId="077E06E2"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117 (35.0)</w:t>
            </w:r>
          </w:p>
        </w:tc>
        <w:tc>
          <w:tcPr>
            <w:tcW w:w="1350" w:type="dxa"/>
          </w:tcPr>
          <w:p w14:paraId="08DAC8B9"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73 (22.1)</w:t>
            </w:r>
          </w:p>
        </w:tc>
        <w:tc>
          <w:tcPr>
            <w:tcW w:w="1260" w:type="dxa"/>
            <w:shd w:val="clear" w:color="auto" w:fill="auto"/>
            <w:vAlign w:val="center"/>
          </w:tcPr>
          <w:p w14:paraId="4C5312A9"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4 (1.2)</w:t>
            </w:r>
          </w:p>
        </w:tc>
        <w:tc>
          <w:tcPr>
            <w:tcW w:w="1170" w:type="dxa"/>
          </w:tcPr>
          <w:p w14:paraId="29FFB2B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 (0.9)</w:t>
            </w:r>
          </w:p>
        </w:tc>
        <w:tc>
          <w:tcPr>
            <w:tcW w:w="1391" w:type="dxa"/>
            <w:shd w:val="clear" w:color="auto" w:fill="auto"/>
          </w:tcPr>
          <w:p w14:paraId="5178D23A"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4C7757D1" w14:textId="77777777" w:rsidTr="00D25D8D">
        <w:tc>
          <w:tcPr>
            <w:tcW w:w="2479" w:type="dxa"/>
            <w:shd w:val="clear" w:color="auto" w:fill="auto"/>
            <w:vAlign w:val="center"/>
          </w:tcPr>
          <w:p w14:paraId="7FE3E39A"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Vomiting</w:t>
            </w:r>
          </w:p>
        </w:tc>
        <w:tc>
          <w:tcPr>
            <w:tcW w:w="1350" w:type="dxa"/>
            <w:shd w:val="clear" w:color="auto" w:fill="auto"/>
            <w:vAlign w:val="center"/>
          </w:tcPr>
          <w:p w14:paraId="649F908A"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98 (29.3)</w:t>
            </w:r>
          </w:p>
        </w:tc>
        <w:tc>
          <w:tcPr>
            <w:tcW w:w="1350" w:type="dxa"/>
          </w:tcPr>
          <w:p w14:paraId="5878F93D"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51 (15.5)</w:t>
            </w:r>
          </w:p>
        </w:tc>
        <w:tc>
          <w:tcPr>
            <w:tcW w:w="1260" w:type="dxa"/>
            <w:shd w:val="clear" w:color="auto" w:fill="auto"/>
            <w:vAlign w:val="center"/>
          </w:tcPr>
          <w:p w14:paraId="33FE83B6"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12 (3.6)</w:t>
            </w:r>
          </w:p>
        </w:tc>
        <w:tc>
          <w:tcPr>
            <w:tcW w:w="1170" w:type="dxa"/>
          </w:tcPr>
          <w:p w14:paraId="460F9BD5"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 (0.9)</w:t>
            </w:r>
          </w:p>
        </w:tc>
        <w:tc>
          <w:tcPr>
            <w:tcW w:w="1391" w:type="dxa"/>
            <w:shd w:val="clear" w:color="auto" w:fill="auto"/>
          </w:tcPr>
          <w:p w14:paraId="5FDA157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132A681A" w14:textId="77777777" w:rsidTr="00D25D8D">
        <w:tc>
          <w:tcPr>
            <w:tcW w:w="2479" w:type="dxa"/>
            <w:shd w:val="clear" w:color="auto" w:fill="auto"/>
            <w:vAlign w:val="center"/>
          </w:tcPr>
          <w:p w14:paraId="1970CCFD"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Constipation</w:t>
            </w:r>
          </w:p>
        </w:tc>
        <w:tc>
          <w:tcPr>
            <w:tcW w:w="1350" w:type="dxa"/>
            <w:shd w:val="clear" w:color="auto" w:fill="auto"/>
            <w:vAlign w:val="center"/>
          </w:tcPr>
          <w:p w14:paraId="1774B425"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83 (24.9)</w:t>
            </w:r>
          </w:p>
        </w:tc>
        <w:tc>
          <w:tcPr>
            <w:tcW w:w="1350" w:type="dxa"/>
          </w:tcPr>
          <w:p w14:paraId="732FA5B0"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63 (19.1)</w:t>
            </w:r>
          </w:p>
        </w:tc>
        <w:tc>
          <w:tcPr>
            <w:tcW w:w="1260" w:type="dxa"/>
            <w:shd w:val="clear" w:color="auto" w:fill="auto"/>
            <w:vAlign w:val="center"/>
          </w:tcPr>
          <w:p w14:paraId="05F43E43"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4 (1.2)</w:t>
            </w:r>
          </w:p>
        </w:tc>
        <w:tc>
          <w:tcPr>
            <w:tcW w:w="1170" w:type="dxa"/>
          </w:tcPr>
          <w:p w14:paraId="0605446B"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shd w:val="clear" w:color="auto" w:fill="auto"/>
          </w:tcPr>
          <w:p w14:paraId="131E7991"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2D8DED88" w14:textId="77777777" w:rsidTr="00D25D8D">
        <w:tc>
          <w:tcPr>
            <w:tcW w:w="2479" w:type="dxa"/>
            <w:shd w:val="clear" w:color="auto" w:fill="auto"/>
            <w:vAlign w:val="center"/>
          </w:tcPr>
          <w:p w14:paraId="5CE8584E"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Stomatitis</w:t>
            </w:r>
          </w:p>
        </w:tc>
        <w:tc>
          <w:tcPr>
            <w:tcW w:w="1350" w:type="dxa"/>
            <w:shd w:val="clear" w:color="auto" w:fill="auto"/>
            <w:vAlign w:val="center"/>
          </w:tcPr>
          <w:p w14:paraId="58907E47"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41 (12.3)</w:t>
            </w:r>
          </w:p>
        </w:tc>
        <w:tc>
          <w:tcPr>
            <w:tcW w:w="1350" w:type="dxa"/>
          </w:tcPr>
          <w:p w14:paraId="3A4950BF"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22 (6.7)</w:t>
            </w:r>
          </w:p>
        </w:tc>
        <w:tc>
          <w:tcPr>
            <w:tcW w:w="1260" w:type="dxa"/>
            <w:shd w:val="clear" w:color="auto" w:fill="auto"/>
            <w:vAlign w:val="center"/>
          </w:tcPr>
          <w:p w14:paraId="29AB78E5"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 (0.3)</w:t>
            </w:r>
          </w:p>
        </w:tc>
        <w:tc>
          <w:tcPr>
            <w:tcW w:w="1170" w:type="dxa"/>
          </w:tcPr>
          <w:p w14:paraId="3249A3F0"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shd w:val="clear" w:color="auto" w:fill="auto"/>
          </w:tcPr>
          <w:p w14:paraId="4E22F13F"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55F6D649" w14:textId="77777777" w:rsidTr="00D25D8D">
        <w:tc>
          <w:tcPr>
            <w:tcW w:w="2479" w:type="dxa"/>
            <w:shd w:val="clear" w:color="auto" w:fill="auto"/>
            <w:vAlign w:val="center"/>
          </w:tcPr>
          <w:p w14:paraId="38DE469C"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lastRenderedPageBreak/>
              <w:t xml:space="preserve">Abdominal pain </w:t>
            </w:r>
          </w:p>
        </w:tc>
        <w:tc>
          <w:tcPr>
            <w:tcW w:w="1350" w:type="dxa"/>
            <w:shd w:val="clear" w:color="auto" w:fill="auto"/>
            <w:vAlign w:val="center"/>
          </w:tcPr>
          <w:p w14:paraId="42479E19"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35 (10.5)</w:t>
            </w:r>
          </w:p>
        </w:tc>
        <w:tc>
          <w:tcPr>
            <w:tcW w:w="1350" w:type="dxa"/>
          </w:tcPr>
          <w:p w14:paraId="5088ED3D"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25 (7.6)</w:t>
            </w:r>
          </w:p>
        </w:tc>
        <w:tc>
          <w:tcPr>
            <w:tcW w:w="1260" w:type="dxa"/>
            <w:shd w:val="clear" w:color="auto" w:fill="auto"/>
            <w:vAlign w:val="center"/>
          </w:tcPr>
          <w:p w14:paraId="300213EE"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4 (1.2)</w:t>
            </w:r>
          </w:p>
        </w:tc>
        <w:tc>
          <w:tcPr>
            <w:tcW w:w="1170" w:type="dxa"/>
          </w:tcPr>
          <w:p w14:paraId="5AC351F9"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shd w:val="clear" w:color="auto" w:fill="auto"/>
          </w:tcPr>
          <w:p w14:paraId="122CA65C"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70BB4FF3" w14:textId="77777777" w:rsidTr="00D25D8D">
        <w:tc>
          <w:tcPr>
            <w:tcW w:w="2479" w:type="dxa"/>
            <w:shd w:val="clear" w:color="auto" w:fill="auto"/>
            <w:vAlign w:val="center"/>
          </w:tcPr>
          <w:p w14:paraId="79879791"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proofErr w:type="spellStart"/>
            <w:r w:rsidRPr="00B422A4">
              <w:rPr>
                <w:rFonts w:ascii="Arial" w:eastAsia="MS Mincho" w:hAnsi="Arial" w:cs="Arial"/>
                <w:sz w:val="18"/>
                <w:szCs w:val="18"/>
                <w:lang w:val="en-US" w:eastAsia="zh-CN"/>
              </w:rPr>
              <w:t>Dysgeusia</w:t>
            </w:r>
            <w:proofErr w:type="spellEnd"/>
          </w:p>
        </w:tc>
        <w:tc>
          <w:tcPr>
            <w:tcW w:w="1350" w:type="dxa"/>
            <w:shd w:val="clear" w:color="auto" w:fill="auto"/>
            <w:vAlign w:val="center"/>
          </w:tcPr>
          <w:p w14:paraId="61CE88D7"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31 (9.3)</w:t>
            </w:r>
          </w:p>
        </w:tc>
        <w:tc>
          <w:tcPr>
            <w:tcW w:w="1350" w:type="dxa"/>
          </w:tcPr>
          <w:p w14:paraId="4B6480FD"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19 (5.8)</w:t>
            </w:r>
          </w:p>
        </w:tc>
        <w:tc>
          <w:tcPr>
            <w:tcW w:w="1260" w:type="dxa"/>
            <w:shd w:val="clear" w:color="auto" w:fill="auto"/>
            <w:vAlign w:val="center"/>
          </w:tcPr>
          <w:p w14:paraId="69B53E6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 (0.3)</w:t>
            </w:r>
          </w:p>
        </w:tc>
        <w:tc>
          <w:tcPr>
            <w:tcW w:w="1170" w:type="dxa"/>
          </w:tcPr>
          <w:p w14:paraId="6928D79A"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shd w:val="clear" w:color="auto" w:fill="auto"/>
          </w:tcPr>
          <w:p w14:paraId="5EE42063"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620DA526" w14:textId="77777777" w:rsidTr="00A62591">
        <w:tc>
          <w:tcPr>
            <w:tcW w:w="2479" w:type="dxa"/>
            <w:tcBorders>
              <w:bottom w:val="single" w:sz="4" w:space="0" w:color="auto"/>
            </w:tcBorders>
            <w:shd w:val="clear" w:color="auto" w:fill="auto"/>
            <w:vAlign w:val="center"/>
          </w:tcPr>
          <w:p w14:paraId="5CF7233F"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 xml:space="preserve">Dyspepsia </w:t>
            </w:r>
          </w:p>
        </w:tc>
        <w:tc>
          <w:tcPr>
            <w:tcW w:w="1350" w:type="dxa"/>
            <w:tcBorders>
              <w:bottom w:val="single" w:sz="4" w:space="0" w:color="auto"/>
            </w:tcBorders>
            <w:shd w:val="clear" w:color="auto" w:fill="auto"/>
            <w:vAlign w:val="center"/>
          </w:tcPr>
          <w:p w14:paraId="10101F67"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22 (6.6)</w:t>
            </w:r>
          </w:p>
        </w:tc>
        <w:tc>
          <w:tcPr>
            <w:tcW w:w="1350" w:type="dxa"/>
            <w:tcBorders>
              <w:bottom w:val="single" w:sz="4" w:space="0" w:color="auto"/>
            </w:tcBorders>
          </w:tcPr>
          <w:p w14:paraId="55915B07"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14 (4.2)</w:t>
            </w:r>
          </w:p>
        </w:tc>
        <w:tc>
          <w:tcPr>
            <w:tcW w:w="1260" w:type="dxa"/>
            <w:tcBorders>
              <w:bottom w:val="single" w:sz="4" w:space="0" w:color="auto"/>
            </w:tcBorders>
            <w:shd w:val="clear" w:color="auto" w:fill="auto"/>
            <w:vAlign w:val="center"/>
          </w:tcPr>
          <w:p w14:paraId="445E069E"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170" w:type="dxa"/>
            <w:tcBorders>
              <w:bottom w:val="single" w:sz="4" w:space="0" w:color="auto"/>
            </w:tcBorders>
          </w:tcPr>
          <w:p w14:paraId="6630A487"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tcBorders>
              <w:bottom w:val="single" w:sz="4" w:space="0" w:color="auto"/>
            </w:tcBorders>
            <w:shd w:val="clear" w:color="auto" w:fill="auto"/>
          </w:tcPr>
          <w:p w14:paraId="7324B3AB"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5F0DF4F4" w14:textId="77777777" w:rsidTr="00A62591">
        <w:tc>
          <w:tcPr>
            <w:tcW w:w="9000" w:type="dxa"/>
            <w:gridSpan w:val="6"/>
            <w:tcBorders>
              <w:top w:val="single" w:sz="4" w:space="0" w:color="auto"/>
            </w:tcBorders>
          </w:tcPr>
          <w:p w14:paraId="408590BA" w14:textId="77777777" w:rsidR="00B422A4" w:rsidRPr="00B422A4" w:rsidRDefault="00B422A4" w:rsidP="00D25D8D">
            <w:pPr>
              <w:keepLines/>
              <w:tabs>
                <w:tab w:val="left" w:pos="284"/>
              </w:tabs>
              <w:spacing w:before="40" w:after="20"/>
              <w:rPr>
                <w:rFonts w:ascii="Arial" w:eastAsia="MS Mincho" w:hAnsi="Arial" w:cs="Arial"/>
                <w:b/>
                <w:bCs/>
                <w:sz w:val="18"/>
                <w:szCs w:val="18"/>
                <w:lang w:val="en-US" w:eastAsia="zh-CN"/>
              </w:rPr>
            </w:pPr>
            <w:r w:rsidRPr="00B422A4">
              <w:rPr>
                <w:rFonts w:ascii="Arial" w:eastAsia="MS Mincho" w:hAnsi="Arial" w:cs="Arial"/>
                <w:b/>
                <w:bCs/>
                <w:sz w:val="18"/>
                <w:szCs w:val="18"/>
                <w:lang w:val="en-US" w:eastAsia="zh-CN"/>
              </w:rPr>
              <w:t>Hepatobiliary disorders</w:t>
            </w:r>
          </w:p>
        </w:tc>
      </w:tr>
      <w:tr w:rsidR="00B422A4" w:rsidRPr="00B422A4" w14:paraId="74C6F202" w14:textId="77777777" w:rsidTr="00A62591">
        <w:tc>
          <w:tcPr>
            <w:tcW w:w="2479" w:type="dxa"/>
            <w:tcBorders>
              <w:bottom w:val="single" w:sz="4" w:space="0" w:color="auto"/>
            </w:tcBorders>
            <w:shd w:val="clear" w:color="auto" w:fill="auto"/>
            <w:vAlign w:val="center"/>
          </w:tcPr>
          <w:p w14:paraId="357B1620" w14:textId="4F65DC7E"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Hepatotoxicity</w:t>
            </w:r>
            <w:r w:rsidR="00884DCE">
              <w:rPr>
                <w:rFonts w:ascii="Arial" w:eastAsia="MS Mincho" w:hAnsi="Arial" w:cs="Arial"/>
                <w:sz w:val="18"/>
                <w:szCs w:val="18"/>
                <w:vertAlign w:val="superscript"/>
                <w:lang w:val="en-US" w:eastAsia="zh-CN"/>
              </w:rPr>
              <w:t>1</w:t>
            </w:r>
          </w:p>
        </w:tc>
        <w:tc>
          <w:tcPr>
            <w:tcW w:w="1350" w:type="dxa"/>
            <w:tcBorders>
              <w:bottom w:val="single" w:sz="4" w:space="0" w:color="auto"/>
            </w:tcBorders>
            <w:shd w:val="clear" w:color="auto" w:fill="auto"/>
            <w:vAlign w:val="center"/>
          </w:tcPr>
          <w:p w14:paraId="4E0C892A"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5 (1.5)</w:t>
            </w:r>
          </w:p>
        </w:tc>
        <w:tc>
          <w:tcPr>
            <w:tcW w:w="1350" w:type="dxa"/>
            <w:tcBorders>
              <w:bottom w:val="single" w:sz="4" w:space="0" w:color="auto"/>
            </w:tcBorders>
          </w:tcPr>
          <w:p w14:paraId="51F6EB4B"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 (0.3)</w:t>
            </w:r>
          </w:p>
        </w:tc>
        <w:tc>
          <w:tcPr>
            <w:tcW w:w="1260" w:type="dxa"/>
            <w:tcBorders>
              <w:bottom w:val="single" w:sz="4" w:space="0" w:color="auto"/>
            </w:tcBorders>
            <w:shd w:val="clear" w:color="auto" w:fill="auto"/>
            <w:vAlign w:val="center"/>
          </w:tcPr>
          <w:p w14:paraId="08AD90B0"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5 (1.5)</w:t>
            </w:r>
          </w:p>
        </w:tc>
        <w:tc>
          <w:tcPr>
            <w:tcW w:w="1170" w:type="dxa"/>
            <w:tcBorders>
              <w:bottom w:val="single" w:sz="4" w:space="0" w:color="auto"/>
            </w:tcBorders>
          </w:tcPr>
          <w:p w14:paraId="05946DC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tcBorders>
              <w:bottom w:val="single" w:sz="4" w:space="0" w:color="auto"/>
            </w:tcBorders>
            <w:shd w:val="clear" w:color="auto" w:fill="auto"/>
            <w:vAlign w:val="center"/>
          </w:tcPr>
          <w:p w14:paraId="2A435956"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076D3750" w14:textId="77777777" w:rsidTr="00A62591">
        <w:tc>
          <w:tcPr>
            <w:tcW w:w="9000" w:type="dxa"/>
            <w:gridSpan w:val="6"/>
            <w:tcBorders>
              <w:top w:val="single" w:sz="4" w:space="0" w:color="auto"/>
            </w:tcBorders>
          </w:tcPr>
          <w:p w14:paraId="0F3F38A8" w14:textId="77777777" w:rsidR="00B422A4" w:rsidRPr="00B422A4" w:rsidRDefault="00B422A4" w:rsidP="00D25D8D">
            <w:pPr>
              <w:keepLines/>
              <w:tabs>
                <w:tab w:val="left" w:pos="284"/>
              </w:tabs>
              <w:spacing w:before="40" w:after="20"/>
              <w:rPr>
                <w:rFonts w:ascii="Arial" w:eastAsia="MS Mincho" w:hAnsi="Arial" w:cs="Arial"/>
                <w:b/>
                <w:bCs/>
                <w:sz w:val="18"/>
                <w:szCs w:val="18"/>
                <w:lang w:val="en-US" w:eastAsia="zh-CN"/>
              </w:rPr>
            </w:pPr>
            <w:r w:rsidRPr="00B422A4">
              <w:rPr>
                <w:rFonts w:ascii="Arial" w:eastAsia="MS Mincho" w:hAnsi="Arial" w:cs="Arial"/>
                <w:b/>
                <w:bCs/>
                <w:sz w:val="18"/>
                <w:szCs w:val="18"/>
                <w:lang w:val="en-US" w:eastAsia="zh-CN"/>
              </w:rPr>
              <w:t>Skin and subcutaneous tissue disorders</w:t>
            </w:r>
          </w:p>
        </w:tc>
      </w:tr>
      <w:tr w:rsidR="00B422A4" w:rsidRPr="00B422A4" w14:paraId="0C5B1F4E" w14:textId="77777777" w:rsidTr="00D25D8D">
        <w:tc>
          <w:tcPr>
            <w:tcW w:w="2479" w:type="dxa"/>
            <w:shd w:val="clear" w:color="auto" w:fill="auto"/>
            <w:vAlign w:val="center"/>
          </w:tcPr>
          <w:p w14:paraId="03EFA6F9"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Alopecia</w:t>
            </w:r>
          </w:p>
        </w:tc>
        <w:tc>
          <w:tcPr>
            <w:tcW w:w="1350" w:type="dxa"/>
            <w:shd w:val="clear" w:color="auto" w:fill="auto"/>
            <w:vAlign w:val="center"/>
          </w:tcPr>
          <w:p w14:paraId="1BE546B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111 (33.2)</w:t>
            </w:r>
          </w:p>
        </w:tc>
        <w:tc>
          <w:tcPr>
            <w:tcW w:w="1350" w:type="dxa"/>
          </w:tcPr>
          <w:p w14:paraId="45D5E2E5"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51 (15.5)</w:t>
            </w:r>
          </w:p>
        </w:tc>
        <w:tc>
          <w:tcPr>
            <w:tcW w:w="1260" w:type="dxa"/>
            <w:shd w:val="clear" w:color="auto" w:fill="auto"/>
            <w:vAlign w:val="center"/>
          </w:tcPr>
          <w:p w14:paraId="396E48E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170" w:type="dxa"/>
          </w:tcPr>
          <w:p w14:paraId="56F08EDA"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shd w:val="clear" w:color="auto" w:fill="auto"/>
          </w:tcPr>
          <w:p w14:paraId="65A52A78"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41924770" w14:textId="77777777" w:rsidTr="00D25D8D">
        <w:tc>
          <w:tcPr>
            <w:tcW w:w="2479" w:type="dxa"/>
            <w:shd w:val="clear" w:color="auto" w:fill="auto"/>
            <w:vAlign w:val="center"/>
          </w:tcPr>
          <w:p w14:paraId="1ECCA16B" w14:textId="5D50FB7C"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Rash</w:t>
            </w:r>
            <w:r w:rsidR="00884DCE">
              <w:rPr>
                <w:rFonts w:ascii="Arial" w:eastAsia="MS Mincho" w:hAnsi="Arial" w:cs="Arial"/>
                <w:sz w:val="18"/>
                <w:szCs w:val="18"/>
                <w:vertAlign w:val="superscript"/>
                <w:lang w:val="en-US" w:eastAsia="zh-CN"/>
              </w:rPr>
              <w:t>2</w:t>
            </w:r>
          </w:p>
        </w:tc>
        <w:tc>
          <w:tcPr>
            <w:tcW w:w="1350" w:type="dxa"/>
            <w:shd w:val="clear" w:color="auto" w:fill="auto"/>
            <w:vAlign w:val="center"/>
          </w:tcPr>
          <w:p w14:paraId="2B59548C" w14:textId="047D6FE6"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color w:val="000000"/>
                <w:sz w:val="18"/>
                <w:szCs w:val="18"/>
                <w:lang w:val="en-US" w:eastAsia="zh-CN"/>
              </w:rPr>
              <w:t>67 (20.1)</w:t>
            </w:r>
          </w:p>
        </w:tc>
        <w:tc>
          <w:tcPr>
            <w:tcW w:w="1350" w:type="dxa"/>
          </w:tcPr>
          <w:p w14:paraId="1D0D4E10"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color w:val="000000"/>
                <w:sz w:val="18"/>
                <w:szCs w:val="18"/>
                <w:lang w:val="en-US" w:eastAsia="zh-CN"/>
              </w:rPr>
              <w:t>27 (8.2)</w:t>
            </w:r>
          </w:p>
        </w:tc>
        <w:tc>
          <w:tcPr>
            <w:tcW w:w="1260" w:type="dxa"/>
            <w:shd w:val="clear" w:color="auto" w:fill="auto"/>
            <w:vAlign w:val="center"/>
          </w:tcPr>
          <w:p w14:paraId="22786F11" w14:textId="5B3A8B4B"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color w:val="000000"/>
                <w:sz w:val="18"/>
                <w:szCs w:val="18"/>
                <w:lang w:val="en-US" w:eastAsia="zh-CN"/>
              </w:rPr>
              <w:t>3 (0.9)</w:t>
            </w:r>
          </w:p>
        </w:tc>
        <w:tc>
          <w:tcPr>
            <w:tcW w:w="1170" w:type="dxa"/>
          </w:tcPr>
          <w:p w14:paraId="01499BF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shd w:val="clear" w:color="auto" w:fill="auto"/>
          </w:tcPr>
          <w:p w14:paraId="7FF0524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5D500710" w14:textId="77777777" w:rsidTr="00D25D8D">
        <w:tc>
          <w:tcPr>
            <w:tcW w:w="2479" w:type="dxa"/>
            <w:shd w:val="clear" w:color="auto" w:fill="auto"/>
            <w:vAlign w:val="center"/>
          </w:tcPr>
          <w:p w14:paraId="23CB759F" w14:textId="06CCB425"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Pruritus</w:t>
            </w:r>
          </w:p>
        </w:tc>
        <w:tc>
          <w:tcPr>
            <w:tcW w:w="1350" w:type="dxa"/>
            <w:shd w:val="clear" w:color="auto" w:fill="auto"/>
            <w:vAlign w:val="center"/>
          </w:tcPr>
          <w:p w14:paraId="4F6C17BF" w14:textId="6FFE93AF"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color w:val="000000"/>
                <w:sz w:val="18"/>
                <w:szCs w:val="18"/>
                <w:lang w:val="en-US" w:eastAsia="zh-CN"/>
              </w:rPr>
              <w:t>49 (14.7)</w:t>
            </w:r>
          </w:p>
        </w:tc>
        <w:tc>
          <w:tcPr>
            <w:tcW w:w="1350" w:type="dxa"/>
          </w:tcPr>
          <w:p w14:paraId="00D7E311"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color w:val="000000"/>
                <w:sz w:val="18"/>
                <w:szCs w:val="18"/>
                <w:lang w:val="en-US" w:eastAsia="zh-CN"/>
              </w:rPr>
              <w:t>20 (6.1)</w:t>
            </w:r>
          </w:p>
        </w:tc>
        <w:tc>
          <w:tcPr>
            <w:tcW w:w="1260" w:type="dxa"/>
            <w:shd w:val="clear" w:color="auto" w:fill="auto"/>
            <w:vAlign w:val="center"/>
          </w:tcPr>
          <w:p w14:paraId="752EAD22" w14:textId="14749FCE"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color w:val="000000"/>
                <w:sz w:val="18"/>
                <w:szCs w:val="18"/>
                <w:lang w:val="en-US" w:eastAsia="zh-CN"/>
              </w:rPr>
              <w:t>2 (0.6)</w:t>
            </w:r>
          </w:p>
        </w:tc>
        <w:tc>
          <w:tcPr>
            <w:tcW w:w="1170" w:type="dxa"/>
          </w:tcPr>
          <w:p w14:paraId="1AB4E6C5"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shd w:val="clear" w:color="auto" w:fill="auto"/>
          </w:tcPr>
          <w:p w14:paraId="2905C47F"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661AB537" w14:textId="77777777" w:rsidTr="00A62591">
        <w:tc>
          <w:tcPr>
            <w:tcW w:w="2479" w:type="dxa"/>
            <w:tcBorders>
              <w:bottom w:val="single" w:sz="4" w:space="0" w:color="auto"/>
            </w:tcBorders>
            <w:shd w:val="clear" w:color="auto" w:fill="auto"/>
            <w:vAlign w:val="center"/>
          </w:tcPr>
          <w:p w14:paraId="622BE33A"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Erythema</w:t>
            </w:r>
          </w:p>
        </w:tc>
        <w:tc>
          <w:tcPr>
            <w:tcW w:w="1350" w:type="dxa"/>
            <w:tcBorders>
              <w:bottom w:val="single" w:sz="4" w:space="0" w:color="auto"/>
            </w:tcBorders>
            <w:shd w:val="clear" w:color="auto" w:fill="auto"/>
            <w:vAlign w:val="center"/>
          </w:tcPr>
          <w:p w14:paraId="48B90FEC"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17 (5.1)</w:t>
            </w:r>
          </w:p>
        </w:tc>
        <w:tc>
          <w:tcPr>
            <w:tcW w:w="1350" w:type="dxa"/>
            <w:tcBorders>
              <w:bottom w:val="single" w:sz="4" w:space="0" w:color="auto"/>
            </w:tcBorders>
          </w:tcPr>
          <w:p w14:paraId="7EA4A121"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4 (1.2)</w:t>
            </w:r>
          </w:p>
        </w:tc>
        <w:tc>
          <w:tcPr>
            <w:tcW w:w="1260" w:type="dxa"/>
            <w:tcBorders>
              <w:bottom w:val="single" w:sz="4" w:space="0" w:color="auto"/>
            </w:tcBorders>
            <w:shd w:val="clear" w:color="auto" w:fill="auto"/>
            <w:vAlign w:val="center"/>
          </w:tcPr>
          <w:p w14:paraId="0CC66B5F"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170" w:type="dxa"/>
            <w:tcBorders>
              <w:bottom w:val="single" w:sz="4" w:space="0" w:color="auto"/>
            </w:tcBorders>
          </w:tcPr>
          <w:p w14:paraId="3311E31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tcBorders>
              <w:bottom w:val="single" w:sz="4" w:space="0" w:color="auto"/>
            </w:tcBorders>
            <w:shd w:val="clear" w:color="auto" w:fill="auto"/>
          </w:tcPr>
          <w:p w14:paraId="5040EEEC"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02A78D25" w14:textId="77777777" w:rsidTr="00A62591">
        <w:tc>
          <w:tcPr>
            <w:tcW w:w="9000" w:type="dxa"/>
            <w:gridSpan w:val="6"/>
            <w:tcBorders>
              <w:top w:val="single" w:sz="4" w:space="0" w:color="auto"/>
            </w:tcBorders>
          </w:tcPr>
          <w:p w14:paraId="29A6E4E2" w14:textId="77777777" w:rsidR="00B422A4" w:rsidRPr="00B422A4" w:rsidRDefault="00B422A4" w:rsidP="00D25D8D">
            <w:pPr>
              <w:keepLines/>
              <w:tabs>
                <w:tab w:val="left" w:pos="284"/>
              </w:tabs>
              <w:spacing w:before="40" w:after="20"/>
              <w:rPr>
                <w:rFonts w:ascii="Arial" w:eastAsia="MS Mincho" w:hAnsi="Arial" w:cs="Arial"/>
                <w:b/>
                <w:bCs/>
                <w:sz w:val="18"/>
                <w:szCs w:val="18"/>
                <w:lang w:val="en-US" w:eastAsia="zh-CN"/>
              </w:rPr>
            </w:pPr>
            <w:r w:rsidRPr="00B422A4">
              <w:rPr>
                <w:rFonts w:ascii="Arial" w:eastAsia="MS Mincho" w:hAnsi="Arial" w:cs="Arial"/>
                <w:b/>
                <w:bCs/>
                <w:sz w:val="18"/>
                <w:szCs w:val="18"/>
                <w:lang w:val="en-US" w:eastAsia="zh-CN"/>
              </w:rPr>
              <w:t>General disorders and administration site conditions</w:t>
            </w:r>
          </w:p>
        </w:tc>
      </w:tr>
      <w:tr w:rsidR="00B422A4" w:rsidRPr="00B422A4" w14:paraId="7B3B1C39" w14:textId="77777777" w:rsidTr="00D25D8D">
        <w:tc>
          <w:tcPr>
            <w:tcW w:w="2479" w:type="dxa"/>
            <w:shd w:val="clear" w:color="auto" w:fill="auto"/>
            <w:vAlign w:val="center"/>
          </w:tcPr>
          <w:p w14:paraId="70DE6C27"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Fatigue</w:t>
            </w:r>
          </w:p>
        </w:tc>
        <w:tc>
          <w:tcPr>
            <w:tcW w:w="1350" w:type="dxa"/>
            <w:shd w:val="clear" w:color="auto" w:fill="auto"/>
            <w:vAlign w:val="center"/>
          </w:tcPr>
          <w:p w14:paraId="1FE7F85A"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122 (36.5)</w:t>
            </w:r>
          </w:p>
        </w:tc>
        <w:tc>
          <w:tcPr>
            <w:tcW w:w="1350" w:type="dxa"/>
          </w:tcPr>
          <w:p w14:paraId="212F598E"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99 (30.0)</w:t>
            </w:r>
          </w:p>
        </w:tc>
        <w:tc>
          <w:tcPr>
            <w:tcW w:w="1260" w:type="dxa"/>
            <w:shd w:val="clear" w:color="auto" w:fill="auto"/>
            <w:vAlign w:val="center"/>
          </w:tcPr>
          <w:p w14:paraId="308B73A7"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8 (2.4)</w:t>
            </w:r>
          </w:p>
        </w:tc>
        <w:tc>
          <w:tcPr>
            <w:tcW w:w="1170" w:type="dxa"/>
          </w:tcPr>
          <w:p w14:paraId="70E0AA0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 (0.9)</w:t>
            </w:r>
          </w:p>
        </w:tc>
        <w:tc>
          <w:tcPr>
            <w:tcW w:w="1391" w:type="dxa"/>
            <w:shd w:val="clear" w:color="auto" w:fill="auto"/>
          </w:tcPr>
          <w:p w14:paraId="75E8B380"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02A01AC9" w14:textId="77777777" w:rsidTr="00D25D8D">
        <w:tc>
          <w:tcPr>
            <w:tcW w:w="2479" w:type="dxa"/>
            <w:shd w:val="clear" w:color="auto" w:fill="auto"/>
            <w:vAlign w:val="center"/>
          </w:tcPr>
          <w:p w14:paraId="25B6B81C"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Asthenia</w:t>
            </w:r>
          </w:p>
        </w:tc>
        <w:tc>
          <w:tcPr>
            <w:tcW w:w="1350" w:type="dxa"/>
            <w:shd w:val="clear" w:color="auto" w:fill="auto"/>
            <w:vAlign w:val="center"/>
          </w:tcPr>
          <w:p w14:paraId="6DC1D85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43 (12.9)</w:t>
            </w:r>
          </w:p>
        </w:tc>
        <w:tc>
          <w:tcPr>
            <w:tcW w:w="1350" w:type="dxa"/>
          </w:tcPr>
          <w:p w14:paraId="4094ACF0"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38 (11.5)</w:t>
            </w:r>
          </w:p>
        </w:tc>
        <w:tc>
          <w:tcPr>
            <w:tcW w:w="1260" w:type="dxa"/>
            <w:shd w:val="clear" w:color="auto" w:fill="auto"/>
            <w:vAlign w:val="center"/>
          </w:tcPr>
          <w:p w14:paraId="22BB4370"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 (0.9)</w:t>
            </w:r>
          </w:p>
        </w:tc>
        <w:tc>
          <w:tcPr>
            <w:tcW w:w="1170" w:type="dxa"/>
          </w:tcPr>
          <w:p w14:paraId="0516E7C6"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2 (0.6)</w:t>
            </w:r>
          </w:p>
        </w:tc>
        <w:tc>
          <w:tcPr>
            <w:tcW w:w="1391" w:type="dxa"/>
            <w:shd w:val="clear" w:color="auto" w:fill="auto"/>
          </w:tcPr>
          <w:p w14:paraId="5AC6405D"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7BF14D46" w14:textId="77777777" w:rsidTr="00A62591">
        <w:tc>
          <w:tcPr>
            <w:tcW w:w="2479" w:type="dxa"/>
            <w:tcBorders>
              <w:bottom w:val="single" w:sz="4" w:space="0" w:color="auto"/>
            </w:tcBorders>
            <w:shd w:val="clear" w:color="auto" w:fill="auto"/>
            <w:vAlign w:val="center"/>
          </w:tcPr>
          <w:p w14:paraId="5330532E"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Pyrexia</w:t>
            </w:r>
          </w:p>
        </w:tc>
        <w:tc>
          <w:tcPr>
            <w:tcW w:w="1350" w:type="dxa"/>
            <w:tcBorders>
              <w:bottom w:val="single" w:sz="4" w:space="0" w:color="auto"/>
            </w:tcBorders>
            <w:shd w:val="clear" w:color="auto" w:fill="auto"/>
            <w:vAlign w:val="center"/>
          </w:tcPr>
          <w:p w14:paraId="7FF3F476"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42 (12.6)</w:t>
            </w:r>
          </w:p>
        </w:tc>
        <w:tc>
          <w:tcPr>
            <w:tcW w:w="1350" w:type="dxa"/>
            <w:tcBorders>
              <w:bottom w:val="single" w:sz="4" w:space="0" w:color="auto"/>
            </w:tcBorders>
          </w:tcPr>
          <w:p w14:paraId="4CF64129"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18 (5.5)</w:t>
            </w:r>
          </w:p>
        </w:tc>
        <w:tc>
          <w:tcPr>
            <w:tcW w:w="1260" w:type="dxa"/>
            <w:tcBorders>
              <w:bottom w:val="single" w:sz="4" w:space="0" w:color="auto"/>
            </w:tcBorders>
            <w:shd w:val="clear" w:color="auto" w:fill="auto"/>
            <w:vAlign w:val="center"/>
          </w:tcPr>
          <w:p w14:paraId="1E2EAA1F"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 (0.3)</w:t>
            </w:r>
          </w:p>
        </w:tc>
        <w:tc>
          <w:tcPr>
            <w:tcW w:w="1170" w:type="dxa"/>
            <w:tcBorders>
              <w:bottom w:val="single" w:sz="4" w:space="0" w:color="auto"/>
            </w:tcBorders>
          </w:tcPr>
          <w:p w14:paraId="7F41342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tcBorders>
              <w:bottom w:val="single" w:sz="4" w:space="0" w:color="auto"/>
            </w:tcBorders>
            <w:shd w:val="clear" w:color="auto" w:fill="auto"/>
          </w:tcPr>
          <w:p w14:paraId="037A0A7F"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6D7670A6" w14:textId="77777777" w:rsidTr="00A62591">
        <w:tc>
          <w:tcPr>
            <w:tcW w:w="9000" w:type="dxa"/>
            <w:gridSpan w:val="6"/>
            <w:tcBorders>
              <w:top w:val="single" w:sz="4" w:space="0" w:color="auto"/>
            </w:tcBorders>
          </w:tcPr>
          <w:p w14:paraId="20B57C83" w14:textId="77777777" w:rsidR="00B422A4" w:rsidRPr="00B422A4" w:rsidRDefault="00B422A4" w:rsidP="00D25D8D">
            <w:pPr>
              <w:keepLines/>
              <w:tabs>
                <w:tab w:val="left" w:pos="284"/>
              </w:tabs>
              <w:spacing w:before="40" w:after="20"/>
              <w:rPr>
                <w:rFonts w:ascii="Arial" w:eastAsia="MS Mincho" w:hAnsi="Arial" w:cs="Arial"/>
                <w:b/>
                <w:bCs/>
                <w:sz w:val="18"/>
                <w:szCs w:val="18"/>
                <w:lang w:val="en-US" w:eastAsia="zh-CN"/>
              </w:rPr>
            </w:pPr>
            <w:r w:rsidRPr="00B422A4">
              <w:rPr>
                <w:rFonts w:ascii="Arial" w:eastAsia="MS Mincho" w:hAnsi="Arial" w:cs="Arial"/>
                <w:b/>
                <w:bCs/>
                <w:sz w:val="18"/>
                <w:szCs w:val="18"/>
                <w:lang w:val="en-US" w:eastAsia="zh-CN"/>
              </w:rPr>
              <w:t>Investigations</w:t>
            </w:r>
          </w:p>
        </w:tc>
      </w:tr>
      <w:tr w:rsidR="00B422A4" w:rsidRPr="00B422A4" w:rsidDel="001925A9" w14:paraId="0ED113C6" w14:textId="77777777" w:rsidTr="00D25D8D">
        <w:tc>
          <w:tcPr>
            <w:tcW w:w="2479" w:type="dxa"/>
            <w:shd w:val="clear" w:color="auto" w:fill="auto"/>
            <w:vAlign w:val="center"/>
          </w:tcPr>
          <w:p w14:paraId="73CC7FF2" w14:textId="681AF4A1" w:rsidR="00B422A4" w:rsidRPr="00B422A4" w:rsidDel="001925A9" w:rsidRDefault="00B422A4" w:rsidP="007F0198">
            <w:pPr>
              <w:keepLines/>
              <w:tabs>
                <w:tab w:val="left" w:pos="284"/>
              </w:tabs>
              <w:spacing w:before="40" w:after="20"/>
              <w:jc w:val="right"/>
              <w:rPr>
                <w:rFonts w:ascii="Arial" w:eastAsia="MS Mincho" w:hAnsi="Arial" w:cs="Arial"/>
                <w:sz w:val="18"/>
                <w:szCs w:val="18"/>
                <w:lang w:val="en-US" w:eastAsia="zh-CN"/>
              </w:rPr>
            </w:pPr>
            <w:r w:rsidRPr="0068459B">
              <w:rPr>
                <w:rFonts w:ascii="Arial" w:eastAsia="MS Mincho" w:hAnsi="Arial" w:cs="Arial"/>
                <w:sz w:val="17"/>
                <w:szCs w:val="17"/>
                <w:lang w:val="en-US" w:eastAsia="zh-CN"/>
              </w:rPr>
              <w:t>Abnormal liver function tests</w:t>
            </w:r>
            <w:r w:rsidR="00884DCE">
              <w:rPr>
                <w:rFonts w:ascii="Arial" w:eastAsia="MS Mincho" w:hAnsi="Arial" w:cs="Arial"/>
                <w:sz w:val="18"/>
                <w:szCs w:val="18"/>
                <w:vertAlign w:val="superscript"/>
                <w:lang w:val="en-US" w:eastAsia="zh-CN"/>
              </w:rPr>
              <w:t>3</w:t>
            </w:r>
          </w:p>
        </w:tc>
        <w:tc>
          <w:tcPr>
            <w:tcW w:w="1350" w:type="dxa"/>
            <w:shd w:val="clear" w:color="auto" w:fill="auto"/>
          </w:tcPr>
          <w:p w14:paraId="075559A2" w14:textId="77777777" w:rsidR="00B422A4" w:rsidRPr="00B422A4" w:rsidDel="001925A9"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color w:val="000000"/>
                <w:sz w:val="18"/>
                <w:szCs w:val="18"/>
                <w:lang w:val="en-US" w:eastAsia="zh-CN"/>
              </w:rPr>
              <w:t>60 (18.0)</w:t>
            </w:r>
          </w:p>
        </w:tc>
        <w:tc>
          <w:tcPr>
            <w:tcW w:w="1350" w:type="dxa"/>
          </w:tcPr>
          <w:p w14:paraId="705C52EC" w14:textId="2226D136" w:rsidR="00B422A4" w:rsidRPr="00B422A4" w:rsidDel="001925A9" w:rsidRDefault="00274F2B" w:rsidP="00465907">
            <w:pPr>
              <w:keepLines/>
              <w:tabs>
                <w:tab w:val="left" w:pos="284"/>
              </w:tabs>
              <w:spacing w:before="40" w:after="20"/>
              <w:jc w:val="center"/>
              <w:rPr>
                <w:rFonts w:ascii="Arial" w:eastAsia="MS Mincho" w:hAnsi="Arial" w:cs="Arial"/>
                <w:sz w:val="18"/>
                <w:szCs w:val="18"/>
                <w:lang w:val="en-US" w:eastAsia="zh-CN"/>
              </w:rPr>
            </w:pPr>
            <w:r w:rsidRPr="00274F2B">
              <w:rPr>
                <w:rFonts w:ascii="Arial" w:eastAsia="MS Mincho" w:hAnsi="Arial" w:cs="Arial"/>
                <w:color w:val="000000"/>
                <w:sz w:val="18"/>
                <w:szCs w:val="18"/>
                <w:lang w:val="en-US" w:eastAsia="zh-CN"/>
              </w:rPr>
              <w:t>18 (5.5)</w:t>
            </w:r>
          </w:p>
        </w:tc>
        <w:tc>
          <w:tcPr>
            <w:tcW w:w="1260" w:type="dxa"/>
            <w:shd w:val="clear" w:color="auto" w:fill="auto"/>
          </w:tcPr>
          <w:p w14:paraId="20E614FB"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color w:val="000000"/>
                <w:sz w:val="18"/>
                <w:szCs w:val="18"/>
                <w:lang w:val="en-US" w:eastAsia="zh-CN"/>
              </w:rPr>
              <w:t>32 (9.6)</w:t>
            </w:r>
          </w:p>
        </w:tc>
        <w:tc>
          <w:tcPr>
            <w:tcW w:w="1170" w:type="dxa"/>
          </w:tcPr>
          <w:p w14:paraId="35BFB4BB"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color w:val="000000"/>
                <w:sz w:val="18"/>
                <w:szCs w:val="18"/>
                <w:lang w:val="en-US" w:eastAsia="zh-CN"/>
              </w:rPr>
              <w:t>8 (2.4)</w:t>
            </w:r>
          </w:p>
        </w:tc>
        <w:tc>
          <w:tcPr>
            <w:tcW w:w="1391" w:type="dxa"/>
            <w:shd w:val="clear" w:color="auto" w:fill="auto"/>
          </w:tcPr>
          <w:p w14:paraId="168531B8" w14:textId="77777777" w:rsidR="00B422A4" w:rsidRPr="00B422A4" w:rsidDel="001925A9"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Very common</w:t>
            </w:r>
          </w:p>
        </w:tc>
      </w:tr>
      <w:tr w:rsidR="00B422A4" w:rsidRPr="00B422A4" w14:paraId="2A03BF14" w14:textId="77777777" w:rsidTr="00D25D8D">
        <w:tc>
          <w:tcPr>
            <w:tcW w:w="2479" w:type="dxa"/>
            <w:shd w:val="clear" w:color="auto" w:fill="auto"/>
            <w:vAlign w:val="center"/>
          </w:tcPr>
          <w:p w14:paraId="05F041B0"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Blood creatinine increased</w:t>
            </w:r>
          </w:p>
        </w:tc>
        <w:tc>
          <w:tcPr>
            <w:tcW w:w="1350" w:type="dxa"/>
            <w:shd w:val="clear" w:color="auto" w:fill="auto"/>
            <w:vAlign w:val="center"/>
          </w:tcPr>
          <w:p w14:paraId="6D14BD99"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23 (6.9)</w:t>
            </w:r>
          </w:p>
        </w:tc>
        <w:tc>
          <w:tcPr>
            <w:tcW w:w="1350" w:type="dxa"/>
          </w:tcPr>
          <w:p w14:paraId="4FBA8D6B"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3 (0.9)</w:t>
            </w:r>
          </w:p>
        </w:tc>
        <w:tc>
          <w:tcPr>
            <w:tcW w:w="1260" w:type="dxa"/>
            <w:shd w:val="clear" w:color="auto" w:fill="auto"/>
            <w:vAlign w:val="center"/>
          </w:tcPr>
          <w:p w14:paraId="42D01F0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2 (0.6)</w:t>
            </w:r>
          </w:p>
        </w:tc>
        <w:tc>
          <w:tcPr>
            <w:tcW w:w="1170" w:type="dxa"/>
          </w:tcPr>
          <w:p w14:paraId="45426119"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shd w:val="clear" w:color="auto" w:fill="auto"/>
          </w:tcPr>
          <w:p w14:paraId="1E93DFF7"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2674455E" w14:textId="77777777" w:rsidTr="00A62591">
        <w:tc>
          <w:tcPr>
            <w:tcW w:w="2479" w:type="dxa"/>
            <w:shd w:val="clear" w:color="auto" w:fill="auto"/>
            <w:vAlign w:val="center"/>
          </w:tcPr>
          <w:p w14:paraId="6CC62C84" w14:textId="77777777" w:rsidR="00B422A4" w:rsidRPr="00B422A4" w:rsidRDefault="00B422A4" w:rsidP="007F0198">
            <w:pPr>
              <w:keepLines/>
              <w:tabs>
                <w:tab w:val="left" w:pos="284"/>
              </w:tabs>
              <w:spacing w:before="40" w:after="20"/>
              <w:jc w:val="right"/>
              <w:rPr>
                <w:rFonts w:ascii="Arial" w:eastAsia="MS Mincho" w:hAnsi="Arial" w:cs="Arial"/>
                <w:sz w:val="18"/>
                <w:szCs w:val="18"/>
                <w:lang w:val="en-US" w:eastAsia="zh-CN"/>
              </w:rPr>
            </w:pPr>
            <w:r w:rsidRPr="00B422A4">
              <w:rPr>
                <w:rFonts w:ascii="Arial" w:eastAsia="MS Mincho" w:hAnsi="Arial" w:cs="Arial"/>
                <w:sz w:val="18"/>
                <w:szCs w:val="18"/>
                <w:lang w:val="en-US" w:eastAsia="zh-CN"/>
              </w:rPr>
              <w:t>Weight decreased</w:t>
            </w:r>
          </w:p>
        </w:tc>
        <w:tc>
          <w:tcPr>
            <w:tcW w:w="1350" w:type="dxa"/>
            <w:shd w:val="clear" w:color="auto" w:fill="auto"/>
            <w:vAlign w:val="center"/>
          </w:tcPr>
          <w:p w14:paraId="09A6C462"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20 (6.0)</w:t>
            </w:r>
          </w:p>
        </w:tc>
        <w:tc>
          <w:tcPr>
            <w:tcW w:w="1350" w:type="dxa"/>
          </w:tcPr>
          <w:p w14:paraId="5DC8A3F7"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11 (3.3)</w:t>
            </w:r>
          </w:p>
        </w:tc>
        <w:tc>
          <w:tcPr>
            <w:tcW w:w="1260" w:type="dxa"/>
            <w:shd w:val="clear" w:color="auto" w:fill="auto"/>
            <w:vAlign w:val="center"/>
          </w:tcPr>
          <w:p w14:paraId="754715B1"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 (0.3)</w:t>
            </w:r>
          </w:p>
        </w:tc>
        <w:tc>
          <w:tcPr>
            <w:tcW w:w="1170" w:type="dxa"/>
          </w:tcPr>
          <w:p w14:paraId="431814C5"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shd w:val="clear" w:color="auto" w:fill="auto"/>
          </w:tcPr>
          <w:p w14:paraId="0DE1B1F2"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6BACBDCF" w14:textId="77777777" w:rsidTr="00A62591">
        <w:tc>
          <w:tcPr>
            <w:tcW w:w="2479" w:type="dxa"/>
            <w:tcBorders>
              <w:bottom w:val="single" w:sz="4" w:space="0" w:color="auto"/>
            </w:tcBorders>
            <w:shd w:val="clear" w:color="auto" w:fill="auto"/>
            <w:vAlign w:val="center"/>
          </w:tcPr>
          <w:p w14:paraId="5595E051" w14:textId="4DB3BBD4" w:rsidR="00B422A4" w:rsidRPr="00B422A4" w:rsidRDefault="00B422A4" w:rsidP="0068459B">
            <w:pPr>
              <w:autoSpaceDE w:val="0"/>
              <w:autoSpaceDN w:val="0"/>
              <w:adjustRightInd w:val="0"/>
              <w:jc w:val="right"/>
              <w:rPr>
                <w:rFonts w:ascii="ArialMT" w:hAnsi="ArialMT" w:cs="ArialMT"/>
                <w:sz w:val="18"/>
                <w:szCs w:val="18"/>
                <w:lang w:val="en-US" w:eastAsia="en-US"/>
              </w:rPr>
            </w:pPr>
            <w:r w:rsidRPr="005E573F">
              <w:rPr>
                <w:rFonts w:ascii="Arial" w:eastAsia="MS Mincho" w:hAnsi="Arial" w:cs="Arial"/>
                <w:sz w:val="18"/>
                <w:szCs w:val="18"/>
                <w:lang w:val="en-US" w:eastAsia="zh-CN"/>
              </w:rPr>
              <w:t>E</w:t>
            </w:r>
            <w:r w:rsidR="0068459B">
              <w:rPr>
                <w:rFonts w:ascii="Arial" w:eastAsia="MS Mincho" w:hAnsi="Arial" w:cs="Arial"/>
                <w:sz w:val="18"/>
                <w:szCs w:val="18"/>
                <w:lang w:val="en-US" w:eastAsia="zh-CN"/>
              </w:rPr>
              <w:t>CG</w:t>
            </w:r>
            <w:r w:rsidRPr="005E573F">
              <w:rPr>
                <w:rFonts w:ascii="Arial" w:eastAsia="MS Mincho" w:hAnsi="Arial" w:cs="Arial"/>
                <w:sz w:val="18"/>
                <w:szCs w:val="18"/>
                <w:lang w:val="en-US" w:eastAsia="zh-CN"/>
              </w:rPr>
              <w:t xml:space="preserve"> QT prolonged</w:t>
            </w:r>
          </w:p>
        </w:tc>
        <w:tc>
          <w:tcPr>
            <w:tcW w:w="1350" w:type="dxa"/>
            <w:tcBorders>
              <w:bottom w:val="single" w:sz="4" w:space="0" w:color="auto"/>
            </w:tcBorders>
            <w:shd w:val="clear" w:color="auto" w:fill="auto"/>
          </w:tcPr>
          <w:p w14:paraId="71CB73F7"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15 (4.5)</w:t>
            </w:r>
          </w:p>
        </w:tc>
        <w:tc>
          <w:tcPr>
            <w:tcW w:w="1350" w:type="dxa"/>
            <w:tcBorders>
              <w:bottom w:val="single" w:sz="4" w:space="0" w:color="auto"/>
            </w:tcBorders>
          </w:tcPr>
          <w:p w14:paraId="252CC431" w14:textId="77777777" w:rsidR="00B422A4" w:rsidRPr="00B422A4" w:rsidRDefault="00B422A4" w:rsidP="00465907">
            <w:pPr>
              <w:keepLines/>
              <w:tabs>
                <w:tab w:val="left" w:pos="284"/>
              </w:tabs>
              <w:spacing w:before="40" w:after="20"/>
              <w:jc w:val="center"/>
              <w:rPr>
                <w:rFonts w:ascii="ArialMT" w:hAnsi="ArialMT" w:cs="ArialMT"/>
                <w:sz w:val="18"/>
                <w:szCs w:val="18"/>
                <w:lang w:val="en-US" w:eastAsia="en-US"/>
              </w:rPr>
            </w:pPr>
            <w:r w:rsidRPr="00B422A4">
              <w:rPr>
                <w:rFonts w:ascii="Arial" w:eastAsia="MS Mincho" w:hAnsi="Arial" w:cs="Arial"/>
                <w:sz w:val="18"/>
                <w:szCs w:val="18"/>
                <w:lang w:val="en-US" w:eastAsia="zh-CN"/>
              </w:rPr>
              <w:t>4 (1.2)</w:t>
            </w:r>
          </w:p>
        </w:tc>
        <w:tc>
          <w:tcPr>
            <w:tcW w:w="1260" w:type="dxa"/>
            <w:tcBorders>
              <w:bottom w:val="single" w:sz="4" w:space="0" w:color="auto"/>
            </w:tcBorders>
            <w:shd w:val="clear" w:color="auto" w:fill="auto"/>
          </w:tcPr>
          <w:p w14:paraId="416F5036"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1 (0.3)</w:t>
            </w:r>
          </w:p>
        </w:tc>
        <w:tc>
          <w:tcPr>
            <w:tcW w:w="1170" w:type="dxa"/>
            <w:tcBorders>
              <w:bottom w:val="single" w:sz="4" w:space="0" w:color="auto"/>
            </w:tcBorders>
          </w:tcPr>
          <w:p w14:paraId="6664FB3C"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0</w:t>
            </w:r>
          </w:p>
        </w:tc>
        <w:tc>
          <w:tcPr>
            <w:tcW w:w="1391" w:type="dxa"/>
            <w:tcBorders>
              <w:bottom w:val="single" w:sz="4" w:space="0" w:color="auto"/>
            </w:tcBorders>
            <w:shd w:val="clear" w:color="auto" w:fill="auto"/>
          </w:tcPr>
          <w:p w14:paraId="4B0721E9" w14:textId="77777777" w:rsidR="00B422A4" w:rsidRPr="00B422A4" w:rsidRDefault="00B422A4" w:rsidP="00465907">
            <w:pPr>
              <w:keepLines/>
              <w:tabs>
                <w:tab w:val="left" w:pos="284"/>
              </w:tabs>
              <w:spacing w:before="40" w:after="20"/>
              <w:jc w:val="center"/>
              <w:rPr>
                <w:rFonts w:ascii="Arial" w:eastAsia="MS Mincho" w:hAnsi="Arial" w:cs="Arial"/>
                <w:sz w:val="18"/>
                <w:szCs w:val="18"/>
                <w:lang w:val="en-US" w:eastAsia="zh-CN"/>
              </w:rPr>
            </w:pPr>
            <w:r w:rsidRPr="00B422A4">
              <w:rPr>
                <w:rFonts w:ascii="Arial" w:eastAsia="MS Mincho" w:hAnsi="Arial" w:cs="Arial"/>
                <w:sz w:val="18"/>
                <w:szCs w:val="18"/>
                <w:lang w:val="en-US" w:eastAsia="zh-CN"/>
              </w:rPr>
              <w:t>Common</w:t>
            </w:r>
          </w:p>
        </w:tc>
      </w:tr>
      <w:tr w:rsidR="00B422A4" w:rsidRPr="00B422A4" w14:paraId="53F2D94A" w14:textId="77777777" w:rsidTr="00A62591">
        <w:tc>
          <w:tcPr>
            <w:tcW w:w="9000" w:type="dxa"/>
            <w:gridSpan w:val="6"/>
            <w:tcBorders>
              <w:top w:val="single" w:sz="4" w:space="0" w:color="auto"/>
            </w:tcBorders>
            <w:shd w:val="clear" w:color="auto" w:fill="auto"/>
            <w:vAlign w:val="center"/>
          </w:tcPr>
          <w:p w14:paraId="5A06B25B" w14:textId="7808ABA9" w:rsidR="006D7A5E" w:rsidRPr="006D7A5E" w:rsidRDefault="006D7A5E" w:rsidP="007412EC">
            <w:pPr>
              <w:keepLines/>
              <w:tabs>
                <w:tab w:val="left" w:pos="284"/>
              </w:tabs>
              <w:spacing w:before="40" w:after="20"/>
              <w:rPr>
                <w:rFonts w:ascii="Arial" w:eastAsia="MS Mincho" w:hAnsi="Arial" w:cs="Arial"/>
                <w:sz w:val="16"/>
                <w:szCs w:val="16"/>
                <w:lang w:val="en-US" w:eastAsia="zh-CN"/>
              </w:rPr>
            </w:pPr>
            <w:r w:rsidRPr="006D7A5E">
              <w:rPr>
                <w:rFonts w:ascii="Arial" w:eastAsia="MS Mincho" w:hAnsi="Arial" w:cs="Arial"/>
                <w:sz w:val="18"/>
                <w:szCs w:val="18"/>
                <w:vertAlign w:val="superscript"/>
                <w:lang w:val="en-US" w:eastAsia="zh-CN"/>
              </w:rPr>
              <w:t>1</w:t>
            </w:r>
            <w:r w:rsidRPr="006D7A5E">
              <w:rPr>
                <w:rFonts w:ascii="Arial" w:eastAsia="MS Mincho" w:hAnsi="Arial" w:cs="Arial"/>
                <w:sz w:val="16"/>
                <w:szCs w:val="16"/>
                <w:lang w:val="en-US" w:eastAsia="zh-CN"/>
              </w:rPr>
              <w:t>Hepatotoxicity: hepatocellular injury, drug induced liver injury, hepatotoxicity, hepatic failure “1 non-fatal case”, autoimmune hepatitis (single case)</w:t>
            </w:r>
          </w:p>
          <w:p w14:paraId="4DF538CE" w14:textId="77777777" w:rsidR="006D7A5E" w:rsidRPr="006D7A5E" w:rsidRDefault="006D7A5E" w:rsidP="007412EC">
            <w:pPr>
              <w:keepLines/>
              <w:tabs>
                <w:tab w:val="left" w:pos="284"/>
              </w:tabs>
              <w:spacing w:before="40" w:after="20"/>
              <w:rPr>
                <w:rFonts w:ascii="Arial" w:eastAsia="MS Mincho" w:hAnsi="Arial" w:cs="Arial"/>
                <w:sz w:val="16"/>
                <w:szCs w:val="16"/>
                <w:lang w:val="en-US" w:eastAsia="zh-CN"/>
              </w:rPr>
            </w:pPr>
            <w:r w:rsidRPr="006D7A5E">
              <w:rPr>
                <w:rFonts w:ascii="Arial" w:eastAsia="MS Mincho" w:hAnsi="Arial" w:cs="Arial"/>
                <w:sz w:val="18"/>
                <w:szCs w:val="18"/>
                <w:vertAlign w:val="superscript"/>
                <w:lang w:val="en-US" w:eastAsia="zh-CN"/>
              </w:rPr>
              <w:t>2</w:t>
            </w:r>
            <w:r w:rsidRPr="006D7A5E">
              <w:rPr>
                <w:rFonts w:ascii="Arial" w:eastAsia="MS Mincho" w:hAnsi="Arial" w:cs="Arial"/>
                <w:sz w:val="16"/>
                <w:szCs w:val="16"/>
                <w:lang w:val="en-US" w:eastAsia="zh-CN"/>
              </w:rPr>
              <w:t>Rash: rash, rash maculopapular</w:t>
            </w:r>
          </w:p>
          <w:p w14:paraId="4AA5C13B" w14:textId="592365CB" w:rsidR="00B422A4" w:rsidRPr="00B422A4" w:rsidRDefault="006D7A5E" w:rsidP="007412EC">
            <w:pPr>
              <w:keepLines/>
              <w:tabs>
                <w:tab w:val="left" w:pos="284"/>
              </w:tabs>
              <w:spacing w:before="40" w:after="20"/>
              <w:rPr>
                <w:rFonts w:ascii="Arial" w:eastAsia="MS Mincho" w:hAnsi="Arial" w:cs="Arial"/>
                <w:sz w:val="18"/>
                <w:szCs w:val="18"/>
                <w:vertAlign w:val="superscript"/>
                <w:lang w:val="en-US" w:eastAsia="zh-CN"/>
              </w:rPr>
            </w:pPr>
            <w:r w:rsidRPr="006D7A5E">
              <w:rPr>
                <w:rFonts w:ascii="Arial" w:eastAsia="MS Mincho" w:hAnsi="Arial" w:cs="Arial"/>
                <w:sz w:val="18"/>
                <w:szCs w:val="18"/>
                <w:vertAlign w:val="superscript"/>
                <w:lang w:val="en-US" w:eastAsia="zh-CN"/>
              </w:rPr>
              <w:t>3</w:t>
            </w:r>
            <w:r w:rsidRPr="006D7A5E">
              <w:rPr>
                <w:rFonts w:ascii="Arial" w:eastAsia="MS Mincho" w:hAnsi="Arial" w:cs="Arial"/>
                <w:sz w:val="16"/>
                <w:szCs w:val="16"/>
                <w:lang w:val="en-US" w:eastAsia="zh-CN"/>
              </w:rPr>
              <w:t>Abnormal liver function tests: ALT increased, AST increased, blood bilirubin increased</w:t>
            </w:r>
          </w:p>
        </w:tc>
      </w:tr>
    </w:tbl>
    <w:p w14:paraId="38A6DB15" w14:textId="77777777" w:rsidR="00E975E8" w:rsidRPr="00E975E8" w:rsidRDefault="00E975E8" w:rsidP="00E975E8">
      <w:pPr>
        <w:spacing w:before="120"/>
        <w:jc w:val="both"/>
        <w:rPr>
          <w:rFonts w:eastAsia="MS Mincho"/>
          <w:b/>
          <w:lang w:val="en-US" w:eastAsia="zh-CN"/>
        </w:rPr>
      </w:pPr>
      <w:r w:rsidRPr="00E975E8">
        <w:rPr>
          <w:rFonts w:eastAsia="MS Mincho"/>
          <w:b/>
          <w:lang w:val="en-US" w:eastAsia="zh-CN"/>
        </w:rPr>
        <w:t>Laboratory abnormalities</w:t>
      </w:r>
    </w:p>
    <w:p w14:paraId="742F8254" w14:textId="5BD9B629" w:rsidR="00E975E8" w:rsidRDefault="00E975E8" w:rsidP="00E975E8">
      <w:pPr>
        <w:spacing w:before="120"/>
        <w:jc w:val="both"/>
        <w:rPr>
          <w:rFonts w:eastAsia="MS Mincho"/>
          <w:lang w:val="en-US" w:eastAsia="zh-CN"/>
        </w:rPr>
      </w:pPr>
      <w:r w:rsidRPr="00E975E8">
        <w:rPr>
          <w:rFonts w:eastAsia="MS Mincho"/>
          <w:lang w:val="en-US" w:eastAsia="zh-CN"/>
        </w:rPr>
        <w:t xml:space="preserve">Clinically relevant or severe abnormalities of routine hematological or biochemical laboratory values </w:t>
      </w:r>
      <w:proofErr w:type="gramStart"/>
      <w:r w:rsidRPr="00E975E8">
        <w:rPr>
          <w:rFonts w:eastAsia="MS Mincho"/>
          <w:lang w:val="en-US" w:eastAsia="zh-CN"/>
        </w:rPr>
        <w:t>are presented</w:t>
      </w:r>
      <w:proofErr w:type="gramEnd"/>
      <w:r w:rsidRPr="00E975E8">
        <w:rPr>
          <w:rFonts w:eastAsia="MS Mincho"/>
          <w:lang w:val="en-US" w:eastAsia="zh-CN"/>
        </w:rPr>
        <w:t xml:space="preserve"> in Table </w:t>
      </w:r>
      <w:r w:rsidR="00830E53">
        <w:rPr>
          <w:rFonts w:eastAsia="MS Mincho"/>
          <w:lang w:val="en-US" w:eastAsia="zh-CN"/>
        </w:rPr>
        <w:t>3</w:t>
      </w:r>
      <w:r w:rsidR="00D76CF5">
        <w:rPr>
          <w:rFonts w:eastAsia="MS Mincho"/>
          <w:lang w:val="en-US" w:eastAsia="zh-CN"/>
        </w:rPr>
        <w:t>.</w:t>
      </w:r>
    </w:p>
    <w:p w14:paraId="0872AACD" w14:textId="29953B5C" w:rsidR="00B26819" w:rsidRPr="00E975E8" w:rsidRDefault="00B26819" w:rsidP="00D76CF5">
      <w:pPr>
        <w:keepNext/>
        <w:keepLines/>
        <w:spacing w:before="240" w:after="60"/>
        <w:ind w:left="1701" w:hanging="1701"/>
        <w:outlineLvl w:val="5"/>
        <w:rPr>
          <w:rFonts w:ascii="Arial" w:eastAsia="MS Gothic" w:hAnsi="Arial" w:cs="Arial"/>
          <w:b/>
          <w:sz w:val="22"/>
          <w:szCs w:val="20"/>
          <w:lang w:val="en-US" w:eastAsia="zh-CN"/>
        </w:rPr>
      </w:pPr>
      <w:bookmarkStart w:id="17" w:name="_Toc422250001"/>
      <w:bookmarkStart w:id="18" w:name="_Toc441502900"/>
      <w:r w:rsidRPr="00E975E8">
        <w:rPr>
          <w:rFonts w:ascii="Arial" w:eastAsia="MS Gothic" w:hAnsi="Arial" w:cs="Arial"/>
          <w:b/>
          <w:sz w:val="22"/>
          <w:szCs w:val="20"/>
          <w:lang w:val="en-US" w:eastAsia="zh-CN"/>
        </w:rPr>
        <w:t xml:space="preserve">Table </w:t>
      </w:r>
      <w:proofErr w:type="gramStart"/>
      <w:r w:rsidR="00830E53">
        <w:rPr>
          <w:rFonts w:ascii="Arial" w:eastAsia="MS Gothic" w:hAnsi="Arial" w:cs="Arial"/>
          <w:b/>
          <w:sz w:val="22"/>
          <w:szCs w:val="20"/>
          <w:lang w:val="en-US" w:eastAsia="zh-CN"/>
        </w:rPr>
        <w:t>3</w:t>
      </w:r>
      <w:proofErr w:type="gramEnd"/>
      <w:r w:rsidRPr="00E975E8">
        <w:rPr>
          <w:rFonts w:ascii="Arial" w:eastAsia="MS Gothic" w:hAnsi="Arial" w:cs="Arial"/>
          <w:b/>
          <w:sz w:val="22"/>
          <w:szCs w:val="20"/>
          <w:lang w:val="en-US" w:eastAsia="zh-CN"/>
        </w:rPr>
        <w:tab/>
        <w:t>Laboratory abnormalities observed in the phase III clinical trial</w:t>
      </w:r>
      <w:bookmarkEnd w:id="17"/>
      <w:bookmarkEnd w:id="18"/>
      <w:r>
        <w:rPr>
          <w:rFonts w:ascii="Arial" w:eastAsia="MS Gothic" w:hAnsi="Arial" w:cs="Arial"/>
          <w:b/>
          <w:sz w:val="22"/>
          <w:szCs w:val="20"/>
          <w:lang w:val="en-US" w:eastAsia="zh-CN"/>
        </w:rPr>
        <w:t xml:space="preserve"> A2301</w:t>
      </w:r>
    </w:p>
    <w:tbl>
      <w:tblPr>
        <w:tblW w:w="9869" w:type="dxa"/>
        <w:tblInd w:w="-108" w:type="dxa"/>
        <w:tblLayout w:type="fixed"/>
        <w:tblLook w:val="0000" w:firstRow="0" w:lastRow="0" w:firstColumn="0" w:lastColumn="0" w:noHBand="0" w:noVBand="0"/>
      </w:tblPr>
      <w:tblGrid>
        <w:gridCol w:w="3232"/>
        <w:gridCol w:w="1242"/>
        <w:gridCol w:w="1457"/>
        <w:gridCol w:w="1316"/>
        <w:gridCol w:w="1135"/>
        <w:gridCol w:w="1487"/>
      </w:tblGrid>
      <w:tr w:rsidR="00B26819" w:rsidRPr="009051BC" w14:paraId="73F7B4E4" w14:textId="77777777" w:rsidTr="0018664B">
        <w:trPr>
          <w:trHeight w:val="1228"/>
          <w:tblHeader/>
        </w:trPr>
        <w:tc>
          <w:tcPr>
            <w:tcW w:w="3232" w:type="dxa"/>
            <w:tcBorders>
              <w:top w:val="single" w:sz="4" w:space="0" w:color="auto"/>
              <w:bottom w:val="single" w:sz="4" w:space="0" w:color="auto"/>
            </w:tcBorders>
            <w:shd w:val="clear" w:color="auto" w:fill="auto"/>
            <w:vAlign w:val="bottom"/>
          </w:tcPr>
          <w:p w14:paraId="320F307F" w14:textId="77777777" w:rsidR="00B26819" w:rsidRPr="001A75BE" w:rsidRDefault="00B26819" w:rsidP="00D76CF5">
            <w:pPr>
              <w:keepNext/>
              <w:keepLines/>
              <w:tabs>
                <w:tab w:val="left" w:pos="284"/>
              </w:tabs>
              <w:spacing w:before="40" w:after="20"/>
              <w:rPr>
                <w:rFonts w:ascii="Arial" w:eastAsia="MS Mincho" w:hAnsi="Arial" w:cs="Arial"/>
                <w:sz w:val="18"/>
                <w:szCs w:val="18"/>
                <w:lang w:val="en-US" w:eastAsia="zh-CN"/>
              </w:rPr>
            </w:pPr>
            <w:r w:rsidRPr="001A75BE">
              <w:rPr>
                <w:rFonts w:ascii="Arial" w:eastAsia="MS Mincho" w:hAnsi="Arial" w:cs="Arial"/>
                <w:b/>
                <w:sz w:val="18"/>
                <w:szCs w:val="18"/>
                <w:lang w:val="en-US" w:eastAsia="zh-CN"/>
              </w:rPr>
              <w:t>Laboratory abnormalities</w:t>
            </w:r>
          </w:p>
        </w:tc>
        <w:tc>
          <w:tcPr>
            <w:tcW w:w="1242" w:type="dxa"/>
            <w:tcBorders>
              <w:top w:val="single" w:sz="4" w:space="0" w:color="auto"/>
              <w:bottom w:val="single" w:sz="4" w:space="0" w:color="auto"/>
            </w:tcBorders>
            <w:shd w:val="clear" w:color="auto" w:fill="auto"/>
            <w:vAlign w:val="center"/>
          </w:tcPr>
          <w:p w14:paraId="0BC4508E"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en-US" w:eastAsia="zh-CN"/>
              </w:rPr>
            </w:pPr>
            <w:r w:rsidRPr="001A75BE">
              <w:rPr>
                <w:rFonts w:ascii="Arial" w:eastAsia="MS Mincho" w:hAnsi="Arial" w:cs="Arial"/>
                <w:b/>
                <w:sz w:val="18"/>
                <w:szCs w:val="18"/>
                <w:lang w:val="en-US" w:eastAsia="zh-CN"/>
              </w:rPr>
              <w:t xml:space="preserve">KISQALI + </w:t>
            </w:r>
            <w:proofErr w:type="spellStart"/>
            <w:r w:rsidRPr="001A75BE">
              <w:rPr>
                <w:rFonts w:ascii="Arial" w:eastAsia="MS Mincho" w:hAnsi="Arial" w:cs="Arial"/>
                <w:b/>
                <w:sz w:val="18"/>
                <w:szCs w:val="18"/>
                <w:lang w:val="en-US" w:eastAsia="zh-CN"/>
              </w:rPr>
              <w:t>Letrozole</w:t>
            </w:r>
            <w:proofErr w:type="spellEnd"/>
          </w:p>
          <w:p w14:paraId="055317F4"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en-US" w:eastAsia="zh-CN"/>
              </w:rPr>
            </w:pPr>
            <w:r w:rsidRPr="001A75BE">
              <w:rPr>
                <w:rFonts w:ascii="Arial" w:eastAsia="MS Mincho" w:hAnsi="Arial" w:cs="Arial"/>
                <w:b/>
                <w:sz w:val="18"/>
                <w:szCs w:val="18"/>
                <w:lang w:val="en-US" w:eastAsia="zh-CN"/>
              </w:rPr>
              <w:t>N=334</w:t>
            </w:r>
          </w:p>
          <w:p w14:paraId="5FCAA03D"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en-US" w:eastAsia="zh-CN"/>
              </w:rPr>
            </w:pPr>
            <w:proofErr w:type="gramStart"/>
            <w:r w:rsidRPr="001A75BE">
              <w:rPr>
                <w:rFonts w:ascii="Arial" w:eastAsia="MS Mincho" w:hAnsi="Arial" w:cs="Arial"/>
                <w:b/>
                <w:sz w:val="18"/>
                <w:szCs w:val="18"/>
                <w:lang w:val="en-US" w:eastAsia="zh-CN"/>
              </w:rPr>
              <w:t>n</w:t>
            </w:r>
            <w:proofErr w:type="gramEnd"/>
            <w:r w:rsidRPr="001A75BE">
              <w:rPr>
                <w:rFonts w:ascii="Arial" w:eastAsia="MS Mincho" w:hAnsi="Arial" w:cs="Arial"/>
                <w:b/>
                <w:sz w:val="18"/>
                <w:szCs w:val="18"/>
                <w:lang w:val="en-US" w:eastAsia="zh-CN"/>
              </w:rPr>
              <w:t xml:space="preserve"> (%)</w:t>
            </w:r>
          </w:p>
          <w:p w14:paraId="7B7231A1" w14:textId="77777777" w:rsidR="00B26819" w:rsidRPr="001A75BE" w:rsidRDefault="00B26819" w:rsidP="00D76CF5">
            <w:pPr>
              <w:keepNext/>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b/>
                <w:sz w:val="18"/>
                <w:szCs w:val="18"/>
                <w:lang w:val="en-US" w:eastAsia="zh-CN"/>
              </w:rPr>
              <w:t>All grades</w:t>
            </w:r>
          </w:p>
        </w:tc>
        <w:tc>
          <w:tcPr>
            <w:tcW w:w="1457" w:type="dxa"/>
            <w:tcBorders>
              <w:top w:val="single" w:sz="4" w:space="0" w:color="auto"/>
              <w:bottom w:val="single" w:sz="4" w:space="0" w:color="auto"/>
            </w:tcBorders>
            <w:shd w:val="clear" w:color="auto" w:fill="auto"/>
            <w:vAlign w:val="center"/>
          </w:tcPr>
          <w:p w14:paraId="66E6D5C9"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en-US" w:eastAsia="zh-CN"/>
              </w:rPr>
            </w:pPr>
            <w:r w:rsidRPr="001A75BE">
              <w:rPr>
                <w:rFonts w:ascii="Arial" w:eastAsia="MS Mincho" w:hAnsi="Arial" w:cs="Arial"/>
                <w:b/>
                <w:sz w:val="18"/>
                <w:szCs w:val="18"/>
                <w:lang w:val="en-US" w:eastAsia="zh-CN"/>
              </w:rPr>
              <w:t xml:space="preserve">Placebo + </w:t>
            </w:r>
            <w:proofErr w:type="spellStart"/>
            <w:r w:rsidRPr="001A75BE">
              <w:rPr>
                <w:rFonts w:ascii="Arial" w:eastAsia="MS Mincho" w:hAnsi="Arial" w:cs="Arial"/>
                <w:b/>
                <w:sz w:val="18"/>
                <w:szCs w:val="18"/>
                <w:lang w:val="en-US" w:eastAsia="zh-CN"/>
              </w:rPr>
              <w:t>Letrozole</w:t>
            </w:r>
            <w:proofErr w:type="spellEnd"/>
          </w:p>
          <w:p w14:paraId="40A47A3A"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en-US" w:eastAsia="zh-CN"/>
              </w:rPr>
            </w:pPr>
            <w:r w:rsidRPr="001A75BE">
              <w:rPr>
                <w:rFonts w:ascii="Arial" w:eastAsia="MS Mincho" w:hAnsi="Arial" w:cs="Arial"/>
                <w:b/>
                <w:sz w:val="18"/>
                <w:szCs w:val="18"/>
                <w:lang w:val="en-US" w:eastAsia="zh-CN"/>
              </w:rPr>
              <w:t>N=330</w:t>
            </w:r>
          </w:p>
          <w:p w14:paraId="00F1E6BB"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en-US" w:eastAsia="zh-CN"/>
              </w:rPr>
            </w:pPr>
            <w:proofErr w:type="gramStart"/>
            <w:r w:rsidRPr="001A75BE">
              <w:rPr>
                <w:rFonts w:ascii="Arial" w:eastAsia="MS Mincho" w:hAnsi="Arial" w:cs="Arial"/>
                <w:b/>
                <w:sz w:val="18"/>
                <w:szCs w:val="18"/>
                <w:lang w:val="en-US" w:eastAsia="zh-CN"/>
              </w:rPr>
              <w:t>n</w:t>
            </w:r>
            <w:proofErr w:type="gramEnd"/>
            <w:r w:rsidRPr="001A75BE">
              <w:rPr>
                <w:rFonts w:ascii="Arial" w:eastAsia="MS Mincho" w:hAnsi="Arial" w:cs="Arial"/>
                <w:b/>
                <w:sz w:val="18"/>
                <w:szCs w:val="18"/>
                <w:lang w:val="en-US" w:eastAsia="zh-CN"/>
              </w:rPr>
              <w:t xml:space="preserve"> (%)</w:t>
            </w:r>
          </w:p>
          <w:p w14:paraId="5B2D3760" w14:textId="77777777" w:rsidR="00B26819" w:rsidRPr="001A75BE" w:rsidRDefault="00B26819" w:rsidP="00D76CF5">
            <w:pPr>
              <w:keepNext/>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b/>
                <w:sz w:val="18"/>
                <w:szCs w:val="18"/>
                <w:lang w:val="en-US" w:eastAsia="zh-CN"/>
              </w:rPr>
              <w:t>All grades</w:t>
            </w:r>
          </w:p>
        </w:tc>
        <w:tc>
          <w:tcPr>
            <w:tcW w:w="1316" w:type="dxa"/>
            <w:tcBorders>
              <w:top w:val="single" w:sz="4" w:space="0" w:color="auto"/>
              <w:bottom w:val="single" w:sz="4" w:space="0" w:color="auto"/>
            </w:tcBorders>
            <w:shd w:val="clear" w:color="auto" w:fill="auto"/>
            <w:vAlign w:val="center"/>
          </w:tcPr>
          <w:p w14:paraId="70B2347E"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it-IT" w:eastAsia="zh-CN"/>
              </w:rPr>
            </w:pPr>
            <w:r w:rsidRPr="001A75BE">
              <w:rPr>
                <w:rFonts w:ascii="Arial" w:eastAsia="MS Mincho" w:hAnsi="Arial" w:cs="Arial"/>
                <w:b/>
                <w:sz w:val="18"/>
                <w:szCs w:val="18"/>
                <w:lang w:val="it-IT" w:eastAsia="zh-CN"/>
              </w:rPr>
              <w:t>KISQALI + Letrozole</w:t>
            </w:r>
          </w:p>
          <w:p w14:paraId="7F94AA2C"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it-IT" w:eastAsia="zh-CN"/>
              </w:rPr>
            </w:pPr>
            <w:r w:rsidRPr="001A75BE">
              <w:rPr>
                <w:rFonts w:ascii="Arial" w:eastAsia="MS Mincho" w:hAnsi="Arial" w:cs="Arial"/>
                <w:b/>
                <w:sz w:val="18"/>
                <w:szCs w:val="18"/>
                <w:lang w:val="it-IT" w:eastAsia="zh-CN"/>
              </w:rPr>
              <w:t>N=334</w:t>
            </w:r>
          </w:p>
          <w:p w14:paraId="0551697A"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it-IT" w:eastAsia="zh-CN"/>
              </w:rPr>
            </w:pPr>
            <w:r w:rsidRPr="001A75BE">
              <w:rPr>
                <w:rFonts w:ascii="Arial" w:eastAsia="MS Mincho" w:hAnsi="Arial" w:cs="Arial"/>
                <w:b/>
                <w:sz w:val="18"/>
                <w:szCs w:val="18"/>
                <w:lang w:val="it-IT" w:eastAsia="zh-CN"/>
              </w:rPr>
              <w:t>n (%)</w:t>
            </w:r>
          </w:p>
          <w:p w14:paraId="1F481ACE" w14:textId="77777777" w:rsidR="00B26819" w:rsidRPr="001A75BE" w:rsidRDefault="00B26819" w:rsidP="00D76CF5">
            <w:pPr>
              <w:keepNext/>
              <w:keepLines/>
              <w:tabs>
                <w:tab w:val="left" w:pos="284"/>
              </w:tabs>
              <w:spacing w:before="40" w:after="20"/>
              <w:jc w:val="center"/>
              <w:rPr>
                <w:rFonts w:ascii="Arial" w:eastAsia="MS Mincho" w:hAnsi="Arial" w:cs="Arial"/>
                <w:sz w:val="18"/>
                <w:szCs w:val="18"/>
                <w:lang w:val="it-IT" w:eastAsia="zh-CN"/>
              </w:rPr>
            </w:pPr>
            <w:r w:rsidRPr="001A75BE">
              <w:rPr>
                <w:rFonts w:ascii="Arial" w:eastAsia="MS Mincho" w:hAnsi="Arial" w:cs="Arial"/>
                <w:b/>
                <w:sz w:val="18"/>
                <w:szCs w:val="18"/>
                <w:lang w:val="it-IT" w:eastAsia="zh-CN"/>
              </w:rPr>
              <w:t>Grades 3-4</w:t>
            </w:r>
          </w:p>
        </w:tc>
        <w:tc>
          <w:tcPr>
            <w:tcW w:w="1135" w:type="dxa"/>
            <w:tcBorders>
              <w:top w:val="single" w:sz="4" w:space="0" w:color="auto"/>
              <w:bottom w:val="single" w:sz="4" w:space="0" w:color="auto"/>
            </w:tcBorders>
            <w:shd w:val="clear" w:color="auto" w:fill="auto"/>
            <w:vAlign w:val="center"/>
          </w:tcPr>
          <w:p w14:paraId="2C390E21"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en-US" w:eastAsia="zh-CN"/>
              </w:rPr>
            </w:pPr>
            <w:r w:rsidRPr="001A75BE">
              <w:rPr>
                <w:rFonts w:ascii="Arial" w:eastAsia="MS Mincho" w:hAnsi="Arial" w:cs="Arial"/>
                <w:b/>
                <w:sz w:val="18"/>
                <w:szCs w:val="18"/>
                <w:lang w:val="en-US" w:eastAsia="zh-CN"/>
              </w:rPr>
              <w:t xml:space="preserve">Placebo + </w:t>
            </w:r>
            <w:proofErr w:type="spellStart"/>
            <w:r w:rsidRPr="001A75BE">
              <w:rPr>
                <w:rFonts w:ascii="Arial" w:eastAsia="MS Mincho" w:hAnsi="Arial" w:cs="Arial"/>
                <w:b/>
                <w:sz w:val="18"/>
                <w:szCs w:val="18"/>
                <w:lang w:val="en-US" w:eastAsia="zh-CN"/>
              </w:rPr>
              <w:t>Letrozole</w:t>
            </w:r>
            <w:proofErr w:type="spellEnd"/>
          </w:p>
          <w:p w14:paraId="23DFD1CB"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en-US" w:eastAsia="zh-CN"/>
              </w:rPr>
            </w:pPr>
            <w:r w:rsidRPr="001A75BE">
              <w:rPr>
                <w:rFonts w:ascii="Arial" w:eastAsia="MS Mincho" w:hAnsi="Arial" w:cs="Arial"/>
                <w:b/>
                <w:sz w:val="18"/>
                <w:szCs w:val="18"/>
                <w:lang w:val="en-US" w:eastAsia="zh-CN"/>
              </w:rPr>
              <w:t>N=330</w:t>
            </w:r>
          </w:p>
          <w:p w14:paraId="5C802F5D"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en-US" w:eastAsia="zh-CN"/>
              </w:rPr>
            </w:pPr>
            <w:proofErr w:type="gramStart"/>
            <w:r w:rsidRPr="001A75BE">
              <w:rPr>
                <w:rFonts w:ascii="Arial" w:eastAsia="MS Mincho" w:hAnsi="Arial" w:cs="Arial"/>
                <w:b/>
                <w:sz w:val="18"/>
                <w:szCs w:val="18"/>
                <w:lang w:val="en-US" w:eastAsia="zh-CN"/>
              </w:rPr>
              <w:t>n</w:t>
            </w:r>
            <w:proofErr w:type="gramEnd"/>
            <w:r w:rsidRPr="001A75BE">
              <w:rPr>
                <w:rFonts w:ascii="Arial" w:eastAsia="MS Mincho" w:hAnsi="Arial" w:cs="Arial"/>
                <w:b/>
                <w:sz w:val="18"/>
                <w:szCs w:val="18"/>
                <w:lang w:val="en-US" w:eastAsia="zh-CN"/>
              </w:rPr>
              <w:t xml:space="preserve"> (%)</w:t>
            </w:r>
          </w:p>
          <w:p w14:paraId="3CA5DBBA" w14:textId="77777777" w:rsidR="00B26819" w:rsidRPr="001A75BE" w:rsidRDefault="00B26819" w:rsidP="00D76CF5">
            <w:pPr>
              <w:keepNext/>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b/>
                <w:sz w:val="18"/>
                <w:szCs w:val="18"/>
                <w:lang w:val="en-US" w:eastAsia="zh-CN"/>
              </w:rPr>
              <w:t>Grades 3-4</w:t>
            </w:r>
          </w:p>
        </w:tc>
        <w:tc>
          <w:tcPr>
            <w:tcW w:w="1487" w:type="dxa"/>
            <w:tcBorders>
              <w:top w:val="single" w:sz="4" w:space="0" w:color="auto"/>
              <w:bottom w:val="single" w:sz="4" w:space="0" w:color="auto"/>
            </w:tcBorders>
            <w:shd w:val="clear" w:color="auto" w:fill="auto"/>
            <w:vAlign w:val="center"/>
          </w:tcPr>
          <w:p w14:paraId="41EB3959" w14:textId="64A1808E" w:rsidR="00B26819" w:rsidRPr="001A75BE" w:rsidRDefault="00B26819" w:rsidP="00D76CF5">
            <w:pPr>
              <w:keepNext/>
              <w:keepLines/>
              <w:tabs>
                <w:tab w:val="left" w:pos="284"/>
              </w:tabs>
              <w:spacing w:before="40" w:after="20"/>
              <w:jc w:val="center"/>
              <w:rPr>
                <w:rFonts w:ascii="Arial" w:eastAsia="MS Mincho" w:hAnsi="Arial" w:cs="Arial"/>
                <w:b/>
                <w:sz w:val="18"/>
                <w:szCs w:val="18"/>
                <w:lang w:val="en-US" w:eastAsia="zh-CN"/>
              </w:rPr>
            </w:pPr>
            <w:r w:rsidRPr="001A75BE">
              <w:rPr>
                <w:rFonts w:ascii="Arial" w:eastAsia="MS Mincho" w:hAnsi="Arial" w:cs="Arial"/>
                <w:b/>
                <w:sz w:val="18"/>
                <w:szCs w:val="18"/>
                <w:lang w:val="en-US" w:eastAsia="zh-CN"/>
              </w:rPr>
              <w:t>Frequency category</w:t>
            </w:r>
          </w:p>
          <w:p w14:paraId="7803EFCF" w14:textId="77777777" w:rsidR="00B26819" w:rsidRPr="001A75BE" w:rsidRDefault="00B26819" w:rsidP="00D76CF5">
            <w:pPr>
              <w:keepNext/>
              <w:keepLines/>
              <w:tabs>
                <w:tab w:val="left" w:pos="284"/>
              </w:tabs>
              <w:spacing w:before="40" w:after="20"/>
              <w:jc w:val="center"/>
              <w:rPr>
                <w:rFonts w:ascii="Arial" w:eastAsia="MS Mincho" w:hAnsi="Arial" w:cs="Arial"/>
                <w:b/>
                <w:sz w:val="18"/>
                <w:szCs w:val="18"/>
                <w:lang w:val="en-US" w:eastAsia="zh-CN"/>
              </w:rPr>
            </w:pPr>
            <w:r w:rsidRPr="001A75BE">
              <w:rPr>
                <w:rFonts w:ascii="Arial" w:eastAsia="MS Mincho" w:hAnsi="Arial" w:cs="Arial"/>
                <w:b/>
                <w:sz w:val="18"/>
                <w:szCs w:val="18"/>
                <w:lang w:val="en-US" w:eastAsia="zh-CN"/>
              </w:rPr>
              <w:t>(all grades)</w:t>
            </w:r>
          </w:p>
          <w:p w14:paraId="4A13C84B" w14:textId="77777777" w:rsidR="00B26819" w:rsidRPr="001A75BE" w:rsidRDefault="00B26819" w:rsidP="00D76CF5">
            <w:pPr>
              <w:keepNext/>
              <w:keepLines/>
              <w:tabs>
                <w:tab w:val="left" w:pos="284"/>
              </w:tabs>
              <w:spacing w:before="40" w:after="20"/>
              <w:rPr>
                <w:rFonts w:ascii="Arial" w:eastAsia="MS Mincho" w:hAnsi="Arial" w:cs="Arial"/>
                <w:sz w:val="18"/>
                <w:szCs w:val="18"/>
                <w:lang w:val="en-US" w:eastAsia="zh-CN"/>
              </w:rPr>
            </w:pPr>
          </w:p>
        </w:tc>
      </w:tr>
      <w:tr w:rsidR="00B26819" w:rsidRPr="009051BC" w14:paraId="356E922B" w14:textId="77777777" w:rsidTr="0018664B">
        <w:trPr>
          <w:trHeight w:val="271"/>
        </w:trPr>
        <w:tc>
          <w:tcPr>
            <w:tcW w:w="9869" w:type="dxa"/>
            <w:gridSpan w:val="6"/>
            <w:tcBorders>
              <w:top w:val="single" w:sz="4" w:space="0" w:color="auto"/>
            </w:tcBorders>
            <w:shd w:val="clear" w:color="auto" w:fill="auto"/>
          </w:tcPr>
          <w:p w14:paraId="00E39242" w14:textId="77777777" w:rsidR="00B26819" w:rsidRPr="001A75BE" w:rsidRDefault="00B26819" w:rsidP="00D76CF5">
            <w:pPr>
              <w:keepNext/>
              <w:keepLines/>
              <w:tabs>
                <w:tab w:val="left" w:pos="284"/>
              </w:tabs>
              <w:spacing w:before="40" w:after="20"/>
              <w:rPr>
                <w:rFonts w:ascii="Arial" w:eastAsia="MS Mincho" w:hAnsi="Arial" w:cs="Arial"/>
                <w:b/>
                <w:sz w:val="18"/>
                <w:szCs w:val="18"/>
                <w:lang w:val="en-US" w:eastAsia="zh-CN"/>
              </w:rPr>
            </w:pPr>
            <w:r w:rsidRPr="001A75BE">
              <w:rPr>
                <w:rFonts w:ascii="Arial" w:eastAsia="MS Mincho" w:hAnsi="Arial" w:cs="Arial"/>
                <w:b/>
                <w:sz w:val="18"/>
                <w:szCs w:val="18"/>
                <w:lang w:val="en-US" w:eastAsia="zh-CN"/>
              </w:rPr>
              <w:t>Hematological parameters</w:t>
            </w:r>
          </w:p>
        </w:tc>
      </w:tr>
      <w:tr w:rsidR="00B26819" w:rsidRPr="009051BC" w14:paraId="44586D11" w14:textId="77777777" w:rsidTr="0018664B">
        <w:trPr>
          <w:trHeight w:val="262"/>
        </w:trPr>
        <w:tc>
          <w:tcPr>
            <w:tcW w:w="3232" w:type="dxa"/>
            <w:shd w:val="clear" w:color="auto" w:fill="auto"/>
          </w:tcPr>
          <w:p w14:paraId="50539EB8" w14:textId="2AFEF90E" w:rsidR="00B26819" w:rsidRPr="001A75BE" w:rsidRDefault="00B26819" w:rsidP="00D76CF5">
            <w:pPr>
              <w:keepNext/>
              <w:keepLines/>
              <w:tabs>
                <w:tab w:val="left" w:pos="284"/>
              </w:tabs>
              <w:spacing w:before="40" w:after="20"/>
              <w:jc w:val="right"/>
              <w:rPr>
                <w:rFonts w:ascii="Arial" w:eastAsia="MS Mincho" w:hAnsi="Arial" w:cs="Arial"/>
                <w:i/>
                <w:sz w:val="18"/>
                <w:szCs w:val="18"/>
                <w:lang w:val="en-US" w:eastAsia="zh-CN"/>
              </w:rPr>
            </w:pPr>
            <w:r w:rsidRPr="001A75BE">
              <w:rPr>
                <w:rFonts w:ascii="Arial" w:eastAsia="MS Mincho" w:hAnsi="Arial" w:cs="Arial"/>
                <w:sz w:val="18"/>
                <w:szCs w:val="18"/>
                <w:lang w:val="en-US" w:eastAsia="zh-CN"/>
              </w:rPr>
              <w:t>Leukocyte count decreased</w:t>
            </w:r>
          </w:p>
        </w:tc>
        <w:tc>
          <w:tcPr>
            <w:tcW w:w="1242" w:type="dxa"/>
            <w:shd w:val="clear" w:color="auto" w:fill="auto"/>
          </w:tcPr>
          <w:p w14:paraId="32FCE5DE" w14:textId="77777777" w:rsidR="00B26819" w:rsidRPr="001A75BE" w:rsidRDefault="00B26819" w:rsidP="00D76CF5">
            <w:pPr>
              <w:keepNext/>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311 (93.1)</w:t>
            </w:r>
          </w:p>
        </w:tc>
        <w:tc>
          <w:tcPr>
            <w:tcW w:w="1457" w:type="dxa"/>
            <w:shd w:val="clear" w:color="auto" w:fill="auto"/>
          </w:tcPr>
          <w:p w14:paraId="2B0B3424" w14:textId="77777777" w:rsidR="00B26819" w:rsidRPr="001A75BE" w:rsidRDefault="00B26819" w:rsidP="00D76CF5">
            <w:pPr>
              <w:keepNext/>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97 (29.4)</w:t>
            </w:r>
          </w:p>
        </w:tc>
        <w:tc>
          <w:tcPr>
            <w:tcW w:w="1316" w:type="dxa"/>
            <w:shd w:val="clear" w:color="auto" w:fill="auto"/>
          </w:tcPr>
          <w:p w14:paraId="67DC0F49" w14:textId="77777777" w:rsidR="00B26819" w:rsidRPr="001A75BE" w:rsidRDefault="00B26819" w:rsidP="00D76CF5">
            <w:pPr>
              <w:keepNext/>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115 (34.4)</w:t>
            </w:r>
          </w:p>
        </w:tc>
        <w:tc>
          <w:tcPr>
            <w:tcW w:w="1135" w:type="dxa"/>
            <w:shd w:val="clear" w:color="auto" w:fill="auto"/>
          </w:tcPr>
          <w:p w14:paraId="004344EE" w14:textId="77777777" w:rsidR="00B26819" w:rsidRPr="001A75BE" w:rsidRDefault="00B26819" w:rsidP="00D76CF5">
            <w:pPr>
              <w:keepNext/>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5 (1.5)</w:t>
            </w:r>
          </w:p>
        </w:tc>
        <w:tc>
          <w:tcPr>
            <w:tcW w:w="1487" w:type="dxa"/>
            <w:shd w:val="clear" w:color="auto" w:fill="auto"/>
          </w:tcPr>
          <w:p w14:paraId="2FB81708" w14:textId="77777777" w:rsidR="00B26819" w:rsidRPr="001A75BE" w:rsidRDefault="00B26819" w:rsidP="00D76CF5">
            <w:pPr>
              <w:keepNext/>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Very common</w:t>
            </w:r>
          </w:p>
        </w:tc>
      </w:tr>
      <w:tr w:rsidR="00B26819" w:rsidRPr="009051BC" w14:paraId="57EA0479" w14:textId="77777777" w:rsidTr="0018664B">
        <w:trPr>
          <w:trHeight w:val="271"/>
        </w:trPr>
        <w:tc>
          <w:tcPr>
            <w:tcW w:w="3232" w:type="dxa"/>
            <w:shd w:val="clear" w:color="auto" w:fill="auto"/>
          </w:tcPr>
          <w:p w14:paraId="0F5D0144" w14:textId="77777777" w:rsidR="00B26819" w:rsidRPr="001A75BE" w:rsidRDefault="00B26819" w:rsidP="001A75BE">
            <w:pPr>
              <w:keepLines/>
              <w:tabs>
                <w:tab w:val="left" w:pos="284"/>
              </w:tabs>
              <w:spacing w:before="40" w:after="20"/>
              <w:jc w:val="right"/>
              <w:rPr>
                <w:rFonts w:ascii="Arial" w:eastAsia="MS Mincho" w:hAnsi="Arial" w:cs="Arial"/>
                <w:sz w:val="18"/>
                <w:szCs w:val="18"/>
                <w:lang w:val="en-US" w:eastAsia="zh-CN"/>
              </w:rPr>
            </w:pPr>
            <w:r w:rsidRPr="001A75BE">
              <w:rPr>
                <w:rFonts w:ascii="Arial" w:eastAsia="MS Mincho" w:hAnsi="Arial" w:cs="Arial"/>
                <w:sz w:val="18"/>
                <w:szCs w:val="18"/>
                <w:lang w:val="en-US" w:eastAsia="zh-CN"/>
              </w:rPr>
              <w:t>Neutrophil count decreased</w:t>
            </w:r>
          </w:p>
        </w:tc>
        <w:tc>
          <w:tcPr>
            <w:tcW w:w="1242" w:type="dxa"/>
            <w:shd w:val="clear" w:color="auto" w:fill="auto"/>
          </w:tcPr>
          <w:p w14:paraId="7E064A3E"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311 (93.1)</w:t>
            </w:r>
          </w:p>
        </w:tc>
        <w:tc>
          <w:tcPr>
            <w:tcW w:w="1457" w:type="dxa"/>
            <w:shd w:val="clear" w:color="auto" w:fill="auto"/>
          </w:tcPr>
          <w:p w14:paraId="525B23BC"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79 (23.9)</w:t>
            </w:r>
          </w:p>
        </w:tc>
        <w:tc>
          <w:tcPr>
            <w:tcW w:w="1316" w:type="dxa"/>
            <w:shd w:val="clear" w:color="auto" w:fill="auto"/>
          </w:tcPr>
          <w:p w14:paraId="0D76BCD7"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199 (59.6)</w:t>
            </w:r>
          </w:p>
        </w:tc>
        <w:tc>
          <w:tcPr>
            <w:tcW w:w="1135" w:type="dxa"/>
            <w:shd w:val="clear" w:color="auto" w:fill="auto"/>
          </w:tcPr>
          <w:p w14:paraId="1F3739E8"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4 (1.2)</w:t>
            </w:r>
          </w:p>
        </w:tc>
        <w:tc>
          <w:tcPr>
            <w:tcW w:w="1487" w:type="dxa"/>
            <w:shd w:val="clear" w:color="auto" w:fill="auto"/>
          </w:tcPr>
          <w:p w14:paraId="24B53CCB" w14:textId="77777777" w:rsidR="00B26819" w:rsidRPr="001A75BE" w:rsidRDefault="00B26819" w:rsidP="001A75BE">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Very common</w:t>
            </w:r>
          </w:p>
        </w:tc>
      </w:tr>
      <w:tr w:rsidR="00B26819" w:rsidRPr="009051BC" w14:paraId="4CD9B32B" w14:textId="77777777" w:rsidTr="0018664B">
        <w:trPr>
          <w:trHeight w:val="271"/>
        </w:trPr>
        <w:tc>
          <w:tcPr>
            <w:tcW w:w="3232" w:type="dxa"/>
            <w:shd w:val="clear" w:color="auto" w:fill="auto"/>
          </w:tcPr>
          <w:p w14:paraId="47BA6FCC" w14:textId="77777777" w:rsidR="00B26819" w:rsidRPr="001A75BE" w:rsidRDefault="00B26819" w:rsidP="001A75BE">
            <w:pPr>
              <w:keepLines/>
              <w:tabs>
                <w:tab w:val="left" w:pos="284"/>
              </w:tabs>
              <w:spacing w:before="40" w:after="20"/>
              <w:jc w:val="right"/>
              <w:rPr>
                <w:rFonts w:ascii="Arial" w:eastAsia="MS Mincho" w:hAnsi="Arial" w:cs="Arial"/>
                <w:sz w:val="18"/>
                <w:szCs w:val="18"/>
                <w:lang w:val="en-US" w:eastAsia="zh-CN"/>
              </w:rPr>
            </w:pPr>
            <w:proofErr w:type="spellStart"/>
            <w:r w:rsidRPr="001A75BE">
              <w:rPr>
                <w:rFonts w:ascii="Arial" w:eastAsia="MS Mincho" w:hAnsi="Arial" w:cs="Arial"/>
                <w:sz w:val="18"/>
                <w:szCs w:val="18"/>
                <w:lang w:val="en-US" w:eastAsia="zh-CN"/>
              </w:rPr>
              <w:t>Haemoglobin</w:t>
            </w:r>
            <w:proofErr w:type="spellEnd"/>
            <w:r w:rsidRPr="001A75BE">
              <w:rPr>
                <w:rFonts w:ascii="Arial" w:eastAsia="MS Mincho" w:hAnsi="Arial" w:cs="Arial"/>
                <w:sz w:val="18"/>
                <w:szCs w:val="18"/>
                <w:lang w:val="en-US" w:eastAsia="zh-CN"/>
              </w:rPr>
              <w:t xml:space="preserve"> decreased</w:t>
            </w:r>
          </w:p>
        </w:tc>
        <w:tc>
          <w:tcPr>
            <w:tcW w:w="1242" w:type="dxa"/>
            <w:shd w:val="clear" w:color="auto" w:fill="auto"/>
          </w:tcPr>
          <w:p w14:paraId="565FB6C8"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189 (56.6)</w:t>
            </w:r>
          </w:p>
        </w:tc>
        <w:tc>
          <w:tcPr>
            <w:tcW w:w="1457" w:type="dxa"/>
            <w:shd w:val="clear" w:color="auto" w:fill="auto"/>
          </w:tcPr>
          <w:p w14:paraId="30F3F00C"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87 (26.4)</w:t>
            </w:r>
          </w:p>
        </w:tc>
        <w:tc>
          <w:tcPr>
            <w:tcW w:w="1316" w:type="dxa"/>
            <w:shd w:val="clear" w:color="auto" w:fill="auto"/>
          </w:tcPr>
          <w:p w14:paraId="194CCA96"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6 (1.8)</w:t>
            </w:r>
          </w:p>
        </w:tc>
        <w:tc>
          <w:tcPr>
            <w:tcW w:w="1135" w:type="dxa"/>
            <w:shd w:val="clear" w:color="auto" w:fill="auto"/>
          </w:tcPr>
          <w:p w14:paraId="3204A83F"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4 (1.2)</w:t>
            </w:r>
          </w:p>
        </w:tc>
        <w:tc>
          <w:tcPr>
            <w:tcW w:w="1487" w:type="dxa"/>
            <w:shd w:val="clear" w:color="auto" w:fill="auto"/>
          </w:tcPr>
          <w:p w14:paraId="77B744DC" w14:textId="77777777" w:rsidR="00B26819" w:rsidRPr="001A75BE" w:rsidRDefault="00B26819" w:rsidP="001A75BE">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Very common</w:t>
            </w:r>
          </w:p>
        </w:tc>
      </w:tr>
      <w:tr w:rsidR="00B26819" w:rsidRPr="009051BC" w14:paraId="0EC24AD5" w14:textId="77777777" w:rsidTr="0018664B">
        <w:trPr>
          <w:trHeight w:val="271"/>
        </w:trPr>
        <w:tc>
          <w:tcPr>
            <w:tcW w:w="3232" w:type="dxa"/>
            <w:shd w:val="clear" w:color="auto" w:fill="auto"/>
          </w:tcPr>
          <w:p w14:paraId="56BB4D37" w14:textId="77777777" w:rsidR="00B26819" w:rsidRPr="001A75BE" w:rsidRDefault="00B26819" w:rsidP="001A75BE">
            <w:pPr>
              <w:keepLines/>
              <w:tabs>
                <w:tab w:val="left" w:pos="284"/>
              </w:tabs>
              <w:spacing w:before="40" w:after="20"/>
              <w:jc w:val="right"/>
              <w:rPr>
                <w:rFonts w:ascii="Arial" w:eastAsia="MS Mincho" w:hAnsi="Arial" w:cs="Arial"/>
                <w:sz w:val="18"/>
                <w:szCs w:val="18"/>
                <w:lang w:val="en-US" w:eastAsia="zh-CN"/>
              </w:rPr>
            </w:pPr>
            <w:r w:rsidRPr="001A75BE">
              <w:rPr>
                <w:rFonts w:ascii="Arial" w:eastAsia="MS Mincho" w:hAnsi="Arial" w:cs="Arial"/>
                <w:sz w:val="18"/>
                <w:szCs w:val="18"/>
                <w:lang w:val="en-US" w:eastAsia="zh-CN"/>
              </w:rPr>
              <w:t>Lymphocyte count decreased</w:t>
            </w:r>
          </w:p>
        </w:tc>
        <w:tc>
          <w:tcPr>
            <w:tcW w:w="1242" w:type="dxa"/>
            <w:shd w:val="clear" w:color="auto" w:fill="auto"/>
          </w:tcPr>
          <w:p w14:paraId="6A8E1397"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169 (50.6)</w:t>
            </w:r>
          </w:p>
        </w:tc>
        <w:tc>
          <w:tcPr>
            <w:tcW w:w="1457" w:type="dxa"/>
            <w:shd w:val="clear" w:color="auto" w:fill="auto"/>
          </w:tcPr>
          <w:p w14:paraId="6792752C"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74 (22.4)</w:t>
            </w:r>
          </w:p>
        </w:tc>
        <w:tc>
          <w:tcPr>
            <w:tcW w:w="1316" w:type="dxa"/>
            <w:shd w:val="clear" w:color="auto" w:fill="auto"/>
          </w:tcPr>
          <w:p w14:paraId="78A619B5"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45 (13.5)</w:t>
            </w:r>
          </w:p>
        </w:tc>
        <w:tc>
          <w:tcPr>
            <w:tcW w:w="1135" w:type="dxa"/>
            <w:shd w:val="clear" w:color="auto" w:fill="auto"/>
          </w:tcPr>
          <w:p w14:paraId="17353735"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13 (3.9)</w:t>
            </w:r>
          </w:p>
        </w:tc>
        <w:tc>
          <w:tcPr>
            <w:tcW w:w="1487" w:type="dxa"/>
            <w:shd w:val="clear" w:color="auto" w:fill="auto"/>
          </w:tcPr>
          <w:p w14:paraId="6F93A8DE" w14:textId="77777777" w:rsidR="00B26819" w:rsidRPr="001A75BE" w:rsidRDefault="00B26819" w:rsidP="001A75BE">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Very common</w:t>
            </w:r>
          </w:p>
        </w:tc>
      </w:tr>
      <w:tr w:rsidR="00B26819" w:rsidRPr="009051BC" w14:paraId="71F0845D" w14:textId="77777777" w:rsidTr="0018664B">
        <w:trPr>
          <w:trHeight w:val="262"/>
        </w:trPr>
        <w:tc>
          <w:tcPr>
            <w:tcW w:w="3232" w:type="dxa"/>
            <w:tcBorders>
              <w:bottom w:val="single" w:sz="4" w:space="0" w:color="auto"/>
            </w:tcBorders>
            <w:shd w:val="clear" w:color="auto" w:fill="auto"/>
          </w:tcPr>
          <w:p w14:paraId="4EBD7C5C" w14:textId="77777777" w:rsidR="00B26819" w:rsidRPr="001A75BE" w:rsidRDefault="00B26819" w:rsidP="001A75BE">
            <w:pPr>
              <w:keepLines/>
              <w:tabs>
                <w:tab w:val="left" w:pos="284"/>
              </w:tabs>
              <w:spacing w:before="40" w:after="20"/>
              <w:jc w:val="right"/>
              <w:rPr>
                <w:rFonts w:ascii="Arial" w:eastAsia="MS Mincho" w:hAnsi="Arial" w:cs="Arial"/>
                <w:sz w:val="18"/>
                <w:szCs w:val="18"/>
                <w:lang w:val="en-US" w:eastAsia="zh-CN"/>
              </w:rPr>
            </w:pPr>
            <w:r w:rsidRPr="001A75BE">
              <w:rPr>
                <w:rFonts w:ascii="Arial" w:eastAsia="MS Mincho" w:hAnsi="Arial" w:cs="Arial"/>
                <w:sz w:val="18"/>
                <w:szCs w:val="18"/>
                <w:lang w:val="en-US" w:eastAsia="zh-CN"/>
              </w:rPr>
              <w:t>Platelet count decreased</w:t>
            </w:r>
          </w:p>
        </w:tc>
        <w:tc>
          <w:tcPr>
            <w:tcW w:w="1242" w:type="dxa"/>
            <w:tcBorders>
              <w:bottom w:val="single" w:sz="4" w:space="0" w:color="auto"/>
            </w:tcBorders>
            <w:shd w:val="clear" w:color="auto" w:fill="auto"/>
          </w:tcPr>
          <w:p w14:paraId="5658AAFD"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97 (29.0)</w:t>
            </w:r>
          </w:p>
        </w:tc>
        <w:tc>
          <w:tcPr>
            <w:tcW w:w="1457" w:type="dxa"/>
            <w:tcBorders>
              <w:bottom w:val="single" w:sz="4" w:space="0" w:color="auto"/>
            </w:tcBorders>
            <w:shd w:val="clear" w:color="auto" w:fill="auto"/>
          </w:tcPr>
          <w:p w14:paraId="22A49663"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21 (6.4)</w:t>
            </w:r>
          </w:p>
        </w:tc>
        <w:tc>
          <w:tcPr>
            <w:tcW w:w="1316" w:type="dxa"/>
            <w:tcBorders>
              <w:bottom w:val="single" w:sz="4" w:space="0" w:color="auto"/>
            </w:tcBorders>
            <w:shd w:val="clear" w:color="auto" w:fill="auto"/>
          </w:tcPr>
          <w:p w14:paraId="1F2A0BB7"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3 (0.9)</w:t>
            </w:r>
          </w:p>
        </w:tc>
        <w:tc>
          <w:tcPr>
            <w:tcW w:w="1135" w:type="dxa"/>
            <w:tcBorders>
              <w:bottom w:val="single" w:sz="4" w:space="0" w:color="auto"/>
            </w:tcBorders>
            <w:shd w:val="clear" w:color="auto" w:fill="auto"/>
          </w:tcPr>
          <w:p w14:paraId="2B10245A"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 (0.3)</w:t>
            </w:r>
          </w:p>
        </w:tc>
        <w:tc>
          <w:tcPr>
            <w:tcW w:w="1487" w:type="dxa"/>
            <w:tcBorders>
              <w:bottom w:val="single" w:sz="4" w:space="0" w:color="auto"/>
            </w:tcBorders>
            <w:shd w:val="clear" w:color="auto" w:fill="auto"/>
          </w:tcPr>
          <w:p w14:paraId="254F655E" w14:textId="77777777" w:rsidR="00B26819" w:rsidRPr="001A75BE" w:rsidRDefault="00B26819" w:rsidP="001A75BE">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Very common</w:t>
            </w:r>
          </w:p>
        </w:tc>
      </w:tr>
      <w:tr w:rsidR="00B26819" w:rsidRPr="009051BC" w14:paraId="734EBA48" w14:textId="77777777" w:rsidTr="0018664B">
        <w:trPr>
          <w:trHeight w:val="271"/>
        </w:trPr>
        <w:tc>
          <w:tcPr>
            <w:tcW w:w="9869" w:type="dxa"/>
            <w:gridSpan w:val="6"/>
            <w:tcBorders>
              <w:top w:val="single" w:sz="4" w:space="0" w:color="auto"/>
            </w:tcBorders>
            <w:shd w:val="clear" w:color="auto" w:fill="auto"/>
          </w:tcPr>
          <w:p w14:paraId="3312CCFC" w14:textId="77777777" w:rsidR="00B26819" w:rsidRPr="001A75BE" w:rsidRDefault="00B26819" w:rsidP="004316B8">
            <w:pPr>
              <w:keepLines/>
              <w:tabs>
                <w:tab w:val="left" w:pos="284"/>
              </w:tabs>
              <w:spacing w:before="40" w:after="20"/>
              <w:rPr>
                <w:rFonts w:ascii="Arial" w:eastAsia="MS Mincho" w:hAnsi="Arial" w:cs="Arial"/>
                <w:b/>
                <w:sz w:val="18"/>
                <w:szCs w:val="18"/>
                <w:lang w:val="en-US" w:eastAsia="zh-CN"/>
              </w:rPr>
            </w:pPr>
            <w:r w:rsidRPr="001A75BE">
              <w:rPr>
                <w:rFonts w:ascii="Arial" w:eastAsia="MS Mincho" w:hAnsi="Arial" w:cs="Arial"/>
                <w:b/>
                <w:sz w:val="18"/>
                <w:szCs w:val="18"/>
                <w:lang w:val="en-US" w:eastAsia="zh-CN"/>
              </w:rPr>
              <w:t>Bio chemical parameters</w:t>
            </w:r>
          </w:p>
        </w:tc>
      </w:tr>
      <w:tr w:rsidR="00B26819" w:rsidRPr="009051BC" w14:paraId="3CA3907E" w14:textId="77777777" w:rsidTr="0018664B">
        <w:trPr>
          <w:trHeight w:val="271"/>
        </w:trPr>
        <w:tc>
          <w:tcPr>
            <w:tcW w:w="3232" w:type="dxa"/>
            <w:shd w:val="clear" w:color="auto" w:fill="auto"/>
            <w:vAlign w:val="center"/>
          </w:tcPr>
          <w:p w14:paraId="2E4D5B16" w14:textId="77777777" w:rsidR="00B26819" w:rsidRPr="001A75BE" w:rsidRDefault="00B26819" w:rsidP="001A75BE">
            <w:pPr>
              <w:keepLines/>
              <w:tabs>
                <w:tab w:val="left" w:pos="284"/>
              </w:tabs>
              <w:spacing w:before="40" w:after="20"/>
              <w:jc w:val="right"/>
              <w:rPr>
                <w:rFonts w:ascii="Arial" w:eastAsia="MS Mincho" w:hAnsi="Arial" w:cs="Arial"/>
                <w:sz w:val="18"/>
                <w:szCs w:val="18"/>
                <w:lang w:val="en-US" w:eastAsia="zh-CN"/>
              </w:rPr>
            </w:pPr>
            <w:r w:rsidRPr="001A75BE">
              <w:rPr>
                <w:rFonts w:ascii="Arial" w:eastAsia="MS Mincho" w:hAnsi="Arial" w:cs="Arial"/>
                <w:sz w:val="18"/>
                <w:szCs w:val="18"/>
                <w:lang w:val="en-US" w:eastAsia="zh-CN"/>
              </w:rPr>
              <w:t>Alanine aminotransferase increased</w:t>
            </w:r>
          </w:p>
        </w:tc>
        <w:tc>
          <w:tcPr>
            <w:tcW w:w="1242" w:type="dxa"/>
            <w:shd w:val="clear" w:color="auto" w:fill="auto"/>
            <w:vAlign w:val="center"/>
          </w:tcPr>
          <w:p w14:paraId="68AC2971"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155 (46.4)</w:t>
            </w:r>
          </w:p>
        </w:tc>
        <w:tc>
          <w:tcPr>
            <w:tcW w:w="1457" w:type="dxa"/>
            <w:shd w:val="clear" w:color="auto" w:fill="auto"/>
            <w:vAlign w:val="center"/>
          </w:tcPr>
          <w:p w14:paraId="2FBEB4B6"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119 (36.1)</w:t>
            </w:r>
          </w:p>
        </w:tc>
        <w:tc>
          <w:tcPr>
            <w:tcW w:w="1316" w:type="dxa"/>
            <w:shd w:val="clear" w:color="auto" w:fill="auto"/>
            <w:vAlign w:val="center"/>
          </w:tcPr>
          <w:p w14:paraId="422769BB"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34 (10.2)</w:t>
            </w:r>
          </w:p>
        </w:tc>
        <w:tc>
          <w:tcPr>
            <w:tcW w:w="1135" w:type="dxa"/>
            <w:shd w:val="clear" w:color="auto" w:fill="auto"/>
            <w:vAlign w:val="center"/>
          </w:tcPr>
          <w:p w14:paraId="7D100CF0"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4 (1.2)</w:t>
            </w:r>
          </w:p>
        </w:tc>
        <w:tc>
          <w:tcPr>
            <w:tcW w:w="1487" w:type="dxa"/>
            <w:shd w:val="clear" w:color="auto" w:fill="auto"/>
            <w:vAlign w:val="center"/>
          </w:tcPr>
          <w:p w14:paraId="6BCD4381" w14:textId="77777777" w:rsidR="00B26819" w:rsidRPr="001A75BE" w:rsidRDefault="00B26819" w:rsidP="001A75BE">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Very common</w:t>
            </w:r>
          </w:p>
        </w:tc>
      </w:tr>
      <w:tr w:rsidR="00B26819" w:rsidRPr="009051BC" w14:paraId="2ECF0688" w14:textId="77777777" w:rsidTr="0018664B">
        <w:trPr>
          <w:trHeight w:val="271"/>
        </w:trPr>
        <w:tc>
          <w:tcPr>
            <w:tcW w:w="3232" w:type="dxa"/>
            <w:shd w:val="clear" w:color="auto" w:fill="auto"/>
            <w:vAlign w:val="center"/>
          </w:tcPr>
          <w:p w14:paraId="69EB0983" w14:textId="77777777" w:rsidR="00B26819" w:rsidRPr="001A75BE" w:rsidRDefault="00B26819" w:rsidP="001A75BE">
            <w:pPr>
              <w:keepLines/>
              <w:tabs>
                <w:tab w:val="left" w:pos="284"/>
              </w:tabs>
              <w:spacing w:before="40" w:after="20"/>
              <w:jc w:val="right"/>
              <w:rPr>
                <w:rFonts w:ascii="Arial" w:eastAsia="MS Mincho" w:hAnsi="Arial" w:cs="Arial"/>
                <w:sz w:val="18"/>
                <w:szCs w:val="18"/>
                <w:lang w:val="en-US" w:eastAsia="zh-CN"/>
              </w:rPr>
            </w:pPr>
            <w:r w:rsidRPr="001A75BE">
              <w:rPr>
                <w:rFonts w:ascii="Arial" w:eastAsia="MS Mincho" w:hAnsi="Arial" w:cs="Arial"/>
                <w:sz w:val="18"/>
                <w:szCs w:val="18"/>
                <w:lang w:val="en-US" w:eastAsia="zh-CN"/>
              </w:rPr>
              <w:lastRenderedPageBreak/>
              <w:t>Aspartate aminotransferase increased</w:t>
            </w:r>
          </w:p>
        </w:tc>
        <w:tc>
          <w:tcPr>
            <w:tcW w:w="1242" w:type="dxa"/>
            <w:shd w:val="clear" w:color="auto" w:fill="auto"/>
            <w:vAlign w:val="center"/>
          </w:tcPr>
          <w:p w14:paraId="78D8DB53"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147 (44.0)</w:t>
            </w:r>
          </w:p>
        </w:tc>
        <w:tc>
          <w:tcPr>
            <w:tcW w:w="1457" w:type="dxa"/>
            <w:shd w:val="clear" w:color="auto" w:fill="auto"/>
            <w:vAlign w:val="center"/>
          </w:tcPr>
          <w:p w14:paraId="3262FF35"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106 (32.1)</w:t>
            </w:r>
          </w:p>
        </w:tc>
        <w:tc>
          <w:tcPr>
            <w:tcW w:w="1316" w:type="dxa"/>
            <w:shd w:val="clear" w:color="auto" w:fill="auto"/>
            <w:vAlign w:val="center"/>
          </w:tcPr>
          <w:p w14:paraId="1AE55811"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23 (6.9)</w:t>
            </w:r>
          </w:p>
        </w:tc>
        <w:tc>
          <w:tcPr>
            <w:tcW w:w="1135" w:type="dxa"/>
            <w:shd w:val="clear" w:color="auto" w:fill="auto"/>
            <w:vAlign w:val="center"/>
          </w:tcPr>
          <w:p w14:paraId="6B704669"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5 (1.5)</w:t>
            </w:r>
          </w:p>
        </w:tc>
        <w:tc>
          <w:tcPr>
            <w:tcW w:w="1487" w:type="dxa"/>
            <w:shd w:val="clear" w:color="auto" w:fill="auto"/>
            <w:vAlign w:val="center"/>
          </w:tcPr>
          <w:p w14:paraId="4D4A19DD" w14:textId="77777777" w:rsidR="00B26819" w:rsidRPr="001A75BE" w:rsidRDefault="00B26819" w:rsidP="001A75BE">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Very common</w:t>
            </w:r>
          </w:p>
        </w:tc>
      </w:tr>
      <w:tr w:rsidR="00B26819" w:rsidRPr="009051BC" w14:paraId="7895AFCB" w14:textId="77777777" w:rsidTr="0018664B">
        <w:trPr>
          <w:trHeight w:val="262"/>
        </w:trPr>
        <w:tc>
          <w:tcPr>
            <w:tcW w:w="3232" w:type="dxa"/>
            <w:shd w:val="clear" w:color="auto" w:fill="auto"/>
          </w:tcPr>
          <w:p w14:paraId="573A61AD" w14:textId="77777777" w:rsidR="00B26819" w:rsidRPr="001A75BE" w:rsidRDefault="00B26819" w:rsidP="001A75BE">
            <w:pPr>
              <w:keepLines/>
              <w:tabs>
                <w:tab w:val="left" w:pos="284"/>
              </w:tabs>
              <w:spacing w:before="40" w:after="20"/>
              <w:jc w:val="right"/>
              <w:rPr>
                <w:rFonts w:ascii="Arial" w:eastAsia="MS Mincho" w:hAnsi="Arial" w:cs="Arial"/>
                <w:sz w:val="18"/>
                <w:szCs w:val="18"/>
                <w:lang w:val="en-US" w:eastAsia="zh-CN"/>
              </w:rPr>
            </w:pPr>
            <w:r w:rsidRPr="001A75BE">
              <w:rPr>
                <w:rFonts w:ascii="Arial" w:eastAsia="MS Mincho" w:hAnsi="Arial" w:cs="Arial"/>
                <w:sz w:val="18"/>
                <w:szCs w:val="18"/>
                <w:lang w:val="en-US" w:eastAsia="zh-CN"/>
              </w:rPr>
              <w:t>Creatinine increased</w:t>
            </w:r>
          </w:p>
        </w:tc>
        <w:tc>
          <w:tcPr>
            <w:tcW w:w="1242" w:type="dxa"/>
            <w:shd w:val="clear" w:color="auto" w:fill="auto"/>
          </w:tcPr>
          <w:p w14:paraId="75C2149E"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65 (19.5)</w:t>
            </w:r>
          </w:p>
        </w:tc>
        <w:tc>
          <w:tcPr>
            <w:tcW w:w="1457" w:type="dxa"/>
            <w:shd w:val="clear" w:color="auto" w:fill="auto"/>
          </w:tcPr>
          <w:p w14:paraId="319DEB62"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18 (5.5)</w:t>
            </w:r>
          </w:p>
        </w:tc>
        <w:tc>
          <w:tcPr>
            <w:tcW w:w="1316" w:type="dxa"/>
            <w:shd w:val="clear" w:color="auto" w:fill="auto"/>
          </w:tcPr>
          <w:p w14:paraId="125BDD5B"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2 (0.6)</w:t>
            </w:r>
          </w:p>
        </w:tc>
        <w:tc>
          <w:tcPr>
            <w:tcW w:w="1135" w:type="dxa"/>
            <w:shd w:val="clear" w:color="auto" w:fill="auto"/>
          </w:tcPr>
          <w:p w14:paraId="69479BDC"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0</w:t>
            </w:r>
          </w:p>
        </w:tc>
        <w:tc>
          <w:tcPr>
            <w:tcW w:w="1487" w:type="dxa"/>
            <w:shd w:val="clear" w:color="auto" w:fill="auto"/>
          </w:tcPr>
          <w:p w14:paraId="7B3342C6" w14:textId="77777777" w:rsidR="00B26819" w:rsidRPr="001A75BE" w:rsidRDefault="00B26819" w:rsidP="001A75BE">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Very common</w:t>
            </w:r>
          </w:p>
        </w:tc>
      </w:tr>
      <w:tr w:rsidR="00B26819" w:rsidRPr="009051BC" w14:paraId="0AC7B243" w14:textId="77777777" w:rsidTr="0018664B">
        <w:trPr>
          <w:trHeight w:val="271"/>
        </w:trPr>
        <w:tc>
          <w:tcPr>
            <w:tcW w:w="3232" w:type="dxa"/>
            <w:shd w:val="clear" w:color="auto" w:fill="auto"/>
          </w:tcPr>
          <w:p w14:paraId="21860758" w14:textId="77777777" w:rsidR="00B26819" w:rsidRPr="001A75BE" w:rsidRDefault="00B26819" w:rsidP="001A75BE">
            <w:pPr>
              <w:keepLines/>
              <w:tabs>
                <w:tab w:val="left" w:pos="284"/>
              </w:tabs>
              <w:spacing w:before="40" w:after="20"/>
              <w:jc w:val="right"/>
              <w:rPr>
                <w:rFonts w:ascii="Arial" w:eastAsia="MS Mincho" w:hAnsi="Arial" w:cs="Arial"/>
                <w:sz w:val="18"/>
                <w:szCs w:val="18"/>
                <w:lang w:val="en-US" w:eastAsia="zh-CN"/>
              </w:rPr>
            </w:pPr>
            <w:r w:rsidRPr="001A75BE">
              <w:rPr>
                <w:rFonts w:ascii="Arial" w:eastAsia="MS Mincho" w:hAnsi="Arial" w:cs="Arial"/>
                <w:sz w:val="18"/>
                <w:szCs w:val="18"/>
                <w:lang w:val="en-US" w:eastAsia="zh-CN"/>
              </w:rPr>
              <w:t>Bilirubin increased</w:t>
            </w:r>
          </w:p>
        </w:tc>
        <w:tc>
          <w:tcPr>
            <w:tcW w:w="1242" w:type="dxa"/>
            <w:shd w:val="clear" w:color="auto" w:fill="auto"/>
          </w:tcPr>
          <w:p w14:paraId="2DD4738B"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 xml:space="preserve">44 (13.2) </w:t>
            </w:r>
          </w:p>
        </w:tc>
        <w:tc>
          <w:tcPr>
            <w:tcW w:w="1457" w:type="dxa"/>
            <w:shd w:val="clear" w:color="auto" w:fill="auto"/>
          </w:tcPr>
          <w:p w14:paraId="4A61544B"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14 (4.2)</w:t>
            </w:r>
          </w:p>
        </w:tc>
        <w:tc>
          <w:tcPr>
            <w:tcW w:w="1316" w:type="dxa"/>
            <w:shd w:val="clear" w:color="auto" w:fill="auto"/>
          </w:tcPr>
          <w:p w14:paraId="12EB8EF3"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17 (5.1)</w:t>
            </w:r>
          </w:p>
        </w:tc>
        <w:tc>
          <w:tcPr>
            <w:tcW w:w="1135" w:type="dxa"/>
            <w:shd w:val="clear" w:color="auto" w:fill="auto"/>
          </w:tcPr>
          <w:p w14:paraId="71D7C19D"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2 (0.6)</w:t>
            </w:r>
          </w:p>
        </w:tc>
        <w:tc>
          <w:tcPr>
            <w:tcW w:w="1487" w:type="dxa"/>
            <w:shd w:val="clear" w:color="auto" w:fill="auto"/>
          </w:tcPr>
          <w:p w14:paraId="7D2B8CDB" w14:textId="77777777" w:rsidR="00B26819" w:rsidRPr="001A75BE" w:rsidRDefault="00B26819" w:rsidP="001A75BE">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Common</w:t>
            </w:r>
          </w:p>
        </w:tc>
      </w:tr>
      <w:tr w:rsidR="00B26819" w:rsidRPr="009051BC" w14:paraId="0A31E2F2" w14:textId="77777777" w:rsidTr="0018664B">
        <w:trPr>
          <w:trHeight w:val="271"/>
        </w:trPr>
        <w:tc>
          <w:tcPr>
            <w:tcW w:w="3232" w:type="dxa"/>
            <w:shd w:val="clear" w:color="auto" w:fill="auto"/>
          </w:tcPr>
          <w:p w14:paraId="2A0E5BD4" w14:textId="77777777" w:rsidR="00B26819" w:rsidRPr="001A75BE" w:rsidRDefault="00B26819" w:rsidP="001A75BE">
            <w:pPr>
              <w:keepLines/>
              <w:tabs>
                <w:tab w:val="left" w:pos="284"/>
              </w:tabs>
              <w:spacing w:before="40" w:after="20"/>
              <w:jc w:val="right"/>
              <w:rPr>
                <w:rFonts w:ascii="Arial" w:eastAsia="MS Mincho" w:hAnsi="Arial" w:cs="Arial"/>
                <w:sz w:val="18"/>
                <w:szCs w:val="18"/>
                <w:lang w:val="en-US" w:eastAsia="zh-CN"/>
              </w:rPr>
            </w:pPr>
            <w:r w:rsidRPr="001A75BE">
              <w:rPr>
                <w:rFonts w:ascii="Arial" w:eastAsia="MS Mincho" w:hAnsi="Arial" w:cs="Arial"/>
                <w:sz w:val="18"/>
                <w:szCs w:val="18"/>
                <w:lang w:val="en-US" w:eastAsia="zh-CN"/>
              </w:rPr>
              <w:t>Phosphorous decreased</w:t>
            </w:r>
          </w:p>
        </w:tc>
        <w:tc>
          <w:tcPr>
            <w:tcW w:w="1242" w:type="dxa"/>
            <w:shd w:val="clear" w:color="auto" w:fill="auto"/>
          </w:tcPr>
          <w:p w14:paraId="03E5A34B"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38 (11.4)</w:t>
            </w:r>
          </w:p>
        </w:tc>
        <w:tc>
          <w:tcPr>
            <w:tcW w:w="1457" w:type="dxa"/>
            <w:shd w:val="clear" w:color="auto" w:fill="auto"/>
          </w:tcPr>
          <w:p w14:paraId="1BB62E78"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24 (7.3)</w:t>
            </w:r>
          </w:p>
        </w:tc>
        <w:tc>
          <w:tcPr>
            <w:tcW w:w="1316" w:type="dxa"/>
            <w:shd w:val="clear" w:color="auto" w:fill="auto"/>
          </w:tcPr>
          <w:p w14:paraId="37216A3E"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4 (1.2)</w:t>
            </w:r>
          </w:p>
        </w:tc>
        <w:tc>
          <w:tcPr>
            <w:tcW w:w="1135" w:type="dxa"/>
            <w:shd w:val="clear" w:color="auto" w:fill="auto"/>
          </w:tcPr>
          <w:p w14:paraId="17F58C4A"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4 (1.2)</w:t>
            </w:r>
          </w:p>
        </w:tc>
        <w:tc>
          <w:tcPr>
            <w:tcW w:w="1487" w:type="dxa"/>
            <w:shd w:val="clear" w:color="auto" w:fill="auto"/>
          </w:tcPr>
          <w:p w14:paraId="4213BC76" w14:textId="77777777" w:rsidR="00B26819" w:rsidRPr="001A75BE" w:rsidRDefault="00B26819" w:rsidP="001A75BE">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Very common</w:t>
            </w:r>
          </w:p>
        </w:tc>
      </w:tr>
      <w:tr w:rsidR="00B26819" w:rsidRPr="009051BC" w14:paraId="1DCCD2A5" w14:textId="77777777" w:rsidTr="0018664B">
        <w:trPr>
          <w:trHeight w:val="271"/>
        </w:trPr>
        <w:tc>
          <w:tcPr>
            <w:tcW w:w="3232" w:type="dxa"/>
            <w:tcBorders>
              <w:bottom w:val="single" w:sz="4" w:space="0" w:color="auto"/>
            </w:tcBorders>
            <w:shd w:val="clear" w:color="auto" w:fill="auto"/>
          </w:tcPr>
          <w:p w14:paraId="36DC1CDB" w14:textId="77777777" w:rsidR="00B26819" w:rsidRPr="001A75BE" w:rsidRDefault="00B26819" w:rsidP="001A75BE">
            <w:pPr>
              <w:keepLines/>
              <w:tabs>
                <w:tab w:val="left" w:pos="284"/>
              </w:tabs>
              <w:spacing w:before="40" w:after="20"/>
              <w:jc w:val="right"/>
              <w:rPr>
                <w:rFonts w:ascii="Arial" w:eastAsia="MS Mincho" w:hAnsi="Arial" w:cs="Arial"/>
                <w:sz w:val="18"/>
                <w:szCs w:val="18"/>
                <w:lang w:val="en-US" w:eastAsia="zh-CN"/>
              </w:rPr>
            </w:pPr>
            <w:r w:rsidRPr="001A75BE">
              <w:rPr>
                <w:rFonts w:ascii="Arial" w:eastAsia="MS Mincho" w:hAnsi="Arial" w:cs="Arial"/>
                <w:sz w:val="18"/>
                <w:szCs w:val="18"/>
                <w:lang w:val="en-US" w:eastAsia="zh-CN"/>
              </w:rPr>
              <w:t>Potassium decreased</w:t>
            </w:r>
          </w:p>
        </w:tc>
        <w:tc>
          <w:tcPr>
            <w:tcW w:w="1242" w:type="dxa"/>
            <w:tcBorders>
              <w:bottom w:val="single" w:sz="4" w:space="0" w:color="auto"/>
            </w:tcBorders>
            <w:shd w:val="clear" w:color="auto" w:fill="auto"/>
          </w:tcPr>
          <w:p w14:paraId="354BC737"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17 (5.1)</w:t>
            </w:r>
          </w:p>
        </w:tc>
        <w:tc>
          <w:tcPr>
            <w:tcW w:w="1457" w:type="dxa"/>
            <w:tcBorders>
              <w:bottom w:val="single" w:sz="4" w:space="0" w:color="auto"/>
            </w:tcBorders>
            <w:shd w:val="clear" w:color="auto" w:fill="auto"/>
          </w:tcPr>
          <w:p w14:paraId="372651A9"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9 (2.7)</w:t>
            </w:r>
          </w:p>
        </w:tc>
        <w:tc>
          <w:tcPr>
            <w:tcW w:w="1316" w:type="dxa"/>
            <w:tcBorders>
              <w:bottom w:val="single" w:sz="4" w:space="0" w:color="auto"/>
            </w:tcBorders>
            <w:shd w:val="clear" w:color="auto" w:fill="auto"/>
          </w:tcPr>
          <w:p w14:paraId="5417A193"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4 (1.2)</w:t>
            </w:r>
          </w:p>
        </w:tc>
        <w:tc>
          <w:tcPr>
            <w:tcW w:w="1135" w:type="dxa"/>
            <w:tcBorders>
              <w:bottom w:val="single" w:sz="4" w:space="0" w:color="auto"/>
            </w:tcBorders>
            <w:shd w:val="clear" w:color="auto" w:fill="auto"/>
          </w:tcPr>
          <w:p w14:paraId="299E74CC" w14:textId="77777777" w:rsidR="00B26819" w:rsidRPr="001A75BE" w:rsidRDefault="00B26819" w:rsidP="004316B8">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1 (0.3)</w:t>
            </w:r>
          </w:p>
        </w:tc>
        <w:tc>
          <w:tcPr>
            <w:tcW w:w="1487" w:type="dxa"/>
            <w:tcBorders>
              <w:bottom w:val="single" w:sz="4" w:space="0" w:color="auto"/>
            </w:tcBorders>
            <w:shd w:val="clear" w:color="auto" w:fill="auto"/>
          </w:tcPr>
          <w:p w14:paraId="3EF37B45" w14:textId="77777777" w:rsidR="00B26819" w:rsidRPr="001A75BE" w:rsidRDefault="00B26819" w:rsidP="001A75BE">
            <w:pPr>
              <w:keepLines/>
              <w:tabs>
                <w:tab w:val="left" w:pos="284"/>
              </w:tabs>
              <w:spacing w:before="40" w:after="20"/>
              <w:jc w:val="center"/>
              <w:rPr>
                <w:rFonts w:ascii="Arial" w:eastAsia="MS Mincho" w:hAnsi="Arial" w:cs="Arial"/>
                <w:sz w:val="18"/>
                <w:szCs w:val="18"/>
                <w:lang w:val="en-US" w:eastAsia="zh-CN"/>
              </w:rPr>
            </w:pPr>
            <w:r w:rsidRPr="001A75BE">
              <w:rPr>
                <w:rFonts w:ascii="Arial" w:eastAsia="MS Mincho" w:hAnsi="Arial" w:cs="Arial"/>
                <w:sz w:val="18"/>
                <w:szCs w:val="18"/>
                <w:lang w:val="en-US" w:eastAsia="zh-CN"/>
              </w:rPr>
              <w:t>Very common</w:t>
            </w:r>
          </w:p>
        </w:tc>
      </w:tr>
    </w:tbl>
    <w:p w14:paraId="509319BD" w14:textId="49904994" w:rsidR="00E975E8" w:rsidRPr="00B26819" w:rsidRDefault="00E975E8" w:rsidP="00CC0328">
      <w:pPr>
        <w:keepNext/>
        <w:keepLines/>
        <w:spacing w:before="120" w:after="120" w:line="300" w:lineRule="exact"/>
        <w:rPr>
          <w:b/>
          <w:u w:val="single"/>
        </w:rPr>
      </w:pPr>
      <w:r w:rsidRPr="00B26819">
        <w:rPr>
          <w:b/>
          <w:u w:val="single"/>
        </w:rPr>
        <w:t xml:space="preserve">Description of </w:t>
      </w:r>
      <w:r w:rsidR="008D2A1E" w:rsidRPr="00B26819">
        <w:rPr>
          <w:b/>
          <w:u w:val="single"/>
        </w:rPr>
        <w:t>selected adverse drug reactions</w:t>
      </w:r>
    </w:p>
    <w:p w14:paraId="0729E1B6" w14:textId="77777777" w:rsidR="00925169" w:rsidRPr="00B26819" w:rsidDel="00E435A1" w:rsidRDefault="00925169" w:rsidP="00472F4F">
      <w:pPr>
        <w:widowControl w:val="0"/>
        <w:spacing w:before="120"/>
        <w:rPr>
          <w:b/>
        </w:rPr>
      </w:pPr>
      <w:r w:rsidRPr="00B26819" w:rsidDel="00E435A1">
        <w:rPr>
          <w:b/>
        </w:rPr>
        <w:t>QT prolongation</w:t>
      </w:r>
    </w:p>
    <w:p w14:paraId="6CC4BCCF" w14:textId="190D309A" w:rsidR="00925169" w:rsidRPr="0006044F" w:rsidDel="00E435A1" w:rsidRDefault="00925169" w:rsidP="00472F4F">
      <w:pPr>
        <w:widowControl w:val="0"/>
        <w:jc w:val="both"/>
        <w:rPr>
          <w:rFonts w:eastAsia="MS Mincho"/>
          <w:szCs w:val="20"/>
          <w:lang w:val="en-US" w:eastAsia="en-US"/>
        </w:rPr>
      </w:pPr>
      <w:r w:rsidRPr="0006044F" w:rsidDel="00E435A1">
        <w:rPr>
          <w:rFonts w:eastAsia="MS Mincho"/>
          <w:szCs w:val="20"/>
          <w:lang w:val="en-US" w:eastAsia="en-US"/>
        </w:rPr>
        <w:t>In the phase III clinical study, 7.5</w:t>
      </w:r>
      <w:r w:rsidDel="00E435A1">
        <w:rPr>
          <w:rFonts w:eastAsia="MS Mincho"/>
          <w:szCs w:val="20"/>
          <w:lang w:val="en-US" w:eastAsia="en-US"/>
        </w:rPr>
        <w:t xml:space="preserve"> </w:t>
      </w:r>
      <w:r w:rsidRPr="0006044F" w:rsidDel="00E435A1">
        <w:rPr>
          <w:rFonts w:eastAsia="MS Mincho"/>
          <w:szCs w:val="20"/>
          <w:lang w:val="en-US" w:eastAsia="en-US"/>
        </w:rPr>
        <w:t xml:space="preserve">% of patients in the </w:t>
      </w:r>
      <w:proofErr w:type="spellStart"/>
      <w:r w:rsidRPr="0006044F" w:rsidDel="00E435A1">
        <w:rPr>
          <w:rFonts w:eastAsia="MS Mincho"/>
          <w:szCs w:val="20"/>
          <w:lang w:val="en-US" w:eastAsia="en-US"/>
        </w:rPr>
        <w:t>ribociclib</w:t>
      </w:r>
      <w:proofErr w:type="spellEnd"/>
      <w:r w:rsidRPr="0006044F" w:rsidDel="00E435A1">
        <w:rPr>
          <w:rFonts w:eastAsia="MS Mincho"/>
          <w:szCs w:val="20"/>
          <w:lang w:val="en-US" w:eastAsia="en-US"/>
        </w:rPr>
        <w:t xml:space="preserve"> arm and 2.4</w:t>
      </w:r>
      <w:r w:rsidDel="00E435A1">
        <w:rPr>
          <w:rFonts w:eastAsia="MS Mincho"/>
          <w:szCs w:val="20"/>
          <w:lang w:val="en-US" w:eastAsia="en-US"/>
        </w:rPr>
        <w:t xml:space="preserve"> </w:t>
      </w:r>
      <w:r w:rsidRPr="0006044F" w:rsidDel="00E435A1">
        <w:rPr>
          <w:rFonts w:eastAsia="MS Mincho"/>
          <w:szCs w:val="20"/>
          <w:lang w:val="en-US" w:eastAsia="en-US"/>
        </w:rPr>
        <w:t>% in the placebo arm had at least one event of QT interval prolongation (including ECG QT prolonged, syncope). D</w:t>
      </w:r>
      <w:r w:rsidRPr="0006044F" w:rsidDel="00E435A1">
        <w:rPr>
          <w:rFonts w:eastAsia="MS Mincho"/>
          <w:szCs w:val="20"/>
          <w:lang w:val="en-US" w:eastAsia="zh-CN"/>
        </w:rPr>
        <w:t xml:space="preserve">ose </w:t>
      </w:r>
      <w:r w:rsidRPr="0006044F" w:rsidDel="00E435A1">
        <w:rPr>
          <w:rFonts w:eastAsia="MS Mincho"/>
          <w:bCs/>
          <w:lang w:val="en-US" w:eastAsia="zh-CN"/>
        </w:rPr>
        <w:t>interruptions/ adjustments</w:t>
      </w:r>
      <w:r w:rsidRPr="0006044F" w:rsidDel="00E435A1">
        <w:rPr>
          <w:rFonts w:eastAsia="MS Mincho"/>
          <w:szCs w:val="20"/>
          <w:lang w:val="en-US" w:eastAsia="zh-CN"/>
        </w:rPr>
        <w:t xml:space="preserve"> </w:t>
      </w:r>
      <w:proofErr w:type="gramStart"/>
      <w:r w:rsidRPr="0006044F" w:rsidDel="00E435A1">
        <w:rPr>
          <w:rFonts w:eastAsia="MS Mincho"/>
          <w:szCs w:val="20"/>
          <w:lang w:val="en-US" w:eastAsia="zh-CN"/>
        </w:rPr>
        <w:t>were reported</w:t>
      </w:r>
      <w:proofErr w:type="gramEnd"/>
      <w:r w:rsidRPr="0006044F" w:rsidDel="00E435A1">
        <w:rPr>
          <w:rFonts w:eastAsia="MS Mincho"/>
          <w:szCs w:val="20"/>
          <w:lang w:val="en-US" w:eastAsia="zh-CN"/>
        </w:rPr>
        <w:t xml:space="preserve"> in </w:t>
      </w:r>
      <w:r w:rsidDel="00E435A1">
        <w:rPr>
          <w:rFonts w:eastAsia="MS Mincho"/>
          <w:szCs w:val="20"/>
          <w:lang w:val="en-US" w:eastAsia="zh-CN"/>
        </w:rPr>
        <w:t>0.9</w:t>
      </w:r>
      <w:r w:rsidDel="00E435A1">
        <w:rPr>
          <w:rFonts w:eastAsia="MS Mincho"/>
          <w:szCs w:val="20"/>
          <w:lang w:val="en-US" w:eastAsia="en-US"/>
        </w:rPr>
        <w:t xml:space="preserve"> </w:t>
      </w:r>
      <w:r w:rsidRPr="0006044F" w:rsidDel="00E435A1">
        <w:rPr>
          <w:rFonts w:eastAsia="MS Mincho"/>
          <w:szCs w:val="20"/>
          <w:lang w:val="en-US" w:eastAsia="en-US"/>
        </w:rPr>
        <w:t xml:space="preserve">% of </w:t>
      </w:r>
      <w:r w:rsidDel="00E435A1">
        <w:rPr>
          <w:rFonts w:eastAsia="MS Mincho"/>
          <w:szCs w:val="20"/>
          <w:lang w:val="en-US" w:eastAsia="en-US"/>
        </w:rPr>
        <w:t xml:space="preserve">the KISQALI </w:t>
      </w:r>
      <w:r w:rsidRPr="0006044F" w:rsidDel="00E435A1">
        <w:rPr>
          <w:rFonts w:eastAsia="MS Mincho"/>
          <w:szCs w:val="20"/>
          <w:lang w:val="en-US" w:eastAsia="en-US"/>
        </w:rPr>
        <w:t xml:space="preserve">plus </w:t>
      </w:r>
      <w:proofErr w:type="spellStart"/>
      <w:r w:rsidRPr="0006044F" w:rsidDel="00E435A1">
        <w:rPr>
          <w:rFonts w:eastAsia="MS Mincho"/>
          <w:szCs w:val="20"/>
          <w:lang w:val="en-US" w:eastAsia="en-US"/>
        </w:rPr>
        <w:t>letrozole</w:t>
      </w:r>
      <w:proofErr w:type="spellEnd"/>
      <w:r w:rsidRPr="0006044F" w:rsidDel="00E435A1">
        <w:rPr>
          <w:rFonts w:eastAsia="MS Mincho"/>
          <w:szCs w:val="20"/>
          <w:lang w:val="en-US" w:eastAsia="en-US"/>
        </w:rPr>
        <w:t>-treated patients due to electrocardiogram QT prolonged and syncope, respectively.</w:t>
      </w:r>
    </w:p>
    <w:p w14:paraId="528C4C28" w14:textId="01E9A16F" w:rsidR="00925169" w:rsidRPr="00D76CF5" w:rsidRDefault="00925169" w:rsidP="00925169">
      <w:pPr>
        <w:spacing w:before="120"/>
        <w:jc w:val="both"/>
        <w:rPr>
          <w:rFonts w:eastAsia="MS Mincho"/>
          <w:bCs/>
          <w:strike/>
          <w:lang w:val="en-US" w:eastAsia="zh-CN"/>
        </w:rPr>
      </w:pPr>
      <w:r w:rsidRPr="0006044F" w:rsidDel="00E435A1">
        <w:rPr>
          <w:rFonts w:eastAsia="MS Mincho"/>
          <w:sz w:val="23"/>
          <w:szCs w:val="23"/>
          <w:lang w:val="en-US" w:eastAsia="zh-CN"/>
        </w:rPr>
        <w:t>A central analysis of ECG data (average of triplicate) showed</w:t>
      </w:r>
      <w:r w:rsidRPr="0006044F" w:rsidDel="00E435A1">
        <w:rPr>
          <w:rFonts w:eastAsia="MS Mincho"/>
          <w:i/>
          <w:sz w:val="23"/>
          <w:szCs w:val="23"/>
          <w:lang w:val="en-US" w:eastAsia="zh-CN"/>
        </w:rPr>
        <w:t xml:space="preserve"> </w:t>
      </w:r>
      <w:r w:rsidRPr="0006044F" w:rsidDel="00E435A1">
        <w:rPr>
          <w:rFonts w:eastAsia="MS Mincho"/>
          <w:szCs w:val="20"/>
          <w:lang w:val="en-US" w:eastAsia="en-US"/>
        </w:rPr>
        <w:t>11 patients (3.3</w:t>
      </w:r>
      <w:r w:rsidDel="00E435A1">
        <w:rPr>
          <w:rFonts w:eastAsia="MS Mincho"/>
          <w:szCs w:val="20"/>
          <w:lang w:val="en-US" w:eastAsia="en-US"/>
        </w:rPr>
        <w:t xml:space="preserve"> </w:t>
      </w:r>
      <w:r w:rsidRPr="0006044F" w:rsidDel="00E435A1">
        <w:rPr>
          <w:rFonts w:eastAsia="MS Mincho"/>
          <w:szCs w:val="20"/>
          <w:lang w:val="en-US" w:eastAsia="en-US"/>
        </w:rPr>
        <w:t xml:space="preserve">%) and </w:t>
      </w:r>
      <w:proofErr w:type="gramStart"/>
      <w:r w:rsidRPr="0006044F" w:rsidDel="00E435A1">
        <w:rPr>
          <w:rFonts w:eastAsia="MS Mincho"/>
          <w:szCs w:val="20"/>
          <w:lang w:val="en-US" w:eastAsia="en-US"/>
        </w:rPr>
        <w:t>1</w:t>
      </w:r>
      <w:proofErr w:type="gramEnd"/>
      <w:r w:rsidRPr="0006044F" w:rsidDel="00E435A1">
        <w:rPr>
          <w:rFonts w:eastAsia="MS Mincho"/>
          <w:szCs w:val="20"/>
          <w:lang w:val="en-US" w:eastAsia="en-US"/>
        </w:rPr>
        <w:t xml:space="preserve"> patient (0.3</w:t>
      </w:r>
      <w:r w:rsidDel="00E435A1">
        <w:rPr>
          <w:rFonts w:eastAsia="MS Mincho"/>
          <w:szCs w:val="20"/>
          <w:lang w:val="en-US" w:eastAsia="en-US"/>
        </w:rPr>
        <w:t xml:space="preserve"> </w:t>
      </w:r>
      <w:r w:rsidRPr="0006044F" w:rsidDel="00E435A1">
        <w:rPr>
          <w:rFonts w:eastAsia="MS Mincho"/>
          <w:szCs w:val="20"/>
          <w:lang w:val="en-US" w:eastAsia="en-US"/>
        </w:rPr>
        <w:t>%) with at least one &gt;</w:t>
      </w:r>
      <w:r w:rsidDel="00E435A1">
        <w:rPr>
          <w:rFonts w:eastAsia="MS Mincho"/>
          <w:szCs w:val="20"/>
          <w:lang w:val="en-US" w:eastAsia="en-US"/>
        </w:rPr>
        <w:t xml:space="preserve"> </w:t>
      </w:r>
      <w:r w:rsidRPr="0006044F" w:rsidDel="00E435A1">
        <w:rPr>
          <w:rFonts w:eastAsia="MS Mincho"/>
          <w:szCs w:val="20"/>
          <w:lang w:val="en-US" w:eastAsia="en-US"/>
        </w:rPr>
        <w:t xml:space="preserve">480 </w:t>
      </w:r>
      <w:proofErr w:type="spellStart"/>
      <w:r w:rsidRPr="0006044F" w:rsidDel="00E435A1">
        <w:rPr>
          <w:rFonts w:eastAsia="MS Mincho"/>
          <w:szCs w:val="20"/>
          <w:lang w:val="en-US" w:eastAsia="en-US"/>
        </w:rPr>
        <w:t>ms</w:t>
      </w:r>
      <w:proofErr w:type="spellEnd"/>
      <w:r w:rsidRPr="0006044F" w:rsidDel="00E435A1">
        <w:rPr>
          <w:rFonts w:eastAsia="MS Mincho"/>
          <w:szCs w:val="20"/>
          <w:lang w:val="en-US" w:eastAsia="en-US"/>
        </w:rPr>
        <w:t xml:space="preserve"> post-baseline </w:t>
      </w:r>
      <w:proofErr w:type="spellStart"/>
      <w:r w:rsidRPr="0006044F" w:rsidDel="00E435A1">
        <w:rPr>
          <w:rFonts w:eastAsia="MS Mincho"/>
          <w:szCs w:val="20"/>
          <w:lang w:val="en-US" w:eastAsia="en-US"/>
        </w:rPr>
        <w:t>QTcF</w:t>
      </w:r>
      <w:proofErr w:type="spellEnd"/>
      <w:r w:rsidRPr="0006044F" w:rsidDel="00E435A1">
        <w:rPr>
          <w:rFonts w:eastAsia="MS Mincho"/>
          <w:szCs w:val="20"/>
          <w:lang w:val="en-US" w:eastAsia="en-US"/>
        </w:rPr>
        <w:t xml:space="preserve"> for the </w:t>
      </w:r>
      <w:proofErr w:type="spellStart"/>
      <w:r w:rsidRPr="0006044F" w:rsidDel="00E435A1">
        <w:rPr>
          <w:rFonts w:eastAsia="MS Mincho"/>
          <w:szCs w:val="20"/>
          <w:lang w:val="en-US" w:eastAsia="en-US"/>
        </w:rPr>
        <w:t>ribociclib</w:t>
      </w:r>
      <w:proofErr w:type="spellEnd"/>
      <w:r w:rsidRPr="0006044F" w:rsidDel="00E435A1">
        <w:rPr>
          <w:rFonts w:eastAsia="MS Mincho"/>
          <w:szCs w:val="20"/>
          <w:lang w:val="en-US" w:eastAsia="en-US"/>
        </w:rPr>
        <w:t xml:space="preserve"> plus </w:t>
      </w:r>
      <w:proofErr w:type="spellStart"/>
      <w:r w:rsidRPr="0006044F" w:rsidDel="00E435A1">
        <w:rPr>
          <w:rFonts w:eastAsia="MS Mincho"/>
          <w:szCs w:val="20"/>
          <w:lang w:val="en-US" w:eastAsia="en-US"/>
        </w:rPr>
        <w:t>letrozole</w:t>
      </w:r>
      <w:proofErr w:type="spellEnd"/>
      <w:r w:rsidRPr="0006044F" w:rsidDel="00E435A1">
        <w:rPr>
          <w:rFonts w:eastAsia="MS Mincho"/>
          <w:szCs w:val="20"/>
          <w:lang w:val="en-US" w:eastAsia="en-US"/>
        </w:rPr>
        <w:t xml:space="preserve"> arm, placebo plus </w:t>
      </w:r>
      <w:proofErr w:type="spellStart"/>
      <w:r w:rsidRPr="0006044F" w:rsidDel="00E435A1">
        <w:rPr>
          <w:rFonts w:eastAsia="MS Mincho"/>
          <w:szCs w:val="20"/>
          <w:lang w:val="en-US" w:eastAsia="en-US"/>
        </w:rPr>
        <w:t>letrozole</w:t>
      </w:r>
      <w:proofErr w:type="spellEnd"/>
      <w:r w:rsidRPr="0006044F" w:rsidDel="00E435A1">
        <w:rPr>
          <w:rFonts w:eastAsia="MS Mincho"/>
          <w:szCs w:val="20"/>
          <w:lang w:val="en-US" w:eastAsia="en-US"/>
        </w:rPr>
        <w:t xml:space="preserve"> arms respectively. </w:t>
      </w:r>
      <w:r w:rsidRPr="00536243" w:rsidDel="00E435A1">
        <w:rPr>
          <w:rFonts w:eastAsia="MS Mincho"/>
          <w:szCs w:val="20"/>
          <w:lang w:val="en-US" w:eastAsia="en-US"/>
        </w:rPr>
        <w:t xml:space="preserve">Among the patients who had </w:t>
      </w:r>
      <w:proofErr w:type="spellStart"/>
      <w:r w:rsidRPr="00536243" w:rsidDel="00E435A1">
        <w:rPr>
          <w:rFonts w:eastAsia="MS Mincho"/>
          <w:szCs w:val="20"/>
          <w:lang w:val="en-US" w:eastAsia="en-US"/>
        </w:rPr>
        <w:t>QTcF</w:t>
      </w:r>
      <w:proofErr w:type="spellEnd"/>
      <w:r w:rsidRPr="00536243" w:rsidDel="00E435A1">
        <w:rPr>
          <w:rFonts w:eastAsia="MS Mincho"/>
          <w:szCs w:val="20"/>
          <w:lang w:val="en-US" w:eastAsia="en-US"/>
        </w:rPr>
        <w:t xml:space="preserve"> prolongation of &gt;</w:t>
      </w:r>
      <w:r w:rsidR="00A12384">
        <w:rPr>
          <w:rFonts w:eastAsia="MS Mincho"/>
          <w:szCs w:val="20"/>
          <w:lang w:val="en-US" w:eastAsia="en-US"/>
        </w:rPr>
        <w:t xml:space="preserve"> </w:t>
      </w:r>
      <w:r w:rsidRPr="00536243" w:rsidDel="00E435A1">
        <w:rPr>
          <w:rFonts w:eastAsia="MS Mincho"/>
          <w:szCs w:val="20"/>
          <w:lang w:val="en-US" w:eastAsia="en-US"/>
        </w:rPr>
        <w:t xml:space="preserve">480 </w:t>
      </w:r>
      <w:proofErr w:type="spellStart"/>
      <w:r w:rsidRPr="00536243" w:rsidDel="00E435A1">
        <w:rPr>
          <w:rFonts w:eastAsia="MS Mincho"/>
          <w:szCs w:val="20"/>
          <w:lang w:val="en-US" w:eastAsia="en-US"/>
        </w:rPr>
        <w:t>ms</w:t>
      </w:r>
      <w:proofErr w:type="spellEnd"/>
      <w:r w:rsidRPr="00536243" w:rsidDel="00E435A1">
        <w:rPr>
          <w:rFonts w:eastAsia="MS Mincho"/>
          <w:szCs w:val="20"/>
          <w:lang w:val="en-US" w:eastAsia="en-US"/>
        </w:rPr>
        <w:t xml:space="preserve">, the median time to onset is 15 days and these changes were reversible with dose interruption and/or dose reduction </w:t>
      </w:r>
      <w:r w:rsidRPr="0006044F" w:rsidDel="00E435A1">
        <w:rPr>
          <w:rFonts w:eastAsia="MS Mincho"/>
          <w:szCs w:val="20"/>
          <w:lang w:val="en-US" w:eastAsia="zh-CN"/>
        </w:rPr>
        <w:t>(see DOSAGE AND ADMINISTRATION, PRECAUTIONS</w:t>
      </w:r>
      <w:r w:rsidDel="00E435A1">
        <w:rPr>
          <w:rFonts w:eastAsia="MS Mincho"/>
          <w:szCs w:val="20"/>
          <w:lang w:val="en-US" w:eastAsia="zh-CN"/>
        </w:rPr>
        <w:t>,</w:t>
      </w:r>
      <w:r w:rsidRPr="0006044F" w:rsidDel="00E435A1">
        <w:rPr>
          <w:rFonts w:eastAsia="MS Mincho"/>
          <w:szCs w:val="20"/>
          <w:lang w:val="en-US" w:eastAsia="zh-CN"/>
        </w:rPr>
        <w:t xml:space="preserve"> and PHARMACOLOGY)</w:t>
      </w:r>
      <w:r w:rsidR="00D76CF5">
        <w:rPr>
          <w:rFonts w:eastAsia="MS Mincho"/>
          <w:i/>
          <w:szCs w:val="20"/>
          <w:lang w:val="en-US" w:eastAsia="zh-CN"/>
        </w:rPr>
        <w:t>.</w:t>
      </w:r>
    </w:p>
    <w:p w14:paraId="17056B47" w14:textId="77777777" w:rsidR="00925169" w:rsidRPr="00B26819" w:rsidRDefault="00925169" w:rsidP="00925169">
      <w:pPr>
        <w:spacing w:before="120" w:after="120" w:line="300" w:lineRule="exact"/>
        <w:rPr>
          <w:b/>
        </w:rPr>
      </w:pPr>
      <w:bookmarkStart w:id="19" w:name="_hd7_Figure_1_7_Histogram_o5529"/>
      <w:bookmarkEnd w:id="19"/>
      <w:r w:rsidRPr="00B26819">
        <w:rPr>
          <w:b/>
        </w:rPr>
        <w:t>Hepatobiliary toxicity</w:t>
      </w:r>
    </w:p>
    <w:p w14:paraId="45F1457B" w14:textId="33181B06" w:rsidR="00925169" w:rsidRDefault="00925169" w:rsidP="00925169">
      <w:pPr>
        <w:widowControl w:val="0"/>
        <w:spacing w:before="120"/>
        <w:jc w:val="both"/>
        <w:rPr>
          <w:rFonts w:eastAsia="MS Mincho"/>
          <w:szCs w:val="20"/>
          <w:lang w:val="en-US" w:eastAsia="zh-CN"/>
        </w:rPr>
      </w:pPr>
      <w:r w:rsidRPr="006767B9">
        <w:rPr>
          <w:rFonts w:eastAsia="MS Mincho"/>
          <w:szCs w:val="20"/>
          <w:lang w:val="en-US" w:eastAsia="zh-CN"/>
        </w:rPr>
        <w:t xml:space="preserve">In the phase III clinical study, hepatobiliary toxicity events occurred in a higher proportion of patients in the </w:t>
      </w:r>
      <w:proofErr w:type="spellStart"/>
      <w:r w:rsidRPr="006767B9">
        <w:rPr>
          <w:rFonts w:eastAsia="MS Mincho"/>
          <w:szCs w:val="20"/>
          <w:lang w:val="en-US" w:eastAsia="zh-CN"/>
        </w:rPr>
        <w:t>ribociclib</w:t>
      </w:r>
      <w:proofErr w:type="spellEnd"/>
      <w:r w:rsidRPr="006767B9">
        <w:rPr>
          <w:rFonts w:eastAsia="MS Mincho"/>
          <w:szCs w:val="20"/>
          <w:lang w:val="en-US" w:eastAsia="zh-CN"/>
        </w:rPr>
        <w:t xml:space="preserve"> plus </w:t>
      </w:r>
      <w:proofErr w:type="spellStart"/>
      <w:r w:rsidRPr="006767B9">
        <w:rPr>
          <w:rFonts w:eastAsia="MS Mincho"/>
          <w:szCs w:val="20"/>
          <w:lang w:val="en-US" w:eastAsia="zh-CN"/>
        </w:rPr>
        <w:t>letrozole</w:t>
      </w:r>
      <w:proofErr w:type="spellEnd"/>
      <w:r w:rsidRPr="006767B9">
        <w:rPr>
          <w:rFonts w:eastAsia="MS Mincho"/>
          <w:szCs w:val="20"/>
          <w:lang w:val="en-US" w:eastAsia="zh-CN"/>
        </w:rPr>
        <w:t xml:space="preserve"> group compared with the placebo plus </w:t>
      </w:r>
      <w:proofErr w:type="spellStart"/>
      <w:r w:rsidRPr="006767B9">
        <w:rPr>
          <w:rFonts w:eastAsia="MS Mincho"/>
          <w:szCs w:val="20"/>
          <w:lang w:val="en-US" w:eastAsia="zh-CN"/>
        </w:rPr>
        <w:t>letrozole</w:t>
      </w:r>
      <w:proofErr w:type="spellEnd"/>
      <w:r w:rsidRPr="006767B9">
        <w:rPr>
          <w:rFonts w:eastAsia="MS Mincho"/>
          <w:szCs w:val="20"/>
          <w:lang w:val="en-US" w:eastAsia="zh-CN"/>
        </w:rPr>
        <w:t xml:space="preserve"> group (24.0</w:t>
      </w:r>
      <w:r>
        <w:rPr>
          <w:rFonts w:eastAsia="MS Mincho"/>
          <w:szCs w:val="20"/>
          <w:lang w:val="en-US" w:eastAsia="zh-CN"/>
        </w:rPr>
        <w:t xml:space="preserve"> </w:t>
      </w:r>
      <w:r w:rsidRPr="006767B9">
        <w:rPr>
          <w:rFonts w:eastAsia="MS Mincho"/>
          <w:szCs w:val="20"/>
          <w:lang w:val="en-US" w:eastAsia="zh-CN"/>
        </w:rPr>
        <w:t xml:space="preserve">% </w:t>
      </w:r>
      <w:r>
        <w:rPr>
          <w:rFonts w:eastAsia="MS Mincho"/>
          <w:szCs w:val="20"/>
          <w:lang w:val="en-US" w:eastAsia="zh-CN"/>
        </w:rPr>
        <w:t xml:space="preserve">and </w:t>
      </w:r>
      <w:r w:rsidRPr="006767B9">
        <w:rPr>
          <w:rFonts w:eastAsia="MS Mincho"/>
          <w:szCs w:val="20"/>
          <w:lang w:val="en-US" w:eastAsia="zh-CN"/>
        </w:rPr>
        <w:t>13.6</w:t>
      </w:r>
      <w:r>
        <w:rPr>
          <w:rFonts w:eastAsia="MS Mincho"/>
          <w:szCs w:val="20"/>
          <w:lang w:val="en-US" w:eastAsia="zh-CN"/>
        </w:rPr>
        <w:t xml:space="preserve"> </w:t>
      </w:r>
      <w:r w:rsidRPr="006767B9">
        <w:rPr>
          <w:rFonts w:eastAsia="MS Mincho"/>
          <w:szCs w:val="20"/>
          <w:lang w:val="en-US" w:eastAsia="zh-CN"/>
        </w:rPr>
        <w:t xml:space="preserve">%, respectively), with more </w:t>
      </w:r>
      <w:r>
        <w:rPr>
          <w:rFonts w:eastAsia="MS Mincho"/>
          <w:szCs w:val="20"/>
          <w:lang w:val="en-US" w:eastAsia="zh-CN"/>
        </w:rPr>
        <w:t>G</w:t>
      </w:r>
      <w:r w:rsidRPr="006767B9">
        <w:rPr>
          <w:rFonts w:eastAsia="MS Mincho"/>
          <w:szCs w:val="20"/>
          <w:lang w:val="en-US" w:eastAsia="zh-CN"/>
        </w:rPr>
        <w:t xml:space="preserve">rade 3/4 adverse events reported in the patients treated with </w:t>
      </w:r>
      <w:proofErr w:type="spellStart"/>
      <w:r w:rsidRPr="006767B9">
        <w:rPr>
          <w:rFonts w:eastAsia="MS Mincho"/>
          <w:szCs w:val="20"/>
          <w:lang w:val="en-US" w:eastAsia="zh-CN"/>
        </w:rPr>
        <w:t>ribociclib</w:t>
      </w:r>
      <w:proofErr w:type="spellEnd"/>
      <w:r w:rsidRPr="006767B9">
        <w:rPr>
          <w:rFonts w:eastAsia="MS Mincho"/>
          <w:szCs w:val="20"/>
          <w:lang w:val="en-US" w:eastAsia="zh-CN"/>
        </w:rPr>
        <w:t xml:space="preserve"> plus </w:t>
      </w:r>
      <w:proofErr w:type="spellStart"/>
      <w:r w:rsidRPr="006767B9">
        <w:rPr>
          <w:rFonts w:eastAsia="MS Mincho"/>
          <w:szCs w:val="20"/>
          <w:lang w:val="en-US" w:eastAsia="zh-CN"/>
        </w:rPr>
        <w:t>letrozole</w:t>
      </w:r>
      <w:proofErr w:type="spellEnd"/>
      <w:r w:rsidRPr="006767B9">
        <w:rPr>
          <w:rFonts w:eastAsia="MS Mincho"/>
          <w:szCs w:val="20"/>
          <w:lang w:val="en-US" w:eastAsia="zh-CN"/>
        </w:rPr>
        <w:t xml:space="preserve"> (11.4</w:t>
      </w:r>
      <w:r>
        <w:rPr>
          <w:rFonts w:eastAsia="MS Mincho"/>
          <w:szCs w:val="20"/>
          <w:lang w:val="en-US" w:eastAsia="zh-CN"/>
        </w:rPr>
        <w:t xml:space="preserve"> </w:t>
      </w:r>
      <w:r w:rsidRPr="006767B9">
        <w:rPr>
          <w:rFonts w:eastAsia="MS Mincho"/>
          <w:szCs w:val="20"/>
          <w:lang w:val="en-US" w:eastAsia="zh-CN"/>
        </w:rPr>
        <w:t>% vs. 3.6</w:t>
      </w:r>
      <w:r>
        <w:rPr>
          <w:rFonts w:eastAsia="MS Mincho"/>
          <w:szCs w:val="20"/>
          <w:lang w:val="en-US" w:eastAsia="zh-CN"/>
        </w:rPr>
        <w:t xml:space="preserve"> </w:t>
      </w:r>
      <w:r w:rsidRPr="006767B9">
        <w:rPr>
          <w:rFonts w:eastAsia="MS Mincho"/>
          <w:szCs w:val="20"/>
          <w:lang w:val="en-US" w:eastAsia="zh-CN"/>
        </w:rPr>
        <w:t>%, respectively)</w:t>
      </w:r>
      <w:r>
        <w:rPr>
          <w:rFonts w:eastAsia="MS Mincho"/>
          <w:szCs w:val="20"/>
          <w:lang w:val="en-US" w:eastAsia="zh-CN"/>
        </w:rPr>
        <w:t>.</w:t>
      </w:r>
      <w:r w:rsidRPr="006767B9">
        <w:rPr>
          <w:rFonts w:eastAsia="MS Mincho"/>
          <w:szCs w:val="20"/>
          <w:lang w:val="en-US" w:eastAsia="zh-CN"/>
        </w:rPr>
        <w:t xml:space="preserve">  </w:t>
      </w:r>
      <w:r w:rsidRPr="006767B9">
        <w:rPr>
          <w:rFonts w:eastAsia="MS Mincho"/>
          <w:bCs/>
          <w:lang w:val="en-US" w:eastAsia="zh-CN"/>
        </w:rPr>
        <w:t xml:space="preserve">Dose interruptions and/or adjustments due to hepatobiliary toxicity events </w:t>
      </w:r>
      <w:proofErr w:type="gramStart"/>
      <w:r w:rsidRPr="006767B9">
        <w:rPr>
          <w:rFonts w:eastAsia="MS Mincho"/>
          <w:bCs/>
          <w:lang w:val="en-US" w:eastAsia="zh-CN"/>
        </w:rPr>
        <w:t>were reported</w:t>
      </w:r>
      <w:proofErr w:type="gramEnd"/>
      <w:r w:rsidRPr="006767B9">
        <w:rPr>
          <w:rFonts w:eastAsia="MS Mincho"/>
          <w:bCs/>
          <w:lang w:val="en-US" w:eastAsia="zh-CN"/>
        </w:rPr>
        <w:t xml:space="preserve"> in 8.4</w:t>
      </w:r>
      <w:r>
        <w:rPr>
          <w:rFonts w:eastAsia="MS Mincho"/>
          <w:bCs/>
          <w:lang w:val="en-US" w:eastAsia="zh-CN"/>
        </w:rPr>
        <w:t xml:space="preserve"> </w:t>
      </w:r>
      <w:r w:rsidRPr="006767B9">
        <w:rPr>
          <w:rFonts w:eastAsia="MS Mincho"/>
          <w:bCs/>
          <w:lang w:val="en-US" w:eastAsia="zh-CN"/>
        </w:rPr>
        <w:t xml:space="preserve">% of </w:t>
      </w:r>
      <w:proofErr w:type="spellStart"/>
      <w:r w:rsidRPr="006767B9">
        <w:rPr>
          <w:rFonts w:eastAsia="MS Mincho"/>
          <w:bCs/>
          <w:lang w:val="en-US" w:eastAsia="zh-CN"/>
        </w:rPr>
        <w:t>ribociclib</w:t>
      </w:r>
      <w:proofErr w:type="spellEnd"/>
      <w:r w:rsidRPr="006767B9">
        <w:rPr>
          <w:rFonts w:eastAsia="MS Mincho"/>
          <w:bCs/>
          <w:lang w:val="en-US" w:eastAsia="zh-CN"/>
        </w:rPr>
        <w:t xml:space="preserve"> plus </w:t>
      </w:r>
      <w:proofErr w:type="spellStart"/>
      <w:r w:rsidRPr="006767B9">
        <w:rPr>
          <w:rFonts w:eastAsia="MS Mincho"/>
          <w:bCs/>
          <w:lang w:val="en-US" w:eastAsia="zh-CN"/>
        </w:rPr>
        <w:t>letrozole</w:t>
      </w:r>
      <w:proofErr w:type="spellEnd"/>
      <w:r w:rsidRPr="006767B9">
        <w:rPr>
          <w:rFonts w:eastAsia="MS Mincho"/>
          <w:bCs/>
          <w:lang w:val="en-US" w:eastAsia="zh-CN"/>
        </w:rPr>
        <w:t>-treated patients, primarily due to ALT increased (5.7</w:t>
      </w:r>
      <w:r>
        <w:rPr>
          <w:rFonts w:eastAsia="MS Mincho"/>
          <w:bCs/>
          <w:lang w:val="en-US" w:eastAsia="zh-CN"/>
        </w:rPr>
        <w:t xml:space="preserve"> </w:t>
      </w:r>
      <w:r w:rsidRPr="006767B9">
        <w:rPr>
          <w:rFonts w:eastAsia="MS Mincho"/>
          <w:bCs/>
          <w:lang w:val="en-US" w:eastAsia="zh-CN"/>
        </w:rPr>
        <w:t>%) and/or AST increased (</w:t>
      </w:r>
      <w:r>
        <w:rPr>
          <w:rFonts w:eastAsia="MS Mincho"/>
          <w:bCs/>
          <w:lang w:val="en-US" w:eastAsia="zh-CN"/>
        </w:rPr>
        <w:t xml:space="preserve">4.5 </w:t>
      </w:r>
      <w:r w:rsidRPr="006767B9">
        <w:rPr>
          <w:rFonts w:eastAsia="MS Mincho"/>
          <w:bCs/>
          <w:lang w:val="en-US" w:eastAsia="zh-CN"/>
        </w:rPr>
        <w:t xml:space="preserve">%). Discontinuation of treatment with </w:t>
      </w:r>
      <w:r>
        <w:rPr>
          <w:rFonts w:eastAsia="MS Mincho"/>
          <w:bCs/>
          <w:lang w:val="en-US" w:eastAsia="zh-CN"/>
        </w:rPr>
        <w:t>KISQALI</w:t>
      </w:r>
      <w:r w:rsidRPr="006767B9">
        <w:rPr>
          <w:rFonts w:eastAsia="MS Mincho"/>
          <w:bCs/>
          <w:lang w:val="en-US" w:eastAsia="zh-CN"/>
        </w:rPr>
        <w:t xml:space="preserve"> plus </w:t>
      </w:r>
      <w:proofErr w:type="spellStart"/>
      <w:r w:rsidRPr="006767B9">
        <w:rPr>
          <w:rFonts w:eastAsia="MS Mincho"/>
          <w:bCs/>
          <w:lang w:val="en-US" w:eastAsia="zh-CN"/>
        </w:rPr>
        <w:t>letrozole</w:t>
      </w:r>
      <w:proofErr w:type="spellEnd"/>
      <w:r w:rsidRPr="006767B9">
        <w:rPr>
          <w:rFonts w:eastAsia="MS Mincho"/>
          <w:bCs/>
          <w:lang w:val="en-US" w:eastAsia="zh-CN"/>
        </w:rPr>
        <w:t xml:space="preserve"> due to </w:t>
      </w:r>
      <w:r>
        <w:rPr>
          <w:rFonts w:eastAsia="MS Mincho"/>
          <w:bCs/>
          <w:lang w:val="en-US" w:eastAsia="zh-CN"/>
        </w:rPr>
        <w:t>abnormal liver function tests, and hepatoto</w:t>
      </w:r>
      <w:r w:rsidRPr="006767B9">
        <w:rPr>
          <w:rFonts w:eastAsia="MS Mincho"/>
          <w:bCs/>
          <w:lang w:val="en-US" w:eastAsia="zh-CN"/>
        </w:rPr>
        <w:t xml:space="preserve">xicity </w:t>
      </w:r>
      <w:r>
        <w:rPr>
          <w:rFonts w:eastAsia="MS Mincho"/>
          <w:bCs/>
          <w:lang w:val="en-US" w:eastAsia="zh-CN"/>
        </w:rPr>
        <w:t xml:space="preserve">were 3.0 % and </w:t>
      </w:r>
      <w:r w:rsidRPr="006767B9">
        <w:rPr>
          <w:rFonts w:eastAsia="MS Mincho"/>
          <w:bCs/>
          <w:lang w:val="en-US" w:eastAsia="zh-CN"/>
        </w:rPr>
        <w:t>0.6</w:t>
      </w:r>
      <w:r>
        <w:rPr>
          <w:rFonts w:eastAsia="MS Mincho"/>
          <w:bCs/>
          <w:lang w:val="en-US" w:eastAsia="zh-CN"/>
        </w:rPr>
        <w:t xml:space="preserve"> </w:t>
      </w:r>
      <w:r w:rsidRPr="006767B9">
        <w:rPr>
          <w:rFonts w:eastAsia="MS Mincho"/>
          <w:bCs/>
          <w:lang w:val="en-US" w:eastAsia="zh-CN"/>
        </w:rPr>
        <w:t xml:space="preserve">% </w:t>
      </w:r>
      <w:r>
        <w:rPr>
          <w:rFonts w:eastAsia="MS Mincho"/>
          <w:bCs/>
          <w:lang w:val="en-US" w:eastAsia="zh-CN"/>
        </w:rPr>
        <w:t>respectively</w:t>
      </w:r>
      <w:r w:rsidR="00F97A10">
        <w:rPr>
          <w:rFonts w:eastAsia="MS Mincho"/>
          <w:bCs/>
          <w:lang w:val="en-US" w:eastAsia="zh-CN"/>
        </w:rPr>
        <w:t xml:space="preserve"> (see </w:t>
      </w:r>
      <w:r w:rsidR="00E932EB" w:rsidRPr="00E932EB">
        <w:rPr>
          <w:rFonts w:eastAsia="MS Mincho"/>
          <w:bCs/>
          <w:lang w:val="en-US" w:eastAsia="zh-CN"/>
        </w:rPr>
        <w:t>DOSAGE AND ADMINISTRATION, PRECAUTIONS, and PHARMACOLOGY</w:t>
      </w:r>
      <w:r w:rsidR="00F97A10">
        <w:rPr>
          <w:rFonts w:eastAsia="MS Mincho"/>
          <w:bCs/>
          <w:lang w:val="en-US" w:eastAsia="zh-CN"/>
        </w:rPr>
        <w:t>)</w:t>
      </w:r>
      <w:r w:rsidR="00D76CF5">
        <w:rPr>
          <w:rFonts w:eastAsia="MS Mincho"/>
          <w:bCs/>
          <w:lang w:val="en-US" w:eastAsia="zh-CN"/>
        </w:rPr>
        <w:t>.</w:t>
      </w:r>
    </w:p>
    <w:p w14:paraId="10572E32" w14:textId="77777777" w:rsidR="008D2A1E" w:rsidRPr="00B26819" w:rsidRDefault="008D2A1E" w:rsidP="00D76CF5">
      <w:pPr>
        <w:keepNext/>
        <w:widowControl w:val="0"/>
        <w:spacing w:before="120"/>
        <w:rPr>
          <w:b/>
        </w:rPr>
      </w:pPr>
      <w:r w:rsidRPr="00B26819">
        <w:rPr>
          <w:b/>
        </w:rPr>
        <w:t>Neutropenia</w:t>
      </w:r>
    </w:p>
    <w:p w14:paraId="1FD575C6" w14:textId="1589881A" w:rsidR="004F13B8" w:rsidRDefault="008D2A1E" w:rsidP="008536D4">
      <w:pPr>
        <w:widowControl w:val="0"/>
        <w:jc w:val="both"/>
        <w:rPr>
          <w:rFonts w:eastAsia="MS Mincho"/>
          <w:szCs w:val="20"/>
          <w:lang w:val="en-US" w:eastAsia="zh-CN"/>
        </w:rPr>
      </w:pPr>
      <w:r w:rsidRPr="008D2A1E">
        <w:rPr>
          <w:rFonts w:eastAsia="MS Mincho"/>
          <w:szCs w:val="20"/>
          <w:lang w:val="en-US" w:eastAsia="zh-CN"/>
        </w:rPr>
        <w:t xml:space="preserve">Neutropenia </w:t>
      </w:r>
      <w:proofErr w:type="gramStart"/>
      <w:r w:rsidRPr="008D2A1E">
        <w:rPr>
          <w:rFonts w:eastAsia="MS Mincho"/>
          <w:szCs w:val="20"/>
          <w:lang w:val="en-US" w:eastAsia="zh-CN"/>
        </w:rPr>
        <w:t>was most frequently reported</w:t>
      </w:r>
      <w:proofErr w:type="gramEnd"/>
      <w:r w:rsidRPr="008D2A1E">
        <w:rPr>
          <w:rFonts w:eastAsia="MS Mincho"/>
          <w:szCs w:val="20"/>
          <w:lang w:val="en-US" w:eastAsia="zh-CN"/>
        </w:rPr>
        <w:t xml:space="preserve"> by laboratory findings in the phase III study. Based on its severity, neutropenia </w:t>
      </w:r>
      <w:proofErr w:type="gramStart"/>
      <w:r w:rsidRPr="008D2A1E">
        <w:rPr>
          <w:rFonts w:eastAsia="MS Mincho"/>
          <w:szCs w:val="20"/>
          <w:lang w:val="en-US" w:eastAsia="zh-CN"/>
        </w:rPr>
        <w:t>was managed</w:t>
      </w:r>
      <w:proofErr w:type="gramEnd"/>
      <w:r w:rsidRPr="008D2A1E">
        <w:rPr>
          <w:rFonts w:eastAsia="MS Mincho"/>
          <w:szCs w:val="20"/>
          <w:lang w:val="en-US" w:eastAsia="zh-CN"/>
        </w:rPr>
        <w:t xml:space="preserve"> by laboratory monitoring, dose interruption and/or dose modification. Treatment discontinuation due to neutropenia was low (0.9</w:t>
      </w:r>
      <w:r w:rsidR="0098787B">
        <w:rPr>
          <w:rFonts w:eastAsia="MS Mincho"/>
          <w:szCs w:val="20"/>
          <w:lang w:val="en-US" w:eastAsia="zh-CN"/>
        </w:rPr>
        <w:t xml:space="preserve"> </w:t>
      </w:r>
      <w:r w:rsidRPr="008D2A1E">
        <w:rPr>
          <w:rFonts w:eastAsia="MS Mincho"/>
          <w:szCs w:val="20"/>
          <w:lang w:val="en-US" w:eastAsia="zh-CN"/>
        </w:rPr>
        <w:t>%)</w:t>
      </w:r>
      <w:r w:rsidR="00C358EB">
        <w:rPr>
          <w:rFonts w:eastAsia="MS Mincho"/>
          <w:szCs w:val="20"/>
          <w:lang w:val="en-US" w:eastAsia="zh-CN"/>
        </w:rPr>
        <w:t xml:space="preserve">, </w:t>
      </w:r>
      <w:r w:rsidR="00C358EB" w:rsidRPr="00C358EB">
        <w:rPr>
          <w:rFonts w:eastAsia="MS Mincho"/>
          <w:szCs w:val="20"/>
          <w:lang w:val="en-US" w:eastAsia="zh-CN"/>
        </w:rPr>
        <w:t>however, dose interruptions were required in 50</w:t>
      </w:r>
      <w:r w:rsidR="002B265F">
        <w:rPr>
          <w:rFonts w:eastAsia="MS Mincho"/>
          <w:szCs w:val="20"/>
          <w:lang w:val="en-US" w:eastAsia="zh-CN"/>
        </w:rPr>
        <w:t xml:space="preserve"> </w:t>
      </w:r>
      <w:r w:rsidR="00C358EB" w:rsidRPr="00C358EB">
        <w:rPr>
          <w:rFonts w:eastAsia="MS Mincho"/>
          <w:szCs w:val="20"/>
          <w:lang w:val="en-US" w:eastAsia="zh-CN"/>
        </w:rPr>
        <w:t>% of patients</w:t>
      </w:r>
      <w:r w:rsidRPr="008D2A1E">
        <w:rPr>
          <w:rFonts w:eastAsia="MS Mincho"/>
          <w:szCs w:val="20"/>
          <w:lang w:val="en-US" w:eastAsia="zh-CN"/>
        </w:rPr>
        <w:t xml:space="preserve"> (see DOSAGE AND ADMINISTRATION, </w:t>
      </w:r>
      <w:r>
        <w:rPr>
          <w:rFonts w:eastAsia="MS Mincho"/>
          <w:szCs w:val="20"/>
          <w:lang w:val="en-US" w:eastAsia="zh-CN"/>
        </w:rPr>
        <w:t xml:space="preserve">and </w:t>
      </w:r>
      <w:r w:rsidRPr="008D2A1E">
        <w:rPr>
          <w:rFonts w:eastAsia="MS Mincho"/>
          <w:szCs w:val="20"/>
          <w:lang w:val="en-US" w:eastAsia="zh-CN"/>
        </w:rPr>
        <w:t>PRECAUTIONS)</w:t>
      </w:r>
      <w:r>
        <w:rPr>
          <w:rFonts w:eastAsia="MS Mincho"/>
          <w:szCs w:val="20"/>
          <w:lang w:val="en-US" w:eastAsia="zh-CN"/>
        </w:rPr>
        <w:t>.</w:t>
      </w:r>
    </w:p>
    <w:p w14:paraId="5553BCE3" w14:textId="16A0D11B" w:rsidR="006C4A20" w:rsidRPr="004553F8" w:rsidRDefault="006C4A20" w:rsidP="006D75C7">
      <w:pPr>
        <w:pStyle w:val="Heading2"/>
        <w:spacing w:before="120" w:after="120" w:line="240" w:lineRule="auto"/>
        <w:jc w:val="left"/>
        <w:rPr>
          <w:rFonts w:eastAsiaTheme="minorHAnsi"/>
          <w:caps/>
          <w:sz w:val="30"/>
          <w:lang w:val="en-GB"/>
        </w:rPr>
      </w:pPr>
      <w:r w:rsidRPr="004553F8">
        <w:rPr>
          <w:rFonts w:eastAsiaTheme="minorHAnsi"/>
          <w:caps/>
          <w:sz w:val="30"/>
          <w:lang w:val="en-GB"/>
        </w:rPr>
        <w:t xml:space="preserve">DOSAGE </w:t>
      </w:r>
      <w:smartTag w:uri="urn:schemas-microsoft-com:office:smarttags" w:element="stockticker">
        <w:r w:rsidRPr="004553F8">
          <w:rPr>
            <w:rFonts w:eastAsiaTheme="minorHAnsi"/>
            <w:caps/>
            <w:sz w:val="30"/>
            <w:lang w:val="en-GB"/>
          </w:rPr>
          <w:t>AND</w:t>
        </w:r>
      </w:smartTag>
      <w:r w:rsidR="00913017" w:rsidRPr="004553F8">
        <w:rPr>
          <w:rFonts w:eastAsiaTheme="minorHAnsi"/>
          <w:caps/>
          <w:sz w:val="30"/>
          <w:lang w:val="en-GB"/>
        </w:rPr>
        <w:t xml:space="preserve"> ADMINISTRATION</w:t>
      </w:r>
    </w:p>
    <w:p w14:paraId="6DF0F676" w14:textId="304C0C65" w:rsidR="000A0973" w:rsidRPr="000A0973" w:rsidRDefault="000A0973" w:rsidP="000A0973">
      <w:pPr>
        <w:spacing w:before="120" w:after="120"/>
        <w:jc w:val="both"/>
        <w:rPr>
          <w:rFonts w:eastAsia="MS Mincho"/>
          <w:szCs w:val="20"/>
          <w:lang w:val="en-US" w:eastAsia="zh-CN"/>
        </w:rPr>
      </w:pPr>
      <w:proofErr w:type="gramStart"/>
      <w:r w:rsidRPr="000A0973">
        <w:rPr>
          <w:rFonts w:eastAsia="MS Mincho"/>
          <w:szCs w:val="20"/>
          <w:lang w:val="en-US" w:eastAsia="zh-CN"/>
        </w:rPr>
        <w:t xml:space="preserve">Treatment with </w:t>
      </w:r>
      <w:r w:rsidR="00604B07" w:rsidRPr="000A0973">
        <w:rPr>
          <w:rFonts w:eastAsia="MS Mincho"/>
          <w:szCs w:val="20"/>
          <w:lang w:val="en-US" w:eastAsia="zh-CN"/>
        </w:rPr>
        <w:t xml:space="preserve">KISQALI </w:t>
      </w:r>
      <w:r w:rsidRPr="000A0973">
        <w:rPr>
          <w:rFonts w:eastAsia="MS Mincho"/>
          <w:szCs w:val="20"/>
          <w:lang w:val="en-US" w:eastAsia="zh-CN"/>
        </w:rPr>
        <w:t>should be initiated by a physician experienced in the use of anticancer therapies</w:t>
      </w:r>
      <w:proofErr w:type="gramEnd"/>
      <w:r w:rsidRPr="000A0973">
        <w:rPr>
          <w:rFonts w:eastAsia="MS Mincho"/>
          <w:szCs w:val="20"/>
          <w:lang w:val="en-US" w:eastAsia="zh-CN"/>
        </w:rPr>
        <w:t>.</w:t>
      </w:r>
      <w:r w:rsidR="00532793" w:rsidRPr="00532793">
        <w:t xml:space="preserve"> </w:t>
      </w:r>
      <w:r w:rsidR="00A54530">
        <w:rPr>
          <w:rFonts w:eastAsia="MS Mincho"/>
          <w:szCs w:val="20"/>
          <w:lang w:val="en-US" w:eastAsia="zh-CN"/>
        </w:rPr>
        <w:t>M</w:t>
      </w:r>
      <w:r w:rsidR="00532793" w:rsidRPr="00532793">
        <w:rPr>
          <w:rFonts w:eastAsia="MS Mincho"/>
          <w:szCs w:val="20"/>
          <w:lang w:val="en-US" w:eastAsia="zh-CN"/>
        </w:rPr>
        <w:t xml:space="preserve">onitoring for adverse drug reactions (ADRs) is required, including complete blood </w:t>
      </w:r>
      <w:r w:rsidR="00532793" w:rsidRPr="00532793">
        <w:rPr>
          <w:rFonts w:eastAsia="MS Mincho"/>
          <w:szCs w:val="20"/>
          <w:lang w:val="en-US" w:eastAsia="zh-CN"/>
        </w:rPr>
        <w:lastRenderedPageBreak/>
        <w:t xml:space="preserve">counts, </w:t>
      </w:r>
      <w:r w:rsidR="00DF2FC4">
        <w:rPr>
          <w:rFonts w:eastAsia="MS Mincho"/>
          <w:szCs w:val="20"/>
          <w:lang w:val="en-US" w:eastAsia="zh-CN"/>
        </w:rPr>
        <w:t>LFTs</w:t>
      </w:r>
      <w:r w:rsidR="00144F4F">
        <w:rPr>
          <w:rFonts w:eastAsia="MS Mincho"/>
          <w:szCs w:val="20"/>
          <w:lang w:val="en-US" w:eastAsia="zh-CN"/>
        </w:rPr>
        <w:t xml:space="preserve">, </w:t>
      </w:r>
      <w:r w:rsidR="002E1580">
        <w:rPr>
          <w:rFonts w:eastAsia="MS Mincho"/>
          <w:szCs w:val="20"/>
          <w:lang w:val="en-US" w:eastAsia="zh-CN"/>
        </w:rPr>
        <w:t xml:space="preserve">serum </w:t>
      </w:r>
      <w:r w:rsidR="00144F4F">
        <w:rPr>
          <w:rFonts w:eastAsia="MS Mincho"/>
          <w:szCs w:val="20"/>
          <w:lang w:val="en-US" w:eastAsia="zh-CN"/>
        </w:rPr>
        <w:t>electrolytes,</w:t>
      </w:r>
      <w:r w:rsidR="00532793" w:rsidRPr="00532793">
        <w:rPr>
          <w:rFonts w:eastAsia="MS Mincho"/>
          <w:szCs w:val="20"/>
          <w:lang w:val="en-US" w:eastAsia="zh-CN"/>
        </w:rPr>
        <w:t xml:space="preserve"> and ECG; dose modification (delay, reduction) or cessation may be required – see Tables </w:t>
      </w:r>
      <w:r w:rsidR="00144F4F">
        <w:rPr>
          <w:rFonts w:eastAsia="MS Mincho"/>
          <w:szCs w:val="20"/>
          <w:lang w:val="en-US" w:eastAsia="zh-CN"/>
        </w:rPr>
        <w:t>6</w:t>
      </w:r>
      <w:r w:rsidR="00532793" w:rsidRPr="00532793">
        <w:rPr>
          <w:rFonts w:eastAsia="MS Mincho"/>
          <w:szCs w:val="20"/>
          <w:lang w:val="en-US" w:eastAsia="zh-CN"/>
        </w:rPr>
        <w:t>-</w:t>
      </w:r>
      <w:r w:rsidR="00144F4F">
        <w:rPr>
          <w:rFonts w:eastAsia="MS Mincho"/>
          <w:szCs w:val="20"/>
          <w:lang w:val="en-US" w:eastAsia="zh-CN"/>
        </w:rPr>
        <w:t>10</w:t>
      </w:r>
      <w:r w:rsidR="00532793" w:rsidRPr="00532793">
        <w:rPr>
          <w:rFonts w:eastAsia="MS Mincho"/>
          <w:szCs w:val="20"/>
          <w:lang w:val="en-US" w:eastAsia="zh-CN"/>
        </w:rPr>
        <w:t>.</w:t>
      </w:r>
    </w:p>
    <w:p w14:paraId="28F1B0F1" w14:textId="77777777" w:rsidR="00B43EF1" w:rsidRDefault="00B43EF1" w:rsidP="00B43EF1">
      <w:pPr>
        <w:spacing w:after="120" w:line="300" w:lineRule="atLeast"/>
        <w:rPr>
          <w:b/>
          <w:u w:val="single"/>
          <w:lang w:val="en-GB"/>
        </w:rPr>
      </w:pPr>
      <w:r w:rsidRPr="00561258">
        <w:rPr>
          <w:b/>
          <w:u w:val="single"/>
          <w:lang w:val="en-GB"/>
        </w:rPr>
        <w:t>Dosage</w:t>
      </w:r>
    </w:p>
    <w:p w14:paraId="5799F077" w14:textId="1F0D4C12" w:rsidR="000A0973" w:rsidRPr="008536D4" w:rsidRDefault="000A0973" w:rsidP="008536D4">
      <w:pPr>
        <w:widowControl w:val="0"/>
        <w:spacing w:before="120"/>
        <w:rPr>
          <w:b/>
        </w:rPr>
      </w:pPr>
      <w:r w:rsidRPr="008536D4">
        <w:rPr>
          <w:b/>
        </w:rPr>
        <w:t>General target population</w:t>
      </w:r>
    </w:p>
    <w:p w14:paraId="2C2CA2B9" w14:textId="57D4446C" w:rsidR="00EB71C2" w:rsidRPr="002235C1" w:rsidRDefault="002235C1" w:rsidP="008536D4">
      <w:pPr>
        <w:widowControl w:val="0"/>
        <w:jc w:val="both"/>
        <w:rPr>
          <w:rFonts w:eastAsia="MS Mincho"/>
          <w:szCs w:val="20"/>
          <w:lang w:val="en-US" w:eastAsia="zh-CN"/>
        </w:rPr>
      </w:pPr>
      <w:r w:rsidRPr="002235C1">
        <w:rPr>
          <w:rFonts w:eastAsia="MS Mincho"/>
          <w:szCs w:val="20"/>
          <w:lang w:val="en-US" w:eastAsia="zh-CN"/>
        </w:rPr>
        <w:t>The</w:t>
      </w:r>
      <w:r w:rsidR="00EB71C2">
        <w:rPr>
          <w:rFonts w:eastAsia="MS Mincho"/>
          <w:szCs w:val="20"/>
          <w:lang w:val="en-US" w:eastAsia="zh-CN"/>
        </w:rPr>
        <w:t xml:space="preserve"> </w:t>
      </w:r>
      <w:r w:rsidRPr="002235C1">
        <w:rPr>
          <w:rFonts w:eastAsia="MS Mincho"/>
          <w:szCs w:val="20"/>
          <w:lang w:val="en-US" w:eastAsia="zh-CN"/>
        </w:rPr>
        <w:t xml:space="preserve">recommended </w:t>
      </w:r>
      <w:r w:rsidR="00A54530">
        <w:rPr>
          <w:rFonts w:eastAsia="MS Mincho"/>
          <w:szCs w:val="20"/>
          <w:lang w:val="en-US" w:eastAsia="zh-CN"/>
        </w:rPr>
        <w:t xml:space="preserve">starting </w:t>
      </w:r>
      <w:r w:rsidRPr="002235C1">
        <w:rPr>
          <w:rFonts w:eastAsia="MS Mincho"/>
          <w:szCs w:val="20"/>
          <w:lang w:val="en-US" w:eastAsia="zh-CN"/>
        </w:rPr>
        <w:t xml:space="preserve">dose </w:t>
      </w:r>
      <w:r w:rsidR="00C220A3">
        <w:rPr>
          <w:rFonts w:eastAsia="MS Mincho"/>
          <w:szCs w:val="20"/>
          <w:lang w:val="en-US" w:eastAsia="zh-CN"/>
        </w:rPr>
        <w:t xml:space="preserve">of KISQALI </w:t>
      </w:r>
      <w:r w:rsidRPr="002235C1">
        <w:rPr>
          <w:rFonts w:eastAsia="MS Mincho"/>
          <w:szCs w:val="20"/>
          <w:lang w:val="en-US" w:eastAsia="zh-CN"/>
        </w:rPr>
        <w:t>is 600 mg (</w:t>
      </w:r>
      <w:r>
        <w:rPr>
          <w:rFonts w:eastAsia="MS Mincho"/>
          <w:szCs w:val="20"/>
          <w:lang w:val="en-US" w:eastAsia="zh-CN"/>
        </w:rPr>
        <w:t xml:space="preserve">three </w:t>
      </w:r>
      <w:r w:rsidRPr="002235C1">
        <w:rPr>
          <w:rFonts w:eastAsia="MS Mincho"/>
          <w:szCs w:val="20"/>
          <w:lang w:val="en-US" w:eastAsia="zh-CN"/>
        </w:rPr>
        <w:t>200 mg film-coated tablets) taken orally, once daily for 21 consecutive days</w:t>
      </w:r>
      <w:r w:rsidR="00EB71C2">
        <w:rPr>
          <w:rFonts w:eastAsia="MS Mincho"/>
          <w:szCs w:val="20"/>
          <w:lang w:val="en-US" w:eastAsia="zh-CN"/>
        </w:rPr>
        <w:t>,</w:t>
      </w:r>
      <w:r w:rsidRPr="002235C1">
        <w:rPr>
          <w:rFonts w:eastAsia="MS Mincho"/>
          <w:szCs w:val="20"/>
          <w:lang w:val="en-US" w:eastAsia="zh-CN"/>
        </w:rPr>
        <w:t xml:space="preserve"> </w:t>
      </w:r>
      <w:r w:rsidRPr="00B64395">
        <w:rPr>
          <w:rFonts w:eastAsia="MS Mincho"/>
          <w:szCs w:val="20"/>
          <w:lang w:val="en-US" w:eastAsia="zh-CN"/>
        </w:rPr>
        <w:t>followed by 7 days off treatment</w:t>
      </w:r>
      <w:r w:rsidR="00EB71C2" w:rsidRPr="00B64395">
        <w:rPr>
          <w:rFonts w:eastAsia="MS Mincho"/>
          <w:szCs w:val="20"/>
          <w:lang w:val="en-US" w:eastAsia="zh-CN"/>
        </w:rPr>
        <w:t>,</w:t>
      </w:r>
      <w:r w:rsidRPr="00B64395">
        <w:rPr>
          <w:rFonts w:eastAsia="MS Mincho"/>
          <w:szCs w:val="20"/>
          <w:lang w:val="en-US" w:eastAsia="zh-CN"/>
        </w:rPr>
        <w:t xml:space="preserve"> resulting</w:t>
      </w:r>
      <w:r w:rsidRPr="002235C1">
        <w:rPr>
          <w:rFonts w:eastAsia="MS Mincho"/>
          <w:szCs w:val="20"/>
          <w:lang w:val="en-US" w:eastAsia="zh-CN"/>
        </w:rPr>
        <w:t xml:space="preserve"> in a complete cycle of 28 days. </w:t>
      </w:r>
      <w:r w:rsidR="00727D1D" w:rsidDel="005B7B98">
        <w:rPr>
          <w:rFonts w:eastAsia="MS Mincho"/>
          <w:szCs w:val="20"/>
          <w:lang w:val="en-US" w:eastAsia="zh-CN"/>
        </w:rPr>
        <w:t>KISQALI</w:t>
      </w:r>
      <w:r w:rsidR="00EB71C2" w:rsidRPr="002235C1" w:rsidDel="005B7B98">
        <w:rPr>
          <w:rFonts w:eastAsia="MS Mincho"/>
          <w:szCs w:val="20"/>
          <w:lang w:val="en-US" w:eastAsia="zh-CN"/>
        </w:rPr>
        <w:t xml:space="preserve"> </w:t>
      </w:r>
      <w:proofErr w:type="gramStart"/>
      <w:r w:rsidR="00EB71C2" w:rsidRPr="002235C1" w:rsidDel="005B7B98">
        <w:rPr>
          <w:rFonts w:eastAsia="MS Mincho"/>
          <w:szCs w:val="20"/>
          <w:lang w:val="en-US" w:eastAsia="zh-CN"/>
        </w:rPr>
        <w:t>may be taken</w:t>
      </w:r>
      <w:proofErr w:type="gramEnd"/>
      <w:r w:rsidR="00EB71C2" w:rsidRPr="002235C1" w:rsidDel="005B7B98">
        <w:rPr>
          <w:rFonts w:eastAsia="MS Mincho"/>
          <w:szCs w:val="20"/>
          <w:lang w:val="en-US" w:eastAsia="zh-CN"/>
        </w:rPr>
        <w:t xml:space="preserve"> with or without food</w:t>
      </w:r>
      <w:r w:rsidR="00604B07" w:rsidDel="005B7B98">
        <w:rPr>
          <w:rFonts w:eastAsia="MS Mincho"/>
          <w:szCs w:val="20"/>
          <w:lang w:val="en-US" w:eastAsia="zh-CN"/>
        </w:rPr>
        <w:t xml:space="preserve"> (see INTERACTIONS WITH OTHER MEDICINES)</w:t>
      </w:r>
      <w:r w:rsidR="00EB71C2" w:rsidRPr="002235C1" w:rsidDel="005B7B98">
        <w:rPr>
          <w:rFonts w:eastAsia="MS Mincho"/>
          <w:szCs w:val="20"/>
          <w:lang w:val="en-US" w:eastAsia="zh-CN"/>
        </w:rPr>
        <w:t xml:space="preserve">.  </w:t>
      </w:r>
      <w:r w:rsidR="00144F4F" w:rsidRPr="00144F4F">
        <w:rPr>
          <w:rFonts w:eastAsia="MS Mincho"/>
          <w:szCs w:val="20"/>
          <w:lang w:val="en-US" w:eastAsia="zh-CN"/>
        </w:rPr>
        <w:t xml:space="preserve">Treatment </w:t>
      </w:r>
      <w:proofErr w:type="gramStart"/>
      <w:r w:rsidR="00144F4F" w:rsidRPr="00144F4F">
        <w:rPr>
          <w:rFonts w:eastAsia="MS Mincho"/>
          <w:szCs w:val="20"/>
          <w:lang w:val="en-US" w:eastAsia="zh-CN"/>
        </w:rPr>
        <w:t>should be continued</w:t>
      </w:r>
      <w:proofErr w:type="gramEnd"/>
      <w:r w:rsidR="00144F4F" w:rsidRPr="00144F4F">
        <w:rPr>
          <w:rFonts w:eastAsia="MS Mincho"/>
          <w:szCs w:val="20"/>
          <w:lang w:val="en-US" w:eastAsia="zh-CN"/>
        </w:rPr>
        <w:t xml:space="preserve"> as long as the patient is deriving clinical benefit from therapy or until unacceptable toxicity occurs.</w:t>
      </w:r>
    </w:p>
    <w:p w14:paraId="3C58D8F3" w14:textId="2DB0114C" w:rsidR="00727D1D" w:rsidRDefault="002C6AF4" w:rsidP="0069233F">
      <w:pPr>
        <w:widowControl w:val="0"/>
        <w:spacing w:before="120"/>
        <w:jc w:val="both"/>
        <w:rPr>
          <w:rFonts w:eastAsia="MS Mincho"/>
          <w:szCs w:val="20"/>
          <w:lang w:val="en-US" w:eastAsia="zh-CN"/>
        </w:rPr>
      </w:pPr>
      <w:r>
        <w:rPr>
          <w:rFonts w:eastAsia="MS Mincho"/>
          <w:szCs w:val="20"/>
          <w:lang w:val="en-US" w:eastAsia="zh-CN"/>
        </w:rPr>
        <w:t>A</w:t>
      </w:r>
      <w:r w:rsidR="00D372A0" w:rsidRPr="00A12CFB">
        <w:rPr>
          <w:rFonts w:eastAsia="MS Mincho"/>
          <w:szCs w:val="20"/>
          <w:lang w:val="en-US" w:eastAsia="zh-CN"/>
        </w:rPr>
        <w:t>n</w:t>
      </w:r>
      <w:r>
        <w:rPr>
          <w:rFonts w:eastAsia="MS Mincho"/>
          <w:szCs w:val="20"/>
          <w:lang w:val="en-US" w:eastAsia="zh-CN"/>
        </w:rPr>
        <w:t xml:space="preserve"> </w:t>
      </w:r>
      <w:r w:rsidR="00D372A0" w:rsidRPr="00A12CFB">
        <w:rPr>
          <w:rFonts w:eastAsia="MS Mincho"/>
          <w:szCs w:val="20"/>
          <w:lang w:val="en-US" w:eastAsia="zh-CN"/>
        </w:rPr>
        <w:t>aromatase inhibitor</w:t>
      </w:r>
      <w:r w:rsidR="00D372A0" w:rsidRPr="00727D1D">
        <w:rPr>
          <w:rFonts w:eastAsia="MS Mincho"/>
          <w:szCs w:val="20"/>
          <w:lang w:val="en-US" w:eastAsia="zh-CN"/>
        </w:rPr>
        <w:t xml:space="preserve"> </w:t>
      </w:r>
      <w:r>
        <w:rPr>
          <w:rFonts w:eastAsia="MS Mincho"/>
          <w:szCs w:val="20"/>
          <w:lang w:val="en-US" w:eastAsia="zh-CN"/>
        </w:rPr>
        <w:t xml:space="preserve">is </w:t>
      </w:r>
      <w:r w:rsidR="00D372A0">
        <w:rPr>
          <w:rFonts w:eastAsia="MS Mincho"/>
          <w:szCs w:val="20"/>
          <w:lang w:val="en-US" w:eastAsia="zh-CN"/>
        </w:rPr>
        <w:t xml:space="preserve">taken </w:t>
      </w:r>
      <w:r>
        <w:rPr>
          <w:rFonts w:eastAsia="MS Mincho"/>
          <w:szCs w:val="20"/>
          <w:lang w:val="en-US" w:eastAsia="zh-CN"/>
        </w:rPr>
        <w:t xml:space="preserve">daily </w:t>
      </w:r>
      <w:r w:rsidR="00727D1D" w:rsidRPr="00727D1D">
        <w:rPr>
          <w:rFonts w:eastAsia="MS Mincho"/>
          <w:szCs w:val="20"/>
          <w:lang w:val="en-US" w:eastAsia="zh-CN"/>
        </w:rPr>
        <w:t>throughout the 28-day cycle. Please refer to the full pr</w:t>
      </w:r>
      <w:r w:rsidR="00CB2A96">
        <w:rPr>
          <w:rFonts w:eastAsia="MS Mincho"/>
          <w:szCs w:val="20"/>
          <w:lang w:val="en-US" w:eastAsia="zh-CN"/>
        </w:rPr>
        <w:t>oduct</w:t>
      </w:r>
      <w:r w:rsidR="00727D1D" w:rsidRPr="00727D1D">
        <w:rPr>
          <w:rFonts w:eastAsia="MS Mincho"/>
          <w:szCs w:val="20"/>
          <w:lang w:val="en-US" w:eastAsia="zh-CN"/>
        </w:rPr>
        <w:t xml:space="preserve"> information </w:t>
      </w:r>
      <w:r w:rsidR="00D372A0">
        <w:rPr>
          <w:rFonts w:eastAsia="MS Mincho"/>
          <w:szCs w:val="20"/>
          <w:lang w:val="en-US" w:eastAsia="zh-CN"/>
        </w:rPr>
        <w:t xml:space="preserve">for </w:t>
      </w:r>
      <w:r>
        <w:rPr>
          <w:rFonts w:eastAsia="MS Mincho"/>
          <w:szCs w:val="20"/>
          <w:lang w:val="en-US" w:eastAsia="zh-CN"/>
        </w:rPr>
        <w:t>t</w:t>
      </w:r>
      <w:r w:rsidR="002E1580">
        <w:rPr>
          <w:rFonts w:eastAsia="MS Mincho"/>
          <w:szCs w:val="20"/>
          <w:lang w:val="en-US" w:eastAsia="zh-CN"/>
        </w:rPr>
        <w:t xml:space="preserve">he </w:t>
      </w:r>
      <w:r w:rsidR="002E1580" w:rsidRPr="002E1580">
        <w:rPr>
          <w:rFonts w:eastAsia="MS Mincho"/>
          <w:szCs w:val="20"/>
          <w:lang w:val="en-US" w:eastAsia="zh-CN"/>
        </w:rPr>
        <w:t xml:space="preserve">aromatase </w:t>
      </w:r>
      <w:proofErr w:type="gramStart"/>
      <w:r w:rsidR="002E1580" w:rsidRPr="002E1580">
        <w:rPr>
          <w:rFonts w:eastAsia="MS Mincho"/>
          <w:szCs w:val="20"/>
          <w:lang w:val="en-US" w:eastAsia="zh-CN"/>
        </w:rPr>
        <w:t>inhibitor</w:t>
      </w:r>
      <w:r>
        <w:rPr>
          <w:rFonts w:eastAsia="MS Mincho"/>
          <w:szCs w:val="20"/>
          <w:lang w:val="en-US" w:eastAsia="zh-CN"/>
        </w:rPr>
        <w:t xml:space="preserve"> dosing</w:t>
      </w:r>
      <w:proofErr w:type="gramEnd"/>
      <w:r>
        <w:rPr>
          <w:rFonts w:eastAsia="MS Mincho"/>
          <w:szCs w:val="20"/>
          <w:lang w:val="en-US" w:eastAsia="zh-CN"/>
        </w:rPr>
        <w:t xml:space="preserve"> regimen</w:t>
      </w:r>
      <w:r w:rsidR="00D76CF5">
        <w:rPr>
          <w:rFonts w:eastAsia="MS Mincho"/>
          <w:szCs w:val="20"/>
          <w:lang w:val="en-US" w:eastAsia="zh-CN"/>
        </w:rPr>
        <w:t>.</w:t>
      </w:r>
    </w:p>
    <w:p w14:paraId="7E7F8D88" w14:textId="1B04C1BC" w:rsidR="002235C1" w:rsidRDefault="002235C1" w:rsidP="0069233F">
      <w:pPr>
        <w:widowControl w:val="0"/>
        <w:spacing w:before="120"/>
        <w:jc w:val="both"/>
        <w:rPr>
          <w:rFonts w:eastAsia="MS Mincho"/>
          <w:szCs w:val="20"/>
          <w:lang w:val="en-US" w:eastAsia="zh-CN"/>
        </w:rPr>
      </w:pPr>
      <w:r w:rsidRPr="002235C1">
        <w:rPr>
          <w:rFonts w:eastAsia="MS Mincho"/>
          <w:szCs w:val="20"/>
          <w:lang w:val="en-US" w:eastAsia="zh-CN"/>
        </w:rPr>
        <w:t xml:space="preserve">Patients should be encouraged to take their dose of </w:t>
      </w:r>
      <w:r w:rsidR="00727D1D">
        <w:rPr>
          <w:rFonts w:eastAsia="MS Mincho"/>
          <w:szCs w:val="20"/>
          <w:lang w:val="en-US" w:eastAsia="zh-CN"/>
        </w:rPr>
        <w:t>KISQALI</w:t>
      </w:r>
      <w:r w:rsidR="00EB71C2">
        <w:rPr>
          <w:rFonts w:eastAsia="MS Mincho"/>
          <w:szCs w:val="20"/>
          <w:lang w:val="en-US" w:eastAsia="zh-CN"/>
        </w:rPr>
        <w:t xml:space="preserve"> </w:t>
      </w:r>
      <w:r w:rsidRPr="002235C1">
        <w:rPr>
          <w:rFonts w:eastAsia="MS Mincho"/>
          <w:szCs w:val="20"/>
          <w:lang w:val="en-US" w:eastAsia="zh-CN"/>
        </w:rPr>
        <w:t xml:space="preserve">and </w:t>
      </w:r>
      <w:r w:rsidR="00281874" w:rsidRPr="00281874">
        <w:rPr>
          <w:rFonts w:eastAsia="MS Mincho"/>
          <w:szCs w:val="20"/>
          <w:lang w:val="en-US" w:eastAsia="zh-CN"/>
        </w:rPr>
        <w:t xml:space="preserve">aromatase inhibitor </w:t>
      </w:r>
      <w:r w:rsidRPr="002235C1">
        <w:rPr>
          <w:rFonts w:eastAsia="MS Mincho"/>
          <w:szCs w:val="20"/>
          <w:lang w:val="en-US" w:eastAsia="zh-CN"/>
        </w:rPr>
        <w:t>at approximately the same time each day, preferably in the morning.</w:t>
      </w:r>
    </w:p>
    <w:p w14:paraId="62741121" w14:textId="307FD6EA" w:rsidR="00604B07" w:rsidRPr="00A81551" w:rsidRDefault="00604B07" w:rsidP="00604B07">
      <w:pPr>
        <w:keepNext/>
        <w:keepLines/>
        <w:spacing w:before="240" w:after="60"/>
        <w:rPr>
          <w:rFonts w:ascii="Arial" w:eastAsia="MS Gothic" w:hAnsi="Arial" w:cs="Arial"/>
          <w:b/>
          <w:lang w:val="en-US" w:eastAsia="zh-CN"/>
        </w:rPr>
      </w:pPr>
      <w:r w:rsidRPr="00A54530">
        <w:rPr>
          <w:b/>
          <w:lang w:val="en-GB"/>
        </w:rPr>
        <w:t>Dose modifications</w:t>
      </w:r>
    </w:p>
    <w:p w14:paraId="19C1FF6C" w14:textId="29F278CB" w:rsidR="00604B07" w:rsidRDefault="00604B07" w:rsidP="008E7F53">
      <w:pPr>
        <w:widowControl w:val="0"/>
        <w:spacing w:after="120"/>
        <w:jc w:val="both"/>
        <w:rPr>
          <w:rFonts w:eastAsia="MS Mincho"/>
          <w:szCs w:val="20"/>
          <w:lang w:val="en-US" w:eastAsia="zh-CN"/>
        </w:rPr>
      </w:pPr>
      <w:r w:rsidRPr="0069233F">
        <w:rPr>
          <w:rFonts w:eastAsia="MS Mincho"/>
          <w:szCs w:val="20"/>
          <w:lang w:val="en-US" w:eastAsia="zh-CN"/>
        </w:rPr>
        <w:t xml:space="preserve">Management of </w:t>
      </w:r>
      <w:r w:rsidR="006B251F">
        <w:rPr>
          <w:rFonts w:eastAsia="MS Mincho"/>
          <w:szCs w:val="20"/>
          <w:lang w:val="en-US" w:eastAsia="zh-CN"/>
        </w:rPr>
        <w:t xml:space="preserve">severe or intolerable </w:t>
      </w:r>
      <w:r w:rsidRPr="0069233F">
        <w:rPr>
          <w:rFonts w:eastAsia="MS Mincho"/>
          <w:szCs w:val="20"/>
          <w:lang w:val="en-US" w:eastAsia="zh-CN"/>
        </w:rPr>
        <w:t>ADRs may require temporary dose interruption</w:t>
      </w:r>
      <w:r w:rsidR="00C10C9E" w:rsidRPr="0069233F">
        <w:rPr>
          <w:rFonts w:eastAsia="MS Mincho"/>
          <w:szCs w:val="20"/>
          <w:lang w:val="en-US" w:eastAsia="zh-CN"/>
        </w:rPr>
        <w:t xml:space="preserve">, </w:t>
      </w:r>
      <w:r w:rsidRPr="0069233F">
        <w:rPr>
          <w:rFonts w:eastAsia="MS Mincho"/>
          <w:szCs w:val="20"/>
          <w:lang w:val="en-US" w:eastAsia="zh-CN"/>
        </w:rPr>
        <w:t>dose reduction</w:t>
      </w:r>
      <w:r w:rsidR="00C10C9E" w:rsidRPr="0069233F">
        <w:rPr>
          <w:rFonts w:eastAsia="MS Mincho"/>
          <w:szCs w:val="20"/>
          <w:lang w:val="en-US" w:eastAsia="zh-CN"/>
        </w:rPr>
        <w:t xml:space="preserve">, </w:t>
      </w:r>
      <w:r w:rsidRPr="0069233F">
        <w:rPr>
          <w:rFonts w:eastAsia="MS Mincho"/>
          <w:szCs w:val="20"/>
          <w:lang w:val="en-US" w:eastAsia="zh-CN"/>
        </w:rPr>
        <w:t xml:space="preserve">or permanent discontinuation of KISQALI. If dose reduction is required due to an ADR, it </w:t>
      </w:r>
      <w:proofErr w:type="gramStart"/>
      <w:r w:rsidRPr="0069233F">
        <w:rPr>
          <w:rFonts w:eastAsia="MS Mincho"/>
          <w:szCs w:val="20"/>
          <w:lang w:val="en-US" w:eastAsia="zh-CN"/>
        </w:rPr>
        <w:t>is recommended</w:t>
      </w:r>
      <w:proofErr w:type="gramEnd"/>
      <w:r w:rsidRPr="0069233F">
        <w:rPr>
          <w:rFonts w:eastAsia="MS Mincho"/>
          <w:szCs w:val="20"/>
          <w:lang w:val="en-US" w:eastAsia="zh-CN"/>
        </w:rPr>
        <w:t xml:space="preserve"> to reduce the dose of KISQALI as indicated in Table </w:t>
      </w:r>
      <w:r w:rsidR="00830E53" w:rsidRPr="0069233F">
        <w:rPr>
          <w:rFonts w:eastAsia="MS Mincho"/>
          <w:szCs w:val="20"/>
          <w:lang w:val="en-US" w:eastAsia="zh-CN"/>
        </w:rPr>
        <w:t>4</w:t>
      </w:r>
      <w:r w:rsidRPr="0069233F">
        <w:rPr>
          <w:rFonts w:eastAsia="MS Mincho"/>
          <w:szCs w:val="20"/>
          <w:lang w:val="en-US" w:eastAsia="zh-CN"/>
        </w:rPr>
        <w:t xml:space="preserve">. </w:t>
      </w:r>
    </w:p>
    <w:p w14:paraId="62D8ECC9" w14:textId="16055315" w:rsidR="00B26819" w:rsidRPr="00A81551" w:rsidRDefault="00B26819" w:rsidP="008536D4">
      <w:pPr>
        <w:widowControl w:val="0"/>
        <w:jc w:val="both"/>
        <w:rPr>
          <w:rFonts w:eastAsia="MS Mincho"/>
          <w:lang w:val="en-US" w:eastAsia="zh-CN"/>
        </w:rPr>
      </w:pPr>
      <w:r w:rsidRPr="008536D4">
        <w:rPr>
          <w:rFonts w:eastAsia="MS Mincho"/>
          <w:szCs w:val="20"/>
          <w:lang w:val="en-US" w:eastAsia="zh-CN"/>
        </w:rPr>
        <w:t xml:space="preserve">Tables </w:t>
      </w:r>
      <w:r w:rsidR="00A12384" w:rsidRPr="008536D4">
        <w:rPr>
          <w:rFonts w:eastAsia="MS Mincho"/>
          <w:szCs w:val="20"/>
          <w:lang w:val="en-US" w:eastAsia="zh-CN"/>
        </w:rPr>
        <w:t>5</w:t>
      </w:r>
      <w:r w:rsidRPr="008536D4">
        <w:rPr>
          <w:rFonts w:eastAsia="MS Mincho"/>
          <w:szCs w:val="20"/>
          <w:lang w:val="en-US" w:eastAsia="zh-CN"/>
        </w:rPr>
        <w:t xml:space="preserve"> to </w:t>
      </w:r>
      <w:r w:rsidR="00A12384" w:rsidRPr="008536D4">
        <w:rPr>
          <w:rFonts w:eastAsia="MS Mincho"/>
          <w:szCs w:val="20"/>
          <w:lang w:val="en-US" w:eastAsia="zh-CN"/>
        </w:rPr>
        <w:t>8</w:t>
      </w:r>
      <w:r w:rsidRPr="008536D4">
        <w:rPr>
          <w:rFonts w:eastAsia="MS Mincho"/>
          <w:szCs w:val="20"/>
          <w:lang w:val="en-US" w:eastAsia="zh-CN"/>
        </w:rPr>
        <w:t xml:space="preserve"> summarize recommendations for dose interruption, reduction, or discontinuation of KISQALI in the management of specific ADRs. Clinical judgment of the treating physician should</w:t>
      </w:r>
      <w:r w:rsidRPr="00B26819">
        <w:rPr>
          <w:rFonts w:eastAsia="MS Mincho"/>
          <w:lang w:val="en-US" w:eastAsia="zh-CN"/>
        </w:rPr>
        <w:t xml:space="preserve"> guide the management plan of each patient based on individual benefit/risk assessment (see PRECAUTIONS and ADVERSE EFFECTS).</w:t>
      </w:r>
    </w:p>
    <w:p w14:paraId="2E443A8C" w14:textId="5AD81902" w:rsidR="00604B07" w:rsidRPr="00A81551" w:rsidRDefault="00604B07" w:rsidP="00604B07">
      <w:pPr>
        <w:keepNext/>
        <w:keepLines/>
        <w:spacing w:before="240" w:after="60"/>
        <w:ind w:left="1701" w:hanging="1701"/>
        <w:outlineLvl w:val="5"/>
        <w:rPr>
          <w:rFonts w:ascii="Arial" w:eastAsia="MS Gothic" w:hAnsi="Arial" w:cs="Arial"/>
          <w:b/>
          <w:sz w:val="22"/>
          <w:szCs w:val="20"/>
          <w:lang w:val="en-US" w:eastAsia="zh-CN"/>
        </w:rPr>
      </w:pPr>
      <w:bookmarkStart w:id="20" w:name="_Toc441502897"/>
      <w:r w:rsidRPr="00A81551">
        <w:rPr>
          <w:rFonts w:ascii="Arial" w:eastAsia="MS Gothic" w:hAnsi="Arial" w:cs="Arial"/>
          <w:b/>
          <w:sz w:val="22"/>
          <w:szCs w:val="20"/>
          <w:lang w:val="en-US" w:eastAsia="zh-CN"/>
        </w:rPr>
        <w:t xml:space="preserve">Table </w:t>
      </w:r>
      <w:proofErr w:type="gramStart"/>
      <w:r w:rsidR="00830E53">
        <w:rPr>
          <w:rFonts w:ascii="Arial" w:eastAsia="MS Gothic" w:hAnsi="Arial" w:cs="Arial"/>
          <w:b/>
          <w:sz w:val="22"/>
          <w:szCs w:val="20"/>
          <w:lang w:val="en-US" w:eastAsia="zh-CN"/>
        </w:rPr>
        <w:t>4</w:t>
      </w:r>
      <w:proofErr w:type="gramEnd"/>
      <w:r w:rsidRPr="00A81551">
        <w:rPr>
          <w:rFonts w:ascii="Arial" w:eastAsia="MS Gothic" w:hAnsi="Arial" w:cs="Arial"/>
          <w:b/>
          <w:sz w:val="22"/>
          <w:szCs w:val="20"/>
          <w:lang w:val="en-US" w:eastAsia="zh-CN"/>
        </w:rPr>
        <w:tab/>
      </w:r>
      <w:bookmarkEnd w:id="20"/>
      <w:r w:rsidRPr="008D026C">
        <w:rPr>
          <w:rFonts w:ascii="Arial" w:eastAsia="MS Gothic" w:hAnsi="Arial" w:cs="Arial"/>
          <w:b/>
          <w:sz w:val="22"/>
          <w:szCs w:val="20"/>
          <w:lang w:val="en-US" w:eastAsia="zh-CN"/>
        </w:rPr>
        <w:t>Recommended Dose Modification Guidelines for Adverse Drug Reactions</w:t>
      </w:r>
    </w:p>
    <w:tbl>
      <w:tblPr>
        <w:tblW w:w="5000" w:type="pct"/>
        <w:tblBorders>
          <w:top w:val="single" w:sz="4" w:space="0" w:color="auto"/>
          <w:bottom w:val="single" w:sz="4" w:space="0" w:color="auto"/>
        </w:tblBorders>
        <w:tblLook w:val="0000" w:firstRow="0" w:lastRow="0" w:firstColumn="0" w:lastColumn="0" w:noHBand="0" w:noVBand="0"/>
      </w:tblPr>
      <w:tblGrid>
        <w:gridCol w:w="3116"/>
        <w:gridCol w:w="3119"/>
        <w:gridCol w:w="3119"/>
      </w:tblGrid>
      <w:tr w:rsidR="00604B07" w:rsidRPr="00A81551" w14:paraId="0550D6AB" w14:textId="77777777" w:rsidTr="00604B07">
        <w:tc>
          <w:tcPr>
            <w:tcW w:w="1666" w:type="pct"/>
            <w:tcBorders>
              <w:top w:val="single" w:sz="4" w:space="0" w:color="auto"/>
              <w:bottom w:val="single" w:sz="4" w:space="0" w:color="auto"/>
            </w:tcBorders>
            <w:shd w:val="clear" w:color="auto" w:fill="auto"/>
          </w:tcPr>
          <w:p w14:paraId="0A86D58B" w14:textId="77777777" w:rsidR="00604B07" w:rsidRPr="00A81551" w:rsidRDefault="00604B07" w:rsidP="00604B07">
            <w:pPr>
              <w:keepLines/>
              <w:tabs>
                <w:tab w:val="left" w:pos="284"/>
              </w:tabs>
              <w:spacing w:before="40" w:after="20"/>
              <w:rPr>
                <w:rFonts w:ascii="Arial" w:eastAsia="MS Mincho" w:hAnsi="Arial" w:cs="Arial"/>
                <w:b/>
                <w:sz w:val="20"/>
                <w:lang w:val="en-US" w:eastAsia="zh-CN"/>
              </w:rPr>
            </w:pPr>
          </w:p>
        </w:tc>
        <w:tc>
          <w:tcPr>
            <w:tcW w:w="1667" w:type="pct"/>
            <w:tcBorders>
              <w:top w:val="single" w:sz="4" w:space="0" w:color="auto"/>
              <w:bottom w:val="single" w:sz="4" w:space="0" w:color="auto"/>
            </w:tcBorders>
            <w:shd w:val="clear" w:color="auto" w:fill="auto"/>
          </w:tcPr>
          <w:p w14:paraId="71BAF050" w14:textId="77777777" w:rsidR="00604B07" w:rsidRPr="00A81551" w:rsidRDefault="00604B07" w:rsidP="00604B07">
            <w:pPr>
              <w:keepLines/>
              <w:tabs>
                <w:tab w:val="left" w:pos="284"/>
              </w:tabs>
              <w:spacing w:before="40" w:after="20"/>
              <w:rPr>
                <w:rFonts w:ascii="Arial" w:eastAsia="MS Mincho" w:hAnsi="Arial" w:cs="Arial"/>
                <w:b/>
                <w:sz w:val="20"/>
                <w:lang w:val="en-US" w:eastAsia="zh-CN"/>
              </w:rPr>
            </w:pPr>
            <w:r w:rsidRPr="00A81551">
              <w:rPr>
                <w:rFonts w:ascii="Arial" w:eastAsia="MS Mincho" w:hAnsi="Arial" w:cs="Arial"/>
                <w:b/>
                <w:sz w:val="20"/>
                <w:lang w:val="en-US" w:eastAsia="zh-CN"/>
              </w:rPr>
              <w:t>Dose</w:t>
            </w:r>
          </w:p>
        </w:tc>
        <w:tc>
          <w:tcPr>
            <w:tcW w:w="1667" w:type="pct"/>
            <w:tcBorders>
              <w:top w:val="single" w:sz="4" w:space="0" w:color="auto"/>
              <w:bottom w:val="single" w:sz="4" w:space="0" w:color="auto"/>
            </w:tcBorders>
            <w:shd w:val="clear" w:color="auto" w:fill="auto"/>
          </w:tcPr>
          <w:p w14:paraId="2BA21D75" w14:textId="77777777" w:rsidR="00604B07" w:rsidRPr="00A81551" w:rsidRDefault="00604B07" w:rsidP="00604B07">
            <w:pPr>
              <w:keepLines/>
              <w:tabs>
                <w:tab w:val="left" w:pos="284"/>
              </w:tabs>
              <w:spacing w:before="40" w:after="20"/>
              <w:rPr>
                <w:rFonts w:ascii="Arial" w:eastAsia="MS Mincho" w:hAnsi="Arial" w:cs="Arial"/>
                <w:b/>
                <w:sz w:val="20"/>
                <w:lang w:val="en-US" w:eastAsia="zh-CN"/>
              </w:rPr>
            </w:pPr>
            <w:r w:rsidRPr="00A81551">
              <w:rPr>
                <w:rFonts w:ascii="Arial" w:eastAsia="MS Mincho" w:hAnsi="Arial" w:cs="Arial"/>
                <w:b/>
                <w:sz w:val="20"/>
                <w:lang w:val="en-US" w:eastAsia="zh-CN"/>
              </w:rPr>
              <w:t xml:space="preserve">Number of Tablets </w:t>
            </w:r>
          </w:p>
        </w:tc>
      </w:tr>
      <w:tr w:rsidR="00604B07" w:rsidRPr="00A81551" w14:paraId="37ACA7B3" w14:textId="77777777" w:rsidTr="00604B07">
        <w:tc>
          <w:tcPr>
            <w:tcW w:w="1666" w:type="pct"/>
            <w:tcBorders>
              <w:top w:val="single" w:sz="4" w:space="0" w:color="auto"/>
            </w:tcBorders>
            <w:shd w:val="clear" w:color="auto" w:fill="auto"/>
          </w:tcPr>
          <w:p w14:paraId="09480457" w14:textId="68DCD9B6" w:rsidR="00604B07" w:rsidRPr="00A81551" w:rsidRDefault="00604B07" w:rsidP="002C6AF4">
            <w:pPr>
              <w:keepLines/>
              <w:tabs>
                <w:tab w:val="left" w:pos="284"/>
              </w:tabs>
              <w:spacing w:before="40" w:after="20"/>
              <w:rPr>
                <w:rFonts w:ascii="Arial" w:eastAsia="MS Mincho" w:hAnsi="Arial" w:cs="Arial"/>
                <w:sz w:val="20"/>
                <w:lang w:val="en-US" w:eastAsia="zh-CN"/>
              </w:rPr>
            </w:pPr>
            <w:r w:rsidRPr="00A81551">
              <w:rPr>
                <w:rFonts w:ascii="Arial" w:eastAsia="MS Mincho" w:hAnsi="Arial" w:cs="Arial"/>
                <w:sz w:val="20"/>
                <w:lang w:val="en-US" w:eastAsia="zh-CN"/>
              </w:rPr>
              <w:t>Starting dose</w:t>
            </w:r>
          </w:p>
        </w:tc>
        <w:tc>
          <w:tcPr>
            <w:tcW w:w="1667" w:type="pct"/>
            <w:tcBorders>
              <w:top w:val="single" w:sz="4" w:space="0" w:color="auto"/>
            </w:tcBorders>
            <w:shd w:val="clear" w:color="auto" w:fill="auto"/>
          </w:tcPr>
          <w:p w14:paraId="2ADB2325" w14:textId="77777777" w:rsidR="00604B07" w:rsidRPr="00A81551" w:rsidRDefault="00604B07" w:rsidP="00604B07">
            <w:pPr>
              <w:keepLines/>
              <w:tabs>
                <w:tab w:val="left" w:pos="284"/>
              </w:tabs>
              <w:spacing w:before="40" w:after="20"/>
              <w:rPr>
                <w:rFonts w:ascii="Arial" w:eastAsia="MS Mincho" w:hAnsi="Arial" w:cs="Arial"/>
                <w:sz w:val="20"/>
                <w:lang w:val="en-US" w:eastAsia="zh-CN"/>
              </w:rPr>
            </w:pPr>
            <w:r w:rsidRPr="00A81551">
              <w:rPr>
                <w:rFonts w:ascii="Arial" w:eastAsia="MS Mincho" w:hAnsi="Arial" w:cs="Arial"/>
                <w:sz w:val="20"/>
                <w:lang w:val="en-US" w:eastAsia="zh-CN"/>
              </w:rPr>
              <w:t>600 mg/day</w:t>
            </w:r>
          </w:p>
        </w:tc>
        <w:tc>
          <w:tcPr>
            <w:tcW w:w="1667" w:type="pct"/>
            <w:tcBorders>
              <w:top w:val="single" w:sz="4" w:space="0" w:color="auto"/>
            </w:tcBorders>
            <w:shd w:val="clear" w:color="auto" w:fill="auto"/>
          </w:tcPr>
          <w:p w14:paraId="33E01C5B" w14:textId="77777777" w:rsidR="00604B07" w:rsidRPr="00A81551" w:rsidRDefault="00604B07" w:rsidP="00604B07">
            <w:pPr>
              <w:keepLines/>
              <w:tabs>
                <w:tab w:val="left" w:pos="284"/>
              </w:tabs>
              <w:spacing w:before="40" w:after="20"/>
              <w:rPr>
                <w:rFonts w:ascii="Arial" w:eastAsia="MS Mincho" w:hAnsi="Arial" w:cs="Arial"/>
                <w:sz w:val="20"/>
                <w:lang w:val="en-US" w:eastAsia="zh-CN"/>
              </w:rPr>
            </w:pPr>
            <w:r w:rsidRPr="00A81551">
              <w:rPr>
                <w:rFonts w:ascii="Arial" w:eastAsia="MS Mincho" w:hAnsi="Arial" w:cs="Arial"/>
                <w:sz w:val="20"/>
                <w:lang w:val="en-US" w:eastAsia="zh-CN"/>
              </w:rPr>
              <w:t>3 × 200 mg tablets</w:t>
            </w:r>
          </w:p>
        </w:tc>
      </w:tr>
      <w:tr w:rsidR="00604B07" w:rsidRPr="00A81551" w14:paraId="41F42670" w14:textId="77777777" w:rsidTr="00604B07">
        <w:tc>
          <w:tcPr>
            <w:tcW w:w="1666" w:type="pct"/>
            <w:shd w:val="clear" w:color="auto" w:fill="auto"/>
          </w:tcPr>
          <w:p w14:paraId="75AA534B" w14:textId="77777777" w:rsidR="00604B07" w:rsidRPr="00A81551" w:rsidRDefault="00604B07" w:rsidP="00604B07">
            <w:pPr>
              <w:keepLines/>
              <w:tabs>
                <w:tab w:val="left" w:pos="284"/>
              </w:tabs>
              <w:spacing w:before="40" w:after="20"/>
              <w:rPr>
                <w:rFonts w:ascii="Arial" w:eastAsia="MS Mincho" w:hAnsi="Arial" w:cs="Arial"/>
                <w:sz w:val="20"/>
                <w:lang w:val="en-US" w:eastAsia="zh-CN"/>
              </w:rPr>
            </w:pPr>
            <w:r w:rsidRPr="00A81551">
              <w:rPr>
                <w:rFonts w:ascii="Arial" w:eastAsia="MS Mincho" w:hAnsi="Arial" w:cs="Arial"/>
                <w:sz w:val="20"/>
                <w:lang w:val="en-US" w:eastAsia="zh-CN"/>
              </w:rPr>
              <w:t>First dose reduction</w:t>
            </w:r>
          </w:p>
        </w:tc>
        <w:tc>
          <w:tcPr>
            <w:tcW w:w="1667" w:type="pct"/>
            <w:shd w:val="clear" w:color="auto" w:fill="auto"/>
          </w:tcPr>
          <w:p w14:paraId="224A5936" w14:textId="77777777" w:rsidR="00604B07" w:rsidRPr="00A81551" w:rsidRDefault="00604B07" w:rsidP="00604B07">
            <w:pPr>
              <w:keepLines/>
              <w:tabs>
                <w:tab w:val="left" w:pos="284"/>
              </w:tabs>
              <w:spacing w:before="40" w:after="20"/>
              <w:rPr>
                <w:rFonts w:ascii="Arial" w:eastAsia="MS Mincho" w:hAnsi="Arial" w:cs="Arial"/>
                <w:sz w:val="20"/>
                <w:lang w:val="en-US" w:eastAsia="zh-CN"/>
              </w:rPr>
            </w:pPr>
            <w:r w:rsidRPr="00A81551">
              <w:rPr>
                <w:rFonts w:ascii="Arial" w:eastAsia="MS Mincho" w:hAnsi="Arial" w:cs="Arial"/>
                <w:sz w:val="20"/>
                <w:lang w:val="en-US" w:eastAsia="zh-CN"/>
              </w:rPr>
              <w:t>400 mg/day</w:t>
            </w:r>
          </w:p>
        </w:tc>
        <w:tc>
          <w:tcPr>
            <w:tcW w:w="1667" w:type="pct"/>
            <w:shd w:val="clear" w:color="auto" w:fill="auto"/>
          </w:tcPr>
          <w:p w14:paraId="194D34ED" w14:textId="77777777" w:rsidR="00604B07" w:rsidRPr="00A81551" w:rsidRDefault="00604B07" w:rsidP="00604B07">
            <w:pPr>
              <w:keepLines/>
              <w:tabs>
                <w:tab w:val="left" w:pos="284"/>
              </w:tabs>
              <w:spacing w:before="40" w:after="20"/>
              <w:rPr>
                <w:rFonts w:ascii="Arial" w:eastAsia="MS Mincho" w:hAnsi="Arial" w:cs="Arial"/>
                <w:sz w:val="20"/>
                <w:lang w:val="en-US" w:eastAsia="zh-CN"/>
              </w:rPr>
            </w:pPr>
            <w:r w:rsidRPr="00A81551">
              <w:rPr>
                <w:rFonts w:ascii="Arial" w:eastAsia="MS Mincho" w:hAnsi="Arial" w:cs="Arial"/>
                <w:sz w:val="20"/>
                <w:lang w:val="en-US" w:eastAsia="zh-CN"/>
              </w:rPr>
              <w:t>2 × 200 mg tablets</w:t>
            </w:r>
          </w:p>
        </w:tc>
      </w:tr>
      <w:tr w:rsidR="00604B07" w:rsidRPr="00A81551" w14:paraId="74B0F336" w14:textId="77777777" w:rsidTr="00604B07">
        <w:tc>
          <w:tcPr>
            <w:tcW w:w="1666" w:type="pct"/>
            <w:shd w:val="clear" w:color="auto" w:fill="auto"/>
          </w:tcPr>
          <w:p w14:paraId="4E737552" w14:textId="77777777" w:rsidR="00604B07" w:rsidRPr="00A81551" w:rsidRDefault="00604B07" w:rsidP="00604B07">
            <w:pPr>
              <w:keepLines/>
              <w:tabs>
                <w:tab w:val="left" w:pos="284"/>
              </w:tabs>
              <w:spacing w:before="40" w:after="20"/>
              <w:rPr>
                <w:rFonts w:ascii="Arial" w:eastAsia="MS Mincho" w:hAnsi="Arial" w:cs="Arial"/>
                <w:sz w:val="20"/>
                <w:lang w:val="en-US" w:eastAsia="zh-CN"/>
              </w:rPr>
            </w:pPr>
            <w:r w:rsidRPr="00A81551">
              <w:rPr>
                <w:rFonts w:ascii="Arial" w:eastAsia="MS Mincho" w:hAnsi="Arial" w:cs="Arial"/>
                <w:sz w:val="20"/>
                <w:lang w:val="en-US" w:eastAsia="zh-CN"/>
              </w:rPr>
              <w:t>Second dose reduction</w:t>
            </w:r>
          </w:p>
        </w:tc>
        <w:tc>
          <w:tcPr>
            <w:tcW w:w="1667" w:type="pct"/>
            <w:shd w:val="clear" w:color="auto" w:fill="auto"/>
          </w:tcPr>
          <w:p w14:paraId="3E68B470" w14:textId="77777777" w:rsidR="00604B07" w:rsidRPr="00A81551" w:rsidRDefault="00604B07" w:rsidP="00604B07">
            <w:pPr>
              <w:keepLines/>
              <w:tabs>
                <w:tab w:val="left" w:pos="284"/>
              </w:tabs>
              <w:spacing w:before="40" w:after="20"/>
              <w:rPr>
                <w:rFonts w:ascii="Arial" w:eastAsia="MS Mincho" w:hAnsi="Arial" w:cs="Arial"/>
                <w:sz w:val="20"/>
                <w:lang w:val="en-US" w:eastAsia="zh-CN"/>
              </w:rPr>
            </w:pPr>
            <w:r w:rsidRPr="00A81551">
              <w:rPr>
                <w:rFonts w:ascii="Arial" w:eastAsia="MS Mincho" w:hAnsi="Arial" w:cs="Arial"/>
                <w:sz w:val="20"/>
                <w:lang w:val="en-US" w:eastAsia="zh-CN"/>
              </w:rPr>
              <w:t>200 mg*/day</w:t>
            </w:r>
          </w:p>
        </w:tc>
        <w:tc>
          <w:tcPr>
            <w:tcW w:w="1667" w:type="pct"/>
            <w:shd w:val="clear" w:color="auto" w:fill="auto"/>
          </w:tcPr>
          <w:p w14:paraId="51DF0ADF" w14:textId="77777777" w:rsidR="00604B07" w:rsidRPr="00A81551" w:rsidRDefault="00604B07" w:rsidP="00604B07">
            <w:pPr>
              <w:keepLines/>
              <w:tabs>
                <w:tab w:val="left" w:pos="284"/>
              </w:tabs>
              <w:spacing w:before="40" w:after="20"/>
              <w:rPr>
                <w:rFonts w:ascii="Arial" w:eastAsia="MS Mincho" w:hAnsi="Arial" w:cs="Arial"/>
                <w:sz w:val="20"/>
                <w:lang w:val="en-US" w:eastAsia="zh-CN"/>
              </w:rPr>
            </w:pPr>
            <w:r w:rsidRPr="00A81551">
              <w:rPr>
                <w:rFonts w:ascii="Arial" w:eastAsia="MS Mincho" w:hAnsi="Arial" w:cs="Arial"/>
                <w:sz w:val="20"/>
                <w:lang w:val="en-US" w:eastAsia="zh-CN"/>
              </w:rPr>
              <w:t>1 × 200 mg tablets</w:t>
            </w:r>
          </w:p>
        </w:tc>
      </w:tr>
    </w:tbl>
    <w:p w14:paraId="436F5587" w14:textId="3940607C" w:rsidR="00604B07" w:rsidRDefault="00604B07" w:rsidP="00604B07">
      <w:pPr>
        <w:spacing w:before="120"/>
        <w:jc w:val="both"/>
        <w:rPr>
          <w:rFonts w:ascii="Arial" w:eastAsia="MS Mincho" w:hAnsi="Arial" w:cs="Arial"/>
          <w:sz w:val="23"/>
          <w:szCs w:val="23"/>
          <w:lang w:val="en-US" w:eastAsia="zh-CN"/>
        </w:rPr>
      </w:pPr>
      <w:r w:rsidRPr="008D026C">
        <w:rPr>
          <w:rFonts w:ascii="Arial" w:eastAsia="MS Mincho" w:hAnsi="Arial" w:cs="Arial"/>
          <w:color w:val="000000"/>
          <w:sz w:val="20"/>
          <w:szCs w:val="20"/>
          <w:lang w:val="en-US" w:eastAsia="zh-CN"/>
        </w:rPr>
        <w:t>*If further dose reduction below 200 mg/day is required, discontinue the treatment.</w:t>
      </w:r>
      <w:r w:rsidRPr="008D026C">
        <w:rPr>
          <w:rFonts w:ascii="Arial" w:eastAsia="MS Mincho" w:hAnsi="Arial" w:cs="Arial"/>
          <w:sz w:val="23"/>
          <w:szCs w:val="23"/>
          <w:lang w:val="en-US" w:eastAsia="zh-CN"/>
        </w:rPr>
        <w:t xml:space="preserve"> </w:t>
      </w:r>
    </w:p>
    <w:p w14:paraId="44C31FBD" w14:textId="77777777" w:rsidR="00B854D2" w:rsidDel="0018664B" w:rsidRDefault="00B854D2" w:rsidP="00B854D2">
      <w:pPr>
        <w:keepNext/>
        <w:keepLines/>
        <w:spacing w:before="240" w:after="120"/>
        <w:ind w:left="1701" w:hanging="1701"/>
        <w:outlineLvl w:val="5"/>
        <w:rPr>
          <w:rFonts w:ascii="Arial" w:eastAsia="MS Gothic" w:hAnsi="Arial" w:cs="Arial"/>
          <w:b/>
          <w:sz w:val="22"/>
          <w:szCs w:val="20"/>
          <w:lang w:val="en-US" w:eastAsia="zh-CN"/>
        </w:rPr>
      </w:pPr>
      <w:r w:rsidRPr="00604B07" w:rsidDel="0018664B">
        <w:rPr>
          <w:rFonts w:ascii="Arial" w:eastAsia="MS Gothic" w:hAnsi="Arial" w:cs="Arial"/>
          <w:b/>
          <w:sz w:val="22"/>
          <w:szCs w:val="20"/>
          <w:lang w:val="en-US" w:eastAsia="zh-CN"/>
        </w:rPr>
        <w:lastRenderedPageBreak/>
        <w:t xml:space="preserve">Table </w:t>
      </w:r>
      <w:r w:rsidDel="0018664B">
        <w:rPr>
          <w:rFonts w:ascii="Arial" w:eastAsia="MS Gothic" w:hAnsi="Arial" w:cs="Arial"/>
          <w:b/>
          <w:sz w:val="22"/>
          <w:szCs w:val="20"/>
          <w:lang w:val="en-US" w:eastAsia="zh-CN"/>
        </w:rPr>
        <w:t xml:space="preserve">5 </w:t>
      </w:r>
      <w:r w:rsidDel="0018664B">
        <w:rPr>
          <w:rFonts w:ascii="Arial" w:eastAsia="MS Gothic" w:hAnsi="Arial" w:cs="Arial"/>
          <w:b/>
          <w:sz w:val="22"/>
          <w:szCs w:val="20"/>
          <w:lang w:val="en-US" w:eastAsia="zh-CN"/>
        </w:rPr>
        <w:tab/>
      </w:r>
      <w:r w:rsidRPr="00604B07" w:rsidDel="0018664B">
        <w:rPr>
          <w:rFonts w:ascii="Arial" w:eastAsia="MS Gothic" w:hAnsi="Arial" w:cs="Arial"/>
          <w:b/>
          <w:sz w:val="22"/>
          <w:szCs w:val="20"/>
          <w:lang w:val="en-US" w:eastAsia="zh-CN"/>
        </w:rPr>
        <w:t xml:space="preserve">Dose Modification and Management for QT prolongation </w:t>
      </w:r>
    </w:p>
    <w:tbl>
      <w:tblPr>
        <w:tblW w:w="5000" w:type="pct"/>
        <w:tblLook w:val="0000" w:firstRow="0" w:lastRow="0" w:firstColumn="0" w:lastColumn="0" w:noHBand="0" w:noVBand="0"/>
      </w:tblPr>
      <w:tblGrid>
        <w:gridCol w:w="4789"/>
        <w:gridCol w:w="4565"/>
      </w:tblGrid>
      <w:tr w:rsidR="00B854D2" w:rsidRPr="00C32A93" w:rsidDel="0018664B" w14:paraId="72308817" w14:textId="77777777" w:rsidTr="00A62436">
        <w:trPr>
          <w:trHeight w:val="453"/>
          <w:tblHeader/>
        </w:trPr>
        <w:tc>
          <w:tcPr>
            <w:tcW w:w="2560" w:type="pct"/>
            <w:tcBorders>
              <w:top w:val="single" w:sz="4" w:space="0" w:color="auto"/>
              <w:bottom w:val="single" w:sz="4" w:space="0" w:color="auto"/>
            </w:tcBorders>
            <w:shd w:val="clear" w:color="auto" w:fill="auto"/>
            <w:vAlign w:val="center"/>
          </w:tcPr>
          <w:p w14:paraId="0CA56CF4" w14:textId="77777777" w:rsidR="00B854D2" w:rsidRPr="00C32A93" w:rsidDel="0018664B" w:rsidRDefault="00B854D2" w:rsidP="00A62436">
            <w:pPr>
              <w:keepLines/>
              <w:tabs>
                <w:tab w:val="left" w:pos="284"/>
              </w:tabs>
              <w:spacing w:before="40" w:after="20"/>
              <w:jc w:val="center"/>
              <w:rPr>
                <w:rFonts w:ascii="Arial" w:eastAsia="MS Mincho" w:hAnsi="Arial" w:cs="Arial"/>
                <w:b/>
                <w:sz w:val="20"/>
                <w:lang w:val="en-US" w:eastAsia="zh-CN"/>
              </w:rPr>
            </w:pPr>
            <w:r w:rsidDel="0018664B">
              <w:rPr>
                <w:rFonts w:ascii="Arial" w:eastAsia="MS Mincho" w:hAnsi="Arial" w:cs="Arial"/>
                <w:b/>
                <w:sz w:val="20"/>
                <w:lang w:val="en-US" w:eastAsia="zh-CN"/>
              </w:rPr>
              <w:t xml:space="preserve">On treatment </w:t>
            </w:r>
            <w:r w:rsidRPr="00C32A93" w:rsidDel="0018664B">
              <w:rPr>
                <w:rFonts w:ascii="Arial" w:eastAsia="MS Mincho" w:hAnsi="Arial" w:cs="Arial"/>
                <w:b/>
                <w:sz w:val="20"/>
                <w:lang w:val="en-US" w:eastAsia="zh-CN"/>
              </w:rPr>
              <w:t>ECG</w:t>
            </w:r>
            <w:r w:rsidDel="0018664B">
              <w:rPr>
                <w:rFonts w:ascii="Arial" w:eastAsia="MS Mincho" w:hAnsi="Arial" w:cs="Arial"/>
                <w:b/>
                <w:sz w:val="20"/>
                <w:lang w:val="en-US" w:eastAsia="zh-CN"/>
              </w:rPr>
              <w:t>s</w:t>
            </w:r>
            <w:r w:rsidRPr="00C32A93" w:rsidDel="0018664B">
              <w:rPr>
                <w:rFonts w:ascii="Arial" w:eastAsia="MS Mincho" w:hAnsi="Arial" w:cs="Arial"/>
                <w:b/>
                <w:sz w:val="20"/>
                <w:lang w:val="en-US" w:eastAsia="zh-CN"/>
              </w:rPr>
              <w:t xml:space="preserve"> with </w:t>
            </w:r>
            <w:proofErr w:type="spellStart"/>
            <w:r w:rsidRPr="00C32A93" w:rsidDel="0018664B">
              <w:rPr>
                <w:rFonts w:ascii="Arial" w:eastAsia="MS Mincho" w:hAnsi="Arial" w:cs="Arial"/>
                <w:b/>
                <w:sz w:val="20"/>
                <w:lang w:val="en-US" w:eastAsia="zh-CN"/>
              </w:rPr>
              <w:t>QTcF</w:t>
            </w:r>
            <w:proofErr w:type="spellEnd"/>
            <w:r w:rsidDel="0018664B">
              <w:rPr>
                <w:rFonts w:ascii="Arial" w:eastAsia="MS Mincho" w:hAnsi="Arial" w:cs="Arial"/>
                <w:b/>
                <w:sz w:val="20"/>
                <w:lang w:val="en-US" w:eastAsia="zh-CN"/>
              </w:rPr>
              <w:t xml:space="preserve"> value of: </w:t>
            </w:r>
          </w:p>
        </w:tc>
        <w:tc>
          <w:tcPr>
            <w:tcW w:w="2440" w:type="pct"/>
            <w:tcBorders>
              <w:top w:val="single" w:sz="4" w:space="0" w:color="auto"/>
              <w:bottom w:val="single" w:sz="4" w:space="0" w:color="auto"/>
            </w:tcBorders>
            <w:shd w:val="clear" w:color="auto" w:fill="auto"/>
            <w:vAlign w:val="center"/>
          </w:tcPr>
          <w:p w14:paraId="41519792" w14:textId="77777777" w:rsidR="00B854D2" w:rsidRPr="00C32A93" w:rsidDel="0018664B" w:rsidRDefault="00B854D2" w:rsidP="00A62436">
            <w:pPr>
              <w:spacing w:before="40"/>
              <w:jc w:val="center"/>
              <w:rPr>
                <w:rFonts w:ascii="Arial" w:eastAsia="MS Mincho" w:hAnsi="Arial" w:cs="Arial"/>
                <w:b/>
                <w:sz w:val="20"/>
                <w:lang w:val="en-US" w:eastAsia="zh-CN"/>
              </w:rPr>
            </w:pPr>
            <w:r w:rsidRPr="00C32A93" w:rsidDel="0018664B">
              <w:rPr>
                <w:rFonts w:ascii="Arial" w:eastAsia="MS Mincho" w:hAnsi="Arial" w:cs="Arial"/>
                <w:b/>
                <w:sz w:val="20"/>
                <w:lang w:val="en-US" w:eastAsia="zh-CN"/>
              </w:rPr>
              <w:t>Recommendations</w:t>
            </w:r>
          </w:p>
        </w:tc>
      </w:tr>
      <w:tr w:rsidR="00B854D2" w:rsidRPr="00604B07" w:rsidDel="0018664B" w14:paraId="3F6E7BED" w14:textId="77777777" w:rsidTr="00A62436">
        <w:trPr>
          <w:tblHeader/>
        </w:trPr>
        <w:tc>
          <w:tcPr>
            <w:tcW w:w="2560" w:type="pct"/>
            <w:tcBorders>
              <w:top w:val="single" w:sz="4" w:space="0" w:color="auto"/>
              <w:bottom w:val="single" w:sz="4" w:space="0" w:color="auto"/>
            </w:tcBorders>
            <w:shd w:val="clear" w:color="auto" w:fill="auto"/>
            <w:vAlign w:val="center"/>
          </w:tcPr>
          <w:p w14:paraId="4AE1C235" w14:textId="77777777" w:rsidR="00B854D2" w:rsidRPr="008243A5" w:rsidDel="0018664B" w:rsidRDefault="00B854D2" w:rsidP="00A62436">
            <w:pPr>
              <w:keepLines/>
              <w:tabs>
                <w:tab w:val="left" w:pos="284"/>
              </w:tabs>
              <w:spacing w:before="40" w:after="20"/>
              <w:rPr>
                <w:rFonts w:ascii="Arial" w:eastAsia="MS Mincho" w:hAnsi="Arial" w:cs="Arial"/>
                <w:sz w:val="20"/>
                <w:lang w:val="en-US" w:eastAsia="zh-CN"/>
              </w:rPr>
            </w:pPr>
            <w:r w:rsidRPr="008243A5" w:rsidDel="0018664B">
              <w:rPr>
                <w:rFonts w:ascii="Arial" w:eastAsia="MS Mincho" w:hAnsi="Arial" w:cs="Arial"/>
                <w:sz w:val="20"/>
                <w:lang w:val="en-US" w:eastAsia="zh-CN"/>
              </w:rPr>
              <w:t xml:space="preserve">&gt;  480 </w:t>
            </w:r>
            <w:proofErr w:type="spellStart"/>
            <w:r w:rsidRPr="008243A5" w:rsidDel="0018664B">
              <w:rPr>
                <w:rFonts w:ascii="Arial" w:eastAsia="MS Mincho" w:hAnsi="Arial" w:cs="Arial"/>
                <w:sz w:val="20"/>
                <w:lang w:val="en-US" w:eastAsia="zh-CN"/>
              </w:rPr>
              <w:t>ms</w:t>
            </w:r>
            <w:proofErr w:type="spellEnd"/>
            <w:r w:rsidDel="0018664B">
              <w:rPr>
                <w:rFonts w:ascii="Arial" w:eastAsia="MS Mincho" w:hAnsi="Arial" w:cs="Arial"/>
                <w:sz w:val="20"/>
                <w:lang w:val="en-US" w:eastAsia="zh-CN"/>
              </w:rPr>
              <w:t xml:space="preserve"> </w:t>
            </w:r>
          </w:p>
        </w:tc>
        <w:tc>
          <w:tcPr>
            <w:tcW w:w="2440" w:type="pct"/>
            <w:tcBorders>
              <w:top w:val="single" w:sz="4" w:space="0" w:color="auto"/>
              <w:bottom w:val="single" w:sz="4" w:space="0" w:color="auto"/>
            </w:tcBorders>
            <w:shd w:val="clear" w:color="auto" w:fill="auto"/>
          </w:tcPr>
          <w:p w14:paraId="51E43BCD" w14:textId="77777777" w:rsidR="00B854D2" w:rsidRPr="00F00F42" w:rsidDel="0018664B" w:rsidRDefault="00B854D2" w:rsidP="00A62436">
            <w:pPr>
              <w:pStyle w:val="ListParagraph"/>
              <w:numPr>
                <w:ilvl w:val="0"/>
                <w:numId w:val="17"/>
              </w:numPr>
              <w:spacing w:before="40"/>
              <w:rPr>
                <w:rFonts w:ascii="Arial" w:eastAsia="MS Mincho" w:hAnsi="Arial" w:cs="Arial"/>
                <w:sz w:val="20"/>
                <w:szCs w:val="20"/>
                <w:lang w:val="en-US" w:eastAsia="zh-CN"/>
              </w:rPr>
            </w:pPr>
            <w:r w:rsidRPr="00F00F42" w:rsidDel="0018664B">
              <w:rPr>
                <w:rFonts w:ascii="Arial" w:eastAsia="MS Mincho" w:hAnsi="Arial" w:cs="Arial"/>
                <w:sz w:val="20"/>
                <w:szCs w:val="20"/>
                <w:lang w:val="en-US" w:eastAsia="zh-CN"/>
              </w:rPr>
              <w:t>The dose should be interrupted</w:t>
            </w:r>
          </w:p>
          <w:p w14:paraId="3BD70B6D" w14:textId="77777777" w:rsidR="00B854D2" w:rsidRPr="00F00F42" w:rsidDel="0018664B" w:rsidRDefault="00B854D2" w:rsidP="00A62436">
            <w:pPr>
              <w:pStyle w:val="ListParagraph"/>
              <w:numPr>
                <w:ilvl w:val="0"/>
                <w:numId w:val="17"/>
              </w:numPr>
              <w:spacing w:before="40"/>
              <w:rPr>
                <w:rFonts w:ascii="Arial" w:eastAsia="MS Mincho" w:hAnsi="Arial" w:cs="Arial"/>
                <w:sz w:val="20"/>
                <w:szCs w:val="20"/>
                <w:lang w:val="en-US" w:eastAsia="zh-CN"/>
              </w:rPr>
            </w:pPr>
            <w:r w:rsidRPr="00F00F42" w:rsidDel="0018664B">
              <w:rPr>
                <w:rFonts w:ascii="Arial" w:eastAsia="MS Mincho" w:hAnsi="Arial" w:cs="Arial"/>
                <w:sz w:val="20"/>
                <w:szCs w:val="20"/>
                <w:lang w:val="en-US" w:eastAsia="zh-CN"/>
              </w:rPr>
              <w:t xml:space="preserve">If </w:t>
            </w:r>
            <w:proofErr w:type="spellStart"/>
            <w:r w:rsidRPr="00F00F42" w:rsidDel="0018664B">
              <w:rPr>
                <w:rFonts w:ascii="Arial" w:eastAsia="MS Mincho" w:hAnsi="Arial" w:cs="Arial"/>
                <w:sz w:val="20"/>
                <w:szCs w:val="20"/>
                <w:lang w:val="en-US" w:eastAsia="zh-CN"/>
              </w:rPr>
              <w:t>QTcF</w:t>
            </w:r>
            <w:proofErr w:type="spellEnd"/>
            <w:r w:rsidRPr="00F00F42" w:rsidDel="0018664B">
              <w:rPr>
                <w:rFonts w:ascii="Arial" w:eastAsia="MS Mincho" w:hAnsi="Arial" w:cs="Arial"/>
                <w:sz w:val="20"/>
                <w:szCs w:val="20"/>
                <w:lang w:val="en-US" w:eastAsia="zh-CN"/>
              </w:rPr>
              <w:t xml:space="preserve"> prolongation resolves to &lt; 481 </w:t>
            </w:r>
            <w:proofErr w:type="spellStart"/>
            <w:r w:rsidRPr="00F00F42" w:rsidDel="0018664B">
              <w:rPr>
                <w:rFonts w:ascii="Arial" w:eastAsia="MS Mincho" w:hAnsi="Arial" w:cs="Arial"/>
                <w:sz w:val="20"/>
                <w:szCs w:val="20"/>
                <w:lang w:val="en-US" w:eastAsia="zh-CN"/>
              </w:rPr>
              <w:t>ms</w:t>
            </w:r>
            <w:proofErr w:type="spellEnd"/>
            <w:r w:rsidRPr="00F00F42" w:rsidDel="0018664B">
              <w:rPr>
                <w:rFonts w:ascii="Arial" w:eastAsia="MS Mincho" w:hAnsi="Arial" w:cs="Arial"/>
                <w:sz w:val="20"/>
                <w:szCs w:val="20"/>
                <w:lang w:val="en-US" w:eastAsia="zh-CN"/>
              </w:rPr>
              <w:t xml:space="preserve"> resume treatment at the same dose level;</w:t>
            </w:r>
          </w:p>
          <w:p w14:paraId="43DE3A47" w14:textId="77777777" w:rsidR="00B854D2" w:rsidRPr="00F00F42" w:rsidDel="0018664B" w:rsidRDefault="00B854D2" w:rsidP="00A62436">
            <w:pPr>
              <w:pStyle w:val="ListParagraph"/>
              <w:numPr>
                <w:ilvl w:val="0"/>
                <w:numId w:val="17"/>
              </w:numPr>
              <w:spacing w:before="40"/>
              <w:rPr>
                <w:rFonts w:eastAsia="MS Mincho"/>
                <w:i/>
                <w:szCs w:val="20"/>
                <w:lang w:val="en-US" w:eastAsia="zh-CN"/>
              </w:rPr>
            </w:pPr>
            <w:r w:rsidRPr="00F00F42" w:rsidDel="0018664B">
              <w:rPr>
                <w:rFonts w:ascii="Arial" w:eastAsia="MS Mincho" w:hAnsi="Arial" w:cs="Arial"/>
                <w:sz w:val="20"/>
                <w:szCs w:val="20"/>
                <w:lang w:val="en-US" w:eastAsia="zh-CN"/>
              </w:rPr>
              <w:t xml:space="preserve">If </w:t>
            </w:r>
            <w:proofErr w:type="spellStart"/>
            <w:r w:rsidRPr="00F00F42" w:rsidDel="0018664B">
              <w:rPr>
                <w:rFonts w:ascii="Arial" w:eastAsia="MS Mincho" w:hAnsi="Arial" w:cs="Arial"/>
                <w:sz w:val="20"/>
                <w:szCs w:val="20"/>
                <w:lang w:val="en-US" w:eastAsia="zh-CN"/>
              </w:rPr>
              <w:t>QTcF</w:t>
            </w:r>
            <w:proofErr w:type="spellEnd"/>
            <w:r w:rsidRPr="00F00F42" w:rsidDel="0018664B">
              <w:rPr>
                <w:rFonts w:ascii="Arial" w:eastAsia="MS Mincho" w:hAnsi="Arial" w:cs="Arial"/>
                <w:sz w:val="20"/>
                <w:szCs w:val="20"/>
                <w:lang w:val="en-US" w:eastAsia="zh-CN"/>
              </w:rPr>
              <w:t xml:space="preserve"> ≥ 481 </w:t>
            </w:r>
            <w:proofErr w:type="spellStart"/>
            <w:r w:rsidRPr="00F00F42" w:rsidDel="0018664B">
              <w:rPr>
                <w:rFonts w:ascii="Arial" w:eastAsia="MS Mincho" w:hAnsi="Arial" w:cs="Arial"/>
                <w:sz w:val="20"/>
                <w:szCs w:val="20"/>
                <w:lang w:val="en-US" w:eastAsia="zh-CN"/>
              </w:rPr>
              <w:t>ms</w:t>
            </w:r>
            <w:proofErr w:type="spellEnd"/>
            <w:r w:rsidRPr="00F00F42" w:rsidDel="0018664B">
              <w:rPr>
                <w:rFonts w:ascii="Arial" w:eastAsia="MS Mincho" w:hAnsi="Arial" w:cs="Arial"/>
                <w:sz w:val="20"/>
                <w:szCs w:val="20"/>
                <w:lang w:val="en-US" w:eastAsia="zh-CN"/>
              </w:rPr>
              <w:t xml:space="preserve"> recurs, dose interrupt until </w:t>
            </w:r>
            <w:proofErr w:type="spellStart"/>
            <w:r w:rsidRPr="00F00F42" w:rsidDel="0018664B">
              <w:rPr>
                <w:rFonts w:ascii="Arial" w:eastAsia="MS Mincho" w:hAnsi="Arial" w:cs="Arial"/>
                <w:sz w:val="20"/>
                <w:szCs w:val="20"/>
                <w:lang w:val="en-US" w:eastAsia="zh-CN"/>
              </w:rPr>
              <w:t>QTcF</w:t>
            </w:r>
            <w:proofErr w:type="spellEnd"/>
            <w:r w:rsidRPr="00F00F42" w:rsidDel="0018664B">
              <w:rPr>
                <w:rFonts w:ascii="Arial" w:eastAsia="MS Mincho" w:hAnsi="Arial" w:cs="Arial"/>
                <w:sz w:val="20"/>
                <w:szCs w:val="20"/>
                <w:lang w:val="en-US" w:eastAsia="zh-CN"/>
              </w:rPr>
              <w:t xml:space="preserve"> &lt; 481 </w:t>
            </w:r>
            <w:proofErr w:type="spellStart"/>
            <w:r w:rsidRPr="00F00F42" w:rsidDel="0018664B">
              <w:rPr>
                <w:rFonts w:ascii="Arial" w:eastAsia="MS Mincho" w:hAnsi="Arial" w:cs="Arial"/>
                <w:sz w:val="20"/>
                <w:szCs w:val="20"/>
                <w:lang w:val="en-US" w:eastAsia="zh-CN"/>
              </w:rPr>
              <w:t>ms</w:t>
            </w:r>
            <w:proofErr w:type="spellEnd"/>
            <w:r w:rsidRPr="00F00F42" w:rsidDel="0018664B">
              <w:rPr>
                <w:rFonts w:ascii="Arial" w:eastAsia="MS Mincho" w:hAnsi="Arial" w:cs="Arial"/>
                <w:sz w:val="20"/>
                <w:szCs w:val="20"/>
                <w:lang w:val="en-US" w:eastAsia="zh-CN"/>
              </w:rPr>
              <w:t>, and then resume KISQALI at next lower dose level</w:t>
            </w:r>
            <w:r w:rsidRPr="008E3D3E" w:rsidDel="0018664B">
              <w:rPr>
                <w:rFonts w:ascii="Arial" w:eastAsia="MS Mincho" w:hAnsi="Arial"/>
                <w:sz w:val="20"/>
                <w:szCs w:val="20"/>
                <w:lang w:val="en-US" w:eastAsia="zh-CN"/>
              </w:rPr>
              <w:t xml:space="preserve"> </w:t>
            </w:r>
          </w:p>
        </w:tc>
      </w:tr>
      <w:tr w:rsidR="00B854D2" w:rsidRPr="00604B07" w14:paraId="0AAC3471" w14:textId="77777777" w:rsidTr="00A62436">
        <w:trPr>
          <w:tblHeader/>
        </w:trPr>
        <w:tc>
          <w:tcPr>
            <w:tcW w:w="2560" w:type="pct"/>
            <w:tcBorders>
              <w:top w:val="single" w:sz="4" w:space="0" w:color="auto"/>
              <w:bottom w:val="single" w:sz="4" w:space="0" w:color="auto"/>
            </w:tcBorders>
            <w:shd w:val="clear" w:color="auto" w:fill="auto"/>
            <w:vAlign w:val="center"/>
          </w:tcPr>
          <w:p w14:paraId="0C950D8A" w14:textId="77777777" w:rsidR="00B854D2" w:rsidRPr="008243A5" w:rsidRDefault="00B854D2" w:rsidP="00A62436">
            <w:pPr>
              <w:keepLines/>
              <w:tabs>
                <w:tab w:val="left" w:pos="284"/>
              </w:tabs>
              <w:spacing w:before="40" w:after="20"/>
              <w:rPr>
                <w:rFonts w:ascii="Arial" w:eastAsia="MS Mincho" w:hAnsi="Arial" w:cs="Arial"/>
                <w:sz w:val="20"/>
                <w:lang w:val="en-US" w:eastAsia="zh-CN"/>
              </w:rPr>
            </w:pPr>
            <w:r w:rsidRPr="008243A5">
              <w:rPr>
                <w:rFonts w:ascii="Arial" w:eastAsia="MS Mincho" w:hAnsi="Arial" w:cs="Arial"/>
                <w:sz w:val="20"/>
                <w:lang w:val="en-US" w:eastAsia="zh-CN"/>
              </w:rPr>
              <w:t xml:space="preserve">&gt; 500 </w:t>
            </w:r>
            <w:proofErr w:type="spellStart"/>
            <w:r w:rsidRPr="008243A5">
              <w:rPr>
                <w:rFonts w:ascii="Arial" w:eastAsia="MS Mincho" w:hAnsi="Arial" w:cs="Arial"/>
                <w:sz w:val="20"/>
                <w:lang w:val="en-US" w:eastAsia="zh-CN"/>
              </w:rPr>
              <w:t>ms</w:t>
            </w:r>
            <w:proofErr w:type="spellEnd"/>
            <w:r w:rsidRPr="008243A5">
              <w:rPr>
                <w:rFonts w:ascii="Arial" w:eastAsia="MS Mincho" w:hAnsi="Arial" w:cs="Arial"/>
                <w:sz w:val="20"/>
                <w:lang w:val="en-US" w:eastAsia="zh-CN"/>
              </w:rPr>
              <w:t xml:space="preserve"> </w:t>
            </w:r>
            <w:r w:rsidRPr="008243A5">
              <w:rPr>
                <w:rFonts w:ascii="Arial" w:eastAsia="MS Mincho" w:hAnsi="Arial"/>
                <w:sz w:val="20"/>
                <w:szCs w:val="20"/>
                <w:lang w:val="en-US" w:eastAsia="zh-CN"/>
              </w:rPr>
              <w:t>on at least 2 separate ECGs</w:t>
            </w:r>
            <w:r>
              <w:rPr>
                <w:rFonts w:ascii="Arial" w:eastAsia="MS Mincho" w:hAnsi="Arial"/>
                <w:sz w:val="20"/>
                <w:szCs w:val="20"/>
                <w:lang w:val="en-US" w:eastAsia="zh-CN"/>
              </w:rPr>
              <w:t xml:space="preserve"> </w:t>
            </w:r>
            <w:r w:rsidRPr="008243A5">
              <w:rPr>
                <w:rFonts w:ascii="Arial" w:eastAsia="MS Mincho" w:hAnsi="Arial" w:cs="Arial"/>
                <w:sz w:val="20"/>
                <w:lang w:val="en-US" w:eastAsia="zh-CN"/>
              </w:rPr>
              <w:t xml:space="preserve">(on </w:t>
            </w:r>
            <w:r w:rsidRPr="00D31FB1">
              <w:rPr>
                <w:rFonts w:ascii="Arial" w:eastAsia="MS Mincho" w:hAnsi="Arial" w:cs="Arial"/>
                <w:sz w:val="20"/>
                <w:lang w:val="en-US" w:eastAsia="zh-CN"/>
              </w:rPr>
              <w:t>the same visit</w:t>
            </w:r>
            <w:r w:rsidRPr="008243A5">
              <w:rPr>
                <w:rFonts w:ascii="Arial" w:eastAsia="MS Mincho" w:hAnsi="Arial" w:cs="Arial"/>
                <w:sz w:val="20"/>
                <w:lang w:val="en-US" w:eastAsia="zh-CN"/>
              </w:rPr>
              <w:t>)</w:t>
            </w:r>
          </w:p>
        </w:tc>
        <w:tc>
          <w:tcPr>
            <w:tcW w:w="2440" w:type="pct"/>
            <w:tcBorders>
              <w:top w:val="single" w:sz="4" w:space="0" w:color="auto"/>
              <w:bottom w:val="single" w:sz="4" w:space="0" w:color="auto"/>
            </w:tcBorders>
            <w:shd w:val="clear" w:color="auto" w:fill="auto"/>
            <w:vAlign w:val="center"/>
          </w:tcPr>
          <w:p w14:paraId="4D3523D3" w14:textId="77777777" w:rsidR="00B854D2" w:rsidRPr="00604B07" w:rsidRDefault="00B854D2" w:rsidP="00A62436">
            <w:pPr>
              <w:spacing w:before="40"/>
              <w:rPr>
                <w:rFonts w:ascii="Arial" w:eastAsia="MS Mincho" w:hAnsi="Arial"/>
                <w:sz w:val="20"/>
                <w:szCs w:val="20"/>
                <w:lang w:val="en-US" w:eastAsia="zh-CN"/>
              </w:rPr>
            </w:pPr>
            <w:r w:rsidRPr="00604B07">
              <w:rPr>
                <w:rFonts w:ascii="Arial" w:eastAsia="MS Mincho" w:hAnsi="Arial"/>
                <w:sz w:val="20"/>
                <w:szCs w:val="20"/>
                <w:lang w:val="en-US" w:eastAsia="zh-CN"/>
              </w:rPr>
              <w:t xml:space="preserve">Interrupt </w:t>
            </w:r>
            <w:r>
              <w:rPr>
                <w:rFonts w:ascii="Arial" w:eastAsia="MS Mincho" w:hAnsi="Arial"/>
                <w:sz w:val="20"/>
                <w:szCs w:val="20"/>
                <w:lang w:val="en-US" w:eastAsia="zh-CN"/>
              </w:rPr>
              <w:t>KISQALI</w:t>
            </w:r>
            <w:r w:rsidRPr="00604B07">
              <w:rPr>
                <w:rFonts w:ascii="Arial" w:eastAsia="MS Mincho" w:hAnsi="Arial"/>
                <w:sz w:val="20"/>
                <w:szCs w:val="20"/>
                <w:lang w:val="en-US" w:eastAsia="zh-CN"/>
              </w:rPr>
              <w:t xml:space="preserve"> until </w:t>
            </w:r>
            <w:proofErr w:type="spellStart"/>
            <w:r w:rsidRPr="00604B07">
              <w:rPr>
                <w:rFonts w:ascii="Arial" w:eastAsia="MS Mincho" w:hAnsi="Arial"/>
                <w:sz w:val="20"/>
                <w:szCs w:val="20"/>
                <w:lang w:val="en-US" w:eastAsia="zh-CN"/>
              </w:rPr>
              <w:t>QTcF</w:t>
            </w:r>
            <w:proofErr w:type="spellEnd"/>
            <w:r w:rsidRPr="00604B07">
              <w:rPr>
                <w:rFonts w:ascii="Arial" w:eastAsia="MS Mincho" w:hAnsi="Arial"/>
                <w:sz w:val="20"/>
                <w:szCs w:val="20"/>
                <w:lang w:val="en-US" w:eastAsia="zh-CN"/>
              </w:rPr>
              <w:t xml:space="preserve"> &lt; 481 </w:t>
            </w:r>
            <w:proofErr w:type="spellStart"/>
            <w:r w:rsidRPr="00604B07">
              <w:rPr>
                <w:rFonts w:ascii="Arial" w:eastAsia="MS Mincho" w:hAnsi="Arial"/>
                <w:sz w:val="20"/>
                <w:szCs w:val="20"/>
                <w:lang w:val="en-US" w:eastAsia="zh-CN"/>
              </w:rPr>
              <w:t>ms</w:t>
            </w:r>
            <w:proofErr w:type="spellEnd"/>
            <w:r w:rsidRPr="00604B07">
              <w:rPr>
                <w:rFonts w:ascii="Arial" w:eastAsia="MS Mincho" w:hAnsi="Arial"/>
                <w:sz w:val="20"/>
                <w:szCs w:val="20"/>
                <w:lang w:val="en-US" w:eastAsia="zh-CN"/>
              </w:rPr>
              <w:t xml:space="preserve"> then resume </w:t>
            </w:r>
            <w:r>
              <w:rPr>
                <w:rFonts w:ascii="Arial" w:eastAsia="MS Mincho" w:hAnsi="Arial"/>
                <w:sz w:val="20"/>
                <w:szCs w:val="20"/>
                <w:lang w:val="en-US" w:eastAsia="zh-CN"/>
              </w:rPr>
              <w:t>KISQALI</w:t>
            </w:r>
            <w:r w:rsidRPr="00604B07">
              <w:rPr>
                <w:rFonts w:ascii="Arial" w:eastAsia="MS Mincho" w:hAnsi="Arial"/>
                <w:sz w:val="20"/>
                <w:szCs w:val="20"/>
                <w:lang w:val="en-US" w:eastAsia="zh-CN"/>
              </w:rPr>
              <w:t xml:space="preserve"> at next lower dose level</w:t>
            </w:r>
          </w:p>
        </w:tc>
      </w:tr>
      <w:tr w:rsidR="00B854D2" w:rsidRPr="00604B07" w14:paraId="1D28EA74" w14:textId="77777777" w:rsidTr="00A62436">
        <w:trPr>
          <w:trHeight w:val="1770"/>
          <w:tblHeader/>
        </w:trPr>
        <w:tc>
          <w:tcPr>
            <w:tcW w:w="2560" w:type="pct"/>
            <w:tcBorders>
              <w:top w:val="single" w:sz="4" w:space="0" w:color="auto"/>
              <w:bottom w:val="single" w:sz="4" w:space="0" w:color="auto"/>
            </w:tcBorders>
            <w:shd w:val="clear" w:color="auto" w:fill="auto"/>
            <w:vAlign w:val="center"/>
          </w:tcPr>
          <w:p w14:paraId="0B647DEA" w14:textId="77777777" w:rsidR="00B854D2" w:rsidRDefault="00B854D2" w:rsidP="00A62436">
            <w:pPr>
              <w:keepLines/>
              <w:tabs>
                <w:tab w:val="left" w:pos="284"/>
              </w:tabs>
              <w:spacing w:before="40" w:after="20"/>
              <w:rPr>
                <w:rFonts w:ascii="Arial" w:eastAsia="MS Mincho" w:hAnsi="Arial"/>
                <w:sz w:val="20"/>
                <w:szCs w:val="20"/>
                <w:lang w:val="en-US" w:eastAsia="zh-CN"/>
              </w:rPr>
            </w:pPr>
            <w:r w:rsidRPr="008243A5">
              <w:rPr>
                <w:rFonts w:ascii="Arial" w:eastAsia="MS Mincho" w:hAnsi="Arial"/>
                <w:sz w:val="20"/>
                <w:szCs w:val="20"/>
                <w:lang w:val="en-US" w:eastAsia="zh-CN"/>
              </w:rPr>
              <w:t xml:space="preserve">&gt; 500 </w:t>
            </w:r>
            <w:proofErr w:type="spellStart"/>
            <w:r w:rsidRPr="008243A5">
              <w:rPr>
                <w:rFonts w:ascii="Arial" w:eastAsia="MS Mincho" w:hAnsi="Arial"/>
                <w:sz w:val="20"/>
                <w:szCs w:val="20"/>
                <w:lang w:val="en-US" w:eastAsia="zh-CN"/>
              </w:rPr>
              <w:t>ms</w:t>
            </w:r>
            <w:proofErr w:type="spellEnd"/>
            <w:r w:rsidRPr="008243A5">
              <w:rPr>
                <w:rFonts w:ascii="Arial" w:eastAsia="MS Mincho" w:hAnsi="Arial"/>
                <w:sz w:val="20"/>
                <w:szCs w:val="20"/>
                <w:lang w:val="en-US" w:eastAsia="zh-CN"/>
              </w:rPr>
              <w:t xml:space="preserve"> or &gt; 60 </w:t>
            </w:r>
            <w:proofErr w:type="spellStart"/>
            <w:r w:rsidRPr="008243A5">
              <w:rPr>
                <w:rFonts w:ascii="Arial" w:eastAsia="MS Mincho" w:hAnsi="Arial"/>
                <w:sz w:val="20"/>
                <w:szCs w:val="20"/>
                <w:lang w:val="en-US" w:eastAsia="zh-CN"/>
              </w:rPr>
              <w:t>ms</w:t>
            </w:r>
            <w:proofErr w:type="spellEnd"/>
            <w:r w:rsidRPr="008243A5">
              <w:rPr>
                <w:rFonts w:ascii="Arial" w:eastAsia="MS Mincho" w:hAnsi="Arial"/>
                <w:sz w:val="20"/>
                <w:szCs w:val="20"/>
                <w:lang w:val="en-US" w:eastAsia="zh-CN"/>
              </w:rPr>
              <w:t xml:space="preserve"> change from baseline </w:t>
            </w:r>
          </w:p>
          <w:p w14:paraId="293F2997" w14:textId="77777777" w:rsidR="00B854D2" w:rsidRPr="008243A5" w:rsidRDefault="00B854D2" w:rsidP="00A62436">
            <w:pPr>
              <w:keepLines/>
              <w:tabs>
                <w:tab w:val="left" w:pos="284"/>
              </w:tabs>
              <w:spacing w:before="40" w:after="20"/>
              <w:rPr>
                <w:rFonts w:ascii="Arial" w:eastAsia="MS Mincho" w:hAnsi="Arial"/>
                <w:b/>
                <w:sz w:val="20"/>
                <w:szCs w:val="20"/>
                <w:lang w:val="en-US" w:eastAsia="zh-CN"/>
              </w:rPr>
            </w:pPr>
            <w:r w:rsidRPr="008243A5">
              <w:rPr>
                <w:rFonts w:ascii="Arial" w:eastAsia="MS Mincho" w:hAnsi="Arial"/>
                <w:b/>
                <w:sz w:val="20"/>
                <w:szCs w:val="20"/>
                <w:lang w:val="en-US" w:eastAsia="zh-CN"/>
              </w:rPr>
              <w:t>With</w:t>
            </w:r>
            <w:r>
              <w:rPr>
                <w:rFonts w:ascii="Arial" w:eastAsia="MS Mincho" w:hAnsi="Arial"/>
                <w:b/>
                <w:sz w:val="20"/>
                <w:szCs w:val="20"/>
                <w:lang w:val="en-US" w:eastAsia="zh-CN"/>
              </w:rPr>
              <w:t xml:space="preserve"> either:</w:t>
            </w:r>
            <w:r w:rsidRPr="008243A5">
              <w:rPr>
                <w:rFonts w:ascii="Arial" w:eastAsia="MS Mincho" w:hAnsi="Arial"/>
                <w:b/>
                <w:sz w:val="20"/>
                <w:szCs w:val="20"/>
                <w:lang w:val="en-US" w:eastAsia="zh-CN"/>
              </w:rPr>
              <w:t xml:space="preserve"> </w:t>
            </w:r>
          </w:p>
          <w:p w14:paraId="772B4671" w14:textId="77777777" w:rsidR="00B854D2" w:rsidRPr="00B80948" w:rsidRDefault="00B854D2" w:rsidP="00A62436">
            <w:pPr>
              <w:pStyle w:val="ListParagraph"/>
              <w:keepLines/>
              <w:numPr>
                <w:ilvl w:val="0"/>
                <w:numId w:val="19"/>
              </w:numPr>
              <w:tabs>
                <w:tab w:val="left" w:pos="284"/>
              </w:tabs>
              <w:spacing w:before="40" w:after="20"/>
              <w:rPr>
                <w:rFonts w:ascii="Arial" w:eastAsia="MS Mincho" w:hAnsi="Arial"/>
                <w:sz w:val="20"/>
                <w:szCs w:val="20"/>
                <w:lang w:val="en-US" w:eastAsia="zh-CN"/>
              </w:rPr>
            </w:pPr>
            <w:r w:rsidRPr="00B80948">
              <w:rPr>
                <w:rFonts w:ascii="Arial" w:eastAsia="MS Mincho" w:hAnsi="Arial"/>
                <w:i/>
                <w:sz w:val="20"/>
                <w:szCs w:val="20"/>
                <w:lang w:val="en-US" w:eastAsia="zh-CN"/>
              </w:rPr>
              <w:t>Torsade de Pointes</w:t>
            </w:r>
            <w:r w:rsidRPr="00B80948">
              <w:rPr>
                <w:rFonts w:ascii="Arial" w:eastAsia="MS Mincho" w:hAnsi="Arial"/>
                <w:sz w:val="20"/>
                <w:szCs w:val="20"/>
                <w:lang w:val="en-US" w:eastAsia="zh-CN"/>
              </w:rPr>
              <w:t xml:space="preserve"> </w:t>
            </w:r>
          </w:p>
          <w:p w14:paraId="523A4CEB" w14:textId="77777777" w:rsidR="00B854D2" w:rsidRPr="008243A5" w:rsidRDefault="00B854D2" w:rsidP="00A62436">
            <w:pPr>
              <w:keepLines/>
              <w:tabs>
                <w:tab w:val="left" w:pos="284"/>
              </w:tabs>
              <w:spacing w:before="40" w:after="20"/>
              <w:rPr>
                <w:rFonts w:ascii="Arial" w:eastAsia="MS Mincho" w:hAnsi="Arial"/>
                <w:sz w:val="20"/>
                <w:szCs w:val="20"/>
                <w:lang w:val="en-US" w:eastAsia="zh-CN"/>
              </w:rPr>
            </w:pPr>
            <w:r>
              <w:rPr>
                <w:rFonts w:ascii="Arial" w:eastAsia="MS Mincho" w:hAnsi="Arial"/>
                <w:b/>
                <w:sz w:val="20"/>
                <w:szCs w:val="20"/>
                <w:lang w:val="en-US" w:eastAsia="zh-CN"/>
              </w:rPr>
              <w:t xml:space="preserve">             </w:t>
            </w:r>
            <w:r w:rsidRPr="008243A5">
              <w:rPr>
                <w:rFonts w:ascii="Arial" w:eastAsia="MS Mincho" w:hAnsi="Arial"/>
                <w:b/>
                <w:sz w:val="20"/>
                <w:szCs w:val="20"/>
                <w:lang w:val="en-US" w:eastAsia="zh-CN"/>
              </w:rPr>
              <w:t>or</w:t>
            </w:r>
          </w:p>
          <w:p w14:paraId="21A5B48E" w14:textId="77777777" w:rsidR="00B854D2" w:rsidRPr="00B80948" w:rsidRDefault="00B854D2" w:rsidP="00A62436">
            <w:pPr>
              <w:pStyle w:val="ListParagraph"/>
              <w:keepLines/>
              <w:numPr>
                <w:ilvl w:val="0"/>
                <w:numId w:val="19"/>
              </w:numPr>
              <w:tabs>
                <w:tab w:val="left" w:pos="284"/>
              </w:tabs>
              <w:spacing w:before="40" w:after="20"/>
              <w:rPr>
                <w:rFonts w:ascii="Arial" w:eastAsia="MS Mincho" w:hAnsi="Arial"/>
                <w:sz w:val="20"/>
                <w:szCs w:val="20"/>
                <w:lang w:val="en-US" w:eastAsia="zh-CN"/>
              </w:rPr>
            </w:pPr>
            <w:r w:rsidRPr="00B80948">
              <w:rPr>
                <w:rFonts w:ascii="Arial" w:eastAsia="MS Mincho" w:hAnsi="Arial"/>
                <w:sz w:val="20"/>
                <w:szCs w:val="20"/>
                <w:lang w:val="en-US" w:eastAsia="zh-CN"/>
              </w:rPr>
              <w:t xml:space="preserve">polymorphic ventricular tachycardia </w:t>
            </w:r>
          </w:p>
          <w:p w14:paraId="6D0C759D" w14:textId="77777777" w:rsidR="00B854D2" w:rsidRDefault="00B854D2" w:rsidP="00A62436">
            <w:pPr>
              <w:keepLines/>
              <w:tabs>
                <w:tab w:val="left" w:pos="284"/>
              </w:tabs>
              <w:spacing w:before="40" w:after="20"/>
              <w:rPr>
                <w:rFonts w:ascii="Arial" w:eastAsia="MS Mincho" w:hAnsi="Arial"/>
                <w:sz w:val="20"/>
                <w:szCs w:val="20"/>
                <w:lang w:val="en-US" w:eastAsia="zh-CN"/>
              </w:rPr>
            </w:pPr>
            <w:r>
              <w:rPr>
                <w:rFonts w:ascii="Arial" w:eastAsia="MS Mincho" w:hAnsi="Arial"/>
                <w:b/>
                <w:sz w:val="20"/>
                <w:szCs w:val="20"/>
                <w:lang w:val="en-US" w:eastAsia="zh-CN"/>
              </w:rPr>
              <w:t xml:space="preserve">             </w:t>
            </w:r>
            <w:r w:rsidRPr="008243A5">
              <w:rPr>
                <w:rFonts w:ascii="Arial" w:eastAsia="MS Mincho" w:hAnsi="Arial"/>
                <w:b/>
                <w:sz w:val="20"/>
                <w:szCs w:val="20"/>
                <w:lang w:val="en-US" w:eastAsia="zh-CN"/>
              </w:rPr>
              <w:t>or</w:t>
            </w:r>
            <w:r w:rsidRPr="008243A5">
              <w:rPr>
                <w:rFonts w:ascii="Arial" w:eastAsia="MS Mincho" w:hAnsi="Arial"/>
                <w:sz w:val="20"/>
                <w:szCs w:val="20"/>
                <w:lang w:val="en-US" w:eastAsia="zh-CN"/>
              </w:rPr>
              <w:t xml:space="preserve"> </w:t>
            </w:r>
          </w:p>
          <w:p w14:paraId="1208F38F" w14:textId="77777777" w:rsidR="00B854D2" w:rsidRPr="005123FB" w:rsidRDefault="00B854D2" w:rsidP="00A62436">
            <w:pPr>
              <w:pStyle w:val="ListParagraph"/>
              <w:keepLines/>
              <w:numPr>
                <w:ilvl w:val="0"/>
                <w:numId w:val="19"/>
              </w:numPr>
              <w:tabs>
                <w:tab w:val="left" w:pos="284"/>
              </w:tabs>
              <w:spacing w:before="40" w:after="20"/>
              <w:rPr>
                <w:rFonts w:ascii="Arial" w:eastAsia="MS Mincho" w:hAnsi="Arial" w:cs="Arial"/>
                <w:sz w:val="20"/>
                <w:lang w:val="en-US" w:eastAsia="zh-CN"/>
              </w:rPr>
            </w:pPr>
            <w:r w:rsidRPr="00BF5EC1">
              <w:rPr>
                <w:rFonts w:ascii="Arial" w:eastAsia="MS Mincho" w:hAnsi="Arial"/>
                <w:sz w:val="20"/>
                <w:szCs w:val="20"/>
                <w:lang w:val="en-US" w:eastAsia="zh-CN"/>
              </w:rPr>
              <w:t xml:space="preserve">unexplained syncope </w:t>
            </w:r>
          </w:p>
          <w:p w14:paraId="7C748199" w14:textId="77777777" w:rsidR="00B854D2" w:rsidRPr="005123FB" w:rsidRDefault="00B854D2" w:rsidP="00A62436">
            <w:pPr>
              <w:keepLines/>
              <w:tabs>
                <w:tab w:val="left" w:pos="284"/>
              </w:tabs>
              <w:spacing w:before="40" w:after="20"/>
              <w:ind w:left="720"/>
              <w:rPr>
                <w:rFonts w:ascii="Arial" w:eastAsia="MS Mincho" w:hAnsi="Arial" w:cs="Arial"/>
                <w:b/>
                <w:sz w:val="20"/>
                <w:lang w:val="en-US" w:eastAsia="zh-CN"/>
              </w:rPr>
            </w:pPr>
            <w:r w:rsidRPr="005123FB">
              <w:rPr>
                <w:rFonts w:ascii="Arial" w:eastAsia="MS Mincho" w:hAnsi="Arial"/>
                <w:b/>
                <w:sz w:val="20"/>
                <w:szCs w:val="20"/>
                <w:lang w:val="en-US" w:eastAsia="zh-CN"/>
              </w:rPr>
              <w:t>or</w:t>
            </w:r>
          </w:p>
          <w:p w14:paraId="1C9CC3D2" w14:textId="77777777" w:rsidR="00B854D2" w:rsidRPr="00B80948" w:rsidRDefault="00B854D2" w:rsidP="00A62436">
            <w:pPr>
              <w:pStyle w:val="ListParagraph"/>
              <w:keepLines/>
              <w:numPr>
                <w:ilvl w:val="0"/>
                <w:numId w:val="19"/>
              </w:numPr>
              <w:tabs>
                <w:tab w:val="left" w:pos="284"/>
              </w:tabs>
              <w:spacing w:before="40" w:after="20"/>
              <w:rPr>
                <w:rFonts w:ascii="Arial" w:eastAsia="MS Mincho" w:hAnsi="Arial" w:cs="Arial"/>
                <w:sz w:val="20"/>
                <w:lang w:val="en-US" w:eastAsia="zh-CN"/>
              </w:rPr>
            </w:pPr>
            <w:r w:rsidRPr="00B80948">
              <w:rPr>
                <w:rFonts w:ascii="Arial" w:eastAsia="MS Mincho" w:hAnsi="Arial"/>
                <w:sz w:val="20"/>
                <w:szCs w:val="20"/>
                <w:lang w:val="en-US" w:eastAsia="zh-CN"/>
              </w:rPr>
              <w:t>signs/symptoms of serious arrhythmia</w:t>
            </w:r>
          </w:p>
        </w:tc>
        <w:tc>
          <w:tcPr>
            <w:tcW w:w="2440" w:type="pct"/>
            <w:tcBorders>
              <w:top w:val="single" w:sz="4" w:space="0" w:color="auto"/>
              <w:bottom w:val="single" w:sz="4" w:space="0" w:color="auto"/>
            </w:tcBorders>
            <w:shd w:val="clear" w:color="auto" w:fill="auto"/>
            <w:vAlign w:val="center"/>
          </w:tcPr>
          <w:p w14:paraId="4510FEDE" w14:textId="77777777" w:rsidR="00B854D2" w:rsidRDefault="00B854D2" w:rsidP="00A62436">
            <w:pPr>
              <w:spacing w:before="40"/>
              <w:rPr>
                <w:rFonts w:ascii="Arial" w:eastAsia="MS Mincho" w:hAnsi="Arial"/>
                <w:sz w:val="20"/>
                <w:szCs w:val="20"/>
                <w:lang w:val="en-US" w:eastAsia="zh-CN"/>
              </w:rPr>
            </w:pPr>
            <w:r>
              <w:rPr>
                <w:rFonts w:ascii="Arial" w:eastAsia="MS Mincho" w:hAnsi="Arial"/>
                <w:sz w:val="20"/>
                <w:szCs w:val="20"/>
                <w:lang w:val="en-US" w:eastAsia="zh-CN"/>
              </w:rPr>
              <w:t>P</w:t>
            </w:r>
            <w:r w:rsidRPr="00604B07">
              <w:rPr>
                <w:rFonts w:ascii="Arial" w:eastAsia="MS Mincho" w:hAnsi="Arial"/>
                <w:sz w:val="20"/>
                <w:szCs w:val="20"/>
                <w:lang w:val="en-US" w:eastAsia="zh-CN"/>
              </w:rPr>
              <w:t xml:space="preserve">ermanently discontinue </w:t>
            </w:r>
            <w:r>
              <w:rPr>
                <w:rFonts w:ascii="Arial" w:eastAsia="MS Mincho" w:hAnsi="Arial"/>
                <w:sz w:val="20"/>
                <w:szCs w:val="20"/>
                <w:lang w:val="en-US" w:eastAsia="zh-CN"/>
              </w:rPr>
              <w:t>KISQALI</w:t>
            </w:r>
            <w:r w:rsidRPr="00604B07">
              <w:rPr>
                <w:rFonts w:ascii="Arial" w:eastAsia="MS Mincho" w:hAnsi="Arial"/>
                <w:sz w:val="20"/>
                <w:szCs w:val="20"/>
                <w:lang w:val="en-US" w:eastAsia="zh-CN"/>
              </w:rPr>
              <w:t>.</w:t>
            </w:r>
          </w:p>
          <w:p w14:paraId="380E719A" w14:textId="77777777" w:rsidR="00B854D2" w:rsidRDefault="00B854D2" w:rsidP="00A62436">
            <w:pPr>
              <w:spacing w:before="40"/>
              <w:rPr>
                <w:rFonts w:ascii="Arial" w:eastAsia="MS Mincho" w:hAnsi="Arial"/>
                <w:sz w:val="20"/>
                <w:szCs w:val="20"/>
                <w:lang w:val="en-US" w:eastAsia="zh-CN"/>
              </w:rPr>
            </w:pPr>
          </w:p>
        </w:tc>
      </w:tr>
      <w:tr w:rsidR="00B854D2" w:rsidRPr="00604B07" w14:paraId="62579839" w14:textId="77777777" w:rsidTr="00A62436">
        <w:trPr>
          <w:tblHeader/>
        </w:trPr>
        <w:tc>
          <w:tcPr>
            <w:tcW w:w="5000" w:type="pct"/>
            <w:gridSpan w:val="2"/>
            <w:tcBorders>
              <w:top w:val="single" w:sz="4" w:space="0" w:color="auto"/>
              <w:bottom w:val="single" w:sz="4" w:space="0" w:color="auto"/>
            </w:tcBorders>
            <w:shd w:val="clear" w:color="auto" w:fill="auto"/>
          </w:tcPr>
          <w:p w14:paraId="3907265D" w14:textId="1036E160" w:rsidR="00B854D2" w:rsidRPr="00F00F42" w:rsidRDefault="00B854D2" w:rsidP="00465084">
            <w:pPr>
              <w:spacing w:before="40"/>
              <w:rPr>
                <w:rFonts w:ascii="Arial" w:eastAsia="MS Mincho" w:hAnsi="Arial"/>
                <w:i/>
                <w:szCs w:val="20"/>
                <w:lang w:val="en-US" w:eastAsia="zh-CN"/>
              </w:rPr>
            </w:pPr>
            <w:r w:rsidRPr="00E435A1">
              <w:rPr>
                <w:rFonts w:ascii="Arial" w:eastAsia="MS Mincho" w:hAnsi="Arial" w:cs="Arial"/>
                <w:sz w:val="20"/>
                <w:szCs w:val="20"/>
                <w:lang w:val="en-US" w:eastAsia="zh-CN"/>
              </w:rPr>
              <w:t xml:space="preserve">ECG </w:t>
            </w:r>
            <w:proofErr w:type="gramStart"/>
            <w:r w:rsidRPr="00E435A1">
              <w:rPr>
                <w:rFonts w:ascii="Arial" w:eastAsia="MS Mincho" w:hAnsi="Arial" w:cs="Arial"/>
                <w:sz w:val="20"/>
                <w:szCs w:val="20"/>
                <w:lang w:val="en-US" w:eastAsia="zh-CN"/>
              </w:rPr>
              <w:t xml:space="preserve">should be </w:t>
            </w:r>
            <w:r>
              <w:rPr>
                <w:rFonts w:ascii="Arial" w:eastAsia="MS Mincho" w:hAnsi="Arial" w:cs="Arial"/>
                <w:sz w:val="20"/>
                <w:szCs w:val="20"/>
                <w:lang w:val="en-US" w:eastAsia="zh-CN"/>
              </w:rPr>
              <w:t xml:space="preserve">performed prior to initiation, </w:t>
            </w:r>
            <w:r w:rsidRPr="00E435A1">
              <w:rPr>
                <w:rFonts w:ascii="Arial" w:eastAsia="MS Mincho" w:hAnsi="Arial" w:cs="Arial"/>
                <w:sz w:val="20"/>
                <w:szCs w:val="20"/>
                <w:lang w:val="en-US" w:eastAsia="zh-CN"/>
              </w:rPr>
              <w:t xml:space="preserve">repeated at approximately day 14 of the first cycle and at the beginning of the second cycle, </w:t>
            </w:r>
            <w:r>
              <w:rPr>
                <w:rFonts w:ascii="Arial" w:eastAsia="MS Mincho" w:hAnsi="Arial" w:cs="Arial"/>
                <w:sz w:val="20"/>
                <w:szCs w:val="20"/>
                <w:lang w:val="en-US" w:eastAsia="zh-CN"/>
              </w:rPr>
              <w:t xml:space="preserve">and </w:t>
            </w:r>
            <w:r w:rsidRPr="00E435A1">
              <w:rPr>
                <w:rFonts w:ascii="Arial" w:eastAsia="MS Mincho" w:hAnsi="Arial" w:cs="Arial"/>
                <w:sz w:val="20"/>
                <w:szCs w:val="20"/>
                <w:lang w:val="en-US" w:eastAsia="zh-CN"/>
              </w:rPr>
              <w:t>as clinically indicated</w:t>
            </w:r>
            <w:proofErr w:type="gramEnd"/>
            <w:r w:rsidRPr="00E435A1">
              <w:rPr>
                <w:rFonts w:ascii="Arial" w:eastAsia="MS Mincho" w:hAnsi="Arial" w:cs="Arial"/>
                <w:sz w:val="20"/>
                <w:szCs w:val="20"/>
                <w:lang w:val="en-US" w:eastAsia="zh-CN"/>
              </w:rPr>
              <w:t>.</w:t>
            </w:r>
            <w:r>
              <w:t xml:space="preserve"> </w:t>
            </w:r>
            <w:r w:rsidRPr="006B251F">
              <w:rPr>
                <w:rFonts w:ascii="Arial" w:eastAsia="MS Mincho" w:hAnsi="Arial" w:cs="Arial"/>
                <w:sz w:val="20"/>
                <w:szCs w:val="20"/>
                <w:lang w:val="en-US" w:eastAsia="zh-CN"/>
              </w:rPr>
              <w:t xml:space="preserve">In </w:t>
            </w:r>
            <w:r w:rsidRPr="00622110">
              <w:rPr>
                <w:rFonts w:ascii="Arial" w:eastAsia="MS Mincho" w:hAnsi="Arial" w:cs="Arial"/>
                <w:sz w:val="20"/>
                <w:szCs w:val="20"/>
                <w:lang w:val="en-US" w:eastAsia="zh-CN"/>
              </w:rPr>
              <w:t xml:space="preserve">patients with higher risk </w:t>
            </w:r>
            <w:r w:rsidRPr="006B251F">
              <w:rPr>
                <w:rFonts w:ascii="Arial" w:eastAsia="MS Mincho" w:hAnsi="Arial" w:cs="Arial"/>
                <w:sz w:val="20"/>
                <w:szCs w:val="20"/>
                <w:lang w:val="en-US" w:eastAsia="zh-CN"/>
              </w:rPr>
              <w:t xml:space="preserve">of </w:t>
            </w:r>
            <w:proofErr w:type="spellStart"/>
            <w:r w:rsidRPr="006B251F">
              <w:rPr>
                <w:rFonts w:ascii="Arial" w:eastAsia="MS Mincho" w:hAnsi="Arial" w:cs="Arial"/>
                <w:sz w:val="20"/>
                <w:szCs w:val="20"/>
                <w:lang w:val="en-US" w:eastAsia="zh-CN"/>
              </w:rPr>
              <w:t>QTcF</w:t>
            </w:r>
            <w:proofErr w:type="spellEnd"/>
            <w:r w:rsidRPr="006B251F">
              <w:rPr>
                <w:rFonts w:ascii="Arial" w:eastAsia="MS Mincho" w:hAnsi="Arial" w:cs="Arial"/>
                <w:sz w:val="20"/>
                <w:szCs w:val="20"/>
                <w:lang w:val="en-US" w:eastAsia="zh-CN"/>
              </w:rPr>
              <w:t xml:space="preserve"> </w:t>
            </w:r>
            <w:proofErr w:type="gramStart"/>
            <w:r w:rsidRPr="006B251F">
              <w:rPr>
                <w:rFonts w:ascii="Arial" w:eastAsia="MS Mincho" w:hAnsi="Arial" w:cs="Arial"/>
                <w:sz w:val="20"/>
                <w:szCs w:val="20"/>
                <w:lang w:val="en-US" w:eastAsia="zh-CN"/>
              </w:rPr>
              <w:t>prolongation</w:t>
            </w:r>
            <w:r>
              <w:rPr>
                <w:rFonts w:ascii="Arial" w:eastAsia="MS Mincho" w:hAnsi="Arial" w:cs="Arial"/>
                <w:sz w:val="20"/>
                <w:szCs w:val="20"/>
                <w:lang w:val="en-US" w:eastAsia="zh-CN"/>
              </w:rPr>
              <w:t xml:space="preserve"> </w:t>
            </w:r>
            <w:r w:rsidR="00465084">
              <w:rPr>
                <w:rFonts w:ascii="Arial" w:eastAsia="MS Mincho" w:hAnsi="Arial" w:cs="Arial"/>
                <w:sz w:val="20"/>
                <w:szCs w:val="20"/>
                <w:lang w:val="en-US" w:eastAsia="zh-CN"/>
              </w:rPr>
              <w:t xml:space="preserve"> </w:t>
            </w:r>
            <w:r w:rsidRPr="00153262">
              <w:rPr>
                <w:rFonts w:ascii="Arial" w:eastAsia="MS Mincho" w:hAnsi="Arial" w:cs="Arial"/>
                <w:sz w:val="20"/>
                <w:szCs w:val="20"/>
                <w:lang w:val="en-US" w:eastAsia="zh-CN"/>
              </w:rPr>
              <w:t>or</w:t>
            </w:r>
            <w:proofErr w:type="gramEnd"/>
            <w:r w:rsidRPr="00153262">
              <w:rPr>
                <w:rFonts w:ascii="Arial" w:eastAsia="MS Mincho" w:hAnsi="Arial" w:cs="Arial"/>
                <w:sz w:val="20"/>
                <w:szCs w:val="20"/>
                <w:lang w:val="en-US" w:eastAsia="zh-CN"/>
              </w:rPr>
              <w:t xml:space="preserve"> ventricular arrhythmias</w:t>
            </w:r>
            <w:r w:rsidRPr="006B251F">
              <w:rPr>
                <w:rFonts w:ascii="Arial" w:eastAsia="MS Mincho" w:hAnsi="Arial" w:cs="Arial"/>
                <w:sz w:val="20"/>
                <w:szCs w:val="20"/>
                <w:lang w:val="en-US" w:eastAsia="zh-CN"/>
              </w:rPr>
              <w:t>, more frequent ECG monitoring is recommended.</w:t>
            </w:r>
            <w:r>
              <w:t xml:space="preserve"> </w:t>
            </w:r>
          </w:p>
        </w:tc>
      </w:tr>
      <w:tr w:rsidR="00B854D2" w:rsidRPr="00604B07" w14:paraId="6A1F089F" w14:textId="77777777" w:rsidTr="00A62436">
        <w:trPr>
          <w:trHeight w:val="793"/>
          <w:tblHeader/>
        </w:trPr>
        <w:tc>
          <w:tcPr>
            <w:tcW w:w="5000" w:type="pct"/>
            <w:gridSpan w:val="2"/>
            <w:tcBorders>
              <w:top w:val="single" w:sz="4" w:space="0" w:color="auto"/>
              <w:bottom w:val="single" w:sz="4" w:space="0" w:color="auto"/>
            </w:tcBorders>
            <w:shd w:val="clear" w:color="auto" w:fill="auto"/>
          </w:tcPr>
          <w:p w14:paraId="5577A5C3" w14:textId="77777777" w:rsidR="00B854D2" w:rsidRPr="00E435A1" w:rsidDel="008E3D3E" w:rsidRDefault="00B854D2" w:rsidP="00A62436">
            <w:pPr>
              <w:spacing w:before="40"/>
              <w:rPr>
                <w:rFonts w:ascii="Arial" w:eastAsia="MS Mincho" w:hAnsi="Arial"/>
                <w:sz w:val="20"/>
                <w:szCs w:val="20"/>
                <w:lang w:val="en-US" w:eastAsia="zh-CN"/>
              </w:rPr>
            </w:pPr>
            <w:r w:rsidRPr="000964FE">
              <w:rPr>
                <w:rFonts w:ascii="Arial" w:eastAsia="MS Mincho" w:hAnsi="Arial" w:cs="Arial"/>
                <w:sz w:val="20"/>
                <w:szCs w:val="20"/>
                <w:lang w:val="en-US" w:eastAsia="zh-CN"/>
              </w:rPr>
              <w:t xml:space="preserve">Serum electrolytes (including potassium, calcium, phosphorous and magnesium) </w:t>
            </w:r>
            <w:proofErr w:type="gramStart"/>
            <w:r w:rsidRPr="000964FE">
              <w:rPr>
                <w:rFonts w:ascii="Arial" w:eastAsia="MS Mincho" w:hAnsi="Arial" w:cs="Arial"/>
                <w:sz w:val="20"/>
                <w:szCs w:val="20"/>
                <w:lang w:val="en-US" w:eastAsia="zh-CN"/>
              </w:rPr>
              <w:t>should be performed</w:t>
            </w:r>
            <w:proofErr w:type="gramEnd"/>
            <w:r w:rsidRPr="000964FE">
              <w:rPr>
                <w:rFonts w:ascii="Arial" w:eastAsia="MS Mincho" w:hAnsi="Arial" w:cs="Arial"/>
                <w:sz w:val="20"/>
                <w:szCs w:val="20"/>
                <w:lang w:val="en-US" w:eastAsia="zh-CN"/>
              </w:rPr>
              <w:t xml:space="preserve"> prior to initiation of treatment and at the beginning of</w:t>
            </w:r>
            <w:r>
              <w:rPr>
                <w:rFonts w:ascii="Arial" w:eastAsia="MS Mincho" w:hAnsi="Arial" w:cs="Arial"/>
                <w:sz w:val="20"/>
                <w:szCs w:val="20"/>
                <w:lang w:val="en-US" w:eastAsia="zh-CN"/>
              </w:rPr>
              <w:t xml:space="preserve"> the next 5 </w:t>
            </w:r>
            <w:r w:rsidRPr="000964FE">
              <w:rPr>
                <w:rFonts w:ascii="Arial" w:eastAsia="MS Mincho" w:hAnsi="Arial" w:cs="Arial"/>
                <w:sz w:val="20"/>
                <w:szCs w:val="20"/>
                <w:lang w:val="en-US" w:eastAsia="zh-CN"/>
              </w:rPr>
              <w:t>cycle</w:t>
            </w:r>
            <w:r>
              <w:rPr>
                <w:rFonts w:ascii="Arial" w:eastAsia="MS Mincho" w:hAnsi="Arial" w:cs="Arial"/>
                <w:sz w:val="20"/>
                <w:szCs w:val="20"/>
                <w:lang w:val="en-US" w:eastAsia="zh-CN"/>
              </w:rPr>
              <w:t>s</w:t>
            </w:r>
            <w:r w:rsidRPr="000964FE">
              <w:rPr>
                <w:rFonts w:ascii="Arial" w:eastAsia="MS Mincho" w:hAnsi="Arial" w:cs="Arial"/>
                <w:sz w:val="20"/>
                <w:szCs w:val="20"/>
                <w:lang w:val="en-US" w:eastAsia="zh-CN"/>
              </w:rPr>
              <w:t>, with abnormalities corrected prior to commencement/ resumption of treatment</w:t>
            </w:r>
            <w:r>
              <w:rPr>
                <w:rFonts w:ascii="Arial" w:eastAsia="MS Mincho" w:hAnsi="Arial" w:cs="Arial"/>
                <w:sz w:val="20"/>
                <w:szCs w:val="20"/>
                <w:lang w:val="en-US" w:eastAsia="zh-CN"/>
              </w:rPr>
              <w:t xml:space="preserve">. </w:t>
            </w:r>
            <w:r w:rsidRPr="005123FB">
              <w:rPr>
                <w:rFonts w:ascii="Arial" w:eastAsia="MS Mincho" w:hAnsi="Arial" w:cs="Arial"/>
                <w:sz w:val="20"/>
                <w:szCs w:val="20"/>
                <w:lang w:val="en-US" w:eastAsia="zh-CN"/>
              </w:rPr>
              <w:t xml:space="preserve">Cycle commencement </w:t>
            </w:r>
            <w:proofErr w:type="gramStart"/>
            <w:r w:rsidRPr="005123FB">
              <w:rPr>
                <w:rFonts w:ascii="Arial" w:eastAsia="MS Mincho" w:hAnsi="Arial" w:cs="Arial"/>
                <w:sz w:val="20"/>
                <w:szCs w:val="20"/>
                <w:lang w:val="en-US" w:eastAsia="zh-CN"/>
              </w:rPr>
              <w:t>must be accompanied</w:t>
            </w:r>
            <w:proofErr w:type="gramEnd"/>
            <w:r w:rsidRPr="005123FB">
              <w:rPr>
                <w:rFonts w:ascii="Arial" w:eastAsia="MS Mincho" w:hAnsi="Arial" w:cs="Arial"/>
                <w:sz w:val="20"/>
                <w:szCs w:val="20"/>
                <w:lang w:val="en-US" w:eastAsia="zh-CN"/>
              </w:rPr>
              <w:t xml:space="preserve"> by active review of all concomitantly administered medicines</w:t>
            </w:r>
            <w:r>
              <w:rPr>
                <w:rFonts w:ascii="Arial" w:eastAsia="MS Mincho" w:hAnsi="Arial" w:cs="Arial"/>
                <w:sz w:val="20"/>
                <w:szCs w:val="20"/>
                <w:lang w:val="en-US" w:eastAsia="zh-CN"/>
              </w:rPr>
              <w:t>.</w:t>
            </w:r>
          </w:p>
        </w:tc>
      </w:tr>
    </w:tbl>
    <w:p w14:paraId="7C8D40E5" w14:textId="77777777" w:rsidR="00B854D2" w:rsidRDefault="00B854D2" w:rsidP="00B854D2">
      <w:pPr>
        <w:spacing w:before="40"/>
        <w:rPr>
          <w:rFonts w:ascii="Arial" w:eastAsia="MS Mincho" w:hAnsi="Arial" w:cs="Arial"/>
          <w:sz w:val="20"/>
          <w:szCs w:val="20"/>
          <w:lang w:val="en-US" w:eastAsia="zh-CN"/>
        </w:rPr>
      </w:pPr>
      <w:r w:rsidRPr="00E435A1">
        <w:rPr>
          <w:rFonts w:ascii="Arial" w:eastAsia="MS Mincho" w:hAnsi="Arial" w:cs="Arial"/>
          <w:sz w:val="20"/>
          <w:szCs w:val="20"/>
          <w:lang w:val="en-US" w:eastAsia="zh-CN"/>
        </w:rPr>
        <w:t xml:space="preserve">In case of </w:t>
      </w:r>
      <w:proofErr w:type="spellStart"/>
      <w:proofErr w:type="gramStart"/>
      <w:r w:rsidRPr="00E435A1">
        <w:rPr>
          <w:rFonts w:ascii="Arial" w:eastAsia="MS Mincho" w:hAnsi="Arial" w:cs="Arial"/>
          <w:sz w:val="20"/>
          <w:szCs w:val="20"/>
          <w:lang w:val="en-US" w:eastAsia="zh-CN"/>
        </w:rPr>
        <w:t>QTcF</w:t>
      </w:r>
      <w:proofErr w:type="spellEnd"/>
      <w:proofErr w:type="gramEnd"/>
      <w:r w:rsidRPr="00E435A1">
        <w:rPr>
          <w:rFonts w:ascii="Arial" w:eastAsia="MS Mincho" w:hAnsi="Arial" w:cs="Arial"/>
          <w:sz w:val="20"/>
          <w:szCs w:val="20"/>
          <w:lang w:val="en-US" w:eastAsia="zh-CN"/>
        </w:rPr>
        <w:t xml:space="preserve"> prolongation at any given time during treatment</w:t>
      </w:r>
      <w:r>
        <w:rPr>
          <w:rFonts w:ascii="Arial" w:eastAsia="MS Mincho" w:hAnsi="Arial" w:cs="Arial"/>
          <w:sz w:val="20"/>
          <w:szCs w:val="20"/>
          <w:lang w:val="en-US" w:eastAsia="zh-CN"/>
        </w:rPr>
        <w:t>:</w:t>
      </w:r>
    </w:p>
    <w:p w14:paraId="26BE78D1" w14:textId="5195BF86" w:rsidR="00B854D2" w:rsidRPr="0086680A" w:rsidRDefault="00B854D2" w:rsidP="00B854D2">
      <w:pPr>
        <w:pStyle w:val="ListParagraph"/>
        <w:numPr>
          <w:ilvl w:val="0"/>
          <w:numId w:val="18"/>
        </w:numPr>
        <w:spacing w:line="240" w:lineRule="auto"/>
        <w:ind w:left="714" w:hanging="357"/>
        <w:rPr>
          <w:rFonts w:ascii="Arial" w:eastAsia="MS Mincho" w:hAnsi="Arial"/>
          <w:i/>
          <w:szCs w:val="20"/>
          <w:lang w:val="en-US" w:eastAsia="zh-CN"/>
        </w:rPr>
      </w:pPr>
      <w:r w:rsidRPr="00C32A93">
        <w:rPr>
          <w:rFonts w:ascii="Arial" w:eastAsia="MS Mincho" w:hAnsi="Arial" w:cs="Arial"/>
          <w:sz w:val="20"/>
          <w:szCs w:val="20"/>
          <w:lang w:val="en-US" w:eastAsia="zh-CN"/>
        </w:rPr>
        <w:t>Perform analysis of serum electrolytes (K</w:t>
      </w:r>
      <w:r w:rsidRPr="00C32A93">
        <w:rPr>
          <w:rFonts w:ascii="Arial" w:eastAsia="MS Mincho" w:hAnsi="Arial" w:cs="Arial"/>
          <w:sz w:val="20"/>
          <w:szCs w:val="20"/>
          <w:vertAlign w:val="superscript"/>
          <w:lang w:val="en-US" w:eastAsia="zh-CN"/>
        </w:rPr>
        <w:t>+</w:t>
      </w:r>
      <w:r w:rsidRPr="00C32A93">
        <w:rPr>
          <w:rFonts w:ascii="Arial" w:eastAsia="MS Mincho" w:hAnsi="Arial" w:cs="Arial"/>
          <w:sz w:val="20"/>
          <w:szCs w:val="20"/>
          <w:lang w:val="en-US" w:eastAsia="zh-CN"/>
        </w:rPr>
        <w:t>, Ca</w:t>
      </w:r>
      <w:r w:rsidRPr="00C32A93">
        <w:rPr>
          <w:rFonts w:ascii="Arial" w:eastAsia="MS Mincho" w:hAnsi="Arial" w:cs="Arial"/>
          <w:sz w:val="20"/>
          <w:szCs w:val="20"/>
          <w:vertAlign w:val="superscript"/>
          <w:lang w:val="en-US" w:eastAsia="zh-CN"/>
        </w:rPr>
        <w:t>2+</w:t>
      </w:r>
      <w:r w:rsidRPr="00C32A93">
        <w:rPr>
          <w:rFonts w:ascii="Arial" w:eastAsia="MS Mincho" w:hAnsi="Arial" w:cs="Arial"/>
          <w:sz w:val="20"/>
          <w:szCs w:val="20"/>
          <w:lang w:val="en-US" w:eastAsia="zh-CN"/>
        </w:rPr>
        <w:t>, P</w:t>
      </w:r>
      <w:r>
        <w:rPr>
          <w:rFonts w:ascii="Arial" w:eastAsia="MS Mincho" w:hAnsi="Arial" w:cs="Arial"/>
          <w:sz w:val="20"/>
          <w:szCs w:val="20"/>
          <w:lang w:val="en-US" w:eastAsia="zh-CN"/>
        </w:rPr>
        <w:t>O</w:t>
      </w:r>
      <w:r w:rsidRPr="00C32A93">
        <w:rPr>
          <w:rFonts w:ascii="Arial" w:eastAsia="MS Mincho" w:hAnsi="Arial" w:cs="Arial"/>
          <w:sz w:val="20"/>
          <w:szCs w:val="20"/>
          <w:vertAlign w:val="subscript"/>
          <w:lang w:val="en-US" w:eastAsia="zh-CN"/>
        </w:rPr>
        <w:t>4</w:t>
      </w:r>
      <w:r w:rsidRPr="00C32A93">
        <w:rPr>
          <w:rFonts w:ascii="Arial" w:eastAsia="MS Mincho" w:hAnsi="Arial" w:cs="Arial"/>
          <w:sz w:val="20"/>
          <w:szCs w:val="20"/>
          <w:vertAlign w:val="superscript"/>
          <w:lang w:val="en-US" w:eastAsia="zh-CN"/>
        </w:rPr>
        <w:t>3-</w:t>
      </w:r>
      <w:r w:rsidRPr="00C32A93">
        <w:rPr>
          <w:rFonts w:ascii="Arial" w:eastAsia="MS Mincho" w:hAnsi="Arial" w:cs="Arial"/>
          <w:sz w:val="20"/>
          <w:szCs w:val="20"/>
          <w:lang w:val="en-US" w:eastAsia="zh-CN"/>
        </w:rPr>
        <w:t xml:space="preserve">, </w:t>
      </w:r>
      <w:proofErr w:type="gramStart"/>
      <w:r w:rsidRPr="00C32A93">
        <w:rPr>
          <w:rFonts w:ascii="Arial" w:eastAsia="MS Mincho" w:hAnsi="Arial" w:cs="Arial"/>
          <w:sz w:val="20"/>
          <w:szCs w:val="20"/>
          <w:lang w:val="en-US" w:eastAsia="zh-CN"/>
        </w:rPr>
        <w:t>Mg</w:t>
      </w:r>
      <w:r w:rsidRPr="00C32A93">
        <w:rPr>
          <w:rFonts w:ascii="Arial" w:eastAsia="MS Mincho" w:hAnsi="Arial" w:cs="Arial"/>
          <w:sz w:val="20"/>
          <w:szCs w:val="20"/>
          <w:vertAlign w:val="superscript"/>
          <w:lang w:val="en-US" w:eastAsia="zh-CN"/>
        </w:rPr>
        <w:t>2</w:t>
      </w:r>
      <w:proofErr w:type="gramEnd"/>
      <w:r w:rsidRPr="00C32A93">
        <w:rPr>
          <w:rFonts w:ascii="Arial" w:eastAsia="MS Mincho" w:hAnsi="Arial" w:cs="Arial"/>
          <w:sz w:val="20"/>
          <w:szCs w:val="20"/>
          <w:vertAlign w:val="superscript"/>
          <w:lang w:val="en-US" w:eastAsia="zh-CN"/>
        </w:rPr>
        <w:t>+</w:t>
      </w:r>
      <w:r w:rsidRPr="00C32A93">
        <w:rPr>
          <w:rFonts w:ascii="Arial" w:eastAsia="MS Mincho" w:hAnsi="Arial" w:cs="Arial"/>
          <w:sz w:val="20"/>
          <w:szCs w:val="20"/>
          <w:lang w:val="en-US" w:eastAsia="zh-CN"/>
        </w:rPr>
        <w:t xml:space="preserve">). If outside the normal range, interrupt </w:t>
      </w:r>
      <w:proofErr w:type="spellStart"/>
      <w:r w:rsidRPr="00C32A93">
        <w:rPr>
          <w:rFonts w:ascii="Arial" w:eastAsia="MS Mincho" w:hAnsi="Arial" w:cs="Arial"/>
          <w:sz w:val="20"/>
          <w:szCs w:val="20"/>
          <w:lang w:val="en-US" w:eastAsia="zh-CN"/>
        </w:rPr>
        <w:t>ribociclib</w:t>
      </w:r>
      <w:proofErr w:type="spellEnd"/>
      <w:r w:rsidRPr="00C32A93">
        <w:rPr>
          <w:rFonts w:ascii="Arial" w:eastAsia="MS Mincho" w:hAnsi="Arial" w:cs="Arial"/>
          <w:sz w:val="20"/>
          <w:szCs w:val="20"/>
          <w:lang w:val="en-US" w:eastAsia="zh-CN"/>
        </w:rPr>
        <w:t xml:space="preserve"> treatment, correct with supplements or appropriate therapy as soon as possible, and repeat electrolytes until documented as normal.</w:t>
      </w:r>
    </w:p>
    <w:p w14:paraId="751013F6" w14:textId="77777777" w:rsidR="0086680A" w:rsidRPr="0086680A" w:rsidRDefault="0086680A" w:rsidP="0086680A">
      <w:pPr>
        <w:pStyle w:val="ListParagraph"/>
        <w:numPr>
          <w:ilvl w:val="0"/>
          <w:numId w:val="18"/>
        </w:numPr>
        <w:spacing w:line="240" w:lineRule="auto"/>
        <w:ind w:left="714" w:hanging="357"/>
        <w:rPr>
          <w:rFonts w:ascii="Arial" w:eastAsia="MS Mincho" w:hAnsi="Arial" w:cs="Arial"/>
          <w:sz w:val="20"/>
          <w:szCs w:val="20"/>
          <w:lang w:val="en-US" w:eastAsia="zh-CN"/>
        </w:rPr>
      </w:pPr>
      <w:r w:rsidRPr="0086680A">
        <w:rPr>
          <w:rFonts w:ascii="Arial" w:eastAsia="MS Mincho" w:hAnsi="Arial" w:cs="Arial"/>
          <w:sz w:val="20"/>
          <w:szCs w:val="20"/>
          <w:lang w:val="en-US" w:eastAsia="zh-CN"/>
        </w:rPr>
        <w:t>Review concomitant medication usage for the potential to inhibit CYP3A4 and/or to prolong the QT interval</w:t>
      </w:r>
    </w:p>
    <w:p w14:paraId="78E16347" w14:textId="04DABCDB" w:rsidR="0086680A" w:rsidRPr="0086680A" w:rsidRDefault="0086680A" w:rsidP="0086680A">
      <w:pPr>
        <w:pStyle w:val="ListParagraph"/>
        <w:numPr>
          <w:ilvl w:val="0"/>
          <w:numId w:val="18"/>
        </w:numPr>
        <w:spacing w:line="240" w:lineRule="auto"/>
        <w:ind w:left="714" w:hanging="357"/>
        <w:rPr>
          <w:rFonts w:ascii="Arial" w:eastAsia="MS Mincho" w:hAnsi="Arial" w:cs="Arial"/>
          <w:sz w:val="20"/>
          <w:szCs w:val="20"/>
          <w:lang w:val="en-US" w:eastAsia="zh-CN"/>
        </w:rPr>
      </w:pPr>
      <w:r w:rsidRPr="0086680A">
        <w:rPr>
          <w:rFonts w:ascii="Arial" w:eastAsia="MS Mincho" w:hAnsi="Arial" w:cs="Arial"/>
          <w:sz w:val="20"/>
          <w:szCs w:val="20"/>
          <w:lang w:val="en-US" w:eastAsia="zh-CN"/>
        </w:rPr>
        <w:t>More frequent ECG monitoring is recommended, e.g. 7 and 14 days after resumption of KISQALI</w:t>
      </w:r>
    </w:p>
    <w:p w14:paraId="5894350F" w14:textId="33AE9946" w:rsidR="00645329" w:rsidRDefault="00645329" w:rsidP="00645329">
      <w:pPr>
        <w:keepNext/>
        <w:keepLines/>
        <w:ind w:left="1701" w:hanging="1701"/>
        <w:outlineLvl w:val="5"/>
        <w:rPr>
          <w:rFonts w:ascii="Arial" w:eastAsia="MS Gothic" w:hAnsi="Arial" w:cs="Arial"/>
          <w:b/>
          <w:sz w:val="22"/>
          <w:szCs w:val="20"/>
          <w:lang w:eastAsia="zh-CN"/>
        </w:rPr>
      </w:pPr>
      <w:bookmarkStart w:id="21" w:name="_Toc454368752"/>
      <w:bookmarkStart w:id="22" w:name="_Toc456881089"/>
      <w:r w:rsidRPr="00E435A1">
        <w:rPr>
          <w:rFonts w:ascii="Arial" w:eastAsia="MS Gothic" w:hAnsi="Arial" w:cs="Arial"/>
          <w:b/>
          <w:sz w:val="22"/>
          <w:szCs w:val="20"/>
          <w:lang w:val="en-US" w:eastAsia="zh-CN"/>
        </w:rPr>
        <w:lastRenderedPageBreak/>
        <w:t>Table 6</w:t>
      </w:r>
      <w:r w:rsidRPr="00E435A1">
        <w:rPr>
          <w:rFonts w:ascii="Arial" w:eastAsia="MS Gothic" w:hAnsi="Arial" w:cs="Arial"/>
          <w:b/>
          <w:sz w:val="22"/>
          <w:szCs w:val="20"/>
          <w:lang w:val="en-US" w:eastAsia="zh-CN"/>
        </w:rPr>
        <w:tab/>
        <w:t xml:space="preserve">Dose Modification and </w:t>
      </w:r>
      <w:r>
        <w:rPr>
          <w:rFonts w:ascii="Arial" w:eastAsia="MS Gothic" w:hAnsi="Arial" w:cs="Arial"/>
          <w:b/>
          <w:sz w:val="22"/>
          <w:szCs w:val="20"/>
          <w:lang w:val="en-US" w:eastAsia="zh-CN"/>
        </w:rPr>
        <w:t>m</w:t>
      </w:r>
      <w:r w:rsidRPr="00E435A1">
        <w:rPr>
          <w:rFonts w:ascii="Arial" w:eastAsia="MS Gothic" w:hAnsi="Arial" w:cs="Arial"/>
          <w:b/>
          <w:sz w:val="22"/>
          <w:szCs w:val="20"/>
          <w:lang w:val="en-US" w:eastAsia="zh-CN"/>
        </w:rPr>
        <w:t xml:space="preserve">anagement for </w:t>
      </w:r>
      <w:r>
        <w:rPr>
          <w:rFonts w:ascii="Arial" w:eastAsia="MS Gothic" w:hAnsi="Arial" w:cs="Arial"/>
          <w:b/>
          <w:sz w:val="22"/>
          <w:szCs w:val="20"/>
          <w:lang w:val="en-US" w:eastAsia="zh-CN"/>
        </w:rPr>
        <w:t>neutropenia and febrile neutropenia</w:t>
      </w:r>
    </w:p>
    <w:tbl>
      <w:tblPr>
        <w:tblW w:w="0" w:type="auto"/>
        <w:tblLayout w:type="fixed"/>
        <w:tblLook w:val="0000" w:firstRow="0" w:lastRow="0" w:firstColumn="0" w:lastColumn="0" w:noHBand="0" w:noVBand="0"/>
      </w:tblPr>
      <w:tblGrid>
        <w:gridCol w:w="1747"/>
        <w:gridCol w:w="1748"/>
        <w:gridCol w:w="2601"/>
        <w:gridCol w:w="1732"/>
        <w:gridCol w:w="1423"/>
        <w:gridCol w:w="42"/>
      </w:tblGrid>
      <w:tr w:rsidR="00645329" w:rsidRPr="00604B07" w14:paraId="268E80AE" w14:textId="77777777" w:rsidTr="00A62436">
        <w:trPr>
          <w:trHeight w:val="831"/>
          <w:tblHeader/>
        </w:trPr>
        <w:tc>
          <w:tcPr>
            <w:tcW w:w="1747" w:type="dxa"/>
            <w:tcBorders>
              <w:top w:val="single" w:sz="4" w:space="0" w:color="auto"/>
              <w:bottom w:val="single" w:sz="4" w:space="0" w:color="auto"/>
            </w:tcBorders>
            <w:shd w:val="clear" w:color="auto" w:fill="auto"/>
          </w:tcPr>
          <w:p w14:paraId="4B0202C9" w14:textId="77777777" w:rsidR="00645329" w:rsidRPr="00340BFA" w:rsidRDefault="00645329" w:rsidP="00A62436">
            <w:pPr>
              <w:keepLines/>
              <w:tabs>
                <w:tab w:val="left" w:pos="284"/>
              </w:tabs>
              <w:spacing w:before="40" w:after="20"/>
              <w:rPr>
                <w:rFonts w:ascii="Arial" w:eastAsia="MS Mincho" w:hAnsi="Arial" w:cs="Arial"/>
                <w:b/>
                <w:sz w:val="20"/>
                <w:lang w:val="en-US" w:eastAsia="zh-CN"/>
              </w:rPr>
            </w:pPr>
          </w:p>
        </w:tc>
        <w:tc>
          <w:tcPr>
            <w:tcW w:w="1748" w:type="dxa"/>
            <w:tcBorders>
              <w:top w:val="single" w:sz="4" w:space="0" w:color="auto"/>
              <w:bottom w:val="single" w:sz="4" w:space="0" w:color="auto"/>
            </w:tcBorders>
            <w:shd w:val="clear" w:color="auto" w:fill="auto"/>
          </w:tcPr>
          <w:p w14:paraId="2731B0D6" w14:textId="77777777" w:rsidR="00645329" w:rsidRPr="00340BFA" w:rsidRDefault="00645329" w:rsidP="00A62436">
            <w:pPr>
              <w:keepLines/>
              <w:tabs>
                <w:tab w:val="left" w:pos="284"/>
              </w:tabs>
              <w:spacing w:before="40" w:after="20"/>
              <w:rPr>
                <w:rFonts w:ascii="Arial" w:eastAsia="MS Mincho" w:hAnsi="Arial" w:cs="Arial"/>
                <w:b/>
                <w:sz w:val="20"/>
                <w:lang w:val="en-US" w:eastAsia="zh-CN"/>
              </w:rPr>
            </w:pPr>
            <w:r w:rsidRPr="00340BFA">
              <w:rPr>
                <w:rFonts w:ascii="Arial" w:eastAsia="MS Mincho" w:hAnsi="Arial" w:cs="Arial"/>
                <w:b/>
                <w:sz w:val="20"/>
                <w:lang w:val="en-US" w:eastAsia="zh-CN"/>
              </w:rPr>
              <w:t>Grade 1 or 2</w:t>
            </w:r>
          </w:p>
          <w:p w14:paraId="3859D716" w14:textId="77777777" w:rsidR="00645329" w:rsidRPr="00340BFA" w:rsidRDefault="00645329" w:rsidP="00A62436">
            <w:pPr>
              <w:keepLines/>
              <w:tabs>
                <w:tab w:val="left" w:pos="284"/>
              </w:tabs>
              <w:spacing w:before="40" w:after="20"/>
              <w:rPr>
                <w:rFonts w:ascii="Arial" w:eastAsia="MS Mincho" w:hAnsi="Arial" w:cs="Arial"/>
                <w:b/>
                <w:sz w:val="20"/>
                <w:lang w:val="en-US" w:eastAsia="zh-CN"/>
              </w:rPr>
            </w:pPr>
            <w:r w:rsidRPr="00340BFA">
              <w:rPr>
                <w:rFonts w:ascii="Arial" w:eastAsia="MS Mincho" w:hAnsi="Arial" w:cs="Arial"/>
                <w:sz w:val="20"/>
                <w:szCs w:val="22"/>
                <w:lang w:val="en-US" w:eastAsia="zh-CN"/>
              </w:rPr>
              <w:t>(ANC 1000/mm</w:t>
            </w:r>
            <w:r w:rsidRPr="00340BFA">
              <w:rPr>
                <w:rFonts w:ascii="Arial" w:eastAsia="MS Mincho" w:hAnsi="Arial" w:cs="Arial"/>
                <w:sz w:val="12"/>
                <w:szCs w:val="18"/>
                <w:vertAlign w:val="superscript"/>
                <w:lang w:val="en-US" w:eastAsia="zh-CN"/>
              </w:rPr>
              <w:t>3</w:t>
            </w:r>
            <w:r w:rsidRPr="00340BFA">
              <w:rPr>
                <w:rFonts w:ascii="Arial" w:eastAsia="MS Mincho" w:hAnsi="Arial" w:cs="Arial"/>
                <w:sz w:val="20"/>
                <w:szCs w:val="22"/>
                <w:lang w:val="en-US" w:eastAsia="zh-CN"/>
              </w:rPr>
              <w:t xml:space="preserve"> – &lt;</w:t>
            </w:r>
            <w:r>
              <w:rPr>
                <w:rFonts w:ascii="Arial" w:eastAsia="MS Mincho" w:hAnsi="Arial" w:cs="Arial"/>
                <w:sz w:val="20"/>
                <w:szCs w:val="22"/>
                <w:lang w:val="en-US" w:eastAsia="zh-CN"/>
              </w:rPr>
              <w:t xml:space="preserve"> </w:t>
            </w:r>
            <w:r w:rsidRPr="00340BFA">
              <w:rPr>
                <w:rFonts w:ascii="Arial" w:eastAsia="MS Mincho" w:hAnsi="Arial" w:cs="Arial"/>
                <w:sz w:val="20"/>
                <w:szCs w:val="22"/>
                <w:lang w:val="en-US" w:eastAsia="zh-CN"/>
              </w:rPr>
              <w:t>LLN)</w:t>
            </w:r>
          </w:p>
        </w:tc>
        <w:tc>
          <w:tcPr>
            <w:tcW w:w="2601" w:type="dxa"/>
            <w:tcBorders>
              <w:top w:val="single" w:sz="4" w:space="0" w:color="auto"/>
              <w:bottom w:val="single" w:sz="4" w:space="0" w:color="auto"/>
            </w:tcBorders>
            <w:shd w:val="clear" w:color="auto" w:fill="auto"/>
          </w:tcPr>
          <w:p w14:paraId="699D3C8F" w14:textId="77777777" w:rsidR="00645329" w:rsidRPr="00340BFA" w:rsidRDefault="00645329" w:rsidP="00A62436">
            <w:pPr>
              <w:keepLines/>
              <w:tabs>
                <w:tab w:val="left" w:pos="284"/>
              </w:tabs>
              <w:spacing w:before="40" w:after="20"/>
              <w:rPr>
                <w:rFonts w:ascii="Arial" w:eastAsia="MS Mincho" w:hAnsi="Arial" w:cs="Arial"/>
                <w:b/>
                <w:sz w:val="20"/>
                <w:lang w:val="en-US" w:eastAsia="zh-CN"/>
              </w:rPr>
            </w:pPr>
            <w:r w:rsidRPr="00340BFA">
              <w:rPr>
                <w:rFonts w:ascii="Arial" w:eastAsia="MS Mincho" w:hAnsi="Arial" w:cs="Arial"/>
                <w:b/>
                <w:sz w:val="20"/>
                <w:lang w:val="en-US" w:eastAsia="zh-CN"/>
              </w:rPr>
              <w:t>Grade 3</w:t>
            </w:r>
          </w:p>
          <w:p w14:paraId="5029246C" w14:textId="77777777" w:rsidR="00645329" w:rsidRPr="00340BFA" w:rsidRDefault="00645329" w:rsidP="00A62436">
            <w:pPr>
              <w:keepLines/>
              <w:tabs>
                <w:tab w:val="left" w:pos="284"/>
              </w:tabs>
              <w:spacing w:before="40" w:after="20"/>
              <w:rPr>
                <w:rFonts w:ascii="Arial" w:eastAsia="MS Mincho" w:hAnsi="Arial" w:cs="Arial"/>
                <w:b/>
                <w:sz w:val="20"/>
                <w:lang w:val="en-US" w:eastAsia="zh-CN"/>
              </w:rPr>
            </w:pPr>
            <w:r w:rsidRPr="00340BFA">
              <w:rPr>
                <w:rFonts w:ascii="Arial" w:eastAsia="MS Mincho" w:hAnsi="Arial" w:cs="Arial"/>
                <w:sz w:val="20"/>
                <w:szCs w:val="22"/>
                <w:lang w:val="en-US" w:eastAsia="zh-CN"/>
              </w:rPr>
              <w:t>(ANC 500 - &lt;</w:t>
            </w:r>
            <w:r>
              <w:rPr>
                <w:rFonts w:ascii="Arial" w:eastAsia="MS Mincho" w:hAnsi="Arial" w:cs="Arial"/>
                <w:sz w:val="20"/>
                <w:szCs w:val="22"/>
                <w:lang w:val="en-US" w:eastAsia="zh-CN"/>
              </w:rPr>
              <w:t xml:space="preserve"> </w:t>
            </w:r>
            <w:r w:rsidRPr="00340BFA">
              <w:rPr>
                <w:rFonts w:ascii="Arial" w:eastAsia="MS Mincho" w:hAnsi="Arial" w:cs="Arial"/>
                <w:sz w:val="20"/>
                <w:szCs w:val="22"/>
                <w:lang w:val="en-US" w:eastAsia="zh-CN"/>
              </w:rPr>
              <w:t>1000/mm</w:t>
            </w:r>
            <w:r w:rsidRPr="00340BFA">
              <w:rPr>
                <w:rFonts w:ascii="Arial" w:eastAsia="MS Mincho" w:hAnsi="Arial" w:cs="Arial"/>
                <w:sz w:val="12"/>
                <w:szCs w:val="18"/>
                <w:vertAlign w:val="superscript"/>
                <w:lang w:val="en-US" w:eastAsia="zh-CN"/>
              </w:rPr>
              <w:t>3</w:t>
            </w:r>
            <w:r w:rsidRPr="00340BFA">
              <w:rPr>
                <w:rFonts w:ascii="Arial" w:eastAsia="MS Mincho" w:hAnsi="Arial" w:cs="Arial"/>
                <w:sz w:val="20"/>
                <w:szCs w:val="22"/>
                <w:lang w:val="en-US" w:eastAsia="zh-CN"/>
              </w:rPr>
              <w:t>)</w:t>
            </w:r>
          </w:p>
        </w:tc>
        <w:tc>
          <w:tcPr>
            <w:tcW w:w="1732" w:type="dxa"/>
            <w:tcBorders>
              <w:top w:val="single" w:sz="4" w:space="0" w:color="auto"/>
              <w:bottom w:val="single" w:sz="4" w:space="0" w:color="auto"/>
            </w:tcBorders>
            <w:shd w:val="clear" w:color="auto" w:fill="auto"/>
          </w:tcPr>
          <w:p w14:paraId="55672158" w14:textId="77777777" w:rsidR="00645329" w:rsidRPr="00340BFA" w:rsidRDefault="00645329" w:rsidP="00A62436">
            <w:pPr>
              <w:keepLines/>
              <w:tabs>
                <w:tab w:val="left" w:pos="284"/>
              </w:tabs>
              <w:spacing w:before="40" w:after="20"/>
              <w:rPr>
                <w:rFonts w:ascii="Arial" w:eastAsia="MS Mincho" w:hAnsi="Arial" w:cs="Arial"/>
                <w:b/>
                <w:sz w:val="20"/>
                <w:lang w:val="en-US" w:eastAsia="zh-CN"/>
              </w:rPr>
            </w:pPr>
            <w:r w:rsidRPr="00340BFA">
              <w:rPr>
                <w:rFonts w:ascii="Arial" w:eastAsia="MS Mincho" w:hAnsi="Arial" w:cs="Arial"/>
                <w:b/>
                <w:sz w:val="20"/>
                <w:lang w:val="en-US" w:eastAsia="zh-CN"/>
              </w:rPr>
              <w:t xml:space="preserve">Grade 3 febrile* neutropenia </w:t>
            </w:r>
          </w:p>
        </w:tc>
        <w:tc>
          <w:tcPr>
            <w:tcW w:w="1465" w:type="dxa"/>
            <w:gridSpan w:val="2"/>
            <w:tcBorders>
              <w:top w:val="single" w:sz="4" w:space="0" w:color="auto"/>
              <w:bottom w:val="single" w:sz="4" w:space="0" w:color="auto"/>
            </w:tcBorders>
            <w:shd w:val="clear" w:color="auto" w:fill="auto"/>
          </w:tcPr>
          <w:p w14:paraId="70770C33" w14:textId="77777777" w:rsidR="00645329" w:rsidRPr="00340BFA" w:rsidRDefault="00645329" w:rsidP="00A62436">
            <w:pPr>
              <w:keepLines/>
              <w:tabs>
                <w:tab w:val="left" w:pos="284"/>
              </w:tabs>
              <w:spacing w:before="40" w:after="20"/>
              <w:rPr>
                <w:rFonts w:ascii="Arial" w:eastAsia="MS Mincho" w:hAnsi="Arial" w:cs="Arial"/>
                <w:b/>
                <w:sz w:val="20"/>
                <w:lang w:val="en-US" w:eastAsia="zh-CN"/>
              </w:rPr>
            </w:pPr>
            <w:r w:rsidRPr="00340BFA">
              <w:rPr>
                <w:rFonts w:ascii="Arial" w:eastAsia="MS Mincho" w:hAnsi="Arial" w:cs="Arial"/>
                <w:b/>
                <w:sz w:val="20"/>
                <w:lang w:val="en-US" w:eastAsia="zh-CN"/>
              </w:rPr>
              <w:t>Grade 4**</w:t>
            </w:r>
          </w:p>
          <w:p w14:paraId="221BFB90" w14:textId="77777777" w:rsidR="00645329" w:rsidRPr="00340BFA" w:rsidRDefault="00645329" w:rsidP="00A62436">
            <w:pPr>
              <w:keepLines/>
              <w:tabs>
                <w:tab w:val="left" w:pos="284"/>
              </w:tabs>
              <w:spacing w:before="40" w:after="20"/>
              <w:rPr>
                <w:rFonts w:eastAsia="MS Mincho"/>
                <w:szCs w:val="22"/>
                <w:lang w:val="en-US" w:eastAsia="zh-CN"/>
              </w:rPr>
            </w:pPr>
            <w:r w:rsidRPr="00340BFA">
              <w:rPr>
                <w:rFonts w:ascii="Arial" w:eastAsia="MS Mincho" w:hAnsi="Arial" w:cs="Arial"/>
                <w:sz w:val="20"/>
                <w:szCs w:val="22"/>
                <w:lang w:val="en-US" w:eastAsia="zh-CN"/>
              </w:rPr>
              <w:t>(ANC &lt;</w:t>
            </w:r>
            <w:r>
              <w:rPr>
                <w:rFonts w:ascii="Arial" w:eastAsia="MS Mincho" w:hAnsi="Arial" w:cs="Arial"/>
                <w:sz w:val="20"/>
                <w:szCs w:val="22"/>
                <w:lang w:val="en-US" w:eastAsia="zh-CN"/>
              </w:rPr>
              <w:t xml:space="preserve"> </w:t>
            </w:r>
            <w:r w:rsidRPr="00340BFA">
              <w:rPr>
                <w:rFonts w:ascii="Arial" w:eastAsia="MS Mincho" w:hAnsi="Arial" w:cs="Arial"/>
                <w:sz w:val="20"/>
                <w:szCs w:val="22"/>
                <w:lang w:val="en-US" w:eastAsia="zh-CN"/>
              </w:rPr>
              <w:t>500/mm</w:t>
            </w:r>
            <w:r w:rsidRPr="00340BFA">
              <w:rPr>
                <w:rFonts w:ascii="Arial" w:eastAsia="MS Mincho" w:hAnsi="Arial" w:cs="Arial"/>
                <w:sz w:val="20"/>
                <w:szCs w:val="22"/>
                <w:vertAlign w:val="superscript"/>
                <w:lang w:val="en-US" w:eastAsia="zh-CN"/>
              </w:rPr>
              <w:t>3</w:t>
            </w:r>
            <w:r w:rsidRPr="00340BFA">
              <w:rPr>
                <w:rFonts w:ascii="Arial" w:eastAsia="MS Mincho" w:hAnsi="Arial" w:cs="Arial"/>
                <w:sz w:val="20"/>
                <w:szCs w:val="22"/>
                <w:lang w:val="en-US" w:eastAsia="zh-CN"/>
              </w:rPr>
              <w:t>)</w:t>
            </w:r>
          </w:p>
        </w:tc>
      </w:tr>
      <w:tr w:rsidR="00645329" w:rsidRPr="001719A0" w14:paraId="54A3E968" w14:textId="77777777" w:rsidTr="00A62436">
        <w:trPr>
          <w:trHeight w:val="593"/>
        </w:trPr>
        <w:tc>
          <w:tcPr>
            <w:tcW w:w="1747" w:type="dxa"/>
            <w:tcBorders>
              <w:top w:val="single" w:sz="4" w:space="0" w:color="auto"/>
              <w:bottom w:val="single" w:sz="4" w:space="0" w:color="auto"/>
            </w:tcBorders>
            <w:shd w:val="clear" w:color="auto" w:fill="auto"/>
          </w:tcPr>
          <w:p w14:paraId="43EB63FC" w14:textId="3F081949" w:rsidR="00645329" w:rsidRPr="00340BFA" w:rsidRDefault="00645329" w:rsidP="00A62436">
            <w:pPr>
              <w:keepLines/>
              <w:tabs>
                <w:tab w:val="left" w:pos="284"/>
              </w:tabs>
              <w:spacing w:before="40" w:after="20"/>
              <w:rPr>
                <w:rFonts w:ascii="Arial" w:eastAsia="MS Mincho" w:hAnsi="Arial" w:cs="Arial"/>
                <w:sz w:val="20"/>
                <w:lang w:val="en-US" w:eastAsia="zh-CN"/>
              </w:rPr>
            </w:pPr>
            <w:r w:rsidRPr="00340BFA">
              <w:rPr>
                <w:rFonts w:ascii="Arial" w:eastAsia="MS Mincho" w:hAnsi="Arial" w:cs="Arial"/>
                <w:b/>
                <w:sz w:val="20"/>
                <w:lang w:val="en-US" w:eastAsia="zh-CN"/>
              </w:rPr>
              <w:t>Neutropenia</w:t>
            </w:r>
            <w:r>
              <w:t xml:space="preserve"> </w:t>
            </w:r>
            <w:r w:rsidRPr="00B64395">
              <w:rPr>
                <w:rFonts w:ascii="Arial" w:eastAsia="MS Mincho" w:hAnsi="Arial" w:cs="Arial"/>
                <w:b/>
                <w:sz w:val="20"/>
                <w:lang w:val="en-US" w:eastAsia="zh-CN"/>
              </w:rPr>
              <w:t>and febrile neutropenia</w:t>
            </w:r>
          </w:p>
        </w:tc>
        <w:tc>
          <w:tcPr>
            <w:tcW w:w="1748" w:type="dxa"/>
            <w:tcBorders>
              <w:top w:val="single" w:sz="4" w:space="0" w:color="auto"/>
              <w:bottom w:val="single" w:sz="4" w:space="0" w:color="auto"/>
            </w:tcBorders>
            <w:shd w:val="clear" w:color="auto" w:fill="auto"/>
          </w:tcPr>
          <w:p w14:paraId="38678D0B" w14:textId="77777777" w:rsidR="00645329" w:rsidRPr="00340BFA" w:rsidRDefault="00645329" w:rsidP="00A62436">
            <w:pPr>
              <w:keepLines/>
              <w:tabs>
                <w:tab w:val="left" w:pos="284"/>
              </w:tabs>
              <w:spacing w:before="40" w:after="20"/>
              <w:rPr>
                <w:rFonts w:ascii="Arial" w:eastAsia="MS Mincho" w:hAnsi="Arial" w:cs="Arial"/>
                <w:sz w:val="20"/>
                <w:lang w:val="en-US" w:eastAsia="zh-CN"/>
              </w:rPr>
            </w:pPr>
            <w:r w:rsidRPr="00340BFA">
              <w:rPr>
                <w:rFonts w:ascii="Arial" w:eastAsia="MS Mincho" w:hAnsi="Arial" w:cs="Arial"/>
                <w:sz w:val="20"/>
                <w:lang w:val="en-US" w:eastAsia="zh-CN"/>
              </w:rPr>
              <w:t>No dose adjustment is required.</w:t>
            </w:r>
          </w:p>
        </w:tc>
        <w:tc>
          <w:tcPr>
            <w:tcW w:w="2601" w:type="dxa"/>
            <w:tcBorders>
              <w:top w:val="single" w:sz="4" w:space="0" w:color="auto"/>
              <w:bottom w:val="single" w:sz="4" w:space="0" w:color="auto"/>
            </w:tcBorders>
            <w:shd w:val="clear" w:color="auto" w:fill="auto"/>
          </w:tcPr>
          <w:p w14:paraId="779AB84F" w14:textId="77777777" w:rsidR="00645329" w:rsidRPr="00340BFA" w:rsidRDefault="00645329" w:rsidP="00A62436">
            <w:pPr>
              <w:keepLines/>
              <w:tabs>
                <w:tab w:val="left" w:pos="284"/>
              </w:tabs>
              <w:spacing w:before="40" w:after="20"/>
              <w:rPr>
                <w:rFonts w:ascii="Arial" w:eastAsia="MS Mincho" w:hAnsi="Arial" w:cs="Arial"/>
                <w:sz w:val="20"/>
                <w:lang w:val="en-US" w:eastAsia="zh-CN"/>
              </w:rPr>
            </w:pPr>
            <w:r w:rsidRPr="00340BFA">
              <w:rPr>
                <w:rFonts w:ascii="Arial" w:eastAsia="MS Mincho" w:hAnsi="Arial" w:cs="Arial"/>
                <w:sz w:val="20"/>
                <w:lang w:val="en-US" w:eastAsia="zh-CN"/>
              </w:rPr>
              <w:t>Dose interruption until recovery to grade ≤ 2.</w:t>
            </w:r>
          </w:p>
          <w:p w14:paraId="059D9C53" w14:textId="77777777" w:rsidR="00645329" w:rsidRPr="00340BFA" w:rsidRDefault="00645329" w:rsidP="00A62436">
            <w:pPr>
              <w:keepLines/>
              <w:tabs>
                <w:tab w:val="left" w:pos="284"/>
              </w:tabs>
              <w:spacing w:before="40" w:after="20"/>
              <w:rPr>
                <w:rFonts w:ascii="Arial" w:eastAsia="MS Mincho" w:hAnsi="Arial" w:cs="Arial"/>
                <w:sz w:val="20"/>
                <w:lang w:val="en-US" w:eastAsia="zh-CN"/>
              </w:rPr>
            </w:pPr>
            <w:r w:rsidRPr="00340BFA">
              <w:rPr>
                <w:rFonts w:ascii="Arial" w:eastAsia="MS Mincho" w:hAnsi="Arial" w:cs="Arial"/>
                <w:sz w:val="20"/>
                <w:lang w:val="en-US" w:eastAsia="zh-CN"/>
              </w:rPr>
              <w:t>Resume KISQALI at the same dose level.</w:t>
            </w:r>
          </w:p>
          <w:p w14:paraId="0A82C5BE" w14:textId="77777777" w:rsidR="00645329" w:rsidRPr="00340BFA" w:rsidRDefault="00645329" w:rsidP="00A62436">
            <w:pPr>
              <w:keepLines/>
              <w:tabs>
                <w:tab w:val="left" w:pos="284"/>
              </w:tabs>
              <w:spacing w:before="40" w:after="20"/>
              <w:rPr>
                <w:rFonts w:ascii="Arial" w:eastAsia="MS Mincho" w:hAnsi="Arial" w:cs="Arial"/>
                <w:sz w:val="20"/>
                <w:lang w:val="en-US" w:eastAsia="zh-CN"/>
              </w:rPr>
            </w:pPr>
            <w:r w:rsidRPr="00340BFA">
              <w:rPr>
                <w:rFonts w:ascii="Arial" w:eastAsia="MS Mincho" w:hAnsi="Arial" w:cs="Arial"/>
                <w:sz w:val="20"/>
                <w:lang w:val="en-US" w:eastAsia="zh-CN"/>
              </w:rPr>
              <w:t>If toxicity recurs at grade 3, dose interruption until recovery, then resume KISQALI at the next lower dose level.</w:t>
            </w:r>
          </w:p>
        </w:tc>
        <w:tc>
          <w:tcPr>
            <w:tcW w:w="1732" w:type="dxa"/>
            <w:tcBorders>
              <w:top w:val="single" w:sz="4" w:space="0" w:color="auto"/>
              <w:bottom w:val="single" w:sz="4" w:space="0" w:color="auto"/>
            </w:tcBorders>
            <w:shd w:val="clear" w:color="auto" w:fill="auto"/>
          </w:tcPr>
          <w:p w14:paraId="55E8B63B" w14:textId="77777777" w:rsidR="00645329" w:rsidRPr="00340BFA" w:rsidRDefault="00645329" w:rsidP="00A62436">
            <w:pPr>
              <w:keepLines/>
              <w:tabs>
                <w:tab w:val="left" w:pos="284"/>
              </w:tabs>
              <w:spacing w:before="40" w:after="20"/>
              <w:rPr>
                <w:rFonts w:ascii="Arial" w:eastAsia="MS Mincho" w:hAnsi="Arial" w:cs="Arial"/>
                <w:sz w:val="20"/>
                <w:lang w:val="en-US" w:eastAsia="zh-CN"/>
              </w:rPr>
            </w:pPr>
            <w:r w:rsidRPr="00340BFA">
              <w:rPr>
                <w:rFonts w:ascii="Arial" w:eastAsia="MS Mincho" w:hAnsi="Arial" w:cs="Arial"/>
                <w:sz w:val="20"/>
                <w:lang w:val="en-US" w:eastAsia="zh-CN"/>
              </w:rPr>
              <w:t>Dose interruption until recovery of neutropenia to grade ≤ 2. Resume KISQALI at the next lower dose level.</w:t>
            </w:r>
          </w:p>
        </w:tc>
        <w:tc>
          <w:tcPr>
            <w:tcW w:w="1465" w:type="dxa"/>
            <w:gridSpan w:val="2"/>
            <w:tcBorders>
              <w:top w:val="single" w:sz="4" w:space="0" w:color="auto"/>
              <w:bottom w:val="single" w:sz="4" w:space="0" w:color="auto"/>
            </w:tcBorders>
            <w:shd w:val="clear" w:color="auto" w:fill="auto"/>
          </w:tcPr>
          <w:p w14:paraId="5BA3D5B7" w14:textId="77777777" w:rsidR="00645329" w:rsidRPr="00340BFA" w:rsidRDefault="00645329" w:rsidP="00A62436">
            <w:pPr>
              <w:keepLines/>
              <w:tabs>
                <w:tab w:val="left" w:pos="284"/>
              </w:tabs>
              <w:spacing w:before="40" w:after="20"/>
              <w:rPr>
                <w:rFonts w:ascii="Arial" w:eastAsia="MS Mincho" w:hAnsi="Arial" w:cs="Arial"/>
                <w:sz w:val="20"/>
                <w:lang w:val="en-US" w:eastAsia="zh-CN"/>
              </w:rPr>
            </w:pPr>
            <w:r w:rsidRPr="00340BFA">
              <w:rPr>
                <w:rFonts w:ascii="Arial" w:eastAsia="MS Mincho" w:hAnsi="Arial" w:cs="Arial"/>
                <w:sz w:val="20"/>
                <w:lang w:val="en-US" w:eastAsia="zh-CN"/>
              </w:rPr>
              <w:t>Dose interruption until recovery to grade ≤ 2.</w:t>
            </w:r>
          </w:p>
          <w:p w14:paraId="485A8B6E" w14:textId="345E28D3" w:rsidR="00645329" w:rsidRPr="00340BFA" w:rsidRDefault="00645329" w:rsidP="00A62436">
            <w:pPr>
              <w:keepLines/>
              <w:tabs>
                <w:tab w:val="left" w:pos="284"/>
              </w:tabs>
              <w:spacing w:before="40" w:after="20"/>
              <w:rPr>
                <w:rFonts w:ascii="Arial" w:eastAsia="MS Mincho" w:hAnsi="Arial" w:cs="Arial"/>
                <w:sz w:val="20"/>
                <w:lang w:val="en-US" w:eastAsia="zh-CN"/>
              </w:rPr>
            </w:pPr>
            <w:r w:rsidRPr="00340BFA">
              <w:rPr>
                <w:rFonts w:ascii="Arial" w:eastAsia="MS Mincho" w:hAnsi="Arial" w:cs="Arial"/>
                <w:sz w:val="20"/>
                <w:lang w:val="en-US" w:eastAsia="zh-CN"/>
              </w:rPr>
              <w:t xml:space="preserve">Resume KISQALI </w:t>
            </w:r>
            <w:r w:rsidR="00D76CF5">
              <w:rPr>
                <w:rFonts w:ascii="Arial" w:eastAsia="MS Mincho" w:hAnsi="Arial" w:cs="Arial"/>
                <w:sz w:val="20"/>
                <w:lang w:val="en-US" w:eastAsia="zh-CN"/>
              </w:rPr>
              <w:t>at the next lower dose level.</w:t>
            </w:r>
          </w:p>
        </w:tc>
      </w:tr>
      <w:tr w:rsidR="004805A2" w:rsidRPr="00604B07" w14:paraId="039CACE1" w14:textId="77777777" w:rsidTr="00645329">
        <w:trPr>
          <w:gridAfter w:val="1"/>
          <w:wAfter w:w="42" w:type="dxa"/>
          <w:trHeight w:val="572"/>
        </w:trPr>
        <w:tc>
          <w:tcPr>
            <w:tcW w:w="9251" w:type="dxa"/>
            <w:gridSpan w:val="5"/>
            <w:tcBorders>
              <w:top w:val="single" w:sz="4" w:space="0" w:color="auto"/>
              <w:bottom w:val="single" w:sz="4" w:space="0" w:color="auto"/>
            </w:tcBorders>
            <w:shd w:val="clear" w:color="auto" w:fill="auto"/>
          </w:tcPr>
          <w:p w14:paraId="3D4183F4" w14:textId="70229541" w:rsidR="004805A2" w:rsidRPr="00340BFA" w:rsidRDefault="004805A2" w:rsidP="00A62436">
            <w:pPr>
              <w:keepLines/>
              <w:tabs>
                <w:tab w:val="left" w:pos="284"/>
              </w:tabs>
              <w:spacing w:before="40" w:after="20"/>
              <w:rPr>
                <w:rFonts w:ascii="Arial" w:eastAsia="MS Mincho" w:hAnsi="Arial" w:cs="Arial"/>
                <w:sz w:val="20"/>
                <w:lang w:val="en-US" w:eastAsia="zh-CN"/>
              </w:rPr>
            </w:pPr>
            <w:r w:rsidRPr="00340BFA">
              <w:rPr>
                <w:rFonts w:ascii="Arial" w:eastAsia="MS Mincho" w:hAnsi="Arial" w:cs="Arial"/>
                <w:sz w:val="20"/>
                <w:lang w:val="en-US" w:eastAsia="zh-CN"/>
              </w:rPr>
              <w:t xml:space="preserve">Complete Blood Counts (CBC) </w:t>
            </w:r>
            <w:proofErr w:type="gramStart"/>
            <w:r w:rsidRPr="00340BFA">
              <w:rPr>
                <w:rFonts w:ascii="Arial" w:eastAsia="MS Mincho" w:hAnsi="Arial" w:cs="Arial"/>
                <w:sz w:val="20"/>
                <w:lang w:val="en-US" w:eastAsia="zh-CN"/>
              </w:rPr>
              <w:t>should be performed</w:t>
            </w:r>
            <w:proofErr w:type="gramEnd"/>
            <w:r w:rsidRPr="00340BFA">
              <w:rPr>
                <w:rFonts w:ascii="Arial" w:eastAsia="MS Mincho" w:hAnsi="Arial" w:cs="Arial"/>
                <w:sz w:val="20"/>
                <w:lang w:val="en-US" w:eastAsia="zh-CN"/>
              </w:rPr>
              <w:t xml:space="preserve"> before ini</w:t>
            </w:r>
            <w:r w:rsidR="00D76CF5">
              <w:rPr>
                <w:rFonts w:ascii="Arial" w:eastAsia="MS Mincho" w:hAnsi="Arial" w:cs="Arial"/>
                <w:sz w:val="20"/>
                <w:lang w:val="en-US" w:eastAsia="zh-CN"/>
              </w:rPr>
              <w:t>tiating treatment with KISQALI.</w:t>
            </w:r>
          </w:p>
          <w:p w14:paraId="156FF87E" w14:textId="08C45040" w:rsidR="004805A2" w:rsidRPr="00340BFA" w:rsidRDefault="004805A2" w:rsidP="00A62436">
            <w:pPr>
              <w:keepLines/>
              <w:tabs>
                <w:tab w:val="left" w:pos="284"/>
              </w:tabs>
              <w:spacing w:before="40" w:after="20"/>
              <w:rPr>
                <w:rFonts w:ascii="Arial" w:eastAsia="MS Mincho" w:hAnsi="Arial" w:cs="Arial"/>
                <w:sz w:val="20"/>
                <w:lang w:val="en-US" w:eastAsia="zh-CN"/>
              </w:rPr>
            </w:pPr>
            <w:r w:rsidRPr="00340BFA">
              <w:rPr>
                <w:rFonts w:ascii="Arial" w:eastAsia="MS Mincho" w:hAnsi="Arial" w:cs="Arial"/>
                <w:sz w:val="20"/>
                <w:lang w:val="en-US" w:eastAsia="zh-CN"/>
              </w:rPr>
              <w:t xml:space="preserve">After initiating treatment with KISQALI, CBC </w:t>
            </w:r>
            <w:proofErr w:type="gramStart"/>
            <w:r w:rsidRPr="00340BFA">
              <w:rPr>
                <w:rFonts w:ascii="Arial" w:eastAsia="MS Mincho" w:hAnsi="Arial" w:cs="Arial"/>
                <w:sz w:val="20"/>
                <w:lang w:val="en-US" w:eastAsia="zh-CN"/>
              </w:rPr>
              <w:t xml:space="preserve">should be monitored every 2 weeks for the first 2 cycles, at the beginning of each subsequent 4 cycles, </w:t>
            </w:r>
            <w:r w:rsidRPr="00453054">
              <w:rPr>
                <w:rFonts w:ascii="Arial" w:eastAsia="MS Mincho" w:hAnsi="Arial" w:cs="Arial"/>
                <w:sz w:val="20"/>
                <w:lang w:val="en-US" w:eastAsia="zh-CN"/>
              </w:rPr>
              <w:t xml:space="preserve">and </w:t>
            </w:r>
            <w:r w:rsidR="00D76CF5">
              <w:rPr>
                <w:rFonts w:ascii="Arial" w:eastAsia="MS Mincho" w:hAnsi="Arial" w:cs="Arial"/>
                <w:sz w:val="20"/>
                <w:lang w:val="en-US" w:eastAsia="zh-CN"/>
              </w:rPr>
              <w:t>as clinically indicated</w:t>
            </w:r>
            <w:proofErr w:type="gramEnd"/>
            <w:r w:rsidR="00D76CF5">
              <w:rPr>
                <w:rFonts w:ascii="Arial" w:eastAsia="MS Mincho" w:hAnsi="Arial" w:cs="Arial"/>
                <w:sz w:val="20"/>
                <w:lang w:val="en-US" w:eastAsia="zh-CN"/>
              </w:rPr>
              <w:t>.</w:t>
            </w:r>
          </w:p>
        </w:tc>
      </w:tr>
      <w:tr w:rsidR="004805A2" w:rsidRPr="00604B07" w14:paraId="43CE4B1A" w14:textId="77777777" w:rsidTr="00645329">
        <w:trPr>
          <w:gridAfter w:val="1"/>
          <w:wAfter w:w="42" w:type="dxa"/>
          <w:trHeight w:val="1156"/>
        </w:trPr>
        <w:tc>
          <w:tcPr>
            <w:tcW w:w="9251" w:type="dxa"/>
            <w:gridSpan w:val="5"/>
            <w:tcBorders>
              <w:top w:val="single" w:sz="4" w:space="0" w:color="auto"/>
              <w:bottom w:val="single" w:sz="4" w:space="0" w:color="auto"/>
            </w:tcBorders>
            <w:shd w:val="clear" w:color="auto" w:fill="auto"/>
          </w:tcPr>
          <w:p w14:paraId="2CA0E292" w14:textId="56EDA8E3" w:rsidR="004805A2" w:rsidRPr="000D0D1E" w:rsidRDefault="004805A2" w:rsidP="00A62436">
            <w:pPr>
              <w:keepLines/>
              <w:tabs>
                <w:tab w:val="left" w:pos="284"/>
              </w:tabs>
              <w:spacing w:before="40" w:after="20"/>
              <w:rPr>
                <w:rFonts w:ascii="Arial" w:eastAsia="MS Mincho" w:hAnsi="Arial" w:cs="Arial"/>
                <w:sz w:val="20"/>
                <w:szCs w:val="20"/>
                <w:lang w:val="en-US" w:eastAsia="zh-CN"/>
              </w:rPr>
            </w:pPr>
            <w:r w:rsidRPr="000D0D1E">
              <w:rPr>
                <w:rFonts w:ascii="Arial" w:eastAsia="MS Mincho" w:hAnsi="Arial" w:cs="Arial"/>
                <w:b/>
                <w:sz w:val="20"/>
                <w:szCs w:val="20"/>
                <w:lang w:val="en-US" w:eastAsia="zh-CN"/>
              </w:rPr>
              <w:t>*</w:t>
            </w:r>
            <w:r w:rsidRPr="000D0D1E">
              <w:rPr>
                <w:rFonts w:ascii="Arial" w:eastAsia="MS Mincho" w:hAnsi="Arial" w:cs="Arial"/>
                <w:sz w:val="20"/>
                <w:szCs w:val="20"/>
                <w:lang w:val="en-US" w:eastAsia="zh-CN"/>
              </w:rPr>
              <w:t>Grade 3 neutropenia with a single episode of fever &gt;38.3°C (or) above 38°C for more than one ho</w:t>
            </w:r>
            <w:r w:rsidR="00D76CF5">
              <w:rPr>
                <w:rFonts w:ascii="Arial" w:eastAsia="MS Mincho" w:hAnsi="Arial" w:cs="Arial"/>
                <w:sz w:val="20"/>
                <w:szCs w:val="20"/>
                <w:lang w:val="en-US" w:eastAsia="zh-CN"/>
              </w:rPr>
              <w:t>ur and/or concurrent infection</w:t>
            </w:r>
          </w:p>
          <w:p w14:paraId="3320C2AC" w14:textId="77777777" w:rsidR="004805A2" w:rsidRPr="000D0D1E" w:rsidRDefault="004805A2" w:rsidP="00A62436">
            <w:pPr>
              <w:keepLines/>
              <w:tabs>
                <w:tab w:val="left" w:pos="284"/>
              </w:tabs>
              <w:spacing w:before="40" w:after="20"/>
              <w:rPr>
                <w:rFonts w:ascii="Arial" w:eastAsia="MS Mincho" w:hAnsi="Arial" w:cs="Arial"/>
                <w:sz w:val="20"/>
                <w:szCs w:val="20"/>
                <w:lang w:val="en-US" w:eastAsia="zh-CN"/>
              </w:rPr>
            </w:pPr>
            <w:r w:rsidRPr="000D0D1E">
              <w:rPr>
                <w:rFonts w:ascii="Arial" w:eastAsia="MS Mincho" w:hAnsi="Arial" w:cs="Arial"/>
                <w:sz w:val="20"/>
                <w:szCs w:val="20"/>
                <w:lang w:val="en-US" w:eastAsia="zh-CN"/>
              </w:rPr>
              <w:t>Grading according to CTCAE Version 4.0. CTCAE=Common Terminology Criteria for Adverse Events.</w:t>
            </w:r>
          </w:p>
          <w:p w14:paraId="0AD90CD7" w14:textId="77777777" w:rsidR="004805A2" w:rsidRPr="00340BFA" w:rsidRDefault="004805A2" w:rsidP="00A62436">
            <w:pPr>
              <w:keepLines/>
              <w:tabs>
                <w:tab w:val="left" w:pos="284"/>
              </w:tabs>
              <w:spacing w:before="40" w:after="20"/>
              <w:rPr>
                <w:rFonts w:ascii="Arial" w:eastAsia="MS Mincho" w:hAnsi="Arial" w:cs="Arial"/>
                <w:sz w:val="20"/>
                <w:lang w:val="en-US" w:eastAsia="zh-CN"/>
              </w:rPr>
            </w:pPr>
            <w:r w:rsidRPr="000D0D1E">
              <w:rPr>
                <w:rFonts w:ascii="Arial" w:eastAsia="MS Mincho" w:hAnsi="Arial" w:cs="Arial"/>
                <w:sz w:val="20"/>
                <w:szCs w:val="20"/>
                <w:lang w:val="en-US" w:eastAsia="zh-CN"/>
              </w:rPr>
              <w:t>ANC = absolute neutrophil count; LLN = lower limit of normal</w:t>
            </w:r>
          </w:p>
        </w:tc>
      </w:tr>
    </w:tbl>
    <w:p w14:paraId="2F8D7521" w14:textId="63571134" w:rsidR="00604B07" w:rsidRPr="00572CAD" w:rsidRDefault="00604B07" w:rsidP="00604B07">
      <w:pPr>
        <w:keepNext/>
        <w:keepLines/>
        <w:spacing w:before="240" w:after="60"/>
        <w:ind w:left="1701" w:hanging="1701"/>
        <w:outlineLvl w:val="5"/>
        <w:rPr>
          <w:rFonts w:eastAsia="MS Mincho"/>
          <w:szCs w:val="20"/>
          <w:lang w:val="en-US" w:eastAsia="zh-CN"/>
        </w:rPr>
      </w:pPr>
      <w:bookmarkStart w:id="23" w:name="_Toc454368753"/>
      <w:bookmarkStart w:id="24" w:name="_Toc456881090"/>
      <w:bookmarkEnd w:id="21"/>
      <w:bookmarkEnd w:id="22"/>
      <w:r w:rsidRPr="00E435A1">
        <w:rPr>
          <w:rFonts w:ascii="Arial" w:eastAsia="MS Gothic" w:hAnsi="Arial" w:cs="Arial"/>
          <w:b/>
          <w:sz w:val="22"/>
          <w:szCs w:val="20"/>
          <w:lang w:val="en-US" w:eastAsia="zh-CN"/>
        </w:rPr>
        <w:t xml:space="preserve">Table </w:t>
      </w:r>
      <w:r w:rsidR="00F77543" w:rsidRPr="00E435A1">
        <w:rPr>
          <w:rFonts w:ascii="Arial" w:eastAsia="MS Gothic" w:hAnsi="Arial" w:cs="Arial"/>
          <w:b/>
          <w:sz w:val="22"/>
          <w:szCs w:val="20"/>
          <w:lang w:val="en-US" w:eastAsia="zh-CN"/>
        </w:rPr>
        <w:t>7</w:t>
      </w:r>
      <w:r w:rsidRPr="00E435A1">
        <w:rPr>
          <w:rFonts w:ascii="Arial" w:eastAsia="MS Gothic" w:hAnsi="Arial" w:cs="Arial"/>
          <w:b/>
          <w:sz w:val="22"/>
          <w:szCs w:val="20"/>
          <w:lang w:val="en-US" w:eastAsia="zh-CN"/>
        </w:rPr>
        <w:tab/>
        <w:t>Dose Modification and Management for Hepatobiliary</w:t>
      </w:r>
      <w:r w:rsidR="00F139B5" w:rsidRPr="00E435A1">
        <w:rPr>
          <w:rFonts w:ascii="Arial" w:eastAsia="MS Gothic" w:hAnsi="Arial" w:cs="Arial"/>
          <w:b/>
          <w:sz w:val="22"/>
          <w:szCs w:val="20"/>
          <w:lang w:val="en-US" w:eastAsia="zh-CN"/>
        </w:rPr>
        <w:t xml:space="preserve"> </w:t>
      </w:r>
      <w:r w:rsidRPr="00E435A1">
        <w:rPr>
          <w:rFonts w:ascii="Arial" w:eastAsia="MS Gothic" w:hAnsi="Arial" w:cs="Arial"/>
          <w:b/>
          <w:sz w:val="22"/>
          <w:szCs w:val="20"/>
          <w:lang w:val="en-US" w:eastAsia="zh-CN"/>
        </w:rPr>
        <w:t>toxicity</w:t>
      </w:r>
      <w:bookmarkEnd w:id="23"/>
      <w:bookmarkEnd w:id="24"/>
    </w:p>
    <w:tbl>
      <w:tblPr>
        <w:tblW w:w="5000" w:type="pct"/>
        <w:tblLook w:val="0000" w:firstRow="0" w:lastRow="0" w:firstColumn="0" w:lastColumn="0" w:noHBand="0" w:noVBand="0"/>
      </w:tblPr>
      <w:tblGrid>
        <w:gridCol w:w="2268"/>
        <w:gridCol w:w="1420"/>
        <w:gridCol w:w="2411"/>
        <w:gridCol w:w="1843"/>
        <w:gridCol w:w="1412"/>
      </w:tblGrid>
      <w:tr w:rsidR="00604B07" w:rsidRPr="00D673D2" w14:paraId="50B274B4" w14:textId="77777777" w:rsidTr="00572CAD">
        <w:tc>
          <w:tcPr>
            <w:tcW w:w="1212" w:type="pct"/>
            <w:tcBorders>
              <w:top w:val="single" w:sz="4" w:space="0" w:color="auto"/>
              <w:bottom w:val="single" w:sz="4" w:space="0" w:color="auto"/>
            </w:tcBorders>
            <w:shd w:val="clear" w:color="auto" w:fill="auto"/>
          </w:tcPr>
          <w:p w14:paraId="5F4757A4" w14:textId="201C0EE0" w:rsidR="00F5611D" w:rsidRDefault="00F5611D" w:rsidP="00604B07">
            <w:pPr>
              <w:keepLines/>
              <w:tabs>
                <w:tab w:val="left" w:pos="284"/>
              </w:tabs>
              <w:spacing w:before="40" w:after="20"/>
              <w:rPr>
                <w:rFonts w:ascii="Arial" w:eastAsia="MS Mincho" w:hAnsi="Arial" w:cs="Arial"/>
                <w:b/>
                <w:sz w:val="20"/>
                <w:lang w:val="en-US" w:eastAsia="zh-CN"/>
              </w:rPr>
            </w:pPr>
          </w:p>
          <w:p w14:paraId="2672F6C4" w14:textId="77777777" w:rsidR="00604B07" w:rsidRPr="00F5611D" w:rsidRDefault="00604B07" w:rsidP="00F5611D">
            <w:pPr>
              <w:rPr>
                <w:rFonts w:ascii="Arial" w:eastAsia="MS Mincho" w:hAnsi="Arial" w:cs="Arial"/>
                <w:sz w:val="20"/>
                <w:lang w:val="en-US" w:eastAsia="zh-CN"/>
              </w:rPr>
            </w:pPr>
          </w:p>
        </w:tc>
        <w:tc>
          <w:tcPr>
            <w:tcW w:w="759" w:type="pct"/>
            <w:tcBorders>
              <w:top w:val="single" w:sz="4" w:space="0" w:color="auto"/>
              <w:bottom w:val="single" w:sz="4" w:space="0" w:color="auto"/>
            </w:tcBorders>
          </w:tcPr>
          <w:p w14:paraId="4EFA1382" w14:textId="77777777" w:rsidR="00604B07" w:rsidRPr="00D07CC1" w:rsidRDefault="00604B07" w:rsidP="00604B07">
            <w:pPr>
              <w:keepLines/>
              <w:tabs>
                <w:tab w:val="left" w:pos="284"/>
              </w:tabs>
              <w:spacing w:before="40" w:after="20"/>
              <w:rPr>
                <w:rFonts w:ascii="Arial" w:eastAsia="MS Mincho" w:hAnsi="Arial" w:cs="Arial"/>
                <w:b/>
                <w:sz w:val="20"/>
                <w:lang w:val="en-US" w:eastAsia="zh-CN"/>
              </w:rPr>
            </w:pPr>
            <w:r w:rsidRPr="00D07CC1">
              <w:rPr>
                <w:rFonts w:ascii="Arial" w:eastAsia="MS Mincho" w:hAnsi="Arial" w:cs="Arial"/>
                <w:b/>
                <w:sz w:val="20"/>
                <w:lang w:val="en-US" w:eastAsia="zh-CN"/>
              </w:rPr>
              <w:t>Grade 1</w:t>
            </w:r>
          </w:p>
          <w:p w14:paraId="6ACB2F67" w14:textId="77777777" w:rsidR="00604B07" w:rsidRPr="00D07CC1" w:rsidRDefault="00604B07" w:rsidP="00604B07">
            <w:pPr>
              <w:keepLines/>
              <w:tabs>
                <w:tab w:val="left" w:pos="284"/>
              </w:tabs>
              <w:spacing w:before="40" w:after="20"/>
              <w:rPr>
                <w:rFonts w:ascii="Arial" w:eastAsia="MS Mincho" w:hAnsi="Arial" w:cs="Arial"/>
                <w:b/>
                <w:sz w:val="20"/>
                <w:lang w:val="en-US" w:eastAsia="zh-CN"/>
              </w:rPr>
            </w:pPr>
            <w:r w:rsidRPr="00D07CC1">
              <w:rPr>
                <w:rFonts w:ascii="Arial" w:eastAsia="MS Mincho" w:hAnsi="Arial" w:cs="Arial"/>
                <w:b/>
                <w:sz w:val="20"/>
                <w:lang w:val="en-US" w:eastAsia="zh-CN"/>
              </w:rPr>
              <w:t>(&gt; ULN – 3 x ULN)</w:t>
            </w:r>
          </w:p>
        </w:tc>
        <w:tc>
          <w:tcPr>
            <w:tcW w:w="1289" w:type="pct"/>
            <w:tcBorders>
              <w:top w:val="single" w:sz="4" w:space="0" w:color="auto"/>
              <w:bottom w:val="single" w:sz="4" w:space="0" w:color="auto"/>
            </w:tcBorders>
            <w:shd w:val="clear" w:color="auto" w:fill="auto"/>
          </w:tcPr>
          <w:p w14:paraId="0FE65FB5" w14:textId="77777777" w:rsidR="00604B07" w:rsidRPr="00D07CC1" w:rsidRDefault="00604B07" w:rsidP="00604B07">
            <w:pPr>
              <w:keepLines/>
              <w:tabs>
                <w:tab w:val="left" w:pos="284"/>
              </w:tabs>
              <w:spacing w:before="40" w:after="20"/>
              <w:rPr>
                <w:rFonts w:ascii="Arial" w:eastAsia="MS Mincho" w:hAnsi="Arial" w:cs="Arial"/>
                <w:b/>
                <w:sz w:val="20"/>
                <w:lang w:val="en-US" w:eastAsia="zh-CN"/>
              </w:rPr>
            </w:pPr>
            <w:r w:rsidRPr="00D07CC1">
              <w:rPr>
                <w:rFonts w:ascii="Arial" w:eastAsia="MS Mincho" w:hAnsi="Arial" w:cs="Arial"/>
                <w:b/>
                <w:sz w:val="20"/>
                <w:lang w:val="en-US" w:eastAsia="zh-CN"/>
              </w:rPr>
              <w:t xml:space="preserve">Grade 2 </w:t>
            </w:r>
          </w:p>
          <w:p w14:paraId="13F25BC7" w14:textId="77777777" w:rsidR="00604B07" w:rsidRPr="00D07CC1" w:rsidRDefault="00604B07" w:rsidP="00604B07">
            <w:pPr>
              <w:keepLines/>
              <w:tabs>
                <w:tab w:val="left" w:pos="284"/>
              </w:tabs>
              <w:spacing w:before="40" w:after="20"/>
              <w:rPr>
                <w:rFonts w:ascii="Arial" w:eastAsia="MS Mincho" w:hAnsi="Arial" w:cs="Arial"/>
                <w:b/>
                <w:sz w:val="20"/>
                <w:lang w:val="en-US" w:eastAsia="zh-CN"/>
              </w:rPr>
            </w:pPr>
            <w:r w:rsidRPr="00D07CC1">
              <w:rPr>
                <w:rFonts w:ascii="Arial" w:eastAsia="MS Mincho" w:hAnsi="Arial" w:cs="Arial"/>
                <w:b/>
                <w:sz w:val="20"/>
                <w:lang w:val="en-US" w:eastAsia="zh-CN"/>
              </w:rPr>
              <w:t>(&gt;3 to 5 x ULN)</w:t>
            </w:r>
          </w:p>
        </w:tc>
        <w:tc>
          <w:tcPr>
            <w:tcW w:w="985" w:type="pct"/>
            <w:tcBorders>
              <w:top w:val="single" w:sz="4" w:space="0" w:color="auto"/>
              <w:bottom w:val="single" w:sz="4" w:space="0" w:color="auto"/>
            </w:tcBorders>
            <w:shd w:val="clear" w:color="auto" w:fill="auto"/>
          </w:tcPr>
          <w:p w14:paraId="53B79D89" w14:textId="77777777" w:rsidR="00604B07" w:rsidRPr="00D07CC1" w:rsidRDefault="00604B07" w:rsidP="00604B07">
            <w:pPr>
              <w:keepLines/>
              <w:tabs>
                <w:tab w:val="left" w:pos="284"/>
              </w:tabs>
              <w:spacing w:before="40" w:after="20"/>
              <w:rPr>
                <w:rFonts w:ascii="Arial" w:eastAsia="MS Mincho" w:hAnsi="Arial" w:cs="Arial"/>
                <w:b/>
                <w:sz w:val="20"/>
                <w:lang w:val="en-US" w:eastAsia="zh-CN"/>
              </w:rPr>
            </w:pPr>
            <w:r w:rsidRPr="00D07CC1">
              <w:rPr>
                <w:rFonts w:ascii="Arial" w:eastAsia="MS Mincho" w:hAnsi="Arial" w:cs="Arial"/>
                <w:b/>
                <w:sz w:val="20"/>
                <w:lang w:val="en-US" w:eastAsia="zh-CN"/>
              </w:rPr>
              <w:t xml:space="preserve">Grade 3 </w:t>
            </w:r>
          </w:p>
          <w:p w14:paraId="46236C1B" w14:textId="30631BEF" w:rsidR="00604B07" w:rsidRPr="00D07CC1" w:rsidRDefault="00604B07" w:rsidP="00604B07">
            <w:pPr>
              <w:keepLines/>
              <w:tabs>
                <w:tab w:val="left" w:pos="284"/>
              </w:tabs>
              <w:spacing w:before="40" w:after="20"/>
              <w:rPr>
                <w:rFonts w:ascii="Arial" w:eastAsia="MS Mincho" w:hAnsi="Arial" w:cs="Arial"/>
                <w:b/>
                <w:sz w:val="20"/>
                <w:lang w:val="en-US" w:eastAsia="zh-CN"/>
              </w:rPr>
            </w:pPr>
            <w:r w:rsidRPr="00D07CC1">
              <w:rPr>
                <w:rFonts w:ascii="Arial" w:eastAsia="MS Mincho" w:hAnsi="Arial" w:cs="Arial"/>
                <w:b/>
                <w:sz w:val="20"/>
                <w:lang w:val="en-US" w:eastAsia="zh-CN"/>
              </w:rPr>
              <w:t>(&gt;5 to 20 x ULN)</w:t>
            </w:r>
          </w:p>
        </w:tc>
        <w:tc>
          <w:tcPr>
            <w:tcW w:w="755" w:type="pct"/>
            <w:tcBorders>
              <w:top w:val="single" w:sz="4" w:space="0" w:color="auto"/>
              <w:bottom w:val="single" w:sz="4" w:space="0" w:color="auto"/>
            </w:tcBorders>
            <w:shd w:val="clear" w:color="auto" w:fill="auto"/>
          </w:tcPr>
          <w:p w14:paraId="57F731C2" w14:textId="77777777" w:rsidR="00604B07" w:rsidRPr="00D07CC1" w:rsidRDefault="00604B07" w:rsidP="00604B07">
            <w:pPr>
              <w:keepLines/>
              <w:tabs>
                <w:tab w:val="left" w:pos="284"/>
              </w:tabs>
              <w:spacing w:before="40" w:after="20"/>
              <w:rPr>
                <w:rFonts w:ascii="Arial" w:eastAsia="MS Mincho" w:hAnsi="Arial" w:cs="Arial"/>
                <w:b/>
                <w:sz w:val="20"/>
                <w:lang w:val="en-US" w:eastAsia="zh-CN"/>
              </w:rPr>
            </w:pPr>
            <w:r w:rsidRPr="00D07CC1">
              <w:rPr>
                <w:rFonts w:ascii="Arial" w:eastAsia="MS Mincho" w:hAnsi="Arial" w:cs="Arial"/>
                <w:b/>
                <w:sz w:val="20"/>
                <w:lang w:val="en-US" w:eastAsia="zh-CN"/>
              </w:rPr>
              <w:t xml:space="preserve">Grade 4 </w:t>
            </w:r>
          </w:p>
          <w:p w14:paraId="413CB32C" w14:textId="77777777" w:rsidR="00604B07" w:rsidRPr="00D07CC1" w:rsidRDefault="00604B07" w:rsidP="00604B07">
            <w:pPr>
              <w:keepLines/>
              <w:tabs>
                <w:tab w:val="left" w:pos="284"/>
              </w:tabs>
              <w:spacing w:before="40" w:after="20"/>
              <w:rPr>
                <w:rFonts w:ascii="Arial" w:eastAsia="MS Mincho" w:hAnsi="Arial" w:cs="Arial"/>
                <w:b/>
                <w:sz w:val="20"/>
                <w:lang w:val="en-US" w:eastAsia="zh-CN"/>
              </w:rPr>
            </w:pPr>
            <w:r w:rsidRPr="00D07CC1">
              <w:rPr>
                <w:rFonts w:ascii="Arial" w:eastAsia="MS Mincho" w:hAnsi="Arial" w:cs="Arial"/>
                <w:b/>
                <w:sz w:val="20"/>
                <w:lang w:val="en-US" w:eastAsia="zh-CN"/>
              </w:rPr>
              <w:t>(&gt;20 x ULN)</w:t>
            </w:r>
          </w:p>
        </w:tc>
      </w:tr>
      <w:tr w:rsidR="00604B07" w:rsidRPr="00D673D2" w14:paraId="61CC8A65" w14:textId="77777777" w:rsidTr="00572CAD">
        <w:tc>
          <w:tcPr>
            <w:tcW w:w="1212" w:type="pct"/>
            <w:tcBorders>
              <w:top w:val="single" w:sz="4" w:space="0" w:color="auto"/>
              <w:bottom w:val="single" w:sz="4" w:space="0" w:color="auto"/>
            </w:tcBorders>
            <w:shd w:val="clear" w:color="auto" w:fill="auto"/>
          </w:tcPr>
          <w:p w14:paraId="6933EF6F" w14:textId="5FF9BCE4" w:rsidR="00604B07" w:rsidRPr="00D07CC1" w:rsidRDefault="00F5611D" w:rsidP="00604B07">
            <w:pPr>
              <w:keepLines/>
              <w:tabs>
                <w:tab w:val="left" w:pos="284"/>
              </w:tabs>
              <w:spacing w:before="40" w:after="20"/>
              <w:rPr>
                <w:rFonts w:ascii="Arial" w:eastAsia="MS Mincho" w:hAnsi="Arial" w:cs="Arial"/>
                <w:sz w:val="20"/>
                <w:lang w:val="en-US" w:eastAsia="zh-CN"/>
              </w:rPr>
            </w:pPr>
            <w:r w:rsidRPr="00D07CC1">
              <w:rPr>
                <w:rFonts w:ascii="Arial" w:eastAsia="MS Mincho" w:hAnsi="Arial" w:cs="Arial"/>
                <w:b/>
                <w:sz w:val="20"/>
                <w:lang w:val="en-US" w:eastAsia="zh-CN"/>
              </w:rPr>
              <w:t>AST and/or ALT elevations from baseline*, without increase in total bilirubin  above 2 x ULN</w:t>
            </w:r>
          </w:p>
        </w:tc>
        <w:tc>
          <w:tcPr>
            <w:tcW w:w="759" w:type="pct"/>
            <w:tcBorders>
              <w:top w:val="single" w:sz="4" w:space="0" w:color="auto"/>
              <w:bottom w:val="single" w:sz="4" w:space="0" w:color="auto"/>
            </w:tcBorders>
          </w:tcPr>
          <w:p w14:paraId="0875718F" w14:textId="2778BDE9" w:rsidR="00604B07" w:rsidRPr="00D07CC1" w:rsidRDefault="00D76CF5" w:rsidP="00604B07">
            <w:pPr>
              <w:keepLines/>
              <w:tabs>
                <w:tab w:val="left" w:pos="284"/>
              </w:tabs>
              <w:spacing w:before="40" w:after="20"/>
              <w:rPr>
                <w:rFonts w:ascii="Arial" w:eastAsia="MS Mincho" w:hAnsi="Arial" w:cs="Arial"/>
                <w:sz w:val="20"/>
                <w:lang w:val="en-US" w:eastAsia="zh-CN"/>
              </w:rPr>
            </w:pPr>
            <w:r>
              <w:rPr>
                <w:rFonts w:ascii="Arial" w:eastAsia="MS Mincho" w:hAnsi="Arial" w:cs="Arial"/>
                <w:sz w:val="20"/>
                <w:lang w:val="en-US" w:eastAsia="zh-CN"/>
              </w:rPr>
              <w:t>No dose adjustment is required.</w:t>
            </w:r>
          </w:p>
        </w:tc>
        <w:tc>
          <w:tcPr>
            <w:tcW w:w="1289" w:type="pct"/>
            <w:tcBorders>
              <w:top w:val="single" w:sz="4" w:space="0" w:color="auto"/>
              <w:bottom w:val="single" w:sz="4" w:space="0" w:color="auto"/>
            </w:tcBorders>
            <w:shd w:val="clear" w:color="auto" w:fill="auto"/>
          </w:tcPr>
          <w:p w14:paraId="1C923492" w14:textId="386E237D" w:rsidR="00604B07" w:rsidRPr="00D07CC1" w:rsidRDefault="00604B07" w:rsidP="00604B07">
            <w:pPr>
              <w:keepLines/>
              <w:tabs>
                <w:tab w:val="left" w:pos="284"/>
              </w:tabs>
              <w:spacing w:before="40" w:after="20"/>
              <w:rPr>
                <w:rFonts w:ascii="Arial" w:eastAsia="MS Mincho" w:hAnsi="Arial" w:cs="Arial"/>
                <w:sz w:val="20"/>
                <w:lang w:val="en-US" w:eastAsia="zh-CN"/>
              </w:rPr>
            </w:pPr>
            <w:r w:rsidRPr="003E7243">
              <w:rPr>
                <w:rFonts w:ascii="Arial" w:eastAsia="MS Mincho" w:hAnsi="Arial" w:cs="Arial"/>
                <w:b/>
                <w:sz w:val="20"/>
                <w:lang w:val="en-US" w:eastAsia="zh-CN"/>
              </w:rPr>
              <w:t>Baseline</w:t>
            </w:r>
            <w:r w:rsidRPr="00D07CC1">
              <w:rPr>
                <w:rFonts w:ascii="Arial" w:eastAsia="MS Mincho" w:hAnsi="Arial" w:cs="Arial"/>
                <w:sz w:val="20"/>
                <w:lang w:val="en-US" w:eastAsia="zh-CN"/>
              </w:rPr>
              <w:t xml:space="preserve"> </w:t>
            </w:r>
            <w:r w:rsidRPr="003E7243">
              <w:rPr>
                <w:rFonts w:ascii="Arial" w:eastAsia="MS Mincho" w:hAnsi="Arial" w:cs="Arial"/>
                <w:b/>
                <w:sz w:val="20"/>
                <w:lang w:val="en-US" w:eastAsia="zh-CN"/>
              </w:rPr>
              <w:t xml:space="preserve">at </w:t>
            </w:r>
            <w:r w:rsidR="00656DA5" w:rsidRPr="003E7243">
              <w:rPr>
                <w:rFonts w:ascii="Arial" w:eastAsia="MS Mincho" w:hAnsi="Arial" w:cs="Arial"/>
                <w:b/>
                <w:sz w:val="20"/>
                <w:lang w:val="en-US" w:eastAsia="zh-CN"/>
              </w:rPr>
              <w:t>Gr</w:t>
            </w:r>
            <w:r w:rsidR="002F1E84" w:rsidRPr="003E7243">
              <w:rPr>
                <w:rFonts w:ascii="Arial" w:eastAsia="MS Mincho" w:hAnsi="Arial" w:cs="Arial"/>
                <w:b/>
                <w:sz w:val="20"/>
                <w:lang w:val="en-US" w:eastAsia="zh-CN"/>
              </w:rPr>
              <w:t>ade ≤</w:t>
            </w:r>
            <w:r w:rsidRPr="003E7243">
              <w:rPr>
                <w:rFonts w:ascii="Arial" w:eastAsia="MS Mincho" w:hAnsi="Arial" w:cs="Arial"/>
                <w:b/>
                <w:sz w:val="20"/>
                <w:lang w:val="en-US" w:eastAsia="zh-CN"/>
              </w:rPr>
              <w:t xml:space="preserve"> 2:</w:t>
            </w:r>
          </w:p>
          <w:p w14:paraId="47C2647D" w14:textId="35E991FA" w:rsidR="00604B07" w:rsidRPr="00D07CC1" w:rsidRDefault="00604B07" w:rsidP="00604B07">
            <w:pPr>
              <w:keepLines/>
              <w:tabs>
                <w:tab w:val="left" w:pos="284"/>
              </w:tabs>
              <w:spacing w:before="40" w:after="20"/>
              <w:rPr>
                <w:rFonts w:ascii="Arial" w:eastAsia="MS Mincho" w:hAnsi="Arial" w:cs="Arial"/>
                <w:sz w:val="20"/>
                <w:lang w:val="en-US" w:eastAsia="zh-CN"/>
              </w:rPr>
            </w:pPr>
            <w:r w:rsidRPr="00D07CC1">
              <w:rPr>
                <w:rFonts w:ascii="Arial" w:eastAsia="MS Mincho" w:hAnsi="Arial" w:cs="Arial"/>
                <w:sz w:val="20"/>
                <w:lang w:val="en-US" w:eastAsia="zh-CN"/>
              </w:rPr>
              <w:t xml:space="preserve">Dose interruption until recovery to ≤ baseline grade, </w:t>
            </w:r>
            <w:proofErr w:type="gramStart"/>
            <w:r w:rsidRPr="00D07CC1">
              <w:rPr>
                <w:rFonts w:ascii="Arial" w:eastAsia="MS Mincho" w:hAnsi="Arial" w:cs="Arial"/>
                <w:sz w:val="20"/>
                <w:lang w:val="en-US" w:eastAsia="zh-CN"/>
              </w:rPr>
              <w:t>then</w:t>
            </w:r>
            <w:proofErr w:type="gramEnd"/>
            <w:r w:rsidRPr="00D07CC1">
              <w:rPr>
                <w:rFonts w:ascii="Arial" w:eastAsia="MS Mincho" w:hAnsi="Arial" w:cs="Arial"/>
                <w:sz w:val="20"/>
                <w:lang w:val="en-US" w:eastAsia="zh-CN"/>
              </w:rPr>
              <w:t xml:space="preserve"> resume </w:t>
            </w:r>
            <w:r w:rsidR="00291985" w:rsidRPr="00D07CC1">
              <w:rPr>
                <w:rFonts w:ascii="Arial" w:eastAsia="MS Mincho" w:hAnsi="Arial" w:cs="Arial"/>
                <w:sz w:val="20"/>
                <w:lang w:val="en-US" w:eastAsia="zh-CN"/>
              </w:rPr>
              <w:t>KISQALI</w:t>
            </w:r>
            <w:r w:rsidRPr="00D07CC1">
              <w:rPr>
                <w:rFonts w:ascii="Arial" w:eastAsia="MS Mincho" w:hAnsi="Arial" w:cs="Arial"/>
                <w:sz w:val="20"/>
                <w:lang w:val="en-US" w:eastAsia="zh-CN"/>
              </w:rPr>
              <w:t xml:space="preserve"> at same dose level. If grade 2 recurs, resume </w:t>
            </w:r>
            <w:r w:rsidR="00291985" w:rsidRPr="00D07CC1">
              <w:rPr>
                <w:rFonts w:ascii="Arial" w:eastAsia="MS Mincho" w:hAnsi="Arial" w:cs="Arial"/>
                <w:sz w:val="20"/>
                <w:lang w:val="en-US" w:eastAsia="zh-CN"/>
              </w:rPr>
              <w:t>KISQALI</w:t>
            </w:r>
            <w:r w:rsidRPr="00D07CC1">
              <w:rPr>
                <w:rFonts w:ascii="Arial" w:eastAsia="MS Mincho" w:hAnsi="Arial" w:cs="Arial"/>
                <w:sz w:val="20"/>
                <w:lang w:val="en-US" w:eastAsia="zh-CN"/>
              </w:rPr>
              <w:t xml:space="preserve"> at next lower dose level. </w:t>
            </w:r>
          </w:p>
          <w:p w14:paraId="0795FC5C" w14:textId="74543A90" w:rsidR="00604B07" w:rsidRPr="003E7243" w:rsidRDefault="00604B07" w:rsidP="00604B07">
            <w:pPr>
              <w:keepLines/>
              <w:tabs>
                <w:tab w:val="left" w:pos="284"/>
              </w:tabs>
              <w:spacing w:before="40" w:after="20"/>
              <w:rPr>
                <w:rFonts w:ascii="Arial" w:eastAsia="MS Mincho" w:hAnsi="Arial" w:cs="Arial"/>
                <w:b/>
                <w:sz w:val="20"/>
                <w:lang w:val="en-US" w:eastAsia="zh-CN"/>
              </w:rPr>
            </w:pPr>
            <w:r w:rsidRPr="003E7243">
              <w:rPr>
                <w:rFonts w:ascii="Arial" w:eastAsia="MS Mincho" w:hAnsi="Arial" w:cs="Arial"/>
                <w:b/>
                <w:sz w:val="20"/>
                <w:lang w:val="en-US" w:eastAsia="zh-CN"/>
              </w:rPr>
              <w:t xml:space="preserve">Baseline </w:t>
            </w:r>
            <w:r w:rsidR="002F1E84" w:rsidRPr="003E7243">
              <w:rPr>
                <w:rFonts w:ascii="Arial" w:eastAsia="MS Mincho" w:hAnsi="Arial" w:cs="Arial"/>
                <w:b/>
                <w:sz w:val="20"/>
                <w:lang w:val="en-US" w:eastAsia="zh-CN"/>
              </w:rPr>
              <w:t>G</w:t>
            </w:r>
            <w:r w:rsidRPr="003E7243">
              <w:rPr>
                <w:rFonts w:ascii="Arial" w:eastAsia="MS Mincho" w:hAnsi="Arial" w:cs="Arial"/>
                <w:b/>
                <w:sz w:val="20"/>
                <w:lang w:val="en-US" w:eastAsia="zh-CN"/>
              </w:rPr>
              <w:t xml:space="preserve">rade </w:t>
            </w:r>
            <w:r w:rsidR="002F1E84" w:rsidRPr="003E7243">
              <w:rPr>
                <w:rFonts w:ascii="Arial" w:eastAsia="MS Mincho" w:hAnsi="Arial" w:cs="Arial"/>
                <w:b/>
                <w:sz w:val="20"/>
                <w:lang w:val="en-US" w:eastAsia="zh-CN"/>
              </w:rPr>
              <w:t xml:space="preserve">= </w:t>
            </w:r>
            <w:r w:rsidRPr="003E7243">
              <w:rPr>
                <w:rFonts w:ascii="Arial" w:eastAsia="MS Mincho" w:hAnsi="Arial" w:cs="Arial"/>
                <w:b/>
                <w:sz w:val="20"/>
                <w:lang w:val="en-US" w:eastAsia="zh-CN"/>
              </w:rPr>
              <w:t>2:</w:t>
            </w:r>
          </w:p>
          <w:p w14:paraId="1FFF0CF2" w14:textId="236C9125" w:rsidR="00604B07" w:rsidRPr="00D07CC1" w:rsidRDefault="00D76CF5" w:rsidP="00604B07">
            <w:pPr>
              <w:keepLines/>
              <w:tabs>
                <w:tab w:val="left" w:pos="284"/>
              </w:tabs>
              <w:spacing w:before="40" w:after="20"/>
              <w:rPr>
                <w:rFonts w:ascii="Arial" w:eastAsia="MS Mincho" w:hAnsi="Arial" w:cs="Arial"/>
                <w:sz w:val="20"/>
                <w:lang w:val="en-US" w:eastAsia="zh-CN"/>
              </w:rPr>
            </w:pPr>
            <w:r>
              <w:rPr>
                <w:rFonts w:ascii="Arial" w:eastAsia="MS Mincho" w:hAnsi="Arial" w:cs="Arial"/>
                <w:sz w:val="20"/>
                <w:lang w:val="en-US" w:eastAsia="zh-CN"/>
              </w:rPr>
              <w:t>No dose interruption.</w:t>
            </w:r>
          </w:p>
        </w:tc>
        <w:tc>
          <w:tcPr>
            <w:tcW w:w="985" w:type="pct"/>
            <w:tcBorders>
              <w:top w:val="single" w:sz="4" w:space="0" w:color="auto"/>
              <w:bottom w:val="single" w:sz="4" w:space="0" w:color="auto"/>
            </w:tcBorders>
            <w:shd w:val="clear" w:color="auto" w:fill="auto"/>
          </w:tcPr>
          <w:p w14:paraId="16A06A3F" w14:textId="6F084986" w:rsidR="00604B07" w:rsidRPr="00D07CC1" w:rsidRDefault="00604B07" w:rsidP="00604B07">
            <w:pPr>
              <w:keepLines/>
              <w:tabs>
                <w:tab w:val="left" w:pos="284"/>
              </w:tabs>
              <w:spacing w:before="40" w:after="20"/>
              <w:rPr>
                <w:rFonts w:ascii="Arial" w:eastAsia="MS Mincho" w:hAnsi="Arial" w:cs="Arial"/>
                <w:sz w:val="20"/>
                <w:lang w:val="en-US" w:eastAsia="zh-CN"/>
              </w:rPr>
            </w:pPr>
            <w:r w:rsidRPr="00D07CC1">
              <w:rPr>
                <w:rFonts w:ascii="Arial" w:eastAsia="MS Mincho" w:hAnsi="Arial" w:cs="Arial"/>
                <w:sz w:val="20"/>
                <w:lang w:val="en-US" w:eastAsia="zh-CN"/>
              </w:rPr>
              <w:t>Dose interruption until recovery to ≤ baseline grade, then r</w:t>
            </w:r>
            <w:r w:rsidR="00D76CF5">
              <w:rPr>
                <w:rFonts w:ascii="Arial" w:eastAsia="MS Mincho" w:hAnsi="Arial" w:cs="Arial"/>
                <w:sz w:val="20"/>
                <w:lang w:val="en-US" w:eastAsia="zh-CN"/>
              </w:rPr>
              <w:t>esume at next lower dose level.</w:t>
            </w:r>
          </w:p>
          <w:p w14:paraId="2318AD8F" w14:textId="2C98AD3C" w:rsidR="00604B07" w:rsidRPr="00D07CC1" w:rsidRDefault="00604B07" w:rsidP="00604B07">
            <w:pPr>
              <w:keepLines/>
              <w:tabs>
                <w:tab w:val="left" w:pos="284"/>
              </w:tabs>
              <w:spacing w:before="40" w:after="20"/>
              <w:rPr>
                <w:rFonts w:ascii="Arial" w:eastAsia="MS Mincho" w:hAnsi="Arial" w:cs="Arial"/>
                <w:sz w:val="20"/>
                <w:lang w:val="en-US" w:eastAsia="zh-CN"/>
              </w:rPr>
            </w:pPr>
            <w:r w:rsidRPr="00D07CC1">
              <w:rPr>
                <w:rFonts w:ascii="Arial" w:eastAsia="MS Mincho" w:hAnsi="Arial" w:cs="Arial"/>
                <w:sz w:val="20"/>
                <w:lang w:val="en-US" w:eastAsia="zh-CN"/>
              </w:rPr>
              <w:t xml:space="preserve">If grade 3 recurs, discontinue </w:t>
            </w:r>
            <w:r w:rsidR="00291985" w:rsidRPr="00D07CC1">
              <w:rPr>
                <w:rFonts w:ascii="Arial" w:eastAsia="MS Mincho" w:hAnsi="Arial" w:cs="Arial"/>
                <w:sz w:val="20"/>
                <w:lang w:val="en-US" w:eastAsia="zh-CN"/>
              </w:rPr>
              <w:t>KISQALI</w:t>
            </w:r>
            <w:r w:rsidRPr="00D07CC1">
              <w:rPr>
                <w:rFonts w:ascii="Arial" w:eastAsia="MS Mincho" w:hAnsi="Arial" w:cs="Arial"/>
                <w:sz w:val="20"/>
                <w:lang w:val="en-US" w:eastAsia="zh-CN"/>
              </w:rPr>
              <w:t>.</w:t>
            </w:r>
          </w:p>
        </w:tc>
        <w:tc>
          <w:tcPr>
            <w:tcW w:w="755" w:type="pct"/>
            <w:tcBorders>
              <w:top w:val="single" w:sz="4" w:space="0" w:color="auto"/>
              <w:bottom w:val="single" w:sz="4" w:space="0" w:color="auto"/>
            </w:tcBorders>
            <w:shd w:val="clear" w:color="auto" w:fill="auto"/>
          </w:tcPr>
          <w:p w14:paraId="04C7030C" w14:textId="155D823A" w:rsidR="00604B07" w:rsidRPr="00D07CC1" w:rsidRDefault="00604B07" w:rsidP="00604B07">
            <w:pPr>
              <w:keepLines/>
              <w:tabs>
                <w:tab w:val="left" w:pos="284"/>
              </w:tabs>
              <w:spacing w:before="40" w:after="20"/>
              <w:rPr>
                <w:rFonts w:ascii="Arial" w:eastAsia="MS Mincho" w:hAnsi="Arial" w:cs="Arial"/>
                <w:sz w:val="20"/>
                <w:lang w:val="en-US" w:eastAsia="zh-CN"/>
              </w:rPr>
            </w:pPr>
            <w:r w:rsidRPr="00D07CC1">
              <w:rPr>
                <w:rFonts w:ascii="Arial" w:eastAsia="MS Mincho" w:hAnsi="Arial" w:cs="Arial"/>
                <w:sz w:val="20"/>
                <w:lang w:val="en-US" w:eastAsia="zh-CN"/>
              </w:rPr>
              <w:t xml:space="preserve">Discontinue </w:t>
            </w:r>
            <w:r w:rsidR="00291985" w:rsidRPr="00D07CC1">
              <w:rPr>
                <w:rFonts w:ascii="Arial" w:eastAsia="MS Mincho" w:hAnsi="Arial" w:cs="Arial"/>
                <w:sz w:val="20"/>
                <w:lang w:val="en-US" w:eastAsia="zh-CN"/>
              </w:rPr>
              <w:t>KISQALI</w:t>
            </w:r>
          </w:p>
        </w:tc>
      </w:tr>
      <w:tr w:rsidR="00604B07" w:rsidRPr="00D673D2" w14:paraId="0C6159B6" w14:textId="77777777" w:rsidTr="00572CAD">
        <w:tc>
          <w:tcPr>
            <w:tcW w:w="1212" w:type="pct"/>
            <w:tcBorders>
              <w:top w:val="single" w:sz="4" w:space="0" w:color="auto"/>
              <w:bottom w:val="single" w:sz="4" w:space="0" w:color="auto"/>
            </w:tcBorders>
            <w:shd w:val="clear" w:color="auto" w:fill="auto"/>
            <w:vAlign w:val="center"/>
          </w:tcPr>
          <w:p w14:paraId="4BE95C32" w14:textId="6CCE8EA8" w:rsidR="00604B07" w:rsidRPr="00D07CC1" w:rsidRDefault="00604B07" w:rsidP="00604B07">
            <w:pPr>
              <w:keepLines/>
              <w:tabs>
                <w:tab w:val="left" w:pos="284"/>
              </w:tabs>
              <w:spacing w:before="40" w:after="20"/>
              <w:rPr>
                <w:rFonts w:ascii="Arial" w:eastAsia="MS Mincho" w:hAnsi="Arial" w:cs="Arial"/>
                <w:sz w:val="20"/>
                <w:lang w:val="en-US" w:eastAsia="zh-CN"/>
              </w:rPr>
            </w:pPr>
            <w:r w:rsidRPr="00D07CC1">
              <w:rPr>
                <w:rFonts w:ascii="Arial" w:eastAsia="MS Mincho" w:hAnsi="Arial" w:cs="Arial"/>
                <w:b/>
                <w:sz w:val="20"/>
                <w:lang w:val="en-US" w:eastAsia="zh-CN"/>
              </w:rPr>
              <w:t>Combined elevations in AST and/or ALT together with total bilirubin increase, in the absence of cholestasis</w:t>
            </w:r>
          </w:p>
        </w:tc>
        <w:tc>
          <w:tcPr>
            <w:tcW w:w="3788" w:type="pct"/>
            <w:gridSpan w:val="4"/>
            <w:tcBorders>
              <w:top w:val="single" w:sz="4" w:space="0" w:color="auto"/>
              <w:bottom w:val="single" w:sz="4" w:space="0" w:color="auto"/>
            </w:tcBorders>
            <w:vAlign w:val="center"/>
          </w:tcPr>
          <w:p w14:paraId="7DF3C88A" w14:textId="2D0F3899" w:rsidR="00604B07" w:rsidRPr="00D07CC1" w:rsidDel="009712F9" w:rsidRDefault="00604B07" w:rsidP="00604B07">
            <w:pPr>
              <w:keepLines/>
              <w:tabs>
                <w:tab w:val="left" w:pos="284"/>
              </w:tabs>
              <w:spacing w:before="40" w:after="20"/>
              <w:rPr>
                <w:rFonts w:ascii="Arial" w:eastAsia="MS Mincho" w:hAnsi="Arial" w:cs="Arial"/>
                <w:sz w:val="20"/>
                <w:lang w:val="en-US" w:eastAsia="zh-CN"/>
              </w:rPr>
            </w:pPr>
            <w:r w:rsidRPr="00D07CC1">
              <w:rPr>
                <w:rFonts w:ascii="Arial" w:eastAsia="Arial Unicode MS" w:hAnsi="Arial" w:cs="Arial Unicode MS"/>
                <w:sz w:val="20"/>
                <w:lang w:val="en-US" w:eastAsia="zh-CN"/>
              </w:rPr>
              <w:t xml:space="preserve">If patients develop ALT and/or AST </w:t>
            </w:r>
            <w:r w:rsidRPr="00D07CC1">
              <w:rPr>
                <w:rFonts w:ascii="Arial" w:eastAsia="Arial Unicode MS" w:hAnsi="Arial" w:cs="Arial"/>
                <w:sz w:val="20"/>
                <w:lang w:val="en-US" w:eastAsia="zh-CN"/>
              </w:rPr>
              <w:t>&gt;</w:t>
            </w:r>
            <w:r w:rsidRPr="00D07CC1">
              <w:rPr>
                <w:rFonts w:ascii="Arial" w:eastAsia="Arial Unicode MS" w:hAnsi="Arial" w:cs="Arial Unicode MS"/>
                <w:sz w:val="20"/>
                <w:lang w:val="en-US" w:eastAsia="zh-CN"/>
              </w:rPr>
              <w:t xml:space="preserve"> 3 x ULN along with total bilirubin &gt; 2 x ULN irrespective of baseline </w:t>
            </w:r>
            <w:r w:rsidR="00676FBA" w:rsidRPr="00D07CC1">
              <w:rPr>
                <w:rFonts w:ascii="Arial" w:eastAsia="Arial Unicode MS" w:hAnsi="Arial" w:cs="Arial Unicode MS"/>
                <w:sz w:val="20"/>
                <w:lang w:val="en-US" w:eastAsia="zh-CN"/>
              </w:rPr>
              <w:t>grade,</w:t>
            </w:r>
            <w:r w:rsidRPr="00D07CC1">
              <w:rPr>
                <w:rFonts w:ascii="Arial" w:eastAsia="Arial Unicode MS" w:hAnsi="Arial" w:cs="Arial Unicode MS"/>
                <w:sz w:val="20"/>
                <w:lang w:val="en-US" w:eastAsia="zh-CN"/>
              </w:rPr>
              <w:t xml:space="preserve"> discontinue </w:t>
            </w:r>
            <w:r w:rsidR="00291985" w:rsidRPr="00D07CC1">
              <w:rPr>
                <w:rFonts w:ascii="Arial" w:eastAsia="Arial Unicode MS" w:hAnsi="Arial" w:cs="Arial Unicode MS"/>
                <w:sz w:val="20"/>
                <w:lang w:val="en-US" w:eastAsia="zh-CN"/>
              </w:rPr>
              <w:t>KISQALI</w:t>
            </w:r>
            <w:r w:rsidRPr="00D07CC1">
              <w:rPr>
                <w:rFonts w:ascii="Arial" w:eastAsia="Arial Unicode MS" w:hAnsi="Arial" w:cs="Arial Unicode MS"/>
                <w:sz w:val="20"/>
                <w:lang w:val="en-US" w:eastAsia="zh-CN"/>
              </w:rPr>
              <w:t>.</w:t>
            </w:r>
          </w:p>
        </w:tc>
      </w:tr>
      <w:tr w:rsidR="00604B07" w:rsidRPr="00D673D2" w14:paraId="158E4084" w14:textId="77777777" w:rsidTr="00B912C0">
        <w:tc>
          <w:tcPr>
            <w:tcW w:w="5000" w:type="pct"/>
            <w:gridSpan w:val="5"/>
            <w:tcBorders>
              <w:top w:val="single" w:sz="4" w:space="0" w:color="auto"/>
            </w:tcBorders>
            <w:shd w:val="clear" w:color="auto" w:fill="auto"/>
          </w:tcPr>
          <w:p w14:paraId="0DBB4D19" w14:textId="38C08323" w:rsidR="00604B07" w:rsidRPr="00D07CC1" w:rsidRDefault="00604B07" w:rsidP="00604B07">
            <w:pPr>
              <w:keepLines/>
              <w:tabs>
                <w:tab w:val="left" w:pos="284"/>
              </w:tabs>
              <w:spacing w:before="40" w:after="20"/>
              <w:rPr>
                <w:rFonts w:ascii="Arial" w:eastAsia="MS Mincho" w:hAnsi="Arial" w:cs="Arial"/>
                <w:sz w:val="20"/>
                <w:lang w:val="en-US" w:eastAsia="zh-CN"/>
              </w:rPr>
            </w:pPr>
            <w:r w:rsidRPr="00D07CC1">
              <w:rPr>
                <w:rFonts w:ascii="Arial" w:eastAsia="MS Mincho" w:hAnsi="Arial" w:cs="Arial"/>
                <w:sz w:val="20"/>
                <w:lang w:val="en-US" w:eastAsia="zh-CN"/>
              </w:rPr>
              <w:t xml:space="preserve">Liver Function Tests (LFTs) </w:t>
            </w:r>
            <w:proofErr w:type="gramStart"/>
            <w:r w:rsidRPr="00D07CC1">
              <w:rPr>
                <w:rFonts w:ascii="Arial" w:eastAsia="MS Mincho" w:hAnsi="Arial" w:cs="Arial"/>
                <w:sz w:val="20"/>
                <w:lang w:val="en-US" w:eastAsia="zh-CN"/>
              </w:rPr>
              <w:t>should be performed</w:t>
            </w:r>
            <w:proofErr w:type="gramEnd"/>
            <w:r w:rsidRPr="00D07CC1">
              <w:rPr>
                <w:rFonts w:ascii="Arial" w:eastAsia="MS Mincho" w:hAnsi="Arial" w:cs="Arial"/>
                <w:sz w:val="20"/>
                <w:lang w:val="en-US" w:eastAsia="zh-CN"/>
              </w:rPr>
              <w:t xml:space="preserve"> before initiating treatment with </w:t>
            </w:r>
            <w:r w:rsidR="00291985" w:rsidRPr="00D07CC1">
              <w:rPr>
                <w:rFonts w:ascii="Arial" w:eastAsia="MS Mincho" w:hAnsi="Arial" w:cs="Arial"/>
                <w:sz w:val="20"/>
                <w:lang w:val="en-US" w:eastAsia="zh-CN"/>
              </w:rPr>
              <w:t>KISQALI</w:t>
            </w:r>
            <w:r w:rsidR="00D76CF5">
              <w:rPr>
                <w:rFonts w:ascii="Arial" w:eastAsia="MS Mincho" w:hAnsi="Arial" w:cs="Arial"/>
                <w:sz w:val="20"/>
                <w:lang w:val="en-US" w:eastAsia="zh-CN"/>
              </w:rPr>
              <w:t>.</w:t>
            </w:r>
          </w:p>
          <w:p w14:paraId="6589717A" w14:textId="2521C96A" w:rsidR="00604B07" w:rsidRPr="00D07CC1" w:rsidRDefault="00604B07" w:rsidP="00604B07">
            <w:pPr>
              <w:keepLines/>
              <w:tabs>
                <w:tab w:val="left" w:pos="284"/>
              </w:tabs>
              <w:spacing w:before="40" w:after="20"/>
              <w:rPr>
                <w:rFonts w:ascii="Arial" w:eastAsia="MS Mincho" w:hAnsi="Arial" w:cs="Arial"/>
                <w:sz w:val="20"/>
                <w:lang w:val="en-US" w:eastAsia="zh-CN"/>
              </w:rPr>
            </w:pPr>
            <w:r w:rsidRPr="00D07CC1">
              <w:rPr>
                <w:rFonts w:ascii="Arial" w:eastAsia="MS Mincho" w:hAnsi="Arial" w:cs="Arial"/>
                <w:sz w:val="20"/>
                <w:lang w:val="en-US" w:eastAsia="zh-CN"/>
              </w:rPr>
              <w:t xml:space="preserve">After initiating treatment with </w:t>
            </w:r>
            <w:r w:rsidR="00291985" w:rsidRPr="00D07CC1">
              <w:rPr>
                <w:rFonts w:ascii="Arial" w:eastAsia="MS Mincho" w:hAnsi="Arial" w:cs="Arial"/>
                <w:sz w:val="20"/>
                <w:lang w:val="en-US" w:eastAsia="zh-CN"/>
              </w:rPr>
              <w:t>KISQALI</w:t>
            </w:r>
            <w:r w:rsidRPr="00D07CC1">
              <w:rPr>
                <w:rFonts w:ascii="Arial" w:eastAsia="MS Mincho" w:hAnsi="Arial" w:cs="Arial"/>
                <w:sz w:val="20"/>
                <w:lang w:val="en-US" w:eastAsia="zh-CN"/>
              </w:rPr>
              <w:t xml:space="preserve">, LFTs </w:t>
            </w:r>
            <w:proofErr w:type="gramStart"/>
            <w:r w:rsidRPr="00D07CC1">
              <w:rPr>
                <w:rFonts w:ascii="Arial" w:eastAsia="MS Mincho" w:hAnsi="Arial" w:cs="Arial"/>
                <w:sz w:val="20"/>
                <w:lang w:val="en-US" w:eastAsia="zh-CN"/>
              </w:rPr>
              <w:t xml:space="preserve">should be monitored every 2 weeks for the first 2 cycles, at the beginning of each subsequent 4 cycles, </w:t>
            </w:r>
            <w:r w:rsidR="00A34755">
              <w:rPr>
                <w:rFonts w:ascii="Arial" w:eastAsia="MS Mincho" w:hAnsi="Arial" w:cs="Arial"/>
                <w:sz w:val="20"/>
                <w:lang w:val="en-US" w:eastAsia="zh-CN"/>
              </w:rPr>
              <w:t>and</w:t>
            </w:r>
            <w:r w:rsidR="00A34755" w:rsidRPr="00D07CC1">
              <w:rPr>
                <w:rFonts w:ascii="Arial" w:eastAsia="MS Mincho" w:hAnsi="Arial" w:cs="Arial"/>
                <w:sz w:val="20"/>
                <w:lang w:val="en-US" w:eastAsia="zh-CN"/>
              </w:rPr>
              <w:t xml:space="preserve"> </w:t>
            </w:r>
            <w:r w:rsidR="00D76CF5">
              <w:rPr>
                <w:rFonts w:ascii="Arial" w:eastAsia="MS Mincho" w:hAnsi="Arial" w:cs="Arial"/>
                <w:sz w:val="20"/>
                <w:lang w:val="en-US" w:eastAsia="zh-CN"/>
              </w:rPr>
              <w:t>as clinically indicated</w:t>
            </w:r>
            <w:proofErr w:type="gramEnd"/>
            <w:r w:rsidR="00D76CF5">
              <w:rPr>
                <w:rFonts w:ascii="Arial" w:eastAsia="MS Mincho" w:hAnsi="Arial" w:cs="Arial"/>
                <w:sz w:val="20"/>
                <w:lang w:val="en-US" w:eastAsia="zh-CN"/>
              </w:rPr>
              <w:t>.</w:t>
            </w:r>
          </w:p>
          <w:p w14:paraId="5C412953" w14:textId="63260D13" w:rsidR="00604B07" w:rsidRDefault="00604B07" w:rsidP="002F1E84">
            <w:pPr>
              <w:keepLines/>
              <w:tabs>
                <w:tab w:val="left" w:pos="284"/>
              </w:tabs>
              <w:spacing w:before="40" w:after="20"/>
              <w:rPr>
                <w:rFonts w:ascii="Arial" w:eastAsia="MS Mincho" w:hAnsi="Arial" w:cs="Arial"/>
                <w:sz w:val="20"/>
                <w:lang w:val="en-US" w:eastAsia="zh-CN"/>
              </w:rPr>
            </w:pPr>
            <w:r w:rsidRPr="00D07CC1">
              <w:rPr>
                <w:rFonts w:ascii="Arial" w:eastAsia="MS Mincho" w:hAnsi="Arial" w:cs="Arial"/>
                <w:sz w:val="20"/>
                <w:lang w:val="en-US" w:eastAsia="zh-CN"/>
              </w:rPr>
              <w:t xml:space="preserve">If </w:t>
            </w:r>
            <w:r w:rsidR="002F1E84">
              <w:rPr>
                <w:rFonts w:ascii="Arial" w:eastAsia="MS Mincho" w:hAnsi="Arial" w:cs="Arial"/>
                <w:sz w:val="20"/>
                <w:lang w:val="en-US" w:eastAsia="zh-CN"/>
              </w:rPr>
              <w:t>G</w:t>
            </w:r>
            <w:r w:rsidRPr="00D07CC1">
              <w:rPr>
                <w:rFonts w:ascii="Arial" w:eastAsia="MS Mincho" w:hAnsi="Arial" w:cs="Arial"/>
                <w:sz w:val="20"/>
                <w:lang w:val="en-US" w:eastAsia="zh-CN"/>
              </w:rPr>
              <w:t>rade 2, 3 or 4 abnormalities are noted, more frequent monitoring is recommended</w:t>
            </w:r>
          </w:p>
          <w:p w14:paraId="64D33467" w14:textId="471DD37C" w:rsidR="002F1E84" w:rsidRPr="00D07CC1" w:rsidRDefault="002F1E84" w:rsidP="002F1E84">
            <w:pPr>
              <w:keepLines/>
              <w:tabs>
                <w:tab w:val="left" w:pos="284"/>
              </w:tabs>
              <w:spacing w:before="40" w:after="20"/>
              <w:rPr>
                <w:rFonts w:ascii="Arial" w:eastAsia="MS Mincho" w:hAnsi="Arial" w:cs="Arial"/>
                <w:sz w:val="20"/>
                <w:lang w:val="en-US" w:eastAsia="zh-CN"/>
              </w:rPr>
            </w:pPr>
            <w:r w:rsidRPr="002F1E84">
              <w:rPr>
                <w:rFonts w:ascii="Arial" w:eastAsia="MS Mincho" w:hAnsi="Arial" w:cs="Arial"/>
                <w:sz w:val="20"/>
                <w:lang w:val="en-US" w:eastAsia="zh-CN"/>
              </w:rPr>
              <w:t>ULN = upper limit of normal</w:t>
            </w:r>
          </w:p>
        </w:tc>
      </w:tr>
      <w:tr w:rsidR="00604B07" w:rsidRPr="00604B07" w14:paraId="0A523201" w14:textId="77777777" w:rsidTr="00B912C0">
        <w:tc>
          <w:tcPr>
            <w:tcW w:w="5000" w:type="pct"/>
            <w:gridSpan w:val="5"/>
            <w:tcBorders>
              <w:bottom w:val="single" w:sz="4" w:space="0" w:color="auto"/>
            </w:tcBorders>
            <w:shd w:val="clear" w:color="auto" w:fill="auto"/>
          </w:tcPr>
          <w:p w14:paraId="7CCE1D97" w14:textId="53387EBD" w:rsidR="003E7243" w:rsidRPr="000D0D1E" w:rsidRDefault="00604B07" w:rsidP="00B912C0">
            <w:pPr>
              <w:keepLines/>
              <w:tabs>
                <w:tab w:val="left" w:pos="284"/>
              </w:tabs>
              <w:spacing w:before="40" w:after="20"/>
              <w:rPr>
                <w:rFonts w:ascii="Arial" w:eastAsia="MS Mincho" w:hAnsi="Arial" w:cs="Arial"/>
                <w:sz w:val="20"/>
                <w:szCs w:val="20"/>
                <w:lang w:val="en-US" w:eastAsia="zh-CN"/>
              </w:rPr>
            </w:pPr>
            <w:r w:rsidRPr="000D0D1E">
              <w:rPr>
                <w:rFonts w:ascii="Arial" w:eastAsia="MS Mincho" w:hAnsi="Arial" w:cs="Arial"/>
                <w:b/>
                <w:sz w:val="20"/>
                <w:szCs w:val="20"/>
                <w:lang w:val="en-US" w:eastAsia="zh-CN"/>
              </w:rPr>
              <w:t>*</w:t>
            </w:r>
            <w:r w:rsidRPr="000D0D1E">
              <w:rPr>
                <w:rFonts w:ascii="Arial" w:eastAsia="MS Mincho" w:hAnsi="Arial" w:cs="Arial"/>
                <w:sz w:val="20"/>
                <w:szCs w:val="20"/>
                <w:lang w:val="en-US" w:eastAsia="zh-CN"/>
              </w:rPr>
              <w:t>Baseline = prior to treatment initiation.</w:t>
            </w:r>
            <w:r w:rsidR="00B912C0">
              <w:t xml:space="preserve"> </w:t>
            </w:r>
            <w:r w:rsidR="00B912C0" w:rsidRPr="00B912C0">
              <w:rPr>
                <w:rFonts w:ascii="Arial" w:eastAsia="MS Mincho" w:hAnsi="Arial" w:cs="Arial"/>
                <w:sz w:val="20"/>
                <w:szCs w:val="20"/>
                <w:lang w:val="en-US" w:eastAsia="zh-CN"/>
              </w:rPr>
              <w:t>Grading according to CTCAE Version 4.0. CTCAE=Common Terminology Criteria for Adverse Events</w:t>
            </w:r>
          </w:p>
        </w:tc>
      </w:tr>
    </w:tbl>
    <w:p w14:paraId="561373DE" w14:textId="0644B84D" w:rsidR="00604B07" w:rsidRPr="00E435A1" w:rsidRDefault="00604B07" w:rsidP="00604B07">
      <w:pPr>
        <w:keepNext/>
        <w:keepLines/>
        <w:spacing w:before="240" w:after="60"/>
        <w:ind w:left="1701" w:hanging="1701"/>
        <w:outlineLvl w:val="5"/>
        <w:rPr>
          <w:rFonts w:eastAsia="MS Gothic"/>
          <w:lang w:val="en-US" w:eastAsia="zh-CN"/>
        </w:rPr>
      </w:pPr>
      <w:bookmarkStart w:id="25" w:name="_Toc454368755"/>
      <w:bookmarkStart w:id="26" w:name="_Toc456881092"/>
      <w:r w:rsidRPr="00E435A1">
        <w:rPr>
          <w:rFonts w:ascii="Arial" w:eastAsia="MS Gothic" w:hAnsi="Arial" w:cs="Arial"/>
          <w:b/>
          <w:sz w:val="22"/>
          <w:szCs w:val="20"/>
          <w:lang w:val="en-US" w:eastAsia="zh-CN"/>
        </w:rPr>
        <w:lastRenderedPageBreak/>
        <w:t xml:space="preserve">Table </w:t>
      </w:r>
      <w:r w:rsidR="00EF3AF2">
        <w:rPr>
          <w:rFonts w:ascii="Arial" w:eastAsia="MS Gothic" w:hAnsi="Arial" w:cs="Arial"/>
          <w:b/>
          <w:sz w:val="22"/>
          <w:szCs w:val="20"/>
          <w:lang w:val="en-US" w:eastAsia="zh-CN"/>
        </w:rPr>
        <w:t>8</w:t>
      </w:r>
      <w:r w:rsidRPr="00E435A1">
        <w:rPr>
          <w:rFonts w:ascii="Arial" w:eastAsia="MS Gothic" w:hAnsi="Arial" w:cs="Arial"/>
          <w:b/>
          <w:sz w:val="22"/>
          <w:szCs w:val="20"/>
          <w:lang w:val="en-US" w:eastAsia="zh-CN"/>
        </w:rPr>
        <w:tab/>
        <w:t>Dose Modification and Management for Other Toxicities*</w:t>
      </w:r>
      <w:bookmarkEnd w:id="25"/>
      <w:bookmarkEnd w:id="26"/>
    </w:p>
    <w:tbl>
      <w:tblPr>
        <w:tblW w:w="0" w:type="auto"/>
        <w:tblLayout w:type="fixed"/>
        <w:tblLook w:val="0000" w:firstRow="0" w:lastRow="0" w:firstColumn="0" w:lastColumn="0" w:noHBand="0" w:noVBand="0"/>
      </w:tblPr>
      <w:tblGrid>
        <w:gridCol w:w="1650"/>
        <w:gridCol w:w="2325"/>
        <w:gridCol w:w="3397"/>
        <w:gridCol w:w="1842"/>
        <w:gridCol w:w="85"/>
      </w:tblGrid>
      <w:tr w:rsidR="00604B07" w:rsidRPr="00F23B69" w14:paraId="5570F581" w14:textId="77777777" w:rsidTr="00152EDF">
        <w:trPr>
          <w:gridAfter w:val="1"/>
          <w:wAfter w:w="85" w:type="dxa"/>
          <w:tblHeader/>
        </w:trPr>
        <w:tc>
          <w:tcPr>
            <w:tcW w:w="1650" w:type="dxa"/>
            <w:tcBorders>
              <w:top w:val="single" w:sz="4" w:space="0" w:color="auto"/>
              <w:bottom w:val="single" w:sz="4" w:space="0" w:color="auto"/>
            </w:tcBorders>
            <w:shd w:val="clear" w:color="auto" w:fill="auto"/>
          </w:tcPr>
          <w:p w14:paraId="3DBA6A2C" w14:textId="5AAE4FC1" w:rsidR="00604B07" w:rsidRPr="0030681C" w:rsidRDefault="00604B07" w:rsidP="00604B07">
            <w:pPr>
              <w:keepLines/>
              <w:tabs>
                <w:tab w:val="left" w:pos="284"/>
              </w:tabs>
              <w:spacing w:before="40" w:after="20"/>
              <w:rPr>
                <w:rFonts w:ascii="Arial" w:eastAsia="MS Mincho" w:hAnsi="Arial" w:cs="Arial"/>
                <w:sz w:val="20"/>
                <w:lang w:val="en-US" w:eastAsia="zh-CN"/>
              </w:rPr>
            </w:pPr>
          </w:p>
        </w:tc>
        <w:tc>
          <w:tcPr>
            <w:tcW w:w="2325" w:type="dxa"/>
            <w:tcBorders>
              <w:top w:val="single" w:sz="4" w:space="0" w:color="auto"/>
              <w:bottom w:val="single" w:sz="4" w:space="0" w:color="auto"/>
            </w:tcBorders>
            <w:shd w:val="clear" w:color="auto" w:fill="auto"/>
          </w:tcPr>
          <w:p w14:paraId="3387F360" w14:textId="77777777" w:rsidR="00604B07" w:rsidRPr="0030681C" w:rsidRDefault="00604B07" w:rsidP="00604B07">
            <w:pPr>
              <w:keepLines/>
              <w:tabs>
                <w:tab w:val="left" w:pos="284"/>
              </w:tabs>
              <w:spacing w:before="40" w:after="20"/>
              <w:rPr>
                <w:rFonts w:ascii="Arial" w:eastAsia="MS Mincho" w:hAnsi="Arial" w:cs="Arial"/>
                <w:b/>
                <w:sz w:val="20"/>
                <w:lang w:val="en-US" w:eastAsia="zh-CN"/>
              </w:rPr>
            </w:pPr>
            <w:r w:rsidRPr="0030681C">
              <w:rPr>
                <w:rFonts w:ascii="Arial" w:eastAsia="MS Mincho" w:hAnsi="Arial" w:cs="Arial"/>
                <w:b/>
                <w:sz w:val="20"/>
                <w:lang w:val="en-US" w:eastAsia="zh-CN"/>
              </w:rPr>
              <w:t>Grade 1 or 2</w:t>
            </w:r>
          </w:p>
        </w:tc>
        <w:tc>
          <w:tcPr>
            <w:tcW w:w="3397" w:type="dxa"/>
            <w:tcBorders>
              <w:top w:val="single" w:sz="4" w:space="0" w:color="auto"/>
              <w:bottom w:val="single" w:sz="4" w:space="0" w:color="auto"/>
            </w:tcBorders>
            <w:shd w:val="clear" w:color="auto" w:fill="auto"/>
          </w:tcPr>
          <w:p w14:paraId="0190781B" w14:textId="77777777" w:rsidR="00604B07" w:rsidRPr="0030681C" w:rsidRDefault="00604B07" w:rsidP="00604B07">
            <w:pPr>
              <w:keepLines/>
              <w:tabs>
                <w:tab w:val="left" w:pos="284"/>
              </w:tabs>
              <w:spacing w:before="40" w:after="20"/>
              <w:rPr>
                <w:rFonts w:ascii="Arial" w:eastAsia="MS Mincho" w:hAnsi="Arial" w:cs="Arial"/>
                <w:b/>
                <w:sz w:val="20"/>
                <w:lang w:val="en-US" w:eastAsia="zh-CN"/>
              </w:rPr>
            </w:pPr>
            <w:r w:rsidRPr="0030681C">
              <w:rPr>
                <w:rFonts w:ascii="Arial" w:eastAsia="MS Mincho" w:hAnsi="Arial" w:cs="Arial"/>
                <w:b/>
                <w:sz w:val="20"/>
                <w:lang w:val="en-US" w:eastAsia="zh-CN"/>
              </w:rPr>
              <w:t>Grade 3</w:t>
            </w:r>
          </w:p>
        </w:tc>
        <w:tc>
          <w:tcPr>
            <w:tcW w:w="1842" w:type="dxa"/>
            <w:tcBorders>
              <w:top w:val="single" w:sz="4" w:space="0" w:color="auto"/>
              <w:bottom w:val="single" w:sz="4" w:space="0" w:color="auto"/>
            </w:tcBorders>
            <w:shd w:val="clear" w:color="auto" w:fill="auto"/>
          </w:tcPr>
          <w:p w14:paraId="1E5C4933" w14:textId="77777777" w:rsidR="00604B07" w:rsidRPr="0030681C" w:rsidRDefault="00604B07" w:rsidP="00604B07">
            <w:pPr>
              <w:keepLines/>
              <w:tabs>
                <w:tab w:val="left" w:pos="284"/>
              </w:tabs>
              <w:spacing w:before="40" w:after="20"/>
              <w:rPr>
                <w:rFonts w:ascii="Arial" w:eastAsia="MS Mincho" w:hAnsi="Arial" w:cs="Arial"/>
                <w:b/>
                <w:sz w:val="20"/>
                <w:lang w:val="en-US" w:eastAsia="zh-CN"/>
              </w:rPr>
            </w:pPr>
            <w:r w:rsidRPr="0030681C">
              <w:rPr>
                <w:rFonts w:ascii="Arial" w:eastAsia="MS Mincho" w:hAnsi="Arial" w:cs="Arial"/>
                <w:b/>
                <w:sz w:val="20"/>
                <w:lang w:val="en-US" w:eastAsia="zh-CN"/>
              </w:rPr>
              <w:t>Grade 4</w:t>
            </w:r>
          </w:p>
        </w:tc>
      </w:tr>
      <w:tr w:rsidR="00604B07" w:rsidRPr="00F23B69" w14:paraId="791169BF" w14:textId="77777777" w:rsidTr="00152EDF">
        <w:trPr>
          <w:gridAfter w:val="1"/>
          <w:wAfter w:w="85" w:type="dxa"/>
        </w:trPr>
        <w:tc>
          <w:tcPr>
            <w:tcW w:w="1650" w:type="dxa"/>
            <w:tcBorders>
              <w:top w:val="single" w:sz="4" w:space="0" w:color="auto"/>
              <w:bottom w:val="single" w:sz="4" w:space="0" w:color="auto"/>
            </w:tcBorders>
            <w:shd w:val="clear" w:color="auto" w:fill="auto"/>
          </w:tcPr>
          <w:p w14:paraId="6987423F" w14:textId="5898F4F0" w:rsidR="00604B07" w:rsidRPr="0030681C" w:rsidRDefault="00B912C0" w:rsidP="00604B07">
            <w:pPr>
              <w:keepLines/>
              <w:tabs>
                <w:tab w:val="left" w:pos="284"/>
              </w:tabs>
              <w:spacing w:before="40" w:after="20"/>
              <w:rPr>
                <w:rFonts w:ascii="Arial" w:eastAsia="MS Mincho" w:hAnsi="Arial" w:cs="Arial"/>
                <w:sz w:val="20"/>
                <w:lang w:val="en-US" w:eastAsia="zh-CN"/>
              </w:rPr>
            </w:pPr>
            <w:r w:rsidRPr="00B912C0">
              <w:rPr>
                <w:rFonts w:ascii="Arial" w:eastAsia="MS Mincho" w:hAnsi="Arial" w:cs="Arial"/>
                <w:sz w:val="20"/>
                <w:lang w:val="en-US" w:eastAsia="zh-CN"/>
              </w:rPr>
              <w:t>Other toxicities</w:t>
            </w:r>
          </w:p>
        </w:tc>
        <w:tc>
          <w:tcPr>
            <w:tcW w:w="2325" w:type="dxa"/>
            <w:tcBorders>
              <w:top w:val="single" w:sz="4" w:space="0" w:color="auto"/>
              <w:bottom w:val="single" w:sz="4" w:space="0" w:color="auto"/>
            </w:tcBorders>
            <w:shd w:val="clear" w:color="auto" w:fill="auto"/>
          </w:tcPr>
          <w:p w14:paraId="05054E18" w14:textId="09C4ACF1" w:rsidR="00604B07" w:rsidRPr="0030681C" w:rsidRDefault="00604B07" w:rsidP="00604B07">
            <w:pPr>
              <w:keepLines/>
              <w:tabs>
                <w:tab w:val="left" w:pos="284"/>
              </w:tabs>
              <w:spacing w:before="40" w:after="20"/>
              <w:rPr>
                <w:rFonts w:ascii="Arial" w:eastAsia="MS Mincho" w:hAnsi="Arial" w:cs="Arial"/>
                <w:sz w:val="20"/>
                <w:lang w:val="en-US" w:eastAsia="zh-CN"/>
              </w:rPr>
            </w:pPr>
            <w:r w:rsidRPr="0030681C">
              <w:rPr>
                <w:rFonts w:ascii="Arial" w:eastAsia="MS Mincho" w:hAnsi="Arial" w:cs="Arial"/>
                <w:sz w:val="20"/>
                <w:lang w:val="en-US" w:eastAsia="zh-CN"/>
              </w:rPr>
              <w:t>No dose adjustment is required. Initiate appropriate medical therapy and m</w:t>
            </w:r>
            <w:r w:rsidR="002E334B">
              <w:rPr>
                <w:rFonts w:ascii="Arial" w:eastAsia="MS Mincho" w:hAnsi="Arial" w:cs="Arial"/>
                <w:sz w:val="20"/>
                <w:lang w:val="en-US" w:eastAsia="zh-CN"/>
              </w:rPr>
              <w:t>onitor as clinically indicated.</w:t>
            </w:r>
          </w:p>
        </w:tc>
        <w:tc>
          <w:tcPr>
            <w:tcW w:w="3397" w:type="dxa"/>
            <w:tcBorders>
              <w:top w:val="single" w:sz="4" w:space="0" w:color="auto"/>
              <w:bottom w:val="single" w:sz="4" w:space="0" w:color="auto"/>
            </w:tcBorders>
            <w:shd w:val="clear" w:color="auto" w:fill="auto"/>
          </w:tcPr>
          <w:p w14:paraId="3791B514" w14:textId="32CD9335" w:rsidR="00604B07" w:rsidRPr="0030681C" w:rsidRDefault="00604B07" w:rsidP="00604B07">
            <w:pPr>
              <w:keepLines/>
              <w:tabs>
                <w:tab w:val="left" w:pos="284"/>
              </w:tabs>
              <w:spacing w:before="40" w:after="20"/>
              <w:rPr>
                <w:rFonts w:ascii="Arial" w:eastAsia="MS Mincho" w:hAnsi="Arial" w:cs="Arial"/>
                <w:sz w:val="20"/>
                <w:lang w:val="en-US" w:eastAsia="zh-CN"/>
              </w:rPr>
            </w:pPr>
            <w:r w:rsidRPr="0030681C">
              <w:rPr>
                <w:rFonts w:ascii="Arial" w:eastAsia="MS Mincho" w:hAnsi="Arial" w:cs="Arial"/>
                <w:sz w:val="20"/>
                <w:lang w:val="en-US" w:eastAsia="zh-CN"/>
              </w:rPr>
              <w:t xml:space="preserve">Dose interruption until recovery to grade ≤1 resume </w:t>
            </w:r>
            <w:r w:rsidR="00291985" w:rsidRPr="0030681C">
              <w:rPr>
                <w:rFonts w:ascii="Arial" w:eastAsia="MS Mincho" w:hAnsi="Arial" w:cs="Arial"/>
                <w:sz w:val="20"/>
                <w:lang w:val="en-US" w:eastAsia="zh-CN"/>
              </w:rPr>
              <w:t>KISQALI</w:t>
            </w:r>
            <w:r w:rsidRPr="0030681C">
              <w:rPr>
                <w:rFonts w:ascii="Arial" w:eastAsia="MS Mincho" w:hAnsi="Arial" w:cs="Arial"/>
                <w:sz w:val="20"/>
                <w:lang w:val="en-US" w:eastAsia="zh-CN"/>
              </w:rPr>
              <w:t xml:space="preserve"> at same dose level.</w:t>
            </w:r>
          </w:p>
          <w:p w14:paraId="6BDC893E" w14:textId="5A907858" w:rsidR="00604B07" w:rsidRPr="0030681C" w:rsidRDefault="00604B07" w:rsidP="00604B07">
            <w:pPr>
              <w:keepLines/>
              <w:tabs>
                <w:tab w:val="left" w:pos="284"/>
              </w:tabs>
              <w:spacing w:before="40" w:after="20"/>
              <w:rPr>
                <w:rFonts w:ascii="Arial" w:eastAsia="MS Mincho" w:hAnsi="Arial" w:cs="Arial"/>
                <w:sz w:val="20"/>
                <w:lang w:val="en-US" w:eastAsia="zh-CN"/>
              </w:rPr>
            </w:pPr>
            <w:r w:rsidRPr="0030681C">
              <w:rPr>
                <w:rFonts w:ascii="Arial" w:eastAsia="MS Mincho" w:hAnsi="Arial" w:cs="Arial"/>
                <w:sz w:val="20"/>
                <w:lang w:val="en-US" w:eastAsia="zh-CN"/>
              </w:rPr>
              <w:t xml:space="preserve">If grade 3 recurs, resume </w:t>
            </w:r>
            <w:r w:rsidR="00291985" w:rsidRPr="0030681C">
              <w:rPr>
                <w:rFonts w:ascii="Arial" w:eastAsia="MS Mincho" w:hAnsi="Arial" w:cs="Arial"/>
                <w:sz w:val="20"/>
                <w:lang w:val="en-US" w:eastAsia="zh-CN"/>
              </w:rPr>
              <w:t>KISQALI</w:t>
            </w:r>
            <w:r w:rsidRPr="0030681C">
              <w:rPr>
                <w:rFonts w:ascii="Arial" w:eastAsia="MS Mincho" w:hAnsi="Arial" w:cs="Arial"/>
                <w:sz w:val="20"/>
                <w:lang w:val="en-US" w:eastAsia="zh-CN"/>
              </w:rPr>
              <w:t xml:space="preserve"> at the next lower dose level.</w:t>
            </w:r>
          </w:p>
        </w:tc>
        <w:tc>
          <w:tcPr>
            <w:tcW w:w="1842" w:type="dxa"/>
            <w:tcBorders>
              <w:top w:val="single" w:sz="4" w:space="0" w:color="auto"/>
              <w:bottom w:val="single" w:sz="4" w:space="0" w:color="auto"/>
            </w:tcBorders>
            <w:shd w:val="clear" w:color="auto" w:fill="auto"/>
          </w:tcPr>
          <w:p w14:paraId="068A0C95" w14:textId="1C22DDB4" w:rsidR="00604B07" w:rsidRPr="0030681C" w:rsidRDefault="00604B07" w:rsidP="00604B07">
            <w:pPr>
              <w:keepLines/>
              <w:tabs>
                <w:tab w:val="left" w:pos="284"/>
              </w:tabs>
              <w:spacing w:before="40" w:after="20"/>
              <w:rPr>
                <w:rFonts w:ascii="Arial" w:eastAsia="MS Mincho" w:hAnsi="Arial" w:cs="Arial"/>
                <w:sz w:val="20"/>
                <w:lang w:val="en-US" w:eastAsia="zh-CN"/>
              </w:rPr>
            </w:pPr>
            <w:r w:rsidRPr="0030681C">
              <w:rPr>
                <w:rFonts w:ascii="Arial" w:eastAsia="MS Mincho" w:hAnsi="Arial" w:cs="Arial"/>
                <w:sz w:val="20"/>
                <w:lang w:val="en-US" w:eastAsia="zh-CN"/>
              </w:rPr>
              <w:t xml:space="preserve">Discontinue </w:t>
            </w:r>
            <w:r w:rsidR="00291985" w:rsidRPr="0030681C">
              <w:rPr>
                <w:rFonts w:ascii="Arial" w:eastAsia="MS Mincho" w:hAnsi="Arial" w:cs="Arial"/>
                <w:sz w:val="20"/>
                <w:lang w:val="en-US" w:eastAsia="zh-CN"/>
              </w:rPr>
              <w:t>KISQALI</w:t>
            </w:r>
            <w:r w:rsidRPr="0030681C">
              <w:rPr>
                <w:rFonts w:ascii="Arial" w:eastAsia="MS Mincho" w:hAnsi="Arial" w:cs="Arial"/>
                <w:sz w:val="20"/>
                <w:lang w:val="en-US" w:eastAsia="zh-CN"/>
              </w:rPr>
              <w:t>.</w:t>
            </w:r>
          </w:p>
        </w:tc>
      </w:tr>
      <w:tr w:rsidR="00604B07" w:rsidRPr="00604B07" w14:paraId="3487F641" w14:textId="77777777" w:rsidTr="00B912C0">
        <w:tc>
          <w:tcPr>
            <w:tcW w:w="9299" w:type="dxa"/>
            <w:gridSpan w:val="5"/>
            <w:tcBorders>
              <w:top w:val="single" w:sz="4" w:space="0" w:color="auto"/>
              <w:bottom w:val="single" w:sz="4" w:space="0" w:color="auto"/>
            </w:tcBorders>
            <w:shd w:val="clear" w:color="auto" w:fill="auto"/>
          </w:tcPr>
          <w:p w14:paraId="2C12B861" w14:textId="6C367BDF" w:rsidR="00604B07" w:rsidRPr="000D0D1E" w:rsidRDefault="00604B07" w:rsidP="00604B07">
            <w:pPr>
              <w:keepLines/>
              <w:tabs>
                <w:tab w:val="left" w:pos="284"/>
              </w:tabs>
              <w:spacing w:before="40" w:after="20"/>
              <w:rPr>
                <w:rFonts w:eastAsia="MS Mincho" w:cs="Arial"/>
                <w:sz w:val="20"/>
                <w:szCs w:val="20"/>
                <w:lang w:val="en-US" w:eastAsia="zh-CN"/>
              </w:rPr>
            </w:pPr>
            <w:r w:rsidRPr="000D0D1E">
              <w:rPr>
                <w:rFonts w:ascii="Arial" w:eastAsia="MS Mincho" w:hAnsi="Arial" w:cs="Arial"/>
                <w:b/>
                <w:sz w:val="20"/>
                <w:szCs w:val="20"/>
                <w:lang w:val="en-US" w:eastAsia="zh-CN"/>
              </w:rPr>
              <w:t>*</w:t>
            </w:r>
            <w:r w:rsidRPr="000D0D1E">
              <w:rPr>
                <w:rFonts w:ascii="Arial" w:eastAsia="MS Mincho" w:hAnsi="Arial" w:cs="Arial"/>
                <w:sz w:val="20"/>
                <w:szCs w:val="20"/>
                <w:lang w:val="en-US" w:eastAsia="zh-CN"/>
              </w:rPr>
              <w:t xml:space="preserve">excluding </w:t>
            </w:r>
            <w:r w:rsidR="002F1E84" w:rsidRPr="000D0D1E">
              <w:rPr>
                <w:rFonts w:ascii="Arial" w:eastAsia="MS Mincho" w:hAnsi="Arial" w:cs="Arial"/>
                <w:sz w:val="20"/>
                <w:szCs w:val="20"/>
                <w:lang w:val="en-US" w:eastAsia="zh-CN"/>
              </w:rPr>
              <w:t>neutropenia</w:t>
            </w:r>
            <w:r w:rsidRPr="000D0D1E">
              <w:rPr>
                <w:rFonts w:ascii="Arial" w:eastAsia="MS Mincho" w:hAnsi="Arial" w:cs="Arial"/>
                <w:sz w:val="20"/>
                <w:szCs w:val="20"/>
                <w:lang w:val="en-US" w:eastAsia="zh-CN"/>
              </w:rPr>
              <w:t xml:space="preserve">, </w:t>
            </w:r>
            <w:r w:rsidR="00E43D0B" w:rsidRPr="000D0D1E">
              <w:rPr>
                <w:rFonts w:ascii="Arial" w:eastAsia="MS Mincho" w:hAnsi="Arial" w:cs="Arial"/>
                <w:sz w:val="20"/>
                <w:szCs w:val="20"/>
                <w:lang w:val="en-US" w:eastAsia="zh-CN"/>
              </w:rPr>
              <w:t xml:space="preserve">febrile neutropenia, </w:t>
            </w:r>
            <w:r w:rsidR="00676FBA" w:rsidRPr="000D0D1E">
              <w:rPr>
                <w:rFonts w:ascii="Arial" w:eastAsia="MS Mincho" w:hAnsi="Arial" w:cs="Arial"/>
                <w:sz w:val="20"/>
                <w:szCs w:val="20"/>
                <w:lang w:val="en-US" w:eastAsia="zh-CN"/>
              </w:rPr>
              <w:t>hepatobiliary toxicity</w:t>
            </w:r>
            <w:r w:rsidRPr="000D0D1E">
              <w:rPr>
                <w:rFonts w:ascii="Arial" w:eastAsia="MS Mincho" w:hAnsi="Arial" w:cs="Arial"/>
                <w:sz w:val="20"/>
                <w:szCs w:val="20"/>
                <w:lang w:val="en-US" w:eastAsia="zh-CN"/>
              </w:rPr>
              <w:t>, and QT interval prolongation.</w:t>
            </w:r>
          </w:p>
          <w:p w14:paraId="65381B9B" w14:textId="77777777" w:rsidR="00604B07" w:rsidRPr="000D0D1E" w:rsidRDefault="00604B07" w:rsidP="00604B07">
            <w:pPr>
              <w:spacing w:before="40"/>
              <w:rPr>
                <w:rFonts w:eastAsia="MS Mincho"/>
                <w:sz w:val="20"/>
                <w:szCs w:val="20"/>
                <w:lang w:val="en-US" w:eastAsia="zh-CN"/>
              </w:rPr>
            </w:pPr>
            <w:r w:rsidRPr="000D0D1E">
              <w:rPr>
                <w:rFonts w:ascii="Arial" w:eastAsia="MS Mincho" w:hAnsi="Arial" w:cs="Arial"/>
                <w:sz w:val="20"/>
                <w:szCs w:val="20"/>
                <w:lang w:val="en-US" w:eastAsia="zh-CN"/>
              </w:rPr>
              <w:t>Grading according to CTCAE Version 4.03. CTCAE=Common Terminology Criteria for Adverse Events.</w:t>
            </w:r>
          </w:p>
        </w:tc>
      </w:tr>
    </w:tbl>
    <w:p w14:paraId="21310013" w14:textId="5B93D73C" w:rsidR="00604B07" w:rsidRDefault="002F1E84" w:rsidP="00D76CF5">
      <w:pPr>
        <w:widowControl w:val="0"/>
        <w:spacing w:before="120"/>
        <w:jc w:val="both"/>
        <w:rPr>
          <w:color w:val="000000"/>
          <w:sz w:val="23"/>
          <w:szCs w:val="23"/>
          <w:lang w:val="en-US" w:eastAsia="en-US"/>
        </w:rPr>
      </w:pPr>
      <w:r w:rsidRPr="002F1E84">
        <w:rPr>
          <w:color w:val="000000"/>
          <w:sz w:val="23"/>
          <w:szCs w:val="23"/>
          <w:lang w:val="en-US" w:eastAsia="en-US"/>
        </w:rPr>
        <w:t xml:space="preserve">Refer to the </w:t>
      </w:r>
      <w:r>
        <w:rPr>
          <w:color w:val="000000"/>
          <w:sz w:val="23"/>
          <w:szCs w:val="23"/>
          <w:lang w:val="en-US" w:eastAsia="en-US"/>
        </w:rPr>
        <w:t>PI</w:t>
      </w:r>
      <w:r w:rsidRPr="002F1E84">
        <w:rPr>
          <w:color w:val="000000"/>
          <w:sz w:val="23"/>
          <w:szCs w:val="23"/>
          <w:lang w:val="en-US" w:eastAsia="en-US"/>
        </w:rPr>
        <w:t xml:space="preserve"> for the co administered aromatase inhibitor for dose modification guidelines and other relevant safety information in the event of toxicity.</w:t>
      </w:r>
    </w:p>
    <w:p w14:paraId="4A1CB10F" w14:textId="046C1226" w:rsidR="00604B07" w:rsidRPr="00604B07" w:rsidRDefault="00604B07" w:rsidP="00AB3E9F">
      <w:pPr>
        <w:spacing w:after="80" w:line="300" w:lineRule="atLeast"/>
        <w:rPr>
          <w:b/>
          <w:lang w:val="en-GB"/>
        </w:rPr>
      </w:pPr>
      <w:r w:rsidRPr="00604B07">
        <w:rPr>
          <w:b/>
          <w:lang w:val="en-GB"/>
        </w:rPr>
        <w:t xml:space="preserve">Dose modification for use of </w:t>
      </w:r>
      <w:r w:rsidR="00291985">
        <w:rPr>
          <w:b/>
          <w:lang w:val="en-GB"/>
        </w:rPr>
        <w:t>KISQALI</w:t>
      </w:r>
      <w:r w:rsidR="00D76CF5">
        <w:rPr>
          <w:b/>
          <w:lang w:val="en-GB"/>
        </w:rPr>
        <w:t xml:space="preserve"> with strong CYP3A inhibitors</w:t>
      </w:r>
    </w:p>
    <w:p w14:paraId="1A9B39C3" w14:textId="676E90D5" w:rsidR="00754364" w:rsidRDefault="00604B07" w:rsidP="00754364">
      <w:pPr>
        <w:widowControl w:val="0"/>
        <w:spacing w:before="120"/>
        <w:jc w:val="both"/>
        <w:rPr>
          <w:rFonts w:eastAsia="MS Mincho"/>
          <w:szCs w:val="20"/>
          <w:lang w:val="en-US" w:eastAsia="zh-CN"/>
        </w:rPr>
      </w:pPr>
      <w:r w:rsidRPr="00604B07">
        <w:rPr>
          <w:rFonts w:eastAsia="MS Mincho"/>
          <w:szCs w:val="20"/>
          <w:lang w:val="en-US" w:eastAsia="zh-CN"/>
        </w:rPr>
        <w:t xml:space="preserve">Avoid concomitant use of </w:t>
      </w:r>
      <w:r w:rsidR="00291985">
        <w:rPr>
          <w:rFonts w:eastAsia="MS Mincho"/>
          <w:szCs w:val="20"/>
          <w:lang w:val="en-US" w:eastAsia="zh-CN"/>
        </w:rPr>
        <w:t>KISQALI</w:t>
      </w:r>
      <w:r w:rsidRPr="00604B07">
        <w:rPr>
          <w:rFonts w:eastAsia="MS Mincho"/>
          <w:szCs w:val="20"/>
          <w:lang w:val="en-US" w:eastAsia="zh-CN"/>
        </w:rPr>
        <w:t xml:space="preserve"> with strong CYP3A inhibitors and consider an alternative concomitant medication with less potential for CYP3A inhibition</w:t>
      </w:r>
      <w:r w:rsidR="009D339C">
        <w:rPr>
          <w:rFonts w:eastAsia="MS Mincho"/>
          <w:szCs w:val="20"/>
          <w:lang w:val="en-US" w:eastAsia="zh-CN"/>
        </w:rPr>
        <w:t xml:space="preserve">. </w:t>
      </w:r>
      <w:r w:rsidRPr="00604B07">
        <w:rPr>
          <w:rFonts w:eastAsia="MS Mincho"/>
          <w:szCs w:val="20"/>
          <w:lang w:val="en-US" w:eastAsia="zh-CN"/>
        </w:rPr>
        <w:t xml:space="preserve">If a strong CYP3A inhibitor must be co-administered, reduce the </w:t>
      </w:r>
      <w:r w:rsidR="00291985">
        <w:rPr>
          <w:rFonts w:eastAsia="MS Mincho"/>
          <w:szCs w:val="20"/>
          <w:lang w:val="en-US" w:eastAsia="zh-CN"/>
        </w:rPr>
        <w:t>KISQALI</w:t>
      </w:r>
      <w:r w:rsidRPr="00604B07">
        <w:rPr>
          <w:rFonts w:eastAsia="MS Mincho"/>
          <w:szCs w:val="20"/>
          <w:lang w:val="en-US" w:eastAsia="zh-CN"/>
        </w:rPr>
        <w:t xml:space="preserve"> dose to 200 mg once daily</w:t>
      </w:r>
      <w:r w:rsidR="00D76CF5">
        <w:rPr>
          <w:rFonts w:eastAsia="MS Mincho"/>
          <w:szCs w:val="20"/>
          <w:lang w:val="en-US" w:eastAsia="zh-CN"/>
        </w:rPr>
        <w:t>.</w:t>
      </w:r>
    </w:p>
    <w:p w14:paraId="655EF767" w14:textId="70770C73" w:rsidR="003D1EA8" w:rsidRPr="0069233F" w:rsidRDefault="00C86FA0" w:rsidP="002F1E84">
      <w:pPr>
        <w:widowControl w:val="0"/>
        <w:spacing w:before="120"/>
        <w:jc w:val="both"/>
        <w:rPr>
          <w:rFonts w:eastAsia="MS Mincho"/>
          <w:szCs w:val="20"/>
          <w:lang w:val="en-US" w:eastAsia="zh-CN"/>
        </w:rPr>
      </w:pPr>
      <w:r w:rsidRPr="0069233F">
        <w:rPr>
          <w:rFonts w:eastAsia="MS Mincho"/>
          <w:szCs w:val="20"/>
          <w:lang w:val="en-US" w:eastAsia="zh-CN"/>
        </w:rPr>
        <w:t xml:space="preserve">Due to inter-patient variability, the recommended dose adjustments may not be optimal in all patients, therefore close monitoring of signs of toxicity </w:t>
      </w:r>
      <w:proofErr w:type="gramStart"/>
      <w:r w:rsidRPr="0069233F">
        <w:rPr>
          <w:rFonts w:eastAsia="MS Mincho"/>
          <w:szCs w:val="20"/>
          <w:lang w:val="en-US" w:eastAsia="zh-CN"/>
        </w:rPr>
        <w:t>is recommended</w:t>
      </w:r>
      <w:proofErr w:type="gramEnd"/>
      <w:r w:rsidRPr="0069233F">
        <w:rPr>
          <w:rFonts w:eastAsia="MS Mincho"/>
          <w:szCs w:val="20"/>
          <w:lang w:val="en-US" w:eastAsia="zh-CN"/>
        </w:rPr>
        <w:t xml:space="preserve">. </w:t>
      </w:r>
      <w:r w:rsidR="00604B07" w:rsidRPr="00604B07">
        <w:rPr>
          <w:rFonts w:eastAsia="MS Mincho"/>
          <w:szCs w:val="20"/>
          <w:lang w:val="en-US" w:eastAsia="zh-CN"/>
        </w:rPr>
        <w:t xml:space="preserve">If the strong inhibitor is discontinued, the </w:t>
      </w:r>
      <w:r w:rsidR="00291985">
        <w:rPr>
          <w:rFonts w:eastAsia="MS Mincho"/>
          <w:szCs w:val="20"/>
          <w:lang w:val="en-US" w:eastAsia="zh-CN"/>
        </w:rPr>
        <w:t>KISQALI</w:t>
      </w:r>
      <w:r w:rsidR="00604B07" w:rsidRPr="00604B07">
        <w:rPr>
          <w:rFonts w:eastAsia="MS Mincho"/>
          <w:szCs w:val="20"/>
          <w:lang w:val="en-US" w:eastAsia="zh-CN"/>
        </w:rPr>
        <w:t xml:space="preserve"> </w:t>
      </w:r>
      <w:r w:rsidR="00065A78" w:rsidRPr="00604B07">
        <w:rPr>
          <w:rFonts w:eastAsia="MS Mincho"/>
          <w:szCs w:val="20"/>
          <w:lang w:val="en-US" w:eastAsia="zh-CN"/>
        </w:rPr>
        <w:t>dose should</w:t>
      </w:r>
      <w:r w:rsidR="00604B07" w:rsidRPr="00604B07">
        <w:rPr>
          <w:rFonts w:eastAsia="MS Mincho"/>
          <w:szCs w:val="20"/>
          <w:lang w:val="en-US" w:eastAsia="zh-CN"/>
        </w:rPr>
        <w:t xml:space="preserve"> be changed (after </w:t>
      </w:r>
      <w:proofErr w:type="gramStart"/>
      <w:r w:rsidR="00604B07" w:rsidRPr="00604B07">
        <w:rPr>
          <w:rFonts w:eastAsia="MS Mincho"/>
          <w:szCs w:val="20"/>
          <w:lang w:val="en-US" w:eastAsia="zh-CN"/>
        </w:rPr>
        <w:t>5</w:t>
      </w:r>
      <w:proofErr w:type="gramEnd"/>
      <w:r w:rsidR="00604B07" w:rsidRPr="00604B07">
        <w:rPr>
          <w:rFonts w:eastAsia="MS Mincho"/>
          <w:szCs w:val="20"/>
          <w:lang w:val="en-US" w:eastAsia="zh-CN"/>
        </w:rPr>
        <w:t xml:space="preserve"> half-lives of the strong CYP3A inhibitor) to the dose used prior to the initiation of the strong CYP3A inhibitor</w:t>
      </w:r>
      <w:r w:rsidR="00291985">
        <w:rPr>
          <w:rFonts w:eastAsia="MS Mincho"/>
          <w:szCs w:val="20"/>
          <w:lang w:val="en-US" w:eastAsia="zh-CN"/>
        </w:rPr>
        <w:t xml:space="preserve"> (</w:t>
      </w:r>
      <w:r w:rsidR="00604B07" w:rsidRPr="0069233F">
        <w:rPr>
          <w:rFonts w:eastAsia="MS Mincho"/>
          <w:szCs w:val="20"/>
          <w:lang w:val="en-US" w:eastAsia="zh-CN"/>
        </w:rPr>
        <w:t xml:space="preserve">see </w:t>
      </w:r>
      <w:r w:rsidR="00291985" w:rsidRPr="0069233F">
        <w:rPr>
          <w:rFonts w:eastAsia="MS Mincho"/>
          <w:szCs w:val="20"/>
          <w:lang w:val="en-US" w:eastAsia="zh-CN"/>
        </w:rPr>
        <w:t>PRECAUTIONS</w:t>
      </w:r>
      <w:r w:rsidR="00604B07" w:rsidRPr="0069233F">
        <w:rPr>
          <w:rFonts w:eastAsia="MS Mincho"/>
          <w:szCs w:val="20"/>
          <w:lang w:val="en-US" w:eastAsia="zh-CN"/>
        </w:rPr>
        <w:t xml:space="preserve">, </w:t>
      </w:r>
      <w:r w:rsidR="00291985" w:rsidRPr="0069233F">
        <w:rPr>
          <w:rFonts w:eastAsia="MS Mincho"/>
          <w:szCs w:val="20"/>
          <w:lang w:val="en-US" w:eastAsia="zh-CN"/>
        </w:rPr>
        <w:t xml:space="preserve">INTERACTIONS WITH OTHER MEDICINES, </w:t>
      </w:r>
      <w:r w:rsidR="00604B07" w:rsidRPr="0069233F">
        <w:rPr>
          <w:rFonts w:eastAsia="MS Mincho"/>
          <w:szCs w:val="20"/>
          <w:lang w:val="en-US" w:eastAsia="zh-CN"/>
        </w:rPr>
        <w:t xml:space="preserve">and </w:t>
      </w:r>
      <w:r w:rsidR="00291985" w:rsidRPr="0069233F">
        <w:rPr>
          <w:rFonts w:eastAsia="MS Mincho"/>
          <w:szCs w:val="20"/>
          <w:lang w:val="en-US" w:eastAsia="zh-CN"/>
        </w:rPr>
        <w:t>PHARMACOLOGY</w:t>
      </w:r>
      <w:r w:rsidR="00D76CF5">
        <w:rPr>
          <w:rFonts w:eastAsia="MS Mincho"/>
          <w:szCs w:val="20"/>
          <w:lang w:val="en-US" w:eastAsia="zh-CN"/>
        </w:rPr>
        <w:t>).</w:t>
      </w:r>
    </w:p>
    <w:p w14:paraId="5553BD64" w14:textId="2B4D5870" w:rsidR="00886762" w:rsidRPr="004553F8" w:rsidRDefault="002606DF" w:rsidP="00D04085">
      <w:pPr>
        <w:pStyle w:val="NoNumHead4"/>
        <w:widowControl w:val="0"/>
        <w:spacing w:before="60" w:after="120" w:line="300" w:lineRule="atLeast"/>
        <w:jc w:val="both"/>
        <w:rPr>
          <w:rFonts w:ascii="Times New Roman" w:hAnsi="Times New Roman"/>
          <w:sz w:val="24"/>
          <w:u w:val="single"/>
        </w:rPr>
      </w:pPr>
      <w:r>
        <w:rPr>
          <w:rFonts w:ascii="Times New Roman" w:hAnsi="Times New Roman"/>
          <w:sz w:val="24"/>
          <w:szCs w:val="24"/>
          <w:u w:val="single"/>
        </w:rPr>
        <w:t xml:space="preserve">Special </w:t>
      </w:r>
      <w:r w:rsidR="00886762" w:rsidRPr="004553F8">
        <w:rPr>
          <w:rFonts w:ascii="Times New Roman" w:hAnsi="Times New Roman"/>
          <w:sz w:val="24"/>
          <w:u w:val="single"/>
        </w:rPr>
        <w:t>Populations</w:t>
      </w:r>
    </w:p>
    <w:p w14:paraId="3F9AD66B" w14:textId="77777777" w:rsidR="00336927" w:rsidRPr="004553F8" w:rsidRDefault="00336927" w:rsidP="0069233F">
      <w:pPr>
        <w:pStyle w:val="NoNumHead4"/>
        <w:spacing w:before="0" w:after="0"/>
        <w:jc w:val="both"/>
        <w:rPr>
          <w:rFonts w:ascii="Times New Roman" w:hAnsi="Times New Roman"/>
          <w:sz w:val="24"/>
        </w:rPr>
      </w:pPr>
      <w:r w:rsidRPr="004553F8">
        <w:rPr>
          <w:rFonts w:ascii="Times New Roman" w:hAnsi="Times New Roman"/>
          <w:sz w:val="24"/>
        </w:rPr>
        <w:t>Renal Impairment</w:t>
      </w:r>
    </w:p>
    <w:p w14:paraId="4B89D186" w14:textId="4820EF5A" w:rsidR="000A0073" w:rsidRPr="000A0073" w:rsidRDefault="000A0073" w:rsidP="0069233F">
      <w:pPr>
        <w:jc w:val="both"/>
        <w:rPr>
          <w:rFonts w:eastAsia="MS Mincho"/>
          <w:i/>
          <w:szCs w:val="20"/>
          <w:lang w:val="en-US" w:eastAsia="zh-CN"/>
        </w:rPr>
      </w:pPr>
      <w:r w:rsidRPr="000A0073">
        <w:rPr>
          <w:rFonts w:eastAsia="MS Mincho"/>
          <w:szCs w:val="20"/>
          <w:lang w:val="en-US" w:eastAsia="zh-CN"/>
        </w:rPr>
        <w:t xml:space="preserve">No dose adjustment is necessary in patients with mild or moderate renal impairment (see PHARMACOLOGY). </w:t>
      </w:r>
      <w:r w:rsidR="00F23B69" w:rsidRPr="00F23B69">
        <w:rPr>
          <w:rFonts w:eastAsia="MS Mincho"/>
          <w:szCs w:val="20"/>
          <w:lang w:val="en-US" w:eastAsia="zh-CN"/>
        </w:rPr>
        <w:t xml:space="preserve">There is limited experience in patients with moderate renal impairment and no experience in patients with </w:t>
      </w:r>
      <w:proofErr w:type="gramStart"/>
      <w:r w:rsidR="00F23B69" w:rsidRPr="00F23B69">
        <w:rPr>
          <w:rFonts w:eastAsia="MS Mincho"/>
          <w:szCs w:val="20"/>
          <w:lang w:val="en-US" w:eastAsia="zh-CN"/>
        </w:rPr>
        <w:t xml:space="preserve">severe renal failure or who require </w:t>
      </w:r>
      <w:proofErr w:type="spellStart"/>
      <w:r w:rsidR="00F23B69" w:rsidRPr="00F23B69">
        <w:rPr>
          <w:rFonts w:eastAsia="MS Mincho"/>
          <w:szCs w:val="20"/>
          <w:lang w:val="en-US" w:eastAsia="zh-CN"/>
        </w:rPr>
        <w:t>haemodialysis</w:t>
      </w:r>
      <w:proofErr w:type="spellEnd"/>
      <w:r w:rsidR="00F23B69" w:rsidRPr="00F23B69">
        <w:rPr>
          <w:rFonts w:eastAsia="MS Mincho"/>
          <w:szCs w:val="20"/>
          <w:lang w:val="en-US" w:eastAsia="zh-CN"/>
        </w:rPr>
        <w:t xml:space="preserve"> with the use of KISQ</w:t>
      </w:r>
      <w:r w:rsidR="00FA1389">
        <w:rPr>
          <w:rFonts w:eastAsia="MS Mincho"/>
          <w:szCs w:val="20"/>
          <w:lang w:val="en-US" w:eastAsia="zh-CN"/>
        </w:rPr>
        <w:t>A</w:t>
      </w:r>
      <w:r w:rsidR="00F23B69" w:rsidRPr="00F23B69">
        <w:rPr>
          <w:rFonts w:eastAsia="MS Mincho"/>
          <w:szCs w:val="20"/>
          <w:lang w:val="en-US" w:eastAsia="zh-CN"/>
        </w:rPr>
        <w:t>LI</w:t>
      </w:r>
      <w:proofErr w:type="gramEnd"/>
      <w:r w:rsidR="00F23B69" w:rsidRPr="00F23B69">
        <w:rPr>
          <w:rFonts w:eastAsia="MS Mincho"/>
          <w:szCs w:val="20"/>
          <w:lang w:val="en-US" w:eastAsia="zh-CN"/>
        </w:rPr>
        <w:t xml:space="preserve">. </w:t>
      </w:r>
      <w:r w:rsidRPr="000A0073">
        <w:rPr>
          <w:rFonts w:eastAsia="MS Mincho"/>
          <w:szCs w:val="20"/>
          <w:lang w:val="en-US" w:eastAsia="zh-CN"/>
        </w:rPr>
        <w:t xml:space="preserve">Caution </w:t>
      </w:r>
      <w:r w:rsidR="00FA1389">
        <w:rPr>
          <w:rFonts w:eastAsia="MS Mincho"/>
          <w:szCs w:val="20"/>
          <w:lang w:val="en-US" w:eastAsia="zh-CN"/>
        </w:rPr>
        <w:t xml:space="preserve">and close monitoring for toxicity </w:t>
      </w:r>
      <w:proofErr w:type="gramStart"/>
      <w:r w:rsidRPr="000A0073">
        <w:rPr>
          <w:rFonts w:eastAsia="MS Mincho"/>
          <w:szCs w:val="20"/>
          <w:lang w:val="en-US" w:eastAsia="zh-CN"/>
        </w:rPr>
        <w:t>should be used</w:t>
      </w:r>
      <w:proofErr w:type="gramEnd"/>
      <w:r w:rsidRPr="000A0073">
        <w:rPr>
          <w:rFonts w:eastAsia="MS Mincho"/>
          <w:szCs w:val="20"/>
          <w:lang w:val="en-US" w:eastAsia="zh-CN"/>
        </w:rPr>
        <w:t xml:space="preserve"> in patients with severe renal impairment</w:t>
      </w:r>
      <w:r w:rsidR="004B73D8">
        <w:rPr>
          <w:rFonts w:eastAsia="MS Mincho"/>
          <w:szCs w:val="20"/>
          <w:lang w:val="en-US" w:eastAsia="zh-CN"/>
        </w:rPr>
        <w:t>.</w:t>
      </w:r>
      <w:r w:rsidRPr="000A0073">
        <w:rPr>
          <w:rFonts w:eastAsia="MS Mincho"/>
          <w:szCs w:val="20"/>
          <w:lang w:val="en-US" w:eastAsia="zh-CN"/>
        </w:rPr>
        <w:t xml:space="preserve"> </w:t>
      </w:r>
    </w:p>
    <w:p w14:paraId="511C6201" w14:textId="77777777" w:rsidR="00336927" w:rsidRDefault="00336927" w:rsidP="008536D4">
      <w:pPr>
        <w:pStyle w:val="NoNumHead4"/>
        <w:spacing w:before="60" w:after="0"/>
        <w:jc w:val="both"/>
        <w:rPr>
          <w:rFonts w:ascii="Times New Roman" w:hAnsi="Times New Roman"/>
          <w:sz w:val="24"/>
        </w:rPr>
      </w:pPr>
      <w:r w:rsidRPr="004553F8">
        <w:rPr>
          <w:rFonts w:ascii="Times New Roman" w:hAnsi="Times New Roman"/>
          <w:sz w:val="24"/>
        </w:rPr>
        <w:t>Hepatic Impairment</w:t>
      </w:r>
    </w:p>
    <w:p w14:paraId="3B59D764" w14:textId="585F9BAF" w:rsidR="000A0073" w:rsidRPr="0069233F" w:rsidRDefault="00F23B69" w:rsidP="0069233F">
      <w:pPr>
        <w:jc w:val="both"/>
        <w:rPr>
          <w:rFonts w:eastAsia="MS Mincho"/>
          <w:szCs w:val="20"/>
          <w:lang w:val="en-US" w:eastAsia="zh-CN"/>
        </w:rPr>
      </w:pPr>
      <w:r w:rsidRPr="0069233F">
        <w:rPr>
          <w:rFonts w:eastAsia="MS Mincho"/>
          <w:szCs w:val="20"/>
          <w:lang w:val="en-US" w:eastAsia="zh-CN"/>
        </w:rPr>
        <w:t>A</w:t>
      </w:r>
      <w:r w:rsidR="003122D0" w:rsidRPr="0069233F">
        <w:rPr>
          <w:rFonts w:eastAsia="MS Mincho"/>
          <w:szCs w:val="20"/>
          <w:lang w:val="en-US" w:eastAsia="zh-CN"/>
        </w:rPr>
        <w:t xml:space="preserve"> </w:t>
      </w:r>
      <w:r w:rsidR="002F1E84" w:rsidRPr="0069233F">
        <w:rPr>
          <w:rFonts w:eastAsia="MS Mincho"/>
          <w:szCs w:val="20"/>
          <w:lang w:val="en-US" w:eastAsia="zh-CN"/>
        </w:rPr>
        <w:t>pharmacokinetic</w:t>
      </w:r>
      <w:r w:rsidR="000A0073" w:rsidRPr="0069233F">
        <w:rPr>
          <w:rFonts w:eastAsia="MS Mincho"/>
          <w:szCs w:val="20"/>
          <w:lang w:val="en-US" w:eastAsia="zh-CN"/>
        </w:rPr>
        <w:t xml:space="preserve"> study in healthy subjects and non-cancer subjects with impaired hepatic function</w:t>
      </w:r>
      <w:r w:rsidRPr="0069233F">
        <w:rPr>
          <w:rFonts w:eastAsia="MS Mincho"/>
          <w:szCs w:val="20"/>
          <w:lang w:val="en-US" w:eastAsia="zh-CN"/>
        </w:rPr>
        <w:t xml:space="preserve"> found that</w:t>
      </w:r>
      <w:r w:rsidR="000A0073" w:rsidRPr="0069233F">
        <w:rPr>
          <w:rFonts w:eastAsia="MS Mincho"/>
          <w:szCs w:val="20"/>
          <w:lang w:val="en-US" w:eastAsia="zh-CN"/>
        </w:rPr>
        <w:t xml:space="preserve"> no dose adjustment is necessary in patients with mild hepatic impairment (Child-Pugh class A). A dose adjustment is required in patients with moderate (Child-Pugh class B) and severe hepatic impairment (Child-Pugh class C) </w:t>
      </w:r>
      <w:r w:rsidR="00825E85" w:rsidRPr="0069233F">
        <w:rPr>
          <w:rFonts w:eastAsia="MS Mincho"/>
          <w:szCs w:val="20"/>
          <w:lang w:val="en-US" w:eastAsia="zh-CN"/>
        </w:rPr>
        <w:t xml:space="preserve">can have increased (less than two-fold) exposure to </w:t>
      </w:r>
      <w:proofErr w:type="spellStart"/>
      <w:r w:rsidR="00825E85" w:rsidRPr="0069233F">
        <w:rPr>
          <w:rFonts w:eastAsia="MS Mincho"/>
          <w:szCs w:val="20"/>
          <w:lang w:val="en-US" w:eastAsia="zh-CN"/>
        </w:rPr>
        <w:t>ribociclib</w:t>
      </w:r>
      <w:proofErr w:type="spellEnd"/>
      <w:r w:rsidR="00825E85" w:rsidRPr="0069233F">
        <w:rPr>
          <w:rFonts w:eastAsia="MS Mincho"/>
          <w:szCs w:val="20"/>
          <w:lang w:val="en-US" w:eastAsia="zh-CN"/>
        </w:rPr>
        <w:t xml:space="preserve">, </w:t>
      </w:r>
      <w:r w:rsidR="000A0073" w:rsidRPr="0069233F">
        <w:rPr>
          <w:rFonts w:eastAsia="MS Mincho"/>
          <w:szCs w:val="20"/>
          <w:lang w:val="en-US" w:eastAsia="zh-CN"/>
        </w:rPr>
        <w:t xml:space="preserve">and the starting dose of </w:t>
      </w:r>
      <w:proofErr w:type="spellStart"/>
      <w:r w:rsidR="00825E85" w:rsidRPr="0069233F">
        <w:rPr>
          <w:rFonts w:eastAsia="MS Mincho"/>
          <w:szCs w:val="20"/>
          <w:lang w:val="en-US" w:eastAsia="zh-CN"/>
        </w:rPr>
        <w:t>Kisqali</w:t>
      </w:r>
      <w:proofErr w:type="spellEnd"/>
      <w:r w:rsidR="00825E85" w:rsidRPr="0069233F">
        <w:rPr>
          <w:rFonts w:eastAsia="MS Mincho"/>
          <w:szCs w:val="20"/>
          <w:lang w:val="en-US" w:eastAsia="zh-CN"/>
        </w:rPr>
        <w:t xml:space="preserve"> </w:t>
      </w:r>
      <w:r w:rsidR="000A0073" w:rsidRPr="0069233F">
        <w:rPr>
          <w:rFonts w:eastAsia="MS Mincho"/>
          <w:szCs w:val="20"/>
          <w:lang w:val="en-US" w:eastAsia="zh-CN"/>
        </w:rPr>
        <w:t>400 mg</w:t>
      </w:r>
      <w:r w:rsidR="00825E85" w:rsidRPr="0069233F">
        <w:rPr>
          <w:rFonts w:eastAsia="MS Mincho"/>
          <w:szCs w:val="20"/>
          <w:lang w:val="en-US" w:eastAsia="zh-CN"/>
        </w:rPr>
        <w:t xml:space="preserve"> once daily</w:t>
      </w:r>
      <w:r w:rsidR="000A0073" w:rsidRPr="0069233F">
        <w:rPr>
          <w:rFonts w:eastAsia="MS Mincho"/>
          <w:szCs w:val="20"/>
          <w:lang w:val="en-US" w:eastAsia="zh-CN"/>
        </w:rPr>
        <w:t xml:space="preserve"> is recommended. </w:t>
      </w:r>
      <w:proofErr w:type="spellStart"/>
      <w:r w:rsidR="000A0073" w:rsidRPr="0069233F">
        <w:rPr>
          <w:rFonts w:eastAsia="MS Mincho"/>
          <w:szCs w:val="20"/>
          <w:lang w:val="en-US" w:eastAsia="zh-CN"/>
        </w:rPr>
        <w:t>Ribociclib</w:t>
      </w:r>
      <w:proofErr w:type="spellEnd"/>
      <w:r w:rsidR="000A0073" w:rsidRPr="0069233F">
        <w:rPr>
          <w:rFonts w:eastAsia="MS Mincho"/>
          <w:szCs w:val="20"/>
          <w:lang w:val="en-US" w:eastAsia="zh-CN"/>
        </w:rPr>
        <w:t xml:space="preserve"> </w:t>
      </w:r>
      <w:proofErr w:type="gramStart"/>
      <w:r w:rsidR="000A0073" w:rsidRPr="0069233F">
        <w:rPr>
          <w:rFonts w:eastAsia="MS Mincho"/>
          <w:szCs w:val="20"/>
          <w:lang w:val="en-US" w:eastAsia="zh-CN"/>
        </w:rPr>
        <w:t>has not been studied</w:t>
      </w:r>
      <w:proofErr w:type="gramEnd"/>
      <w:r w:rsidR="000A0073" w:rsidRPr="0069233F">
        <w:rPr>
          <w:rFonts w:eastAsia="MS Mincho"/>
          <w:szCs w:val="20"/>
          <w:lang w:val="en-US" w:eastAsia="zh-CN"/>
        </w:rPr>
        <w:t xml:space="preserve"> in breast cancer patients with moderate and severe hepatic impairment (see PHARMACOLOGY).</w:t>
      </w:r>
    </w:p>
    <w:p w14:paraId="37C275EB" w14:textId="6C80AD0F" w:rsidR="00336927" w:rsidRPr="00336927" w:rsidRDefault="00336927" w:rsidP="008536D4">
      <w:pPr>
        <w:pStyle w:val="NoNumHead4"/>
        <w:spacing w:before="60" w:after="0"/>
        <w:jc w:val="both"/>
        <w:rPr>
          <w:rFonts w:ascii="Times New Roman" w:hAnsi="Times New Roman"/>
          <w:sz w:val="24"/>
        </w:rPr>
      </w:pPr>
      <w:r w:rsidRPr="00336927">
        <w:rPr>
          <w:rFonts w:ascii="Times New Roman" w:hAnsi="Times New Roman"/>
          <w:sz w:val="24"/>
        </w:rPr>
        <w:t>P</w:t>
      </w:r>
      <w:r w:rsidR="000A0073">
        <w:rPr>
          <w:rFonts w:ascii="Times New Roman" w:hAnsi="Times New Roman"/>
          <w:sz w:val="24"/>
        </w:rPr>
        <w:t>a</w:t>
      </w:r>
      <w:r w:rsidRPr="00336927">
        <w:rPr>
          <w:rFonts w:ascii="Times New Roman" w:hAnsi="Times New Roman"/>
          <w:sz w:val="24"/>
        </w:rPr>
        <w:t>ediatrics</w:t>
      </w:r>
    </w:p>
    <w:p w14:paraId="3A329C67" w14:textId="7E57B47C" w:rsidR="00336927" w:rsidRPr="00AB3E9F" w:rsidRDefault="00336927" w:rsidP="0069233F">
      <w:pPr>
        <w:jc w:val="both"/>
        <w:rPr>
          <w:rFonts w:eastAsia="MS Mincho"/>
          <w:szCs w:val="20"/>
          <w:lang w:val="en-US" w:eastAsia="zh-CN"/>
        </w:rPr>
      </w:pPr>
      <w:r w:rsidRPr="00AB3E9F">
        <w:rPr>
          <w:rFonts w:eastAsia="MS Mincho"/>
          <w:szCs w:val="20"/>
          <w:lang w:val="en-US" w:eastAsia="zh-CN"/>
        </w:rPr>
        <w:t xml:space="preserve">The safety and efficacy of </w:t>
      </w:r>
      <w:r w:rsidR="008D026C" w:rsidRPr="00AB3E9F">
        <w:rPr>
          <w:rFonts w:eastAsia="MS Mincho"/>
          <w:szCs w:val="20"/>
          <w:lang w:val="en-US" w:eastAsia="zh-CN"/>
        </w:rPr>
        <w:t>KISQALI</w:t>
      </w:r>
      <w:r w:rsidRPr="00AB3E9F">
        <w:rPr>
          <w:rFonts w:eastAsia="MS Mincho"/>
          <w:szCs w:val="20"/>
          <w:lang w:val="en-US" w:eastAsia="zh-CN"/>
        </w:rPr>
        <w:t xml:space="preserve"> in </w:t>
      </w:r>
      <w:r w:rsidR="00642305" w:rsidRPr="00AB3E9F">
        <w:rPr>
          <w:rFonts w:eastAsia="MS Mincho"/>
          <w:szCs w:val="20"/>
          <w:lang w:val="en-US" w:eastAsia="zh-CN"/>
        </w:rPr>
        <w:t xml:space="preserve">children and adolescents aged below 18 years </w:t>
      </w:r>
      <w:proofErr w:type="gramStart"/>
      <w:r w:rsidR="00642305" w:rsidRPr="00AB3E9F">
        <w:rPr>
          <w:rFonts w:eastAsia="MS Mincho"/>
          <w:szCs w:val="20"/>
          <w:lang w:val="en-US" w:eastAsia="zh-CN"/>
        </w:rPr>
        <w:t xml:space="preserve">have </w:t>
      </w:r>
      <w:r w:rsidRPr="00AB3E9F">
        <w:rPr>
          <w:rFonts w:eastAsia="MS Mincho"/>
          <w:szCs w:val="20"/>
          <w:lang w:val="en-US" w:eastAsia="zh-CN"/>
        </w:rPr>
        <w:t>not been established</w:t>
      </w:r>
      <w:proofErr w:type="gramEnd"/>
      <w:r w:rsidRPr="00AB3E9F">
        <w:rPr>
          <w:rFonts w:eastAsia="MS Mincho"/>
          <w:szCs w:val="20"/>
          <w:lang w:val="en-US" w:eastAsia="zh-CN"/>
        </w:rPr>
        <w:t>.</w:t>
      </w:r>
    </w:p>
    <w:p w14:paraId="5553BD69" w14:textId="3550D15C" w:rsidR="00886762" w:rsidRDefault="00886762" w:rsidP="008536D4">
      <w:pPr>
        <w:pStyle w:val="NoNumHead4"/>
        <w:spacing w:before="60" w:after="0"/>
        <w:jc w:val="both"/>
        <w:rPr>
          <w:rFonts w:ascii="Times New Roman" w:hAnsi="Times New Roman"/>
          <w:sz w:val="24"/>
        </w:rPr>
      </w:pPr>
      <w:r w:rsidRPr="004553F8">
        <w:rPr>
          <w:rFonts w:ascii="Times New Roman" w:hAnsi="Times New Roman"/>
          <w:sz w:val="24"/>
        </w:rPr>
        <w:t>Elderly</w:t>
      </w:r>
      <w:r w:rsidR="000A0073">
        <w:rPr>
          <w:rFonts w:ascii="Times New Roman" w:hAnsi="Times New Roman"/>
          <w:sz w:val="24"/>
        </w:rPr>
        <w:t xml:space="preserve"> patients (≥ </w:t>
      </w:r>
      <w:r w:rsidR="000A0073" w:rsidRPr="000A0073">
        <w:rPr>
          <w:rFonts w:ascii="Times New Roman" w:hAnsi="Times New Roman"/>
          <w:sz w:val="24"/>
        </w:rPr>
        <w:t>65 years of age</w:t>
      </w:r>
      <w:r w:rsidR="000A0073">
        <w:rPr>
          <w:rFonts w:ascii="Times New Roman" w:hAnsi="Times New Roman"/>
          <w:sz w:val="24"/>
        </w:rPr>
        <w:t>)</w:t>
      </w:r>
    </w:p>
    <w:p w14:paraId="678AFD48" w14:textId="7DB834E4" w:rsidR="00336927" w:rsidRDefault="000A0073" w:rsidP="000D0D1E">
      <w:pPr>
        <w:widowControl w:val="0"/>
        <w:spacing w:after="120" w:line="300" w:lineRule="exact"/>
        <w:jc w:val="both"/>
        <w:rPr>
          <w:rFonts w:eastAsia="MS Mincho"/>
          <w:szCs w:val="20"/>
          <w:lang w:val="en-US" w:eastAsia="zh-CN"/>
        </w:rPr>
      </w:pPr>
      <w:r>
        <w:rPr>
          <w:rFonts w:eastAsia="MS Mincho"/>
          <w:szCs w:val="20"/>
          <w:lang w:val="en-US" w:eastAsia="zh-CN"/>
        </w:rPr>
        <w:t>No dose adjustment is necessary (see PHARMACOLOGY).</w:t>
      </w:r>
    </w:p>
    <w:p w14:paraId="3CBC71A5" w14:textId="77777777" w:rsidR="00F80196" w:rsidRPr="008557A2" w:rsidRDefault="00F80196" w:rsidP="00B912C0">
      <w:pPr>
        <w:widowControl w:val="0"/>
        <w:spacing w:line="300" w:lineRule="atLeast"/>
        <w:rPr>
          <w:b/>
          <w:u w:val="single"/>
          <w:lang w:val="en-GB"/>
        </w:rPr>
      </w:pPr>
      <w:r w:rsidRPr="008557A2">
        <w:rPr>
          <w:b/>
          <w:u w:val="single"/>
          <w:lang w:val="en-GB"/>
        </w:rPr>
        <w:t>Administration</w:t>
      </w:r>
    </w:p>
    <w:p w14:paraId="10600C01" w14:textId="7C0E3B71" w:rsidR="00625366" w:rsidRDefault="008D026C" w:rsidP="00B912C0">
      <w:pPr>
        <w:widowControl w:val="0"/>
        <w:jc w:val="both"/>
        <w:rPr>
          <w:rFonts w:eastAsia="MS Mincho"/>
          <w:szCs w:val="20"/>
          <w:lang w:val="en-US" w:eastAsia="zh-CN"/>
        </w:rPr>
      </w:pPr>
      <w:r>
        <w:rPr>
          <w:rFonts w:eastAsia="MS Mincho"/>
          <w:szCs w:val="20"/>
          <w:lang w:val="en-US" w:eastAsia="zh-CN"/>
        </w:rPr>
        <w:t>KISQALI</w:t>
      </w:r>
      <w:r w:rsidR="002136F0">
        <w:rPr>
          <w:rFonts w:eastAsia="MS Mincho"/>
          <w:szCs w:val="20"/>
          <w:lang w:val="en-US" w:eastAsia="zh-CN"/>
        </w:rPr>
        <w:t xml:space="preserve"> </w:t>
      </w:r>
      <w:proofErr w:type="gramStart"/>
      <w:r w:rsidR="002136F0" w:rsidRPr="002136F0">
        <w:rPr>
          <w:rFonts w:eastAsia="MS Mincho"/>
          <w:szCs w:val="20"/>
          <w:lang w:val="en-US" w:eastAsia="zh-CN"/>
        </w:rPr>
        <w:t>should be administered</w:t>
      </w:r>
      <w:proofErr w:type="gramEnd"/>
      <w:r w:rsidR="002136F0" w:rsidRPr="002136F0">
        <w:rPr>
          <w:rFonts w:eastAsia="MS Mincho"/>
          <w:szCs w:val="20"/>
          <w:lang w:val="en-US" w:eastAsia="zh-CN"/>
        </w:rPr>
        <w:t xml:space="preserve"> orally once daily at the same time every day</w:t>
      </w:r>
      <w:r w:rsidR="00625366">
        <w:rPr>
          <w:rFonts w:eastAsia="MS Mincho"/>
          <w:szCs w:val="20"/>
          <w:lang w:val="en-US" w:eastAsia="zh-CN"/>
        </w:rPr>
        <w:t xml:space="preserve">, preferably in the </w:t>
      </w:r>
      <w:r w:rsidR="00625366">
        <w:rPr>
          <w:rFonts w:eastAsia="MS Mincho"/>
          <w:szCs w:val="20"/>
          <w:lang w:val="en-US" w:eastAsia="zh-CN"/>
        </w:rPr>
        <w:lastRenderedPageBreak/>
        <w:t xml:space="preserve">morning, </w:t>
      </w:r>
      <w:r w:rsidR="002136F0" w:rsidRPr="002136F0">
        <w:rPr>
          <w:rFonts w:eastAsia="MS Mincho"/>
          <w:szCs w:val="20"/>
          <w:lang w:val="en-US" w:eastAsia="zh-CN"/>
        </w:rPr>
        <w:t xml:space="preserve">with or without food. If the patient </w:t>
      </w:r>
      <w:r w:rsidR="00625366" w:rsidRPr="00625366">
        <w:rPr>
          <w:rFonts w:eastAsia="MS Mincho"/>
          <w:szCs w:val="20"/>
          <w:lang w:val="en-US" w:eastAsia="zh-CN"/>
        </w:rPr>
        <w:t xml:space="preserve">vomits after taking the dose or misses a dose, an additional dose </w:t>
      </w:r>
      <w:proofErr w:type="gramStart"/>
      <w:r w:rsidR="00625366" w:rsidRPr="00625366">
        <w:rPr>
          <w:rFonts w:eastAsia="MS Mincho"/>
          <w:szCs w:val="20"/>
          <w:lang w:val="en-US" w:eastAsia="zh-CN"/>
        </w:rPr>
        <w:t>should not be taken</w:t>
      </w:r>
      <w:proofErr w:type="gramEnd"/>
      <w:r w:rsidR="00625366" w:rsidRPr="00625366">
        <w:rPr>
          <w:rFonts w:eastAsia="MS Mincho"/>
          <w:szCs w:val="20"/>
          <w:lang w:val="en-US" w:eastAsia="zh-CN"/>
        </w:rPr>
        <w:t xml:space="preserve"> that day. The next prescribed dose </w:t>
      </w:r>
      <w:proofErr w:type="gramStart"/>
      <w:r w:rsidR="00625366" w:rsidRPr="00625366">
        <w:rPr>
          <w:rFonts w:eastAsia="MS Mincho"/>
          <w:szCs w:val="20"/>
          <w:lang w:val="en-US" w:eastAsia="zh-CN"/>
        </w:rPr>
        <w:t>should be taken</w:t>
      </w:r>
      <w:proofErr w:type="gramEnd"/>
      <w:r w:rsidR="00625366" w:rsidRPr="00625366">
        <w:rPr>
          <w:rFonts w:eastAsia="MS Mincho"/>
          <w:szCs w:val="20"/>
          <w:lang w:val="en-US" w:eastAsia="zh-CN"/>
        </w:rPr>
        <w:t xml:space="preserve"> at th</w:t>
      </w:r>
      <w:r w:rsidR="00D76CF5">
        <w:rPr>
          <w:rFonts w:eastAsia="MS Mincho"/>
          <w:szCs w:val="20"/>
          <w:lang w:val="en-US" w:eastAsia="zh-CN"/>
        </w:rPr>
        <w:t>e usual time.</w:t>
      </w:r>
    </w:p>
    <w:p w14:paraId="2D9D8EBA" w14:textId="0E9B530F" w:rsidR="002136F0" w:rsidRDefault="00625366" w:rsidP="00B912C0">
      <w:pPr>
        <w:spacing w:before="120"/>
        <w:jc w:val="both"/>
        <w:rPr>
          <w:rFonts w:eastAsia="MS Mincho"/>
          <w:szCs w:val="20"/>
          <w:lang w:val="en-US" w:eastAsia="zh-CN"/>
        </w:rPr>
      </w:pPr>
      <w:r w:rsidRPr="00625366">
        <w:rPr>
          <w:rFonts w:eastAsia="MS Mincho"/>
          <w:szCs w:val="20"/>
          <w:lang w:val="en-US" w:eastAsia="zh-CN"/>
        </w:rPr>
        <w:t xml:space="preserve">KISQALI tablets should be swallowed </w:t>
      </w:r>
      <w:proofErr w:type="gramStart"/>
      <w:r w:rsidRPr="00625366">
        <w:rPr>
          <w:rFonts w:eastAsia="MS Mincho"/>
          <w:szCs w:val="20"/>
          <w:lang w:val="en-US" w:eastAsia="zh-CN"/>
        </w:rPr>
        <w:t>whole</w:t>
      </w:r>
      <w:proofErr w:type="gramEnd"/>
      <w:r w:rsidRPr="00625366">
        <w:rPr>
          <w:rFonts w:eastAsia="MS Mincho"/>
          <w:szCs w:val="20"/>
          <w:lang w:val="en-US" w:eastAsia="zh-CN"/>
        </w:rPr>
        <w:t xml:space="preserve"> (tablets should not be chewed, crushed or split prior to swallowing). No tablet </w:t>
      </w:r>
      <w:proofErr w:type="gramStart"/>
      <w:r w:rsidRPr="00625366">
        <w:rPr>
          <w:rFonts w:eastAsia="MS Mincho"/>
          <w:szCs w:val="20"/>
          <w:lang w:val="en-US" w:eastAsia="zh-CN"/>
        </w:rPr>
        <w:t>should be ingested</w:t>
      </w:r>
      <w:proofErr w:type="gramEnd"/>
      <w:r w:rsidRPr="00625366">
        <w:rPr>
          <w:rFonts w:eastAsia="MS Mincho"/>
          <w:szCs w:val="20"/>
          <w:lang w:val="en-US" w:eastAsia="zh-CN"/>
        </w:rPr>
        <w:t xml:space="preserve"> if it is broken, cracked, or otherwise not intact.</w:t>
      </w:r>
    </w:p>
    <w:p w14:paraId="6295469D" w14:textId="77777777" w:rsidR="00F80196" w:rsidRPr="000C5DCC" w:rsidRDefault="006C4A20" w:rsidP="00EA489D">
      <w:pPr>
        <w:pStyle w:val="Heading2"/>
        <w:spacing w:before="120" w:after="120" w:line="276" w:lineRule="auto"/>
        <w:jc w:val="left"/>
        <w:rPr>
          <w:rFonts w:eastAsiaTheme="minorHAnsi"/>
          <w:caps/>
          <w:sz w:val="30"/>
          <w:lang w:val="en-GB"/>
        </w:rPr>
      </w:pPr>
      <w:r w:rsidRPr="000C5DCC">
        <w:rPr>
          <w:rFonts w:eastAsiaTheme="minorHAnsi"/>
          <w:caps/>
          <w:sz w:val="30"/>
          <w:lang w:val="en-GB"/>
        </w:rPr>
        <w:t>O</w:t>
      </w:r>
      <w:smartTag w:uri="schemas-GSKSiteLocations-com/fourthcoffee" w:element="flavor">
        <w:r w:rsidRPr="000C5DCC">
          <w:rPr>
            <w:rFonts w:eastAsiaTheme="minorHAnsi"/>
            <w:caps/>
            <w:sz w:val="30"/>
            <w:lang w:val="en-GB"/>
          </w:rPr>
          <w:t>VER</w:t>
        </w:r>
      </w:smartTag>
      <w:r w:rsidRPr="000C5DCC">
        <w:rPr>
          <w:rFonts w:eastAsiaTheme="minorHAnsi"/>
          <w:caps/>
          <w:sz w:val="30"/>
          <w:lang w:val="en-GB"/>
        </w:rPr>
        <w:t>DOSAGE</w:t>
      </w:r>
    </w:p>
    <w:p w14:paraId="5553BD88" w14:textId="2AA0E654" w:rsidR="00D412FE" w:rsidRPr="00E12E40" w:rsidRDefault="00D412FE" w:rsidP="00E12E40">
      <w:pPr>
        <w:pStyle w:val="NoNumHead4"/>
        <w:spacing w:before="0" w:after="120" w:line="300" w:lineRule="atLeast"/>
        <w:jc w:val="both"/>
        <w:rPr>
          <w:rFonts w:ascii="Times New Roman" w:hAnsi="Times New Roman"/>
          <w:sz w:val="24"/>
          <w:u w:val="single"/>
        </w:rPr>
      </w:pPr>
      <w:r w:rsidRPr="00E12E40">
        <w:rPr>
          <w:rFonts w:ascii="Times New Roman" w:hAnsi="Times New Roman"/>
          <w:sz w:val="24"/>
          <w:u w:val="single"/>
        </w:rPr>
        <w:t>Treatment</w:t>
      </w:r>
    </w:p>
    <w:p w14:paraId="12073971" w14:textId="7EAE617A" w:rsidR="002A773D" w:rsidRPr="0069233F" w:rsidRDefault="00ED4EC9" w:rsidP="0069233F">
      <w:pPr>
        <w:spacing w:before="120"/>
        <w:jc w:val="both"/>
        <w:rPr>
          <w:rFonts w:eastAsia="MS Mincho"/>
          <w:szCs w:val="20"/>
          <w:lang w:val="en-US" w:eastAsia="zh-CN"/>
        </w:rPr>
      </w:pPr>
      <w:r w:rsidRPr="00ED4EC9" w:rsidDel="004F55AA">
        <w:rPr>
          <w:rFonts w:eastAsia="MS Mincho"/>
          <w:szCs w:val="20"/>
          <w:lang w:val="en-US" w:eastAsia="zh-CN"/>
        </w:rPr>
        <w:t xml:space="preserve">There are no known cases of </w:t>
      </w:r>
      <w:proofErr w:type="spellStart"/>
      <w:r w:rsidRPr="00ED4EC9" w:rsidDel="004F55AA">
        <w:rPr>
          <w:rFonts w:eastAsia="MS Mincho"/>
          <w:szCs w:val="20"/>
          <w:lang w:val="en-US" w:eastAsia="zh-CN"/>
        </w:rPr>
        <w:t>overdosage</w:t>
      </w:r>
      <w:proofErr w:type="spellEnd"/>
      <w:r w:rsidRPr="00ED4EC9" w:rsidDel="004F55AA">
        <w:rPr>
          <w:rFonts w:eastAsia="MS Mincho"/>
          <w:szCs w:val="20"/>
          <w:lang w:val="en-US" w:eastAsia="zh-CN"/>
        </w:rPr>
        <w:t xml:space="preserve"> with </w:t>
      </w:r>
      <w:proofErr w:type="spellStart"/>
      <w:r w:rsidRPr="00ED4EC9" w:rsidDel="004F55AA">
        <w:rPr>
          <w:rFonts w:eastAsia="MS Mincho"/>
          <w:szCs w:val="20"/>
          <w:lang w:val="en-US" w:eastAsia="zh-CN"/>
        </w:rPr>
        <w:t>ribociclib</w:t>
      </w:r>
      <w:proofErr w:type="spellEnd"/>
      <w:r w:rsidRPr="00ED4EC9" w:rsidDel="004F55AA">
        <w:rPr>
          <w:rFonts w:eastAsia="MS Mincho"/>
          <w:szCs w:val="20"/>
          <w:lang w:val="en-US" w:eastAsia="zh-CN"/>
        </w:rPr>
        <w:t>.</w:t>
      </w:r>
      <w:r w:rsidDel="004F55AA">
        <w:rPr>
          <w:rFonts w:eastAsia="MS Mincho"/>
          <w:szCs w:val="20"/>
          <w:lang w:val="en-US" w:eastAsia="zh-CN"/>
        </w:rPr>
        <w:t xml:space="preserve"> </w:t>
      </w:r>
      <w:r w:rsidR="00A12CFB" w:rsidRPr="00F77851">
        <w:rPr>
          <w:rFonts w:eastAsia="MS Mincho"/>
          <w:szCs w:val="20"/>
          <w:lang w:val="en-US" w:eastAsia="zh-CN"/>
        </w:rPr>
        <w:t>The treat</w:t>
      </w:r>
      <w:r w:rsidR="00A12CFB">
        <w:rPr>
          <w:rFonts w:eastAsia="MS Mincho"/>
          <w:szCs w:val="20"/>
          <w:lang w:val="en-US" w:eastAsia="zh-CN"/>
        </w:rPr>
        <w:t xml:space="preserve">ment of overdose should </w:t>
      </w:r>
      <w:r w:rsidR="00A12CFB" w:rsidRPr="00F77851">
        <w:rPr>
          <w:rFonts w:eastAsia="MS Mincho"/>
          <w:szCs w:val="20"/>
          <w:lang w:val="en-US" w:eastAsia="zh-CN"/>
        </w:rPr>
        <w:t>consist of</w:t>
      </w:r>
      <w:r w:rsidR="00A12CFB" w:rsidRPr="00C10F4A">
        <w:rPr>
          <w:rFonts w:eastAsia="MS Mincho"/>
          <w:szCs w:val="20"/>
          <w:lang w:val="en-US" w:eastAsia="zh-CN"/>
        </w:rPr>
        <w:t xml:space="preserve"> </w:t>
      </w:r>
      <w:r w:rsidR="00A12CFB">
        <w:rPr>
          <w:rFonts w:eastAsia="MS Mincho"/>
          <w:szCs w:val="20"/>
          <w:lang w:val="en-US" w:eastAsia="zh-CN"/>
        </w:rPr>
        <w:t>g</w:t>
      </w:r>
      <w:r w:rsidR="00C10F4A" w:rsidRPr="00C10F4A">
        <w:rPr>
          <w:rFonts w:eastAsia="MS Mincho"/>
          <w:szCs w:val="20"/>
          <w:lang w:val="en-US" w:eastAsia="zh-CN"/>
        </w:rPr>
        <w:t>eneral symptomatic and supportive measures</w:t>
      </w:r>
      <w:r w:rsidR="00A12CFB">
        <w:rPr>
          <w:rFonts w:eastAsia="MS Mincho"/>
          <w:szCs w:val="20"/>
          <w:lang w:val="en-US" w:eastAsia="zh-CN"/>
        </w:rPr>
        <w:t xml:space="preserve">. </w:t>
      </w:r>
      <w:r w:rsidR="005F0828" w:rsidRPr="0069233F">
        <w:rPr>
          <w:rFonts w:eastAsia="MS Mincho"/>
          <w:szCs w:val="20"/>
          <w:lang w:val="en-US" w:eastAsia="zh-CN"/>
        </w:rPr>
        <w:t>F</w:t>
      </w:r>
      <w:r w:rsidR="00A12CFB" w:rsidRPr="0069233F">
        <w:rPr>
          <w:rFonts w:eastAsia="MS Mincho"/>
          <w:szCs w:val="20"/>
          <w:lang w:val="en-US" w:eastAsia="zh-CN"/>
        </w:rPr>
        <w:t xml:space="preserve">or information on </w:t>
      </w:r>
      <w:r w:rsidR="005F0828" w:rsidRPr="0069233F">
        <w:rPr>
          <w:rFonts w:eastAsia="MS Mincho"/>
          <w:szCs w:val="20"/>
          <w:lang w:val="en-US" w:eastAsia="zh-CN"/>
        </w:rPr>
        <w:t>the management</w:t>
      </w:r>
      <w:r w:rsidR="00A12CFB" w:rsidRPr="0069233F">
        <w:rPr>
          <w:rFonts w:eastAsia="MS Mincho"/>
          <w:szCs w:val="20"/>
          <w:lang w:val="en-US" w:eastAsia="zh-CN"/>
        </w:rPr>
        <w:t xml:space="preserve"> of overdose, contact</w:t>
      </w:r>
      <w:r w:rsidR="005F0828" w:rsidRPr="0069233F">
        <w:rPr>
          <w:rFonts w:eastAsia="MS Mincho"/>
          <w:szCs w:val="20"/>
          <w:lang w:val="en-US" w:eastAsia="zh-CN"/>
        </w:rPr>
        <w:t xml:space="preserve"> the Poison Information Centre on telephone number 13</w:t>
      </w:r>
      <w:r w:rsidR="004F55AA" w:rsidRPr="0069233F">
        <w:rPr>
          <w:rFonts w:eastAsia="MS Mincho"/>
          <w:szCs w:val="20"/>
          <w:lang w:val="en-US" w:eastAsia="zh-CN"/>
        </w:rPr>
        <w:t xml:space="preserve"> </w:t>
      </w:r>
      <w:r w:rsidR="005F0828" w:rsidRPr="0069233F">
        <w:rPr>
          <w:rFonts w:eastAsia="MS Mincho"/>
          <w:szCs w:val="20"/>
          <w:lang w:val="en-US" w:eastAsia="zh-CN"/>
        </w:rPr>
        <w:t>11</w:t>
      </w:r>
      <w:r w:rsidR="004F55AA" w:rsidRPr="0069233F">
        <w:rPr>
          <w:rFonts w:eastAsia="MS Mincho"/>
          <w:szCs w:val="20"/>
          <w:lang w:val="en-US" w:eastAsia="zh-CN"/>
        </w:rPr>
        <w:t xml:space="preserve"> </w:t>
      </w:r>
      <w:r w:rsidR="005F0828" w:rsidRPr="0069233F">
        <w:rPr>
          <w:rFonts w:eastAsia="MS Mincho"/>
          <w:szCs w:val="20"/>
          <w:lang w:val="en-US" w:eastAsia="zh-CN"/>
        </w:rPr>
        <w:t>26 (local call in all areas)</w:t>
      </w:r>
      <w:r w:rsidR="00D76CF5">
        <w:rPr>
          <w:rFonts w:eastAsia="MS Mincho"/>
          <w:szCs w:val="20"/>
          <w:lang w:val="en-US" w:eastAsia="zh-CN"/>
        </w:rPr>
        <w:t>.</w:t>
      </w:r>
    </w:p>
    <w:p w14:paraId="5553BD8E" w14:textId="59BC4254" w:rsidR="006C4A20" w:rsidRPr="00E12E40" w:rsidRDefault="006C4A20" w:rsidP="00A12CFB">
      <w:pPr>
        <w:pStyle w:val="Heading2"/>
        <w:spacing w:before="120" w:after="120" w:line="276" w:lineRule="auto"/>
        <w:jc w:val="left"/>
        <w:rPr>
          <w:rFonts w:eastAsiaTheme="minorHAnsi"/>
          <w:caps/>
          <w:sz w:val="30"/>
          <w:lang w:val="en-GB"/>
        </w:rPr>
      </w:pPr>
      <w:r w:rsidRPr="00E12E40">
        <w:rPr>
          <w:rFonts w:eastAsiaTheme="minorHAnsi"/>
          <w:caps/>
          <w:sz w:val="30"/>
          <w:lang w:val="en-GB"/>
        </w:rPr>
        <w:t xml:space="preserve">PRESENTATION </w:t>
      </w:r>
      <w:smartTag w:uri="urn:schemas-microsoft-com:office:smarttags" w:element="stockticker">
        <w:r w:rsidRPr="00E12E40">
          <w:rPr>
            <w:rFonts w:eastAsiaTheme="minorHAnsi"/>
            <w:caps/>
            <w:sz w:val="30"/>
            <w:lang w:val="en-GB"/>
          </w:rPr>
          <w:t>AND</w:t>
        </w:r>
      </w:smartTag>
      <w:r w:rsidRPr="00E12E40">
        <w:rPr>
          <w:rFonts w:eastAsiaTheme="minorHAnsi"/>
          <w:caps/>
          <w:sz w:val="30"/>
          <w:lang w:val="en-GB"/>
        </w:rPr>
        <w:t xml:space="preserve"> STORAGE CONDITIONS</w:t>
      </w:r>
    </w:p>
    <w:p w14:paraId="5553BD8F" w14:textId="5D53930E" w:rsidR="00913017" w:rsidRPr="00696CB2" w:rsidRDefault="00A620F8" w:rsidP="00696CB2">
      <w:pPr>
        <w:pStyle w:val="NoNumHead4"/>
        <w:spacing w:before="0" w:after="120" w:line="300" w:lineRule="atLeast"/>
        <w:jc w:val="both"/>
        <w:rPr>
          <w:rFonts w:ascii="Times New Roman" w:hAnsi="Times New Roman"/>
          <w:sz w:val="24"/>
          <w:szCs w:val="24"/>
          <w:u w:val="single"/>
        </w:rPr>
      </w:pPr>
      <w:r w:rsidRPr="00696CB2">
        <w:rPr>
          <w:rFonts w:ascii="Times New Roman" w:hAnsi="Times New Roman"/>
          <w:sz w:val="24"/>
          <w:szCs w:val="24"/>
          <w:u w:val="single"/>
        </w:rPr>
        <w:t>Presentation</w:t>
      </w:r>
    </w:p>
    <w:p w14:paraId="0E46813F" w14:textId="6A3D7379" w:rsidR="00103A80" w:rsidRDefault="00103A80" w:rsidP="00103A80">
      <w:pPr>
        <w:tabs>
          <w:tab w:val="right" w:pos="4464"/>
        </w:tabs>
        <w:spacing w:after="120" w:line="300" w:lineRule="exact"/>
        <w:jc w:val="both"/>
        <w:rPr>
          <w:b/>
        </w:rPr>
      </w:pPr>
      <w:r>
        <w:rPr>
          <w:b/>
        </w:rPr>
        <w:t>200 mg tablet</w:t>
      </w:r>
    </w:p>
    <w:p w14:paraId="7B891DBE" w14:textId="23BC45C1" w:rsidR="003C0A00" w:rsidRPr="0069233F" w:rsidRDefault="008673DD" w:rsidP="0069233F">
      <w:pPr>
        <w:spacing w:before="120"/>
        <w:jc w:val="both"/>
        <w:rPr>
          <w:rFonts w:eastAsia="MS Mincho"/>
          <w:szCs w:val="20"/>
          <w:lang w:val="en-US" w:eastAsia="zh-CN"/>
        </w:rPr>
      </w:pPr>
      <w:r w:rsidRPr="0069233F">
        <w:rPr>
          <w:rFonts w:eastAsia="MS Mincho"/>
          <w:szCs w:val="20"/>
          <w:lang w:val="en-US" w:eastAsia="zh-CN"/>
        </w:rPr>
        <w:t>Light greyish violet</w:t>
      </w:r>
      <w:r w:rsidR="002235C1" w:rsidRPr="0069233F">
        <w:rPr>
          <w:rFonts w:eastAsia="MS Mincho"/>
          <w:szCs w:val="20"/>
          <w:lang w:val="en-US" w:eastAsia="zh-CN"/>
        </w:rPr>
        <w:t xml:space="preserve"> </w:t>
      </w:r>
      <w:r w:rsidRPr="0069233F">
        <w:rPr>
          <w:rFonts w:eastAsia="MS Mincho"/>
          <w:szCs w:val="20"/>
          <w:lang w:val="en-US" w:eastAsia="zh-CN"/>
        </w:rPr>
        <w:t xml:space="preserve">that is also </w:t>
      </w:r>
      <w:r w:rsidR="005A7138" w:rsidRPr="0069233F">
        <w:rPr>
          <w:rFonts w:eastAsia="MS Mincho"/>
          <w:szCs w:val="20"/>
          <w:lang w:val="en-US" w:eastAsia="zh-CN"/>
        </w:rPr>
        <w:t>unscored, round</w:t>
      </w:r>
      <w:r w:rsidR="00B45A54" w:rsidRPr="0069233F">
        <w:rPr>
          <w:rFonts w:eastAsia="MS Mincho"/>
          <w:szCs w:val="20"/>
          <w:lang w:val="en-US" w:eastAsia="zh-CN"/>
        </w:rPr>
        <w:t xml:space="preserve"> (approx. </w:t>
      </w:r>
      <w:r w:rsidR="00FE109B" w:rsidRPr="0069233F">
        <w:rPr>
          <w:rFonts w:eastAsia="MS Mincho"/>
          <w:szCs w:val="20"/>
          <w:lang w:val="en-US" w:eastAsia="zh-CN"/>
        </w:rPr>
        <w:t xml:space="preserve">diameter: </w:t>
      </w:r>
      <w:r w:rsidR="00B45A54" w:rsidRPr="0069233F">
        <w:rPr>
          <w:rFonts w:eastAsia="MS Mincho"/>
          <w:szCs w:val="20"/>
          <w:lang w:val="en-US" w:eastAsia="zh-CN"/>
        </w:rPr>
        <w:t>11</w:t>
      </w:r>
      <w:r w:rsidR="00FE109B" w:rsidRPr="0069233F">
        <w:rPr>
          <w:rFonts w:eastAsia="MS Mincho"/>
          <w:szCs w:val="20"/>
          <w:lang w:val="en-US" w:eastAsia="zh-CN"/>
        </w:rPr>
        <w:t>.1</w:t>
      </w:r>
      <w:r w:rsidR="00B45A54" w:rsidRPr="0069233F">
        <w:rPr>
          <w:rFonts w:eastAsia="MS Mincho"/>
          <w:szCs w:val="20"/>
          <w:lang w:val="en-US" w:eastAsia="zh-CN"/>
        </w:rPr>
        <w:t xml:space="preserve"> mm)</w:t>
      </w:r>
      <w:r w:rsidR="005A7138" w:rsidRPr="0069233F">
        <w:rPr>
          <w:rFonts w:eastAsia="MS Mincho"/>
          <w:szCs w:val="20"/>
          <w:lang w:val="en-US" w:eastAsia="zh-CN"/>
        </w:rPr>
        <w:t xml:space="preserve">, curved </w:t>
      </w:r>
      <w:r w:rsidR="00AD19BE" w:rsidRPr="0069233F">
        <w:rPr>
          <w:rFonts w:eastAsia="MS Mincho"/>
          <w:szCs w:val="20"/>
          <w:lang w:val="en-US" w:eastAsia="zh-CN"/>
        </w:rPr>
        <w:t xml:space="preserve">film-coated tablet </w:t>
      </w:r>
      <w:r w:rsidR="005A7138" w:rsidRPr="0069233F">
        <w:rPr>
          <w:rFonts w:eastAsia="MS Mincho"/>
          <w:szCs w:val="20"/>
          <w:lang w:val="en-US" w:eastAsia="zh-CN"/>
        </w:rPr>
        <w:t xml:space="preserve">with </w:t>
      </w:r>
      <w:proofErr w:type="spellStart"/>
      <w:r w:rsidR="00676FBA" w:rsidRPr="0069233F">
        <w:rPr>
          <w:rFonts w:eastAsia="MS Mincho"/>
          <w:szCs w:val="20"/>
          <w:lang w:val="en-US" w:eastAsia="zh-CN"/>
        </w:rPr>
        <w:t>bevelled</w:t>
      </w:r>
      <w:proofErr w:type="spellEnd"/>
      <w:r w:rsidR="005A7138" w:rsidRPr="0069233F">
        <w:rPr>
          <w:rFonts w:eastAsia="MS Mincho"/>
          <w:szCs w:val="20"/>
          <w:lang w:val="en-US" w:eastAsia="zh-CN"/>
        </w:rPr>
        <w:t xml:space="preserve"> edges</w:t>
      </w:r>
      <w:r w:rsidR="00B45A54" w:rsidRPr="0069233F">
        <w:rPr>
          <w:rFonts w:eastAsia="MS Mincho"/>
          <w:szCs w:val="20"/>
          <w:lang w:val="en-US" w:eastAsia="zh-CN"/>
        </w:rPr>
        <w:t>;</w:t>
      </w:r>
      <w:r w:rsidR="005A7138" w:rsidRPr="0069233F">
        <w:rPr>
          <w:rFonts w:eastAsia="MS Mincho"/>
          <w:szCs w:val="20"/>
          <w:lang w:val="en-US" w:eastAsia="zh-CN"/>
        </w:rPr>
        <w:t xml:space="preserve"> </w:t>
      </w:r>
      <w:r w:rsidRPr="0069233F">
        <w:rPr>
          <w:rFonts w:eastAsia="MS Mincho"/>
          <w:szCs w:val="20"/>
          <w:lang w:val="en-US" w:eastAsia="zh-CN"/>
        </w:rPr>
        <w:t>debossed</w:t>
      </w:r>
      <w:r w:rsidR="005A7138" w:rsidRPr="0069233F">
        <w:rPr>
          <w:rFonts w:eastAsia="MS Mincho"/>
          <w:szCs w:val="20"/>
          <w:lang w:val="en-US" w:eastAsia="zh-CN"/>
        </w:rPr>
        <w:t xml:space="preserve"> with “</w:t>
      </w:r>
      <w:r w:rsidRPr="0069233F">
        <w:rPr>
          <w:rFonts w:eastAsia="MS Mincho"/>
          <w:szCs w:val="20"/>
          <w:lang w:val="en-US" w:eastAsia="zh-CN"/>
        </w:rPr>
        <w:t>RIC</w:t>
      </w:r>
      <w:r w:rsidR="005A7138" w:rsidRPr="0069233F">
        <w:rPr>
          <w:rFonts w:eastAsia="MS Mincho"/>
          <w:szCs w:val="20"/>
          <w:lang w:val="en-US" w:eastAsia="zh-CN"/>
        </w:rPr>
        <w:t>” on one si</w:t>
      </w:r>
      <w:r w:rsidR="00D76CF5">
        <w:rPr>
          <w:rFonts w:eastAsia="MS Mincho"/>
          <w:szCs w:val="20"/>
          <w:lang w:val="en-US" w:eastAsia="zh-CN"/>
        </w:rPr>
        <w:t>de and “NVR” on the other side.</w:t>
      </w:r>
    </w:p>
    <w:p w14:paraId="6CDCD784" w14:textId="6ACBFFDB" w:rsidR="005E4987" w:rsidRPr="0069233F" w:rsidRDefault="005E4987" w:rsidP="0069233F">
      <w:pPr>
        <w:spacing w:before="120"/>
        <w:jc w:val="both"/>
        <w:rPr>
          <w:rFonts w:eastAsia="MS Mincho"/>
          <w:szCs w:val="20"/>
          <w:lang w:val="en-US" w:eastAsia="zh-CN"/>
        </w:rPr>
      </w:pPr>
      <w:proofErr w:type="spellStart"/>
      <w:r w:rsidRPr="0069233F">
        <w:rPr>
          <w:rFonts w:eastAsia="MS Mincho"/>
          <w:szCs w:val="20"/>
          <w:lang w:val="en-US" w:eastAsia="zh-CN"/>
        </w:rPr>
        <w:t>Aclar</w:t>
      </w:r>
      <w:proofErr w:type="spellEnd"/>
      <w:r w:rsidRPr="0069233F">
        <w:rPr>
          <w:rFonts w:eastAsia="MS Mincho"/>
          <w:szCs w:val="20"/>
          <w:lang w:val="en-US" w:eastAsia="zh-CN"/>
        </w:rPr>
        <w:t>/</w:t>
      </w:r>
      <w:proofErr w:type="spellStart"/>
      <w:r w:rsidRPr="0069233F">
        <w:rPr>
          <w:rFonts w:eastAsia="MS Mincho"/>
          <w:szCs w:val="20"/>
          <w:lang w:val="en-US" w:eastAsia="zh-CN"/>
        </w:rPr>
        <w:t>aluminium</w:t>
      </w:r>
      <w:proofErr w:type="spellEnd"/>
      <w:r w:rsidRPr="0069233F">
        <w:rPr>
          <w:rFonts w:eastAsia="MS Mincho"/>
          <w:szCs w:val="20"/>
          <w:lang w:val="en-US" w:eastAsia="zh-CN"/>
        </w:rPr>
        <w:t xml:space="preserve"> b</w:t>
      </w:r>
      <w:r w:rsidR="008673DD" w:rsidRPr="0069233F">
        <w:rPr>
          <w:rFonts w:eastAsia="MS Mincho"/>
          <w:szCs w:val="20"/>
          <w:lang w:val="en-US" w:eastAsia="zh-CN"/>
        </w:rPr>
        <w:t>lister</w:t>
      </w:r>
      <w:r w:rsidRPr="0069233F">
        <w:rPr>
          <w:rFonts w:eastAsia="MS Mincho"/>
          <w:szCs w:val="20"/>
          <w:lang w:val="en-US" w:eastAsia="zh-CN"/>
        </w:rPr>
        <w:t xml:space="preserve">s </w:t>
      </w:r>
      <w:r w:rsidR="00227EF7" w:rsidRPr="0069233F">
        <w:rPr>
          <w:rFonts w:eastAsia="MS Mincho"/>
          <w:szCs w:val="20"/>
          <w:lang w:val="en-US" w:eastAsia="zh-CN"/>
        </w:rPr>
        <w:t xml:space="preserve">platforms </w:t>
      </w:r>
      <w:r w:rsidRPr="0069233F">
        <w:rPr>
          <w:rFonts w:eastAsia="MS Mincho"/>
          <w:szCs w:val="20"/>
          <w:lang w:val="en-US" w:eastAsia="zh-CN"/>
        </w:rPr>
        <w:t>in</w:t>
      </w:r>
      <w:r w:rsidR="008673DD" w:rsidRPr="0069233F">
        <w:rPr>
          <w:rFonts w:eastAsia="MS Mincho"/>
          <w:szCs w:val="20"/>
          <w:lang w:val="en-US" w:eastAsia="zh-CN"/>
        </w:rPr>
        <w:t xml:space="preserve"> packs </w:t>
      </w:r>
      <w:r w:rsidRPr="0069233F">
        <w:rPr>
          <w:rFonts w:eastAsia="MS Mincho"/>
          <w:szCs w:val="20"/>
          <w:lang w:val="en-US" w:eastAsia="zh-CN"/>
        </w:rPr>
        <w:t>containing</w:t>
      </w:r>
      <w:r w:rsidR="00D23142" w:rsidRPr="0069233F">
        <w:rPr>
          <w:rFonts w:eastAsia="MS Mincho"/>
          <w:szCs w:val="20"/>
          <w:lang w:val="en-US" w:eastAsia="zh-CN"/>
        </w:rPr>
        <w:t xml:space="preserve"> either </w:t>
      </w:r>
      <w:r w:rsidR="008673DD" w:rsidRPr="0069233F">
        <w:rPr>
          <w:rFonts w:eastAsia="MS Mincho"/>
          <w:szCs w:val="20"/>
          <w:lang w:val="en-US" w:eastAsia="zh-CN"/>
        </w:rPr>
        <w:t>63</w:t>
      </w:r>
      <w:r w:rsidR="00B45A54" w:rsidRPr="0069233F">
        <w:rPr>
          <w:rFonts w:eastAsia="MS Mincho"/>
          <w:szCs w:val="20"/>
          <w:lang w:val="en-US" w:eastAsia="zh-CN"/>
        </w:rPr>
        <w:t xml:space="preserve">, </w:t>
      </w:r>
      <w:r w:rsidR="008673DD" w:rsidRPr="0069233F">
        <w:rPr>
          <w:rFonts w:eastAsia="MS Mincho"/>
          <w:szCs w:val="20"/>
          <w:lang w:val="en-US" w:eastAsia="zh-CN"/>
        </w:rPr>
        <w:t>42</w:t>
      </w:r>
      <w:r w:rsidR="00B45A54" w:rsidRPr="0069233F">
        <w:rPr>
          <w:rFonts w:eastAsia="MS Mincho"/>
          <w:szCs w:val="20"/>
          <w:lang w:val="en-US" w:eastAsia="zh-CN"/>
        </w:rPr>
        <w:t xml:space="preserve">, </w:t>
      </w:r>
      <w:r w:rsidR="00D23142" w:rsidRPr="0069233F">
        <w:rPr>
          <w:rFonts w:eastAsia="MS Mincho"/>
          <w:szCs w:val="20"/>
          <w:lang w:val="en-US" w:eastAsia="zh-CN"/>
        </w:rPr>
        <w:t xml:space="preserve">or </w:t>
      </w:r>
      <w:r w:rsidR="00B45A54" w:rsidRPr="0069233F">
        <w:rPr>
          <w:rFonts w:eastAsia="MS Mincho"/>
          <w:szCs w:val="20"/>
          <w:lang w:val="en-US" w:eastAsia="zh-CN"/>
        </w:rPr>
        <w:t>21</w:t>
      </w:r>
      <w:r w:rsidR="00D76CF5">
        <w:rPr>
          <w:rFonts w:eastAsia="MS Mincho"/>
          <w:szCs w:val="20"/>
          <w:lang w:val="en-US" w:eastAsia="zh-CN"/>
        </w:rPr>
        <w:t xml:space="preserve"> tablets.</w:t>
      </w:r>
    </w:p>
    <w:p w14:paraId="5553BD9A" w14:textId="0C87E865" w:rsidR="00E25FB0" w:rsidRPr="005E4987" w:rsidRDefault="00E25FB0" w:rsidP="005E4987">
      <w:pPr>
        <w:pStyle w:val="NoNumHead4"/>
        <w:spacing w:before="0" w:after="120" w:line="300" w:lineRule="atLeast"/>
        <w:jc w:val="both"/>
        <w:rPr>
          <w:rFonts w:ascii="Times New Roman" w:hAnsi="Times New Roman"/>
          <w:sz w:val="24"/>
          <w:szCs w:val="24"/>
          <w:u w:val="single"/>
        </w:rPr>
      </w:pPr>
      <w:r w:rsidRPr="005E4987">
        <w:rPr>
          <w:rFonts w:ascii="Times New Roman" w:hAnsi="Times New Roman"/>
          <w:sz w:val="24"/>
          <w:szCs w:val="24"/>
          <w:u w:val="single"/>
        </w:rPr>
        <w:t>Storage</w:t>
      </w:r>
    </w:p>
    <w:p w14:paraId="35747D21" w14:textId="003550E9" w:rsidR="009D50A6" w:rsidRDefault="00103A80" w:rsidP="009D50A6">
      <w:pPr>
        <w:rPr>
          <w:lang w:eastAsia="en-US"/>
        </w:rPr>
      </w:pPr>
      <w:r w:rsidRPr="00103A80">
        <w:rPr>
          <w:lang w:eastAsia="en-US"/>
        </w:rPr>
        <w:t xml:space="preserve">Store below </w:t>
      </w:r>
      <w:r w:rsidR="008673DD">
        <w:rPr>
          <w:lang w:eastAsia="en-US"/>
        </w:rPr>
        <w:t>30</w:t>
      </w:r>
      <w:r w:rsidRPr="00103A80">
        <w:rPr>
          <w:lang w:eastAsia="en-US"/>
        </w:rPr>
        <w:t>°C.</w:t>
      </w:r>
    </w:p>
    <w:p w14:paraId="5553BDA2" w14:textId="77777777" w:rsidR="006C4A20" w:rsidRPr="00E12E40" w:rsidRDefault="006C4A20" w:rsidP="000C5DCC">
      <w:pPr>
        <w:pStyle w:val="Heading2"/>
        <w:spacing w:before="120" w:after="120" w:line="276" w:lineRule="auto"/>
        <w:jc w:val="left"/>
        <w:rPr>
          <w:rFonts w:eastAsiaTheme="minorHAnsi"/>
          <w:caps/>
          <w:sz w:val="30"/>
          <w:lang w:val="en-GB"/>
        </w:rPr>
      </w:pPr>
      <w:r w:rsidRPr="00E12E40">
        <w:rPr>
          <w:rFonts w:eastAsiaTheme="minorHAnsi"/>
          <w:caps/>
          <w:sz w:val="30"/>
          <w:lang w:val="en-GB"/>
        </w:rPr>
        <w:t xml:space="preserve">NAME </w:t>
      </w:r>
      <w:smartTag w:uri="urn:schemas-microsoft-com:office:smarttags" w:element="stockticker">
        <w:r w:rsidRPr="00E12E40">
          <w:rPr>
            <w:rFonts w:eastAsiaTheme="minorHAnsi"/>
            <w:caps/>
            <w:sz w:val="30"/>
            <w:lang w:val="en-GB"/>
          </w:rPr>
          <w:t>AND</w:t>
        </w:r>
      </w:smartTag>
      <w:r w:rsidRPr="00E12E40">
        <w:rPr>
          <w:rFonts w:eastAsiaTheme="minorHAnsi"/>
          <w:caps/>
          <w:sz w:val="30"/>
          <w:lang w:val="en-GB"/>
        </w:rPr>
        <w:t xml:space="preserve"> ADDRESS OF THE SPONSOR</w:t>
      </w:r>
    </w:p>
    <w:p w14:paraId="5CA2544C" w14:textId="77777777" w:rsidR="00244DAA" w:rsidRPr="00E12E40" w:rsidRDefault="000C5777" w:rsidP="00E12E40">
      <w:pPr>
        <w:spacing w:line="276" w:lineRule="auto"/>
        <w:rPr>
          <w:rFonts w:eastAsiaTheme="minorHAnsi"/>
        </w:rPr>
      </w:pPr>
      <w:bookmarkStart w:id="27" w:name="_GoBack"/>
      <w:r w:rsidRPr="00E12E40">
        <w:rPr>
          <w:rFonts w:eastAsiaTheme="minorHAnsi"/>
        </w:rPr>
        <w:t>NOVARTIS Pharmaceuticals Australia Pty Limited</w:t>
      </w:r>
      <w:bookmarkEnd w:id="27"/>
      <w:r w:rsidRPr="00E12E40">
        <w:rPr>
          <w:rFonts w:eastAsiaTheme="minorHAnsi"/>
        </w:rPr>
        <w:br/>
        <w:t>ABN 18 004 244 160</w:t>
      </w:r>
      <w:r w:rsidRPr="00E12E40">
        <w:rPr>
          <w:rFonts w:eastAsiaTheme="minorHAnsi"/>
        </w:rPr>
        <w:br/>
        <w:t>54 Waterloo Road</w:t>
      </w:r>
      <w:r w:rsidRPr="00E12E40">
        <w:rPr>
          <w:rFonts w:eastAsiaTheme="minorHAnsi"/>
        </w:rPr>
        <w:br/>
        <w:t>MACQUARIE PARK NSW 2113</w:t>
      </w:r>
    </w:p>
    <w:p w14:paraId="1A9012AD" w14:textId="53D21BDA" w:rsidR="00244DAA" w:rsidRDefault="00244DAA" w:rsidP="009D50A6">
      <w:pPr>
        <w:spacing w:after="120" w:line="276" w:lineRule="auto"/>
        <w:rPr>
          <w:lang w:eastAsia="en-US"/>
        </w:rPr>
      </w:pPr>
      <w:r w:rsidRPr="00244DAA">
        <w:rPr>
          <w:vertAlign w:val="superscript"/>
          <w:lang w:eastAsia="en-US"/>
        </w:rPr>
        <w:sym w:font="Symbol" w:char="F0D2"/>
      </w:r>
      <w:r w:rsidRPr="00244DAA">
        <w:rPr>
          <w:lang w:eastAsia="en-US"/>
        </w:rPr>
        <w:t xml:space="preserve"> = Registered </w:t>
      </w:r>
      <w:r w:rsidR="002C7445">
        <w:rPr>
          <w:lang w:eastAsia="en-US"/>
        </w:rPr>
        <w:t>T</w:t>
      </w:r>
      <w:r w:rsidR="0077759A">
        <w:rPr>
          <w:lang w:eastAsia="en-US"/>
        </w:rPr>
        <w:t>rademark</w:t>
      </w:r>
    </w:p>
    <w:p w14:paraId="5553BDAA" w14:textId="745E552A" w:rsidR="006C4A20" w:rsidRPr="00E12E40" w:rsidRDefault="00207862" w:rsidP="000C5DCC">
      <w:pPr>
        <w:pStyle w:val="Heading2"/>
        <w:spacing w:before="120" w:after="120" w:line="276" w:lineRule="auto"/>
        <w:jc w:val="left"/>
        <w:rPr>
          <w:rFonts w:eastAsiaTheme="minorHAnsi"/>
          <w:caps/>
          <w:sz w:val="30"/>
          <w:lang w:val="en-GB"/>
        </w:rPr>
      </w:pPr>
      <w:r>
        <w:rPr>
          <w:rFonts w:eastAsiaTheme="minorHAnsi"/>
          <w:caps/>
          <w:sz w:val="30"/>
          <w:lang w:val="en-GB"/>
        </w:rPr>
        <w:t>POISON SCHEDULE OF THE MEDICINE</w:t>
      </w:r>
    </w:p>
    <w:p w14:paraId="5553BDAB" w14:textId="77777777" w:rsidR="00B117E6" w:rsidRDefault="00B117E6" w:rsidP="00E12E40">
      <w:pPr>
        <w:tabs>
          <w:tab w:val="left" w:pos="-720"/>
        </w:tabs>
        <w:spacing w:after="240"/>
        <w:ind w:right="879"/>
        <w:rPr>
          <w:rFonts w:eastAsiaTheme="minorHAnsi"/>
        </w:rPr>
      </w:pPr>
      <w:r w:rsidRPr="00E12E40">
        <w:rPr>
          <w:rFonts w:eastAsiaTheme="minorHAnsi"/>
        </w:rPr>
        <w:t>Schedule 4 – Prescription only medicine</w:t>
      </w:r>
    </w:p>
    <w:p w14:paraId="09C8060A" w14:textId="3061EED5" w:rsidR="00364078" w:rsidRPr="00E12E40" w:rsidRDefault="003E558C" w:rsidP="000D0D1E">
      <w:pPr>
        <w:pStyle w:val="Heading2"/>
        <w:keepNext w:val="0"/>
        <w:widowControl w:val="0"/>
        <w:spacing w:before="120" w:after="240" w:line="276" w:lineRule="auto"/>
        <w:jc w:val="left"/>
        <w:rPr>
          <w:rFonts w:eastAsiaTheme="minorHAnsi"/>
          <w:caps/>
          <w:sz w:val="30"/>
          <w:lang w:val="en-GB"/>
        </w:rPr>
      </w:pPr>
      <w:r w:rsidRPr="00E12E40">
        <w:rPr>
          <w:rFonts w:eastAsiaTheme="minorHAnsi"/>
          <w:caps/>
          <w:sz w:val="30"/>
          <w:lang w:val="en-GB"/>
        </w:rPr>
        <w:t>DATE OF FIRST INCLUSION IN THE AUSTRALIAN REGISTER OF THERAPEUTIC GOODS (THE ARTG</w:t>
      </w:r>
      <w:r w:rsidRPr="00C829B6">
        <w:rPr>
          <w:rFonts w:eastAsiaTheme="minorHAnsi"/>
          <w:caps/>
          <w:sz w:val="30"/>
          <w:szCs w:val="30"/>
          <w:lang w:val="en-GB" w:eastAsia="ja-JP"/>
        </w:rPr>
        <w:t>)</w:t>
      </w:r>
    </w:p>
    <w:p w14:paraId="0DE1CB80" w14:textId="19E23788" w:rsidR="00D76CF5" w:rsidRDefault="00F23A9E" w:rsidP="000D0D1E">
      <w:pPr>
        <w:widowControl w:val="0"/>
        <w:spacing w:line="300" w:lineRule="atLeast"/>
        <w:jc w:val="both"/>
      </w:pPr>
      <w:r>
        <w:t>2</w:t>
      </w:r>
      <w:r w:rsidR="00C34819">
        <w:t>3</w:t>
      </w:r>
      <w:r w:rsidR="006927D6">
        <w:t xml:space="preserve"> </w:t>
      </w:r>
      <w:r w:rsidR="00C329A0">
        <w:t xml:space="preserve">Oct </w:t>
      </w:r>
      <w:r w:rsidR="00040F2A">
        <w:t xml:space="preserve">2017: </w:t>
      </w:r>
      <w:r w:rsidR="000D1F08">
        <w:t xml:space="preserve">AUST R </w:t>
      </w:r>
      <w:r w:rsidR="000D1F08" w:rsidRPr="000D1F08">
        <w:t>280246</w:t>
      </w:r>
      <w:r w:rsidR="00040F2A">
        <w:t xml:space="preserve"> KISQALI </w:t>
      </w:r>
      <w:proofErr w:type="spellStart"/>
      <w:r w:rsidR="00040F2A">
        <w:t>ribociclib</w:t>
      </w:r>
      <w:proofErr w:type="spellEnd"/>
      <w:r w:rsidR="00040F2A">
        <w:t xml:space="preserve"> 200 mg (as succinate) film coated tablet blister</w:t>
      </w:r>
    </w:p>
    <w:p w14:paraId="67FBACE2" w14:textId="708AC787" w:rsidR="006B448E" w:rsidRDefault="006B448E" w:rsidP="003E558C"/>
    <w:p w14:paraId="0FF6A3ED" w14:textId="10C9F718" w:rsidR="008E7F53" w:rsidRDefault="008E7F53" w:rsidP="003E558C"/>
    <w:p w14:paraId="2F191C53" w14:textId="77777777" w:rsidR="000C7761" w:rsidRDefault="000C7761" w:rsidP="003E558C"/>
    <w:p w14:paraId="0C41885A" w14:textId="77777777" w:rsidR="003E7243" w:rsidRDefault="003E7243" w:rsidP="003E558C"/>
    <w:p w14:paraId="0031C7FD" w14:textId="6EF8F110" w:rsidR="00166228" w:rsidRPr="00E12E40" w:rsidRDefault="00940D84" w:rsidP="00940D84">
      <w:pPr>
        <w:pBdr>
          <w:top w:val="single" w:sz="4" w:space="1" w:color="auto"/>
        </w:pBdr>
        <w:tabs>
          <w:tab w:val="right" w:pos="8550"/>
        </w:tabs>
        <w:ind w:right="878"/>
        <w:jc w:val="both"/>
        <w:rPr>
          <w:sz w:val="22"/>
        </w:rPr>
      </w:pPr>
      <w:r>
        <w:rPr>
          <w:sz w:val="22"/>
        </w:rPr>
        <w:t>I</w:t>
      </w:r>
      <w:r w:rsidR="00166228" w:rsidRPr="00E12E40">
        <w:rPr>
          <w:sz w:val="22"/>
        </w:rPr>
        <w:t xml:space="preserve">nternal </w:t>
      </w:r>
      <w:r>
        <w:rPr>
          <w:sz w:val="22"/>
        </w:rPr>
        <w:t xml:space="preserve">document code </w:t>
      </w:r>
      <w:r w:rsidR="00FA3B9B" w:rsidRPr="00B75C1A">
        <w:rPr>
          <w:sz w:val="22"/>
          <w:szCs w:val="22"/>
        </w:rPr>
        <w:t>(</w:t>
      </w:r>
      <w:r w:rsidR="00FE73BA">
        <w:rPr>
          <w:sz w:val="22"/>
          <w:szCs w:val="22"/>
        </w:rPr>
        <w:t>kis</w:t>
      </w:r>
      <w:r w:rsidR="006927D6">
        <w:rPr>
          <w:sz w:val="22"/>
          <w:szCs w:val="22"/>
        </w:rPr>
        <w:t>20</w:t>
      </w:r>
      <w:r w:rsidR="00C329A0">
        <w:rPr>
          <w:sz w:val="22"/>
          <w:szCs w:val="22"/>
        </w:rPr>
        <w:t>10</w:t>
      </w:r>
      <w:r w:rsidR="00FE73BA">
        <w:rPr>
          <w:sz w:val="22"/>
          <w:szCs w:val="22"/>
        </w:rPr>
        <w:t>1</w:t>
      </w:r>
      <w:r w:rsidR="000D1F08">
        <w:rPr>
          <w:sz w:val="22"/>
          <w:szCs w:val="22"/>
        </w:rPr>
        <w:t>7</w:t>
      </w:r>
      <w:r w:rsidR="00B75C1A">
        <w:rPr>
          <w:sz w:val="22"/>
          <w:szCs w:val="22"/>
        </w:rPr>
        <w:t>i</w:t>
      </w:r>
      <w:r w:rsidR="00FA3B9B" w:rsidRPr="00B75C1A">
        <w:rPr>
          <w:sz w:val="22"/>
          <w:szCs w:val="22"/>
        </w:rPr>
        <w:t>)</w:t>
      </w:r>
      <w:r w:rsidR="00B75C1A">
        <w:rPr>
          <w:sz w:val="22"/>
          <w:szCs w:val="22"/>
        </w:rPr>
        <w:t xml:space="preserve"> </w:t>
      </w:r>
      <w:r w:rsidR="00250210">
        <w:rPr>
          <w:sz w:val="22"/>
          <w:szCs w:val="22"/>
        </w:rPr>
        <w:t xml:space="preserve">based on </w:t>
      </w:r>
      <w:r w:rsidR="00D051A2">
        <w:rPr>
          <w:sz w:val="22"/>
          <w:szCs w:val="22"/>
        </w:rPr>
        <w:t xml:space="preserve">Novartis </w:t>
      </w:r>
      <w:r w:rsidR="00250210">
        <w:rPr>
          <w:sz w:val="22"/>
          <w:szCs w:val="22"/>
        </w:rPr>
        <w:t xml:space="preserve">CDS dated </w:t>
      </w:r>
      <w:r w:rsidR="00665BC9">
        <w:rPr>
          <w:sz w:val="22"/>
          <w:szCs w:val="22"/>
        </w:rPr>
        <w:t>2</w:t>
      </w:r>
      <w:r w:rsidR="00FE73BA">
        <w:rPr>
          <w:sz w:val="22"/>
          <w:szCs w:val="22"/>
        </w:rPr>
        <w:t xml:space="preserve">9 </w:t>
      </w:r>
      <w:r w:rsidR="00665BC9">
        <w:rPr>
          <w:sz w:val="22"/>
          <w:szCs w:val="22"/>
        </w:rPr>
        <w:t xml:space="preserve">Dec </w:t>
      </w:r>
      <w:r w:rsidR="00FE73BA">
        <w:rPr>
          <w:sz w:val="22"/>
          <w:szCs w:val="22"/>
        </w:rPr>
        <w:t>2016</w:t>
      </w:r>
    </w:p>
    <w:sectPr w:rsidR="00166228" w:rsidRPr="00E12E40" w:rsidSect="00784F98">
      <w:headerReference w:type="default" r:id="rId18"/>
      <w:footerReference w:type="even" r:id="rId19"/>
      <w:footerReference w:type="default" r:id="rId20"/>
      <w:headerReference w:type="first" r:id="rId21"/>
      <w:pgSz w:w="11906" w:h="16838" w:code="9"/>
      <w:pgMar w:top="1191" w:right="1134" w:bottom="851" w:left="1418" w:header="851"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209F7" w14:textId="77777777" w:rsidR="00844684" w:rsidRDefault="00844684">
      <w:r>
        <w:separator/>
      </w:r>
    </w:p>
    <w:p w14:paraId="37457012" w14:textId="77777777" w:rsidR="00844684" w:rsidRDefault="00844684"/>
  </w:endnote>
  <w:endnote w:type="continuationSeparator" w:id="0">
    <w:p w14:paraId="05216B09" w14:textId="77777777" w:rsidR="00844684" w:rsidRDefault="00844684">
      <w:r>
        <w:continuationSeparator/>
      </w:r>
    </w:p>
    <w:p w14:paraId="630185A0" w14:textId="77777777" w:rsidR="00844684" w:rsidRDefault="00844684"/>
  </w:endnote>
  <w:endnote w:type="continuationNotice" w:id="1">
    <w:p w14:paraId="0AEF0B17" w14:textId="77777777" w:rsidR="00844684" w:rsidRDefault="00844684"/>
    <w:p w14:paraId="0A14F59F" w14:textId="77777777" w:rsidR="00844684" w:rsidRDefault="00844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MS Gothic"/>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BDC7" w14:textId="77777777" w:rsidR="00844684" w:rsidRDefault="00844684" w:rsidP="00CB4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3BDC8" w14:textId="77777777" w:rsidR="00844684" w:rsidRDefault="00844684">
    <w:pPr>
      <w:pStyle w:val="Footer"/>
    </w:pPr>
  </w:p>
  <w:p w14:paraId="440EFC6E" w14:textId="77777777" w:rsidR="00844684" w:rsidRDefault="0084468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7539330"/>
      <w:docPartObj>
        <w:docPartGallery w:val="Page Numbers (Bottom of Page)"/>
        <w:docPartUnique/>
      </w:docPartObj>
    </w:sdtPr>
    <w:sdtEndPr/>
    <w:sdtContent>
      <w:p w14:paraId="74C97887" w14:textId="77777777" w:rsidR="00844684" w:rsidRPr="005E2608" w:rsidRDefault="00844684" w:rsidP="00CB4136">
        <w:pPr>
          <w:pStyle w:val="Footer"/>
          <w:framePr w:wrap="around" w:vAnchor="text" w:hAnchor="margin" w:xAlign="center" w:y="1"/>
          <w:rPr>
            <w:sz w:val="22"/>
            <w:szCs w:val="22"/>
          </w:rPr>
        </w:pPr>
      </w:p>
      <w:sdt>
        <w:sdtPr>
          <w:rPr>
            <w:sz w:val="16"/>
            <w:szCs w:val="16"/>
          </w:rPr>
          <w:id w:val="-1769616900"/>
          <w:docPartObj>
            <w:docPartGallery w:val="Page Numbers (Top of Page)"/>
            <w:docPartUnique/>
          </w:docPartObj>
        </w:sdtPr>
        <w:sdtEndPr>
          <w:rPr>
            <w:sz w:val="22"/>
            <w:szCs w:val="22"/>
          </w:rPr>
        </w:sdtEndPr>
        <w:sdtContent>
          <w:p w14:paraId="3B7991D3" w14:textId="7C92D8E2" w:rsidR="00844684" w:rsidRDefault="00844684" w:rsidP="00E8504A">
            <w:pPr>
              <w:pStyle w:val="Footer"/>
              <w:jc w:val="right"/>
              <w:rPr>
                <w:sz w:val="16"/>
                <w:szCs w:val="16"/>
              </w:rPr>
            </w:pPr>
          </w:p>
          <w:p w14:paraId="4D003274" w14:textId="6013F7E2" w:rsidR="00844684" w:rsidRPr="005E2608" w:rsidRDefault="00844684" w:rsidP="00E8504A">
            <w:pPr>
              <w:pStyle w:val="Footer"/>
              <w:jc w:val="right"/>
              <w:rPr>
                <w:sz w:val="22"/>
                <w:szCs w:val="22"/>
              </w:rPr>
            </w:pPr>
            <w:r w:rsidRPr="00E81CA3">
              <w:rPr>
                <w:sz w:val="22"/>
                <w:szCs w:val="22"/>
              </w:rPr>
              <w:t>KISQALI Product Information</w:t>
            </w:r>
            <w:r>
              <w:rPr>
                <w:sz w:val="22"/>
                <w:szCs w:val="22"/>
              </w:rPr>
              <w:t xml:space="preserve">                         </w:t>
            </w:r>
            <w:r>
              <w:rPr>
                <w:sz w:val="22"/>
                <w:szCs w:val="22"/>
              </w:rPr>
              <w:tab/>
            </w:r>
            <w:r>
              <w:rPr>
                <w:sz w:val="22"/>
                <w:szCs w:val="22"/>
              </w:rPr>
              <w:tab/>
              <w:t xml:space="preserve">     </w:t>
            </w:r>
            <w:r w:rsidRPr="005E2608">
              <w:rPr>
                <w:sz w:val="22"/>
                <w:szCs w:val="22"/>
              </w:rPr>
              <w:t xml:space="preserve">Page </w:t>
            </w:r>
            <w:r w:rsidRPr="005E2608">
              <w:rPr>
                <w:rStyle w:val="PageNumber"/>
                <w:sz w:val="22"/>
                <w:szCs w:val="22"/>
              </w:rPr>
              <w:fldChar w:fldCharType="begin"/>
            </w:r>
            <w:r w:rsidRPr="005E2608">
              <w:rPr>
                <w:rStyle w:val="PageNumber"/>
                <w:sz w:val="22"/>
                <w:szCs w:val="22"/>
              </w:rPr>
              <w:instrText xml:space="preserve">PAGE  </w:instrText>
            </w:r>
            <w:r w:rsidRPr="005E2608">
              <w:rPr>
                <w:rStyle w:val="PageNumber"/>
                <w:sz w:val="22"/>
                <w:szCs w:val="22"/>
              </w:rPr>
              <w:fldChar w:fldCharType="separate"/>
            </w:r>
            <w:r w:rsidR="00927B21">
              <w:rPr>
                <w:rStyle w:val="PageNumber"/>
                <w:noProof/>
                <w:sz w:val="22"/>
                <w:szCs w:val="22"/>
              </w:rPr>
              <w:t>25</w:t>
            </w:r>
            <w:r w:rsidRPr="005E2608">
              <w:rPr>
                <w:rStyle w:val="PageNumber"/>
                <w:sz w:val="22"/>
                <w:szCs w:val="22"/>
              </w:rPr>
              <w:fldChar w:fldCharType="end"/>
            </w:r>
            <w:r w:rsidRPr="005E2608">
              <w:rPr>
                <w:sz w:val="22"/>
                <w:szCs w:val="22"/>
              </w:rPr>
              <w:t xml:space="preserve"> of </w:t>
            </w:r>
            <w:r w:rsidRPr="005E2608">
              <w:rPr>
                <w:bCs/>
                <w:sz w:val="22"/>
                <w:szCs w:val="22"/>
              </w:rPr>
              <w:fldChar w:fldCharType="begin"/>
            </w:r>
            <w:r w:rsidRPr="005E2608">
              <w:rPr>
                <w:bCs/>
                <w:sz w:val="22"/>
                <w:szCs w:val="22"/>
              </w:rPr>
              <w:instrText xml:space="preserve"> NUMPAGES  </w:instrText>
            </w:r>
            <w:r w:rsidRPr="005E2608">
              <w:rPr>
                <w:bCs/>
                <w:sz w:val="22"/>
                <w:szCs w:val="22"/>
              </w:rPr>
              <w:fldChar w:fldCharType="separate"/>
            </w:r>
            <w:r w:rsidR="00927B21">
              <w:rPr>
                <w:bCs/>
                <w:noProof/>
                <w:sz w:val="22"/>
                <w:szCs w:val="22"/>
              </w:rPr>
              <w:t>26</w:t>
            </w:r>
            <w:r w:rsidRPr="005E2608">
              <w:rPr>
                <w:bCs/>
                <w:sz w:val="22"/>
                <w:szCs w:val="22"/>
              </w:rPr>
              <w:fldChar w:fldCharType="end"/>
            </w:r>
          </w:p>
          <w:p w14:paraId="4DC428AC" w14:textId="4BE91217" w:rsidR="00844684" w:rsidRPr="00E81CA3" w:rsidRDefault="00927B21" w:rsidP="00E8504A">
            <w:pPr>
              <w:pStyle w:val="Footer"/>
              <w:rPr>
                <w:sz w:val="16"/>
                <w:szCs w:val="16"/>
              </w:rPr>
            </w:pPr>
          </w:p>
        </w:sdtContent>
      </w:sdt>
    </w:sdtContent>
  </w:sdt>
  <w:p w14:paraId="5553BDC9" w14:textId="31240442" w:rsidR="00844684" w:rsidRPr="00CF4CFB" w:rsidRDefault="00844684" w:rsidP="00CB4136">
    <w:pPr>
      <w:pStyle w:val="Footer"/>
      <w:framePr w:wrap="around" w:vAnchor="text" w:hAnchor="margin" w:xAlign="center" w:y="1"/>
      <w:rPr>
        <w:rStyle w:val="PageNumber"/>
        <w:sz w:val="22"/>
        <w:szCs w:val="22"/>
      </w:rPr>
    </w:pPr>
  </w:p>
  <w:p w14:paraId="5553BDCA" w14:textId="77777777" w:rsidR="00844684" w:rsidRPr="00CB4136" w:rsidRDefault="00844684" w:rsidP="00320154">
    <w:pPr>
      <w:pStyle w:val="Footer"/>
      <w:rPr>
        <w:rFonts w:ascii="Arial" w:hAnsi="Arial" w:cs="Arial"/>
        <w:sz w:val="20"/>
        <w:szCs w:val="20"/>
      </w:rPr>
    </w:pPr>
  </w:p>
  <w:p w14:paraId="690A92FF" w14:textId="77777777" w:rsidR="00844684" w:rsidRDefault="008446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BC0AD" w14:textId="77777777" w:rsidR="00844684" w:rsidRDefault="00844684">
      <w:r>
        <w:separator/>
      </w:r>
    </w:p>
    <w:p w14:paraId="5708E34C" w14:textId="77777777" w:rsidR="00844684" w:rsidRDefault="00844684"/>
  </w:footnote>
  <w:footnote w:type="continuationSeparator" w:id="0">
    <w:p w14:paraId="2DE1A46A" w14:textId="77777777" w:rsidR="00844684" w:rsidRDefault="00844684">
      <w:r>
        <w:continuationSeparator/>
      </w:r>
    </w:p>
    <w:p w14:paraId="36E84EDE" w14:textId="77777777" w:rsidR="00844684" w:rsidRDefault="00844684"/>
  </w:footnote>
  <w:footnote w:type="continuationNotice" w:id="1">
    <w:p w14:paraId="2F2C2977" w14:textId="77777777" w:rsidR="00844684" w:rsidRDefault="00844684"/>
    <w:p w14:paraId="3FDCA84D" w14:textId="77777777" w:rsidR="00844684" w:rsidRDefault="008446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844684" w14:paraId="6A67FDF4" w14:textId="77777777" w:rsidTr="00844684">
      <w:tc>
        <w:tcPr>
          <w:tcW w:w="8720" w:type="dxa"/>
          <w:shd w:val="clear" w:color="auto" w:fill="E4F2E0"/>
        </w:tcPr>
        <w:p w14:paraId="1E8EE15A" w14:textId="77777777" w:rsidR="00844684" w:rsidRPr="00FB03BD" w:rsidRDefault="00844684" w:rsidP="001543C7">
          <w:pPr>
            <w:spacing w:before="120" w:after="120" w:line="240" w:lineRule="atLeast"/>
          </w:pPr>
          <w:r w:rsidRPr="00D361CA">
            <w:rPr>
              <w:b/>
              <w:sz w:val="20"/>
              <w:szCs w:val="20"/>
            </w:rPr>
            <w:t xml:space="preserve">Attachment 1: Product information for </w:t>
          </w:r>
          <w:proofErr w:type="spellStart"/>
          <w:r w:rsidRPr="00FA030D">
            <w:rPr>
              <w:b/>
              <w:sz w:val="20"/>
              <w:szCs w:val="20"/>
            </w:rPr>
            <w:t>AusPAR</w:t>
          </w:r>
          <w:proofErr w:type="spellEnd"/>
          <w:r w:rsidRPr="00FA030D">
            <w:rPr>
              <w:b/>
              <w:sz w:val="20"/>
              <w:szCs w:val="20"/>
            </w:rPr>
            <w:t xml:space="preserve"> - KISQALI - </w:t>
          </w:r>
          <w:proofErr w:type="spellStart"/>
          <w:r w:rsidRPr="00FA030D">
            <w:rPr>
              <w:b/>
              <w:sz w:val="20"/>
              <w:szCs w:val="20"/>
            </w:rPr>
            <w:t>ribociclib</w:t>
          </w:r>
          <w:proofErr w:type="spellEnd"/>
          <w:r w:rsidRPr="00FA030D">
            <w:rPr>
              <w:b/>
              <w:sz w:val="20"/>
              <w:szCs w:val="20"/>
            </w:rPr>
            <w:t xml:space="preserve"> succinate - Novartis Pharmaceuticals Australia Pty Ltd -PM-2016-03090-1-4</w:t>
          </w:r>
          <w:r>
            <w:rPr>
              <w:b/>
              <w:sz w:val="20"/>
              <w:szCs w:val="20"/>
            </w:rPr>
            <w:t xml:space="preserve"> </w:t>
          </w:r>
          <w:r w:rsidRPr="00FA030D">
            <w:rPr>
              <w:b/>
              <w:sz w:val="20"/>
              <w:szCs w:val="20"/>
            </w:rPr>
            <w:t>FINAL 30 June 2020</w:t>
          </w:r>
          <w:r w:rsidRPr="00D361CA">
            <w:rPr>
              <w:b/>
              <w:sz w:val="20"/>
              <w:szCs w:val="20"/>
            </w:rPr>
            <w:t xml:space="preserve">. </w:t>
          </w:r>
          <w:r w:rsidRPr="006918A5">
            <w:rPr>
              <w:b/>
              <w:sz w:val="18"/>
              <w:szCs w:val="18"/>
            </w:rPr>
            <w:t xml:space="preserve">This is the Product Information that </w:t>
          </w:r>
          <w:proofErr w:type="gramStart"/>
          <w:r w:rsidRPr="006918A5">
            <w:rPr>
              <w:b/>
              <w:sz w:val="18"/>
              <w:szCs w:val="18"/>
            </w:rPr>
            <w:t>was approved</w:t>
          </w:r>
          <w:proofErr w:type="gramEnd"/>
          <w:r w:rsidRPr="006918A5">
            <w:rPr>
              <w:b/>
              <w:sz w:val="18"/>
              <w:szCs w:val="18"/>
            </w:rPr>
            <w:t xml:space="preserve"> with the submission described in this </w:t>
          </w:r>
          <w:proofErr w:type="spellStart"/>
          <w:r w:rsidRPr="006918A5">
            <w:rPr>
              <w:b/>
              <w:sz w:val="18"/>
              <w:szCs w:val="18"/>
            </w:rPr>
            <w:t>AusPAR</w:t>
          </w:r>
          <w:proofErr w:type="spellEnd"/>
          <w:r w:rsidRPr="006918A5">
            <w:rPr>
              <w:b/>
              <w:sz w:val="18"/>
              <w:szCs w:val="18"/>
            </w:rPr>
            <w:t xml:space="preserve">. It </w:t>
          </w:r>
          <w:proofErr w:type="gramStart"/>
          <w:r w:rsidRPr="006918A5">
            <w:rPr>
              <w:b/>
              <w:sz w:val="18"/>
              <w:szCs w:val="18"/>
            </w:rPr>
            <w:t>may have been superseded</w:t>
          </w:r>
          <w:proofErr w:type="gramEnd"/>
          <w:r w:rsidRPr="006918A5">
            <w:rPr>
              <w:b/>
              <w:sz w:val="18"/>
              <w:szCs w:val="18"/>
            </w:rPr>
            <w:t>. For the most recent PI, please refer to the TGA website at</w:t>
          </w:r>
          <w:r>
            <w:rPr>
              <w:b/>
              <w:sz w:val="18"/>
              <w:szCs w:val="18"/>
            </w:rPr>
            <w:t xml:space="preserve"> &lt;</w:t>
          </w:r>
          <w:hyperlink r:id="rId1" w:history="1">
            <w:r w:rsidRPr="006918A5">
              <w:rPr>
                <w:rStyle w:val="Hyperlink"/>
                <w:sz w:val="18"/>
                <w:szCs w:val="18"/>
              </w:rPr>
              <w:t>https://www.tga.gov.au/product-information-pi</w:t>
            </w:r>
          </w:hyperlink>
          <w:r w:rsidRPr="00FB03BD">
            <w:rPr>
              <w:rStyle w:val="Hyperlink"/>
              <w:sz w:val="18"/>
              <w:szCs w:val="18"/>
            </w:rPr>
            <w:t>&gt;</w:t>
          </w:r>
        </w:p>
      </w:tc>
    </w:tr>
  </w:tbl>
  <w:p w14:paraId="2E70B87F" w14:textId="77777777" w:rsidR="00844684" w:rsidRPr="00D76CF5" w:rsidRDefault="00844684" w:rsidP="00D76CF5">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844684" w14:paraId="7A833F13" w14:textId="77777777" w:rsidTr="00844684">
      <w:tc>
        <w:tcPr>
          <w:tcW w:w="8720" w:type="dxa"/>
          <w:shd w:val="clear" w:color="auto" w:fill="E4F2E0"/>
        </w:tcPr>
        <w:p w14:paraId="7D888C81" w14:textId="123DC71E" w:rsidR="00844684" w:rsidRPr="00FB03BD" w:rsidRDefault="00844684" w:rsidP="00FA030D">
          <w:pPr>
            <w:spacing w:before="120" w:after="120" w:line="240" w:lineRule="atLeast"/>
          </w:pPr>
          <w:r w:rsidRPr="00D361CA">
            <w:rPr>
              <w:b/>
              <w:sz w:val="20"/>
              <w:szCs w:val="20"/>
            </w:rPr>
            <w:t xml:space="preserve">Attachment 1: Product information for </w:t>
          </w:r>
          <w:proofErr w:type="spellStart"/>
          <w:r w:rsidRPr="00FA030D">
            <w:rPr>
              <w:b/>
              <w:sz w:val="20"/>
              <w:szCs w:val="20"/>
            </w:rPr>
            <w:t>AusPAR</w:t>
          </w:r>
          <w:proofErr w:type="spellEnd"/>
          <w:r w:rsidRPr="00FA030D">
            <w:rPr>
              <w:b/>
              <w:sz w:val="20"/>
              <w:szCs w:val="20"/>
            </w:rPr>
            <w:t xml:space="preserve"> - KISQALI - </w:t>
          </w:r>
          <w:proofErr w:type="spellStart"/>
          <w:r w:rsidRPr="00FA030D">
            <w:rPr>
              <w:b/>
              <w:sz w:val="20"/>
              <w:szCs w:val="20"/>
            </w:rPr>
            <w:t>ribociclib</w:t>
          </w:r>
          <w:proofErr w:type="spellEnd"/>
          <w:r w:rsidRPr="00FA030D">
            <w:rPr>
              <w:b/>
              <w:sz w:val="20"/>
              <w:szCs w:val="20"/>
            </w:rPr>
            <w:t xml:space="preserve"> succinate - Novartis Pharmaceuticals Australia Pty Ltd -PM-2016-03090-1-4</w:t>
          </w:r>
          <w:r>
            <w:rPr>
              <w:b/>
              <w:sz w:val="20"/>
              <w:szCs w:val="20"/>
            </w:rPr>
            <w:t xml:space="preserve"> </w:t>
          </w:r>
          <w:r w:rsidRPr="00FA030D">
            <w:rPr>
              <w:b/>
              <w:sz w:val="20"/>
              <w:szCs w:val="20"/>
            </w:rPr>
            <w:t>FINAL 30 June 2020</w:t>
          </w:r>
          <w:r w:rsidRPr="00D361CA">
            <w:rPr>
              <w:b/>
              <w:sz w:val="20"/>
              <w:szCs w:val="20"/>
            </w:rPr>
            <w:t xml:space="preserve">. </w:t>
          </w:r>
          <w:r w:rsidRPr="006918A5">
            <w:rPr>
              <w:b/>
              <w:sz w:val="18"/>
              <w:szCs w:val="18"/>
            </w:rPr>
            <w:t xml:space="preserve">This is the Product Information that </w:t>
          </w:r>
          <w:proofErr w:type="gramStart"/>
          <w:r w:rsidRPr="006918A5">
            <w:rPr>
              <w:b/>
              <w:sz w:val="18"/>
              <w:szCs w:val="18"/>
            </w:rPr>
            <w:t>was approved</w:t>
          </w:r>
          <w:proofErr w:type="gramEnd"/>
          <w:r w:rsidRPr="006918A5">
            <w:rPr>
              <w:b/>
              <w:sz w:val="18"/>
              <w:szCs w:val="18"/>
            </w:rPr>
            <w:t xml:space="preserve"> with the submission described in this </w:t>
          </w:r>
          <w:proofErr w:type="spellStart"/>
          <w:r w:rsidRPr="006918A5">
            <w:rPr>
              <w:b/>
              <w:sz w:val="18"/>
              <w:szCs w:val="18"/>
            </w:rPr>
            <w:t>AusPAR</w:t>
          </w:r>
          <w:proofErr w:type="spellEnd"/>
          <w:r w:rsidRPr="006918A5">
            <w:rPr>
              <w:b/>
              <w:sz w:val="18"/>
              <w:szCs w:val="18"/>
            </w:rPr>
            <w:t xml:space="preserve">. It </w:t>
          </w:r>
          <w:proofErr w:type="gramStart"/>
          <w:r w:rsidRPr="006918A5">
            <w:rPr>
              <w:b/>
              <w:sz w:val="18"/>
              <w:szCs w:val="18"/>
            </w:rPr>
            <w:t>may have been superseded</w:t>
          </w:r>
          <w:proofErr w:type="gramEnd"/>
          <w:r w:rsidRPr="006918A5">
            <w:rPr>
              <w:b/>
              <w:sz w:val="18"/>
              <w:szCs w:val="18"/>
            </w:rPr>
            <w:t>. For the most recent PI, please refer to the TGA website at</w:t>
          </w:r>
          <w:r>
            <w:rPr>
              <w:b/>
              <w:sz w:val="18"/>
              <w:szCs w:val="18"/>
            </w:rPr>
            <w:t xml:space="preserve"> &lt;</w:t>
          </w:r>
          <w:hyperlink r:id="rId1" w:history="1">
            <w:r w:rsidRPr="006918A5">
              <w:rPr>
                <w:rStyle w:val="Hyperlink"/>
                <w:sz w:val="18"/>
                <w:szCs w:val="18"/>
              </w:rPr>
              <w:t>https://www.tga.gov.au/product-information-pi</w:t>
            </w:r>
          </w:hyperlink>
          <w:r w:rsidRPr="00020CA6">
            <w:rPr>
              <w:rStyle w:val="Hyperlink"/>
              <w:sz w:val="18"/>
              <w:szCs w:val="18"/>
              <w:u w:val="none"/>
            </w:rPr>
            <w:t>&gt;</w:t>
          </w:r>
        </w:p>
      </w:tc>
    </w:tr>
  </w:tbl>
  <w:p w14:paraId="64053B06" w14:textId="77777777" w:rsidR="00844684" w:rsidRDefault="0084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13F"/>
    <w:multiLevelType w:val="hybridMultilevel"/>
    <w:tmpl w:val="89D6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0ADE"/>
    <w:multiLevelType w:val="hybridMultilevel"/>
    <w:tmpl w:val="EB942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D11841"/>
    <w:multiLevelType w:val="hybridMultilevel"/>
    <w:tmpl w:val="57FE3C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36F14"/>
    <w:multiLevelType w:val="hybridMultilevel"/>
    <w:tmpl w:val="9C3C11C8"/>
    <w:lvl w:ilvl="0" w:tplc="525636EA">
      <w:start w:val="1"/>
      <w:numFmt w:val="decimal"/>
      <w:pStyle w:val="LBLListStyle1"/>
      <w:lvlText w:val="%1."/>
      <w:lvlJc w:val="left"/>
      <w:pPr>
        <w:tabs>
          <w:tab w:val="num" w:pos="480"/>
        </w:tabs>
        <w:ind w:left="48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346103"/>
    <w:multiLevelType w:val="hybridMultilevel"/>
    <w:tmpl w:val="17FA5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5118C"/>
    <w:multiLevelType w:val="hybridMultilevel"/>
    <w:tmpl w:val="B2BC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7" w15:restartNumberingAfterBreak="0">
    <w:nsid w:val="21C37A6C"/>
    <w:multiLevelType w:val="hybridMultilevel"/>
    <w:tmpl w:val="23B0733C"/>
    <w:lvl w:ilvl="0" w:tplc="04090001">
      <w:start w:val="1"/>
      <w:numFmt w:val="bullet"/>
      <w:lvlText w:val=""/>
      <w:lvlJc w:val="left"/>
      <w:pPr>
        <w:ind w:left="1107" w:hanging="360"/>
      </w:pPr>
      <w:rPr>
        <w:rFonts w:ascii="Symbol" w:hAnsi="Symbol"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8" w15:restartNumberingAfterBreak="0">
    <w:nsid w:val="2C142943"/>
    <w:multiLevelType w:val="hybridMultilevel"/>
    <w:tmpl w:val="B9E0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F0D96"/>
    <w:multiLevelType w:val="hybridMultilevel"/>
    <w:tmpl w:val="AC42FD2A"/>
    <w:lvl w:ilvl="0" w:tplc="9432A7B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11" w15:restartNumberingAfterBreak="0">
    <w:nsid w:val="39A531F8"/>
    <w:multiLevelType w:val="hybridMultilevel"/>
    <w:tmpl w:val="517C5F46"/>
    <w:lvl w:ilvl="0" w:tplc="B8C6015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EF5853"/>
    <w:multiLevelType w:val="multilevel"/>
    <w:tmpl w:val="BE0EBB68"/>
    <w:styleLink w:val="GDSTablefootnotes"/>
    <w:lvl w:ilvl="0">
      <w:start w:val="1"/>
      <w:numFmt w:val="lowerLetter"/>
      <w:lvlText w:val="%1. "/>
      <w:lvlJc w:val="left"/>
      <w:pPr>
        <w:tabs>
          <w:tab w:val="num" w:pos="360"/>
        </w:tabs>
        <w:ind w:left="360" w:hanging="360"/>
      </w:pPr>
      <w:rPr>
        <w:rFonts w:ascii="Arial Narrow" w:hAnsi="Arial Narrow" w:hint="default"/>
        <w:sz w:val="16"/>
        <w:szCs w:val="1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FA738CE"/>
    <w:multiLevelType w:val="hybridMultilevel"/>
    <w:tmpl w:val="F86AB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8F1F2C"/>
    <w:multiLevelType w:val="hybridMultilevel"/>
    <w:tmpl w:val="234E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hint="default"/>
      </w:rPr>
    </w:lvl>
  </w:abstractNum>
  <w:abstractNum w:abstractNumId="16" w15:restartNumberingAfterBreak="0">
    <w:nsid w:val="44680CDE"/>
    <w:multiLevelType w:val="hybridMultilevel"/>
    <w:tmpl w:val="A85C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55154"/>
    <w:multiLevelType w:val="hybridMultilevel"/>
    <w:tmpl w:val="89A86840"/>
    <w:lvl w:ilvl="0" w:tplc="B484AC68">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E83ECD"/>
    <w:multiLevelType w:val="hybridMultilevel"/>
    <w:tmpl w:val="F124921C"/>
    <w:lvl w:ilvl="0" w:tplc="14B02870">
      <w:start w:val="1"/>
      <w:numFmt w:val="bullet"/>
      <w:pStyle w:val="LBLBulletStyle1"/>
      <w:lvlText w:val=""/>
      <w:lvlJc w:val="left"/>
      <w:pPr>
        <w:tabs>
          <w:tab w:val="num" w:pos="360"/>
        </w:tabs>
        <w:ind w:left="360" w:hanging="360"/>
      </w:pPr>
      <w:rPr>
        <w:rFonts w:ascii="Symbol" w:hAnsi="Symbol" w:hint="default"/>
      </w:rPr>
    </w:lvl>
    <w:lvl w:ilvl="1" w:tplc="A6F20394">
      <w:start w:val="1"/>
      <w:numFmt w:val="bullet"/>
      <w:lvlText w:val=""/>
      <w:lvlJc w:val="left"/>
      <w:pPr>
        <w:tabs>
          <w:tab w:val="num" w:pos="1080"/>
        </w:tabs>
        <w:ind w:left="1080" w:hanging="360"/>
      </w:pPr>
      <w:rPr>
        <w:rFonts w:ascii="Symbol" w:hAnsi="Symbol" w:hint="default"/>
      </w:rPr>
    </w:lvl>
    <w:lvl w:ilvl="2" w:tplc="C3D66A42" w:tentative="1">
      <w:start w:val="1"/>
      <w:numFmt w:val="bullet"/>
      <w:lvlText w:val=""/>
      <w:lvlJc w:val="left"/>
      <w:pPr>
        <w:tabs>
          <w:tab w:val="num" w:pos="1800"/>
        </w:tabs>
        <w:ind w:left="1800" w:hanging="360"/>
      </w:pPr>
      <w:rPr>
        <w:rFonts w:ascii="Wingdings" w:hAnsi="Wingdings" w:hint="default"/>
      </w:rPr>
    </w:lvl>
    <w:lvl w:ilvl="3" w:tplc="D53CEBE6" w:tentative="1">
      <w:start w:val="1"/>
      <w:numFmt w:val="bullet"/>
      <w:lvlText w:val=""/>
      <w:lvlJc w:val="left"/>
      <w:pPr>
        <w:tabs>
          <w:tab w:val="num" w:pos="2520"/>
        </w:tabs>
        <w:ind w:left="2520" w:hanging="360"/>
      </w:pPr>
      <w:rPr>
        <w:rFonts w:ascii="Symbol" w:hAnsi="Symbol" w:hint="default"/>
      </w:rPr>
    </w:lvl>
    <w:lvl w:ilvl="4" w:tplc="6E6243B2" w:tentative="1">
      <w:start w:val="1"/>
      <w:numFmt w:val="bullet"/>
      <w:lvlText w:val="o"/>
      <w:lvlJc w:val="left"/>
      <w:pPr>
        <w:tabs>
          <w:tab w:val="num" w:pos="3240"/>
        </w:tabs>
        <w:ind w:left="3240" w:hanging="360"/>
      </w:pPr>
      <w:rPr>
        <w:rFonts w:ascii="Courier New" w:hAnsi="Courier New" w:cs="Courier New" w:hint="default"/>
      </w:rPr>
    </w:lvl>
    <w:lvl w:ilvl="5" w:tplc="63D44DA2" w:tentative="1">
      <w:start w:val="1"/>
      <w:numFmt w:val="bullet"/>
      <w:lvlText w:val=""/>
      <w:lvlJc w:val="left"/>
      <w:pPr>
        <w:tabs>
          <w:tab w:val="num" w:pos="3960"/>
        </w:tabs>
        <w:ind w:left="3960" w:hanging="360"/>
      </w:pPr>
      <w:rPr>
        <w:rFonts w:ascii="Wingdings" w:hAnsi="Wingdings" w:hint="default"/>
      </w:rPr>
    </w:lvl>
    <w:lvl w:ilvl="6" w:tplc="A96055F6" w:tentative="1">
      <w:start w:val="1"/>
      <w:numFmt w:val="bullet"/>
      <w:lvlText w:val=""/>
      <w:lvlJc w:val="left"/>
      <w:pPr>
        <w:tabs>
          <w:tab w:val="num" w:pos="4680"/>
        </w:tabs>
        <w:ind w:left="4680" w:hanging="360"/>
      </w:pPr>
      <w:rPr>
        <w:rFonts w:ascii="Symbol" w:hAnsi="Symbol" w:hint="default"/>
      </w:rPr>
    </w:lvl>
    <w:lvl w:ilvl="7" w:tplc="2E9211EC" w:tentative="1">
      <w:start w:val="1"/>
      <w:numFmt w:val="bullet"/>
      <w:lvlText w:val="o"/>
      <w:lvlJc w:val="left"/>
      <w:pPr>
        <w:tabs>
          <w:tab w:val="num" w:pos="5400"/>
        </w:tabs>
        <w:ind w:left="5400" w:hanging="360"/>
      </w:pPr>
      <w:rPr>
        <w:rFonts w:ascii="Courier New" w:hAnsi="Courier New" w:cs="Courier New" w:hint="default"/>
      </w:rPr>
    </w:lvl>
    <w:lvl w:ilvl="8" w:tplc="D13440F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B107CD"/>
    <w:multiLevelType w:val="hybridMultilevel"/>
    <w:tmpl w:val="E02C8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3409D6"/>
    <w:multiLevelType w:val="hybridMultilevel"/>
    <w:tmpl w:val="E37A4CCA"/>
    <w:lvl w:ilvl="0" w:tplc="3E083F4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E34163"/>
    <w:multiLevelType w:val="hybridMultilevel"/>
    <w:tmpl w:val="ADE25A52"/>
    <w:lvl w:ilvl="0" w:tplc="7AD6EFC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653387"/>
    <w:multiLevelType w:val="hybridMultilevel"/>
    <w:tmpl w:val="322C4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962D10"/>
    <w:multiLevelType w:val="hybridMultilevel"/>
    <w:tmpl w:val="CFC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E438B"/>
    <w:multiLevelType w:val="hybridMultilevel"/>
    <w:tmpl w:val="E854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D87359"/>
    <w:multiLevelType w:val="hybridMultilevel"/>
    <w:tmpl w:val="C73274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72C9674A"/>
    <w:multiLevelType w:val="hybridMultilevel"/>
    <w:tmpl w:val="9462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53320"/>
    <w:multiLevelType w:val="hybridMultilevel"/>
    <w:tmpl w:val="1CBA4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D2DA7"/>
    <w:multiLevelType w:val="hybridMultilevel"/>
    <w:tmpl w:val="0C8C9550"/>
    <w:lvl w:ilvl="0" w:tplc="B8C601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2"/>
  </w:num>
  <w:num w:numId="4">
    <w:abstractNumId w:val="15"/>
  </w:num>
  <w:num w:numId="5">
    <w:abstractNumId w:val="10"/>
  </w:num>
  <w:num w:numId="6">
    <w:abstractNumId w:val="6"/>
  </w:num>
  <w:num w:numId="7">
    <w:abstractNumId w:val="9"/>
  </w:num>
  <w:num w:numId="8">
    <w:abstractNumId w:val="17"/>
  </w:num>
  <w:num w:numId="9">
    <w:abstractNumId w:val="1"/>
  </w:num>
  <w:num w:numId="10">
    <w:abstractNumId w:val="20"/>
  </w:num>
  <w:num w:numId="11">
    <w:abstractNumId w:val="23"/>
  </w:num>
  <w:num w:numId="12">
    <w:abstractNumId w:val="19"/>
  </w:num>
  <w:num w:numId="13">
    <w:abstractNumId w:val="24"/>
  </w:num>
  <w:num w:numId="14">
    <w:abstractNumId w:val="8"/>
  </w:num>
  <w:num w:numId="15">
    <w:abstractNumId w:val="13"/>
  </w:num>
  <w:num w:numId="16">
    <w:abstractNumId w:val="27"/>
  </w:num>
  <w:num w:numId="17">
    <w:abstractNumId w:val="21"/>
  </w:num>
  <w:num w:numId="18">
    <w:abstractNumId w:val="7"/>
  </w:num>
  <w:num w:numId="19">
    <w:abstractNumId w:val="2"/>
  </w:num>
  <w:num w:numId="20">
    <w:abstractNumId w:val="14"/>
  </w:num>
  <w:num w:numId="21">
    <w:abstractNumId w:val="0"/>
  </w:num>
  <w:num w:numId="22">
    <w:abstractNumId w:val="4"/>
  </w:num>
  <w:num w:numId="23">
    <w:abstractNumId w:val="16"/>
  </w:num>
  <w:num w:numId="24">
    <w:abstractNumId w:val="26"/>
  </w:num>
  <w:num w:numId="25">
    <w:abstractNumId w:val="22"/>
  </w:num>
  <w:num w:numId="26">
    <w:abstractNumId w:val="5"/>
  </w:num>
  <w:num w:numId="27">
    <w:abstractNumId w:val="28"/>
  </w:num>
  <w:num w:numId="28">
    <w:abstractNumId w:val="11"/>
  </w:num>
  <w:num w:numId="2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869"/>
    <w:rsid w:val="000000BD"/>
    <w:rsid w:val="0000038A"/>
    <w:rsid w:val="00000487"/>
    <w:rsid w:val="000005F6"/>
    <w:rsid w:val="00000F07"/>
    <w:rsid w:val="00001796"/>
    <w:rsid w:val="00001A06"/>
    <w:rsid w:val="00001C11"/>
    <w:rsid w:val="00003513"/>
    <w:rsid w:val="000037DD"/>
    <w:rsid w:val="00003FC5"/>
    <w:rsid w:val="0000478E"/>
    <w:rsid w:val="00004C6B"/>
    <w:rsid w:val="00006F0A"/>
    <w:rsid w:val="00007C00"/>
    <w:rsid w:val="00010FCB"/>
    <w:rsid w:val="0001281C"/>
    <w:rsid w:val="000131A1"/>
    <w:rsid w:val="00013537"/>
    <w:rsid w:val="00013603"/>
    <w:rsid w:val="00013DE2"/>
    <w:rsid w:val="0001408C"/>
    <w:rsid w:val="00014C28"/>
    <w:rsid w:val="000160DA"/>
    <w:rsid w:val="000164CC"/>
    <w:rsid w:val="000170A3"/>
    <w:rsid w:val="00017D1E"/>
    <w:rsid w:val="00020982"/>
    <w:rsid w:val="00020CA6"/>
    <w:rsid w:val="00021129"/>
    <w:rsid w:val="0002129B"/>
    <w:rsid w:val="00022A1C"/>
    <w:rsid w:val="00022B3A"/>
    <w:rsid w:val="00022CEF"/>
    <w:rsid w:val="0002323B"/>
    <w:rsid w:val="000234FA"/>
    <w:rsid w:val="00023E37"/>
    <w:rsid w:val="00024210"/>
    <w:rsid w:val="00025723"/>
    <w:rsid w:val="00025D09"/>
    <w:rsid w:val="00026922"/>
    <w:rsid w:val="0002782B"/>
    <w:rsid w:val="00027BB2"/>
    <w:rsid w:val="000316C4"/>
    <w:rsid w:val="00031C30"/>
    <w:rsid w:val="000334B3"/>
    <w:rsid w:val="0003401F"/>
    <w:rsid w:val="000341F6"/>
    <w:rsid w:val="00035C32"/>
    <w:rsid w:val="00035F84"/>
    <w:rsid w:val="00036CC8"/>
    <w:rsid w:val="00040B7B"/>
    <w:rsid w:val="00040CD7"/>
    <w:rsid w:val="00040F2A"/>
    <w:rsid w:val="0004162D"/>
    <w:rsid w:val="00041F9B"/>
    <w:rsid w:val="00042E7E"/>
    <w:rsid w:val="00043004"/>
    <w:rsid w:val="00043B6A"/>
    <w:rsid w:val="00043C1F"/>
    <w:rsid w:val="00043F3E"/>
    <w:rsid w:val="000454E8"/>
    <w:rsid w:val="00045703"/>
    <w:rsid w:val="00046929"/>
    <w:rsid w:val="00046EF6"/>
    <w:rsid w:val="00046F94"/>
    <w:rsid w:val="0004714A"/>
    <w:rsid w:val="00047BE8"/>
    <w:rsid w:val="000507A9"/>
    <w:rsid w:val="00050BBF"/>
    <w:rsid w:val="00051E8F"/>
    <w:rsid w:val="00052033"/>
    <w:rsid w:val="00053D4A"/>
    <w:rsid w:val="000541F9"/>
    <w:rsid w:val="00054AE8"/>
    <w:rsid w:val="00054EC4"/>
    <w:rsid w:val="000553B9"/>
    <w:rsid w:val="0005626A"/>
    <w:rsid w:val="000566C8"/>
    <w:rsid w:val="00056AF1"/>
    <w:rsid w:val="0006044F"/>
    <w:rsid w:val="00060A1C"/>
    <w:rsid w:val="00061216"/>
    <w:rsid w:val="00062881"/>
    <w:rsid w:val="00062AE6"/>
    <w:rsid w:val="00062E49"/>
    <w:rsid w:val="00063419"/>
    <w:rsid w:val="000638A5"/>
    <w:rsid w:val="000644CB"/>
    <w:rsid w:val="00064970"/>
    <w:rsid w:val="00065A78"/>
    <w:rsid w:val="00065A8B"/>
    <w:rsid w:val="00065E16"/>
    <w:rsid w:val="0006675D"/>
    <w:rsid w:val="000704A4"/>
    <w:rsid w:val="00070875"/>
    <w:rsid w:val="000708D4"/>
    <w:rsid w:val="00070C85"/>
    <w:rsid w:val="00073077"/>
    <w:rsid w:val="000730B2"/>
    <w:rsid w:val="00073B03"/>
    <w:rsid w:val="00073D19"/>
    <w:rsid w:val="00073D3F"/>
    <w:rsid w:val="00073EF2"/>
    <w:rsid w:val="0007434B"/>
    <w:rsid w:val="00074D3D"/>
    <w:rsid w:val="00074E50"/>
    <w:rsid w:val="0007528E"/>
    <w:rsid w:val="000755BA"/>
    <w:rsid w:val="0007579F"/>
    <w:rsid w:val="00075D97"/>
    <w:rsid w:val="00076104"/>
    <w:rsid w:val="00076157"/>
    <w:rsid w:val="00076491"/>
    <w:rsid w:val="00076740"/>
    <w:rsid w:val="00076985"/>
    <w:rsid w:val="000775DD"/>
    <w:rsid w:val="00080328"/>
    <w:rsid w:val="00080882"/>
    <w:rsid w:val="000811B6"/>
    <w:rsid w:val="0008129A"/>
    <w:rsid w:val="000818A8"/>
    <w:rsid w:val="00081973"/>
    <w:rsid w:val="000825C8"/>
    <w:rsid w:val="00082682"/>
    <w:rsid w:val="00082941"/>
    <w:rsid w:val="00083556"/>
    <w:rsid w:val="00083FE7"/>
    <w:rsid w:val="0008470C"/>
    <w:rsid w:val="00084769"/>
    <w:rsid w:val="000857E1"/>
    <w:rsid w:val="000869DF"/>
    <w:rsid w:val="00086BEA"/>
    <w:rsid w:val="00087665"/>
    <w:rsid w:val="0009016E"/>
    <w:rsid w:val="00091127"/>
    <w:rsid w:val="00091261"/>
    <w:rsid w:val="00091648"/>
    <w:rsid w:val="00091F0D"/>
    <w:rsid w:val="00092CDD"/>
    <w:rsid w:val="00092FBB"/>
    <w:rsid w:val="000934A9"/>
    <w:rsid w:val="0009486B"/>
    <w:rsid w:val="000964FE"/>
    <w:rsid w:val="00097E5B"/>
    <w:rsid w:val="000A0073"/>
    <w:rsid w:val="000A0973"/>
    <w:rsid w:val="000A0D41"/>
    <w:rsid w:val="000A0E54"/>
    <w:rsid w:val="000A10B6"/>
    <w:rsid w:val="000A18C3"/>
    <w:rsid w:val="000A1D42"/>
    <w:rsid w:val="000A2AC4"/>
    <w:rsid w:val="000A2B17"/>
    <w:rsid w:val="000A34A0"/>
    <w:rsid w:val="000A3D30"/>
    <w:rsid w:val="000A4CBD"/>
    <w:rsid w:val="000A5A12"/>
    <w:rsid w:val="000A5D08"/>
    <w:rsid w:val="000A66C0"/>
    <w:rsid w:val="000A6EAA"/>
    <w:rsid w:val="000B00F0"/>
    <w:rsid w:val="000B0F71"/>
    <w:rsid w:val="000B127B"/>
    <w:rsid w:val="000B1730"/>
    <w:rsid w:val="000B1D11"/>
    <w:rsid w:val="000B1ED4"/>
    <w:rsid w:val="000B3055"/>
    <w:rsid w:val="000B3C2C"/>
    <w:rsid w:val="000B3ED7"/>
    <w:rsid w:val="000B519F"/>
    <w:rsid w:val="000B5758"/>
    <w:rsid w:val="000B71FD"/>
    <w:rsid w:val="000B741B"/>
    <w:rsid w:val="000C0119"/>
    <w:rsid w:val="000C0B88"/>
    <w:rsid w:val="000C138B"/>
    <w:rsid w:val="000C1758"/>
    <w:rsid w:val="000C1F4E"/>
    <w:rsid w:val="000C2082"/>
    <w:rsid w:val="000C252B"/>
    <w:rsid w:val="000C2775"/>
    <w:rsid w:val="000C2A9D"/>
    <w:rsid w:val="000C2EAC"/>
    <w:rsid w:val="000C41A8"/>
    <w:rsid w:val="000C454E"/>
    <w:rsid w:val="000C4E39"/>
    <w:rsid w:val="000C5777"/>
    <w:rsid w:val="000C5DCC"/>
    <w:rsid w:val="000C68F3"/>
    <w:rsid w:val="000C7761"/>
    <w:rsid w:val="000D0722"/>
    <w:rsid w:val="000D0D1E"/>
    <w:rsid w:val="000D0F20"/>
    <w:rsid w:val="000D1CE3"/>
    <w:rsid w:val="000D1E05"/>
    <w:rsid w:val="000D1F08"/>
    <w:rsid w:val="000D3105"/>
    <w:rsid w:val="000D3622"/>
    <w:rsid w:val="000D3B2D"/>
    <w:rsid w:val="000D3E2D"/>
    <w:rsid w:val="000D4152"/>
    <w:rsid w:val="000D5DB1"/>
    <w:rsid w:val="000D6C76"/>
    <w:rsid w:val="000D7632"/>
    <w:rsid w:val="000D7D0E"/>
    <w:rsid w:val="000D7FBF"/>
    <w:rsid w:val="000E009E"/>
    <w:rsid w:val="000E00BD"/>
    <w:rsid w:val="000E0AAB"/>
    <w:rsid w:val="000E114D"/>
    <w:rsid w:val="000E1EA0"/>
    <w:rsid w:val="000E31B5"/>
    <w:rsid w:val="000E3296"/>
    <w:rsid w:val="000E3986"/>
    <w:rsid w:val="000E40CD"/>
    <w:rsid w:val="000E47A5"/>
    <w:rsid w:val="000E5D94"/>
    <w:rsid w:val="000E7858"/>
    <w:rsid w:val="000F081A"/>
    <w:rsid w:val="000F11D5"/>
    <w:rsid w:val="000F127F"/>
    <w:rsid w:val="000F2C81"/>
    <w:rsid w:val="000F409A"/>
    <w:rsid w:val="000F4F92"/>
    <w:rsid w:val="000F5060"/>
    <w:rsid w:val="000F5114"/>
    <w:rsid w:val="000F5468"/>
    <w:rsid w:val="00100CBD"/>
    <w:rsid w:val="00100F50"/>
    <w:rsid w:val="0010143E"/>
    <w:rsid w:val="0010165E"/>
    <w:rsid w:val="00102704"/>
    <w:rsid w:val="00102CD7"/>
    <w:rsid w:val="00103A80"/>
    <w:rsid w:val="00103C02"/>
    <w:rsid w:val="00104479"/>
    <w:rsid w:val="00104FCD"/>
    <w:rsid w:val="00106131"/>
    <w:rsid w:val="001066D0"/>
    <w:rsid w:val="00106F00"/>
    <w:rsid w:val="00107925"/>
    <w:rsid w:val="00107BED"/>
    <w:rsid w:val="0011092F"/>
    <w:rsid w:val="0011096C"/>
    <w:rsid w:val="00110C65"/>
    <w:rsid w:val="00110E66"/>
    <w:rsid w:val="0011230E"/>
    <w:rsid w:val="00112707"/>
    <w:rsid w:val="00112994"/>
    <w:rsid w:val="00113408"/>
    <w:rsid w:val="00113959"/>
    <w:rsid w:val="00114683"/>
    <w:rsid w:val="00114BB9"/>
    <w:rsid w:val="001154D3"/>
    <w:rsid w:val="00116172"/>
    <w:rsid w:val="00116FC3"/>
    <w:rsid w:val="001173E5"/>
    <w:rsid w:val="0012040B"/>
    <w:rsid w:val="00120479"/>
    <w:rsid w:val="001211FD"/>
    <w:rsid w:val="00121347"/>
    <w:rsid w:val="00121B80"/>
    <w:rsid w:val="00122933"/>
    <w:rsid w:val="00123303"/>
    <w:rsid w:val="00123CA0"/>
    <w:rsid w:val="00123FC6"/>
    <w:rsid w:val="001240A9"/>
    <w:rsid w:val="00124154"/>
    <w:rsid w:val="001242B0"/>
    <w:rsid w:val="00124822"/>
    <w:rsid w:val="0012525B"/>
    <w:rsid w:val="001264FB"/>
    <w:rsid w:val="00126AA4"/>
    <w:rsid w:val="0012708D"/>
    <w:rsid w:val="0012712E"/>
    <w:rsid w:val="00127603"/>
    <w:rsid w:val="00127EFB"/>
    <w:rsid w:val="00130BC4"/>
    <w:rsid w:val="00130E9F"/>
    <w:rsid w:val="00132594"/>
    <w:rsid w:val="00133A78"/>
    <w:rsid w:val="00134E26"/>
    <w:rsid w:val="001350BD"/>
    <w:rsid w:val="0013699A"/>
    <w:rsid w:val="001377EE"/>
    <w:rsid w:val="00137AE3"/>
    <w:rsid w:val="00137E13"/>
    <w:rsid w:val="001408B6"/>
    <w:rsid w:val="00142423"/>
    <w:rsid w:val="001435FC"/>
    <w:rsid w:val="001440B5"/>
    <w:rsid w:val="00144F4F"/>
    <w:rsid w:val="001456A7"/>
    <w:rsid w:val="00147DAA"/>
    <w:rsid w:val="00150F84"/>
    <w:rsid w:val="0015144A"/>
    <w:rsid w:val="0015176D"/>
    <w:rsid w:val="001517BD"/>
    <w:rsid w:val="00151CC0"/>
    <w:rsid w:val="00152357"/>
    <w:rsid w:val="0015290C"/>
    <w:rsid w:val="00152B5A"/>
    <w:rsid w:val="00152C12"/>
    <w:rsid w:val="00152DC2"/>
    <w:rsid w:val="00152EDF"/>
    <w:rsid w:val="00153172"/>
    <w:rsid w:val="00153262"/>
    <w:rsid w:val="001533E6"/>
    <w:rsid w:val="0015438E"/>
    <w:rsid w:val="001543C7"/>
    <w:rsid w:val="00154ABB"/>
    <w:rsid w:val="001554ED"/>
    <w:rsid w:val="00155DEC"/>
    <w:rsid w:val="0015612E"/>
    <w:rsid w:val="00156E94"/>
    <w:rsid w:val="00156EE8"/>
    <w:rsid w:val="0015749A"/>
    <w:rsid w:val="001575DA"/>
    <w:rsid w:val="001608A0"/>
    <w:rsid w:val="00160EE6"/>
    <w:rsid w:val="001611A2"/>
    <w:rsid w:val="00161D4B"/>
    <w:rsid w:val="0016237C"/>
    <w:rsid w:val="00162942"/>
    <w:rsid w:val="00162AE2"/>
    <w:rsid w:val="0016416B"/>
    <w:rsid w:val="0016511D"/>
    <w:rsid w:val="00165BE5"/>
    <w:rsid w:val="0016602D"/>
    <w:rsid w:val="00166228"/>
    <w:rsid w:val="00166312"/>
    <w:rsid w:val="00166459"/>
    <w:rsid w:val="00166AA0"/>
    <w:rsid w:val="00166FE8"/>
    <w:rsid w:val="001674EB"/>
    <w:rsid w:val="0017002E"/>
    <w:rsid w:val="001701C5"/>
    <w:rsid w:val="0017039F"/>
    <w:rsid w:val="001708CC"/>
    <w:rsid w:val="001719A0"/>
    <w:rsid w:val="001722ED"/>
    <w:rsid w:val="0017529F"/>
    <w:rsid w:val="00176806"/>
    <w:rsid w:val="0017692B"/>
    <w:rsid w:val="0017746F"/>
    <w:rsid w:val="00177767"/>
    <w:rsid w:val="0018042B"/>
    <w:rsid w:val="00180469"/>
    <w:rsid w:val="0018059D"/>
    <w:rsid w:val="0018077E"/>
    <w:rsid w:val="00180935"/>
    <w:rsid w:val="001812E8"/>
    <w:rsid w:val="00181959"/>
    <w:rsid w:val="00182A84"/>
    <w:rsid w:val="0018360A"/>
    <w:rsid w:val="001839B9"/>
    <w:rsid w:val="001850C3"/>
    <w:rsid w:val="00185305"/>
    <w:rsid w:val="00185A3D"/>
    <w:rsid w:val="00186208"/>
    <w:rsid w:val="0018664B"/>
    <w:rsid w:val="00186BD8"/>
    <w:rsid w:val="00187BDF"/>
    <w:rsid w:val="00191CD3"/>
    <w:rsid w:val="00191F31"/>
    <w:rsid w:val="001939EF"/>
    <w:rsid w:val="00193EA7"/>
    <w:rsid w:val="0019415E"/>
    <w:rsid w:val="00195518"/>
    <w:rsid w:val="00195E37"/>
    <w:rsid w:val="00195F23"/>
    <w:rsid w:val="00196493"/>
    <w:rsid w:val="001A03CB"/>
    <w:rsid w:val="001A0D7D"/>
    <w:rsid w:val="001A1B2F"/>
    <w:rsid w:val="001A32DC"/>
    <w:rsid w:val="001A3BF3"/>
    <w:rsid w:val="001A5144"/>
    <w:rsid w:val="001A579B"/>
    <w:rsid w:val="001A601D"/>
    <w:rsid w:val="001A64E0"/>
    <w:rsid w:val="001A75BE"/>
    <w:rsid w:val="001A7FFB"/>
    <w:rsid w:val="001B009B"/>
    <w:rsid w:val="001B109E"/>
    <w:rsid w:val="001B11D3"/>
    <w:rsid w:val="001B1495"/>
    <w:rsid w:val="001B1B56"/>
    <w:rsid w:val="001B30ED"/>
    <w:rsid w:val="001B3A24"/>
    <w:rsid w:val="001B499C"/>
    <w:rsid w:val="001B760C"/>
    <w:rsid w:val="001B7AD8"/>
    <w:rsid w:val="001C020D"/>
    <w:rsid w:val="001C235F"/>
    <w:rsid w:val="001C25C7"/>
    <w:rsid w:val="001C2A7D"/>
    <w:rsid w:val="001C2DAA"/>
    <w:rsid w:val="001C3E07"/>
    <w:rsid w:val="001C40A9"/>
    <w:rsid w:val="001C40B1"/>
    <w:rsid w:val="001C5930"/>
    <w:rsid w:val="001C6DB2"/>
    <w:rsid w:val="001C771E"/>
    <w:rsid w:val="001C7D01"/>
    <w:rsid w:val="001D0905"/>
    <w:rsid w:val="001D0C92"/>
    <w:rsid w:val="001D18CF"/>
    <w:rsid w:val="001D1C1E"/>
    <w:rsid w:val="001D24B1"/>
    <w:rsid w:val="001D2A30"/>
    <w:rsid w:val="001D2A85"/>
    <w:rsid w:val="001D2E4C"/>
    <w:rsid w:val="001D375D"/>
    <w:rsid w:val="001D4325"/>
    <w:rsid w:val="001D43E2"/>
    <w:rsid w:val="001D469D"/>
    <w:rsid w:val="001D4A12"/>
    <w:rsid w:val="001D53CF"/>
    <w:rsid w:val="001D57DB"/>
    <w:rsid w:val="001D5CED"/>
    <w:rsid w:val="001D5FD1"/>
    <w:rsid w:val="001E0364"/>
    <w:rsid w:val="001E18C6"/>
    <w:rsid w:val="001E19D6"/>
    <w:rsid w:val="001E3008"/>
    <w:rsid w:val="001E3423"/>
    <w:rsid w:val="001E342B"/>
    <w:rsid w:val="001E37B4"/>
    <w:rsid w:val="001E3FA3"/>
    <w:rsid w:val="001E4B7E"/>
    <w:rsid w:val="001E699E"/>
    <w:rsid w:val="001E7195"/>
    <w:rsid w:val="001E73C6"/>
    <w:rsid w:val="001F1594"/>
    <w:rsid w:val="001F2212"/>
    <w:rsid w:val="001F38D3"/>
    <w:rsid w:val="001F3B3D"/>
    <w:rsid w:val="001F3B8F"/>
    <w:rsid w:val="001F6BB4"/>
    <w:rsid w:val="001F6BB8"/>
    <w:rsid w:val="001F7714"/>
    <w:rsid w:val="001F7B19"/>
    <w:rsid w:val="00200407"/>
    <w:rsid w:val="00200419"/>
    <w:rsid w:val="00200445"/>
    <w:rsid w:val="00200A87"/>
    <w:rsid w:val="00200C8A"/>
    <w:rsid w:val="0020156B"/>
    <w:rsid w:val="002027C3"/>
    <w:rsid w:val="002069ED"/>
    <w:rsid w:val="00207862"/>
    <w:rsid w:val="0021023A"/>
    <w:rsid w:val="00210E29"/>
    <w:rsid w:val="00211289"/>
    <w:rsid w:val="00211BB7"/>
    <w:rsid w:val="00211FC3"/>
    <w:rsid w:val="00212D86"/>
    <w:rsid w:val="00213444"/>
    <w:rsid w:val="002136F0"/>
    <w:rsid w:val="00215213"/>
    <w:rsid w:val="00215D57"/>
    <w:rsid w:val="00216F23"/>
    <w:rsid w:val="002170E2"/>
    <w:rsid w:val="002200C7"/>
    <w:rsid w:val="00220F8B"/>
    <w:rsid w:val="00220F9F"/>
    <w:rsid w:val="0022115D"/>
    <w:rsid w:val="00221997"/>
    <w:rsid w:val="00221B12"/>
    <w:rsid w:val="0022241A"/>
    <w:rsid w:val="00222AE9"/>
    <w:rsid w:val="00222B3C"/>
    <w:rsid w:val="00223518"/>
    <w:rsid w:val="002235C1"/>
    <w:rsid w:val="00223A94"/>
    <w:rsid w:val="00223D9B"/>
    <w:rsid w:val="0022539A"/>
    <w:rsid w:val="002264B8"/>
    <w:rsid w:val="00226D4E"/>
    <w:rsid w:val="00226EFD"/>
    <w:rsid w:val="00227B9A"/>
    <w:rsid w:val="00227ED7"/>
    <w:rsid w:val="00227EF7"/>
    <w:rsid w:val="002316B0"/>
    <w:rsid w:val="00232398"/>
    <w:rsid w:val="00233268"/>
    <w:rsid w:val="00233516"/>
    <w:rsid w:val="0023497D"/>
    <w:rsid w:val="00234DE6"/>
    <w:rsid w:val="00234F3B"/>
    <w:rsid w:val="00236F25"/>
    <w:rsid w:val="002373F7"/>
    <w:rsid w:val="002375BF"/>
    <w:rsid w:val="00241862"/>
    <w:rsid w:val="00241F9C"/>
    <w:rsid w:val="00242864"/>
    <w:rsid w:val="00244380"/>
    <w:rsid w:val="0024442A"/>
    <w:rsid w:val="00244A04"/>
    <w:rsid w:val="00244DAA"/>
    <w:rsid w:val="00245A73"/>
    <w:rsid w:val="00245C89"/>
    <w:rsid w:val="002462BD"/>
    <w:rsid w:val="00246593"/>
    <w:rsid w:val="00246B8E"/>
    <w:rsid w:val="00246BC0"/>
    <w:rsid w:val="00246DB4"/>
    <w:rsid w:val="00246E57"/>
    <w:rsid w:val="00247486"/>
    <w:rsid w:val="00247878"/>
    <w:rsid w:val="00250210"/>
    <w:rsid w:val="0025042C"/>
    <w:rsid w:val="0025051A"/>
    <w:rsid w:val="00250E3A"/>
    <w:rsid w:val="0025275C"/>
    <w:rsid w:val="00253308"/>
    <w:rsid w:val="00253EE1"/>
    <w:rsid w:val="0025444F"/>
    <w:rsid w:val="00255395"/>
    <w:rsid w:val="0025656A"/>
    <w:rsid w:val="002568E9"/>
    <w:rsid w:val="00256FE2"/>
    <w:rsid w:val="00257ACE"/>
    <w:rsid w:val="00260214"/>
    <w:rsid w:val="002606DF"/>
    <w:rsid w:val="00260706"/>
    <w:rsid w:val="00261A42"/>
    <w:rsid w:val="00261BE2"/>
    <w:rsid w:val="00262109"/>
    <w:rsid w:val="002635B3"/>
    <w:rsid w:val="002635F3"/>
    <w:rsid w:val="00263ADF"/>
    <w:rsid w:val="00264846"/>
    <w:rsid w:val="00266ED4"/>
    <w:rsid w:val="00267A5D"/>
    <w:rsid w:val="00272E9C"/>
    <w:rsid w:val="00273288"/>
    <w:rsid w:val="0027389F"/>
    <w:rsid w:val="00273A19"/>
    <w:rsid w:val="00274C44"/>
    <w:rsid w:val="00274F2B"/>
    <w:rsid w:val="00276052"/>
    <w:rsid w:val="002766D2"/>
    <w:rsid w:val="00277597"/>
    <w:rsid w:val="0027793D"/>
    <w:rsid w:val="002806A1"/>
    <w:rsid w:val="00281802"/>
    <w:rsid w:val="00281869"/>
    <w:rsid w:val="00281874"/>
    <w:rsid w:val="00281AD1"/>
    <w:rsid w:val="00281E63"/>
    <w:rsid w:val="00282056"/>
    <w:rsid w:val="0028210E"/>
    <w:rsid w:val="00282DAB"/>
    <w:rsid w:val="00283794"/>
    <w:rsid w:val="002840F7"/>
    <w:rsid w:val="002841A0"/>
    <w:rsid w:val="00284B0F"/>
    <w:rsid w:val="00286B75"/>
    <w:rsid w:val="00286D02"/>
    <w:rsid w:val="00286D5B"/>
    <w:rsid w:val="002870EE"/>
    <w:rsid w:val="00290189"/>
    <w:rsid w:val="00291985"/>
    <w:rsid w:val="00292326"/>
    <w:rsid w:val="00292D9A"/>
    <w:rsid w:val="002939C1"/>
    <w:rsid w:val="00293A33"/>
    <w:rsid w:val="002946D5"/>
    <w:rsid w:val="002962F2"/>
    <w:rsid w:val="002979E2"/>
    <w:rsid w:val="002A015A"/>
    <w:rsid w:val="002A180F"/>
    <w:rsid w:val="002A1A61"/>
    <w:rsid w:val="002A1B61"/>
    <w:rsid w:val="002A240D"/>
    <w:rsid w:val="002A2769"/>
    <w:rsid w:val="002A3A72"/>
    <w:rsid w:val="002A3CA5"/>
    <w:rsid w:val="002A3D04"/>
    <w:rsid w:val="002A4B8A"/>
    <w:rsid w:val="002A4BC3"/>
    <w:rsid w:val="002A4C9A"/>
    <w:rsid w:val="002A532F"/>
    <w:rsid w:val="002A61C6"/>
    <w:rsid w:val="002A66ED"/>
    <w:rsid w:val="002A6749"/>
    <w:rsid w:val="002A72C5"/>
    <w:rsid w:val="002A76D8"/>
    <w:rsid w:val="002A773D"/>
    <w:rsid w:val="002A7A55"/>
    <w:rsid w:val="002A7C30"/>
    <w:rsid w:val="002A7E51"/>
    <w:rsid w:val="002A7EA4"/>
    <w:rsid w:val="002B0347"/>
    <w:rsid w:val="002B0669"/>
    <w:rsid w:val="002B0F28"/>
    <w:rsid w:val="002B10F6"/>
    <w:rsid w:val="002B11FE"/>
    <w:rsid w:val="002B236F"/>
    <w:rsid w:val="002B2473"/>
    <w:rsid w:val="002B265F"/>
    <w:rsid w:val="002B295E"/>
    <w:rsid w:val="002B2BBB"/>
    <w:rsid w:val="002B43D9"/>
    <w:rsid w:val="002B46E2"/>
    <w:rsid w:val="002B47D6"/>
    <w:rsid w:val="002B4D09"/>
    <w:rsid w:val="002B525D"/>
    <w:rsid w:val="002B683B"/>
    <w:rsid w:val="002C0360"/>
    <w:rsid w:val="002C03BF"/>
    <w:rsid w:val="002C2093"/>
    <w:rsid w:val="002C25DF"/>
    <w:rsid w:val="002C2CEE"/>
    <w:rsid w:val="002C2D86"/>
    <w:rsid w:val="002C530B"/>
    <w:rsid w:val="002C55D5"/>
    <w:rsid w:val="002C590F"/>
    <w:rsid w:val="002C5B42"/>
    <w:rsid w:val="002C62AE"/>
    <w:rsid w:val="002C6588"/>
    <w:rsid w:val="002C679F"/>
    <w:rsid w:val="002C68D3"/>
    <w:rsid w:val="002C692C"/>
    <w:rsid w:val="002C6AF4"/>
    <w:rsid w:val="002C7445"/>
    <w:rsid w:val="002C7B9D"/>
    <w:rsid w:val="002C7D16"/>
    <w:rsid w:val="002D0D8B"/>
    <w:rsid w:val="002D1B5A"/>
    <w:rsid w:val="002D1CEE"/>
    <w:rsid w:val="002D2032"/>
    <w:rsid w:val="002D23BA"/>
    <w:rsid w:val="002D2495"/>
    <w:rsid w:val="002D30DA"/>
    <w:rsid w:val="002D3216"/>
    <w:rsid w:val="002D3A11"/>
    <w:rsid w:val="002D3E39"/>
    <w:rsid w:val="002D4BB5"/>
    <w:rsid w:val="002D59DF"/>
    <w:rsid w:val="002E0033"/>
    <w:rsid w:val="002E097B"/>
    <w:rsid w:val="002E0F54"/>
    <w:rsid w:val="002E1580"/>
    <w:rsid w:val="002E24E0"/>
    <w:rsid w:val="002E334B"/>
    <w:rsid w:val="002E3D3F"/>
    <w:rsid w:val="002E50A5"/>
    <w:rsid w:val="002E51FD"/>
    <w:rsid w:val="002E5348"/>
    <w:rsid w:val="002E5A29"/>
    <w:rsid w:val="002E6C75"/>
    <w:rsid w:val="002E6EC0"/>
    <w:rsid w:val="002E7934"/>
    <w:rsid w:val="002F0BF6"/>
    <w:rsid w:val="002F0EE5"/>
    <w:rsid w:val="002F164D"/>
    <w:rsid w:val="002F1E84"/>
    <w:rsid w:val="002F2A6E"/>
    <w:rsid w:val="002F302C"/>
    <w:rsid w:val="002F3F9F"/>
    <w:rsid w:val="002F4629"/>
    <w:rsid w:val="002F4E9A"/>
    <w:rsid w:val="002F5533"/>
    <w:rsid w:val="002F5722"/>
    <w:rsid w:val="002F607B"/>
    <w:rsid w:val="002F610D"/>
    <w:rsid w:val="002F6632"/>
    <w:rsid w:val="002F69C5"/>
    <w:rsid w:val="002F6E9F"/>
    <w:rsid w:val="002F72EC"/>
    <w:rsid w:val="002F734B"/>
    <w:rsid w:val="002F78AE"/>
    <w:rsid w:val="0030022D"/>
    <w:rsid w:val="00300377"/>
    <w:rsid w:val="003005A6"/>
    <w:rsid w:val="00300FF2"/>
    <w:rsid w:val="0030226B"/>
    <w:rsid w:val="0030272D"/>
    <w:rsid w:val="00302C0E"/>
    <w:rsid w:val="0030398E"/>
    <w:rsid w:val="00303C10"/>
    <w:rsid w:val="00304330"/>
    <w:rsid w:val="00304E7B"/>
    <w:rsid w:val="00304FE1"/>
    <w:rsid w:val="0030681C"/>
    <w:rsid w:val="00306A57"/>
    <w:rsid w:val="003100CC"/>
    <w:rsid w:val="0031022F"/>
    <w:rsid w:val="00310F27"/>
    <w:rsid w:val="003112E6"/>
    <w:rsid w:val="003119A0"/>
    <w:rsid w:val="00311C10"/>
    <w:rsid w:val="003122D0"/>
    <w:rsid w:val="00315D9E"/>
    <w:rsid w:val="00316568"/>
    <w:rsid w:val="00316657"/>
    <w:rsid w:val="00316B8D"/>
    <w:rsid w:val="00316FF9"/>
    <w:rsid w:val="003171D5"/>
    <w:rsid w:val="00317B7C"/>
    <w:rsid w:val="00320154"/>
    <w:rsid w:val="00320762"/>
    <w:rsid w:val="003221C0"/>
    <w:rsid w:val="00322D26"/>
    <w:rsid w:val="00323DC7"/>
    <w:rsid w:val="00324F1F"/>
    <w:rsid w:val="0032590A"/>
    <w:rsid w:val="00325BAE"/>
    <w:rsid w:val="00325D4B"/>
    <w:rsid w:val="00326D3C"/>
    <w:rsid w:val="00327ADF"/>
    <w:rsid w:val="00327C2F"/>
    <w:rsid w:val="00330815"/>
    <w:rsid w:val="00330A0A"/>
    <w:rsid w:val="00330BCC"/>
    <w:rsid w:val="00331E37"/>
    <w:rsid w:val="0033246F"/>
    <w:rsid w:val="003324E0"/>
    <w:rsid w:val="003329C4"/>
    <w:rsid w:val="00332AA9"/>
    <w:rsid w:val="003330E9"/>
    <w:rsid w:val="00333952"/>
    <w:rsid w:val="0033439A"/>
    <w:rsid w:val="003347FE"/>
    <w:rsid w:val="003359A7"/>
    <w:rsid w:val="0033622C"/>
    <w:rsid w:val="003363A5"/>
    <w:rsid w:val="00336927"/>
    <w:rsid w:val="00336A19"/>
    <w:rsid w:val="00336F5F"/>
    <w:rsid w:val="0033745A"/>
    <w:rsid w:val="00340162"/>
    <w:rsid w:val="0034064C"/>
    <w:rsid w:val="00340BFA"/>
    <w:rsid w:val="00342B98"/>
    <w:rsid w:val="00342C22"/>
    <w:rsid w:val="00343061"/>
    <w:rsid w:val="0034391C"/>
    <w:rsid w:val="00343BBC"/>
    <w:rsid w:val="00344F7C"/>
    <w:rsid w:val="00345AD1"/>
    <w:rsid w:val="00345D40"/>
    <w:rsid w:val="003460A9"/>
    <w:rsid w:val="003473B1"/>
    <w:rsid w:val="003474F6"/>
    <w:rsid w:val="00350E84"/>
    <w:rsid w:val="00351152"/>
    <w:rsid w:val="00351E9A"/>
    <w:rsid w:val="00353A2C"/>
    <w:rsid w:val="003543CA"/>
    <w:rsid w:val="00354992"/>
    <w:rsid w:val="00355A2F"/>
    <w:rsid w:val="00356034"/>
    <w:rsid w:val="003567E3"/>
    <w:rsid w:val="00357EC8"/>
    <w:rsid w:val="0036045B"/>
    <w:rsid w:val="00360DE9"/>
    <w:rsid w:val="00361202"/>
    <w:rsid w:val="00361C5F"/>
    <w:rsid w:val="00361E44"/>
    <w:rsid w:val="003622F5"/>
    <w:rsid w:val="00362DD4"/>
    <w:rsid w:val="00362F85"/>
    <w:rsid w:val="00362FAF"/>
    <w:rsid w:val="003637BB"/>
    <w:rsid w:val="00363F0B"/>
    <w:rsid w:val="00364078"/>
    <w:rsid w:val="003640A1"/>
    <w:rsid w:val="003645E6"/>
    <w:rsid w:val="00364A74"/>
    <w:rsid w:val="00364E25"/>
    <w:rsid w:val="003652FE"/>
    <w:rsid w:val="00365EAC"/>
    <w:rsid w:val="00366208"/>
    <w:rsid w:val="003667E6"/>
    <w:rsid w:val="00367EE7"/>
    <w:rsid w:val="003708C6"/>
    <w:rsid w:val="00371541"/>
    <w:rsid w:val="003717D1"/>
    <w:rsid w:val="00376411"/>
    <w:rsid w:val="003778E3"/>
    <w:rsid w:val="003779F2"/>
    <w:rsid w:val="003815C4"/>
    <w:rsid w:val="00383BAD"/>
    <w:rsid w:val="00384487"/>
    <w:rsid w:val="00384603"/>
    <w:rsid w:val="00384EA6"/>
    <w:rsid w:val="00384F88"/>
    <w:rsid w:val="00385718"/>
    <w:rsid w:val="00387629"/>
    <w:rsid w:val="00390454"/>
    <w:rsid w:val="00390BFC"/>
    <w:rsid w:val="003912E5"/>
    <w:rsid w:val="00391DF0"/>
    <w:rsid w:val="00391DF9"/>
    <w:rsid w:val="00392466"/>
    <w:rsid w:val="0039278B"/>
    <w:rsid w:val="00393D88"/>
    <w:rsid w:val="0039520D"/>
    <w:rsid w:val="00395423"/>
    <w:rsid w:val="0039667C"/>
    <w:rsid w:val="003A131D"/>
    <w:rsid w:val="003A14EC"/>
    <w:rsid w:val="003A2EB4"/>
    <w:rsid w:val="003A306A"/>
    <w:rsid w:val="003A3098"/>
    <w:rsid w:val="003A38E6"/>
    <w:rsid w:val="003A5BE3"/>
    <w:rsid w:val="003A5D93"/>
    <w:rsid w:val="003A61D8"/>
    <w:rsid w:val="003A6277"/>
    <w:rsid w:val="003A7247"/>
    <w:rsid w:val="003B03C8"/>
    <w:rsid w:val="003B13A4"/>
    <w:rsid w:val="003B367F"/>
    <w:rsid w:val="003B3A02"/>
    <w:rsid w:val="003B3D07"/>
    <w:rsid w:val="003B5A3B"/>
    <w:rsid w:val="003B65CB"/>
    <w:rsid w:val="003B71EE"/>
    <w:rsid w:val="003B7540"/>
    <w:rsid w:val="003B7D6A"/>
    <w:rsid w:val="003C0789"/>
    <w:rsid w:val="003C0A00"/>
    <w:rsid w:val="003C0CFA"/>
    <w:rsid w:val="003C0F06"/>
    <w:rsid w:val="003C17DB"/>
    <w:rsid w:val="003C1CCD"/>
    <w:rsid w:val="003C2FD8"/>
    <w:rsid w:val="003C3DFF"/>
    <w:rsid w:val="003C3FB2"/>
    <w:rsid w:val="003C4759"/>
    <w:rsid w:val="003C5A08"/>
    <w:rsid w:val="003C5BE4"/>
    <w:rsid w:val="003C5C30"/>
    <w:rsid w:val="003D091C"/>
    <w:rsid w:val="003D0B4A"/>
    <w:rsid w:val="003D0BFD"/>
    <w:rsid w:val="003D18EC"/>
    <w:rsid w:val="003D1EA8"/>
    <w:rsid w:val="003D202A"/>
    <w:rsid w:val="003D335A"/>
    <w:rsid w:val="003D4A10"/>
    <w:rsid w:val="003D5449"/>
    <w:rsid w:val="003D5E42"/>
    <w:rsid w:val="003D654B"/>
    <w:rsid w:val="003D70E3"/>
    <w:rsid w:val="003D7B76"/>
    <w:rsid w:val="003E1900"/>
    <w:rsid w:val="003E1CC7"/>
    <w:rsid w:val="003E2409"/>
    <w:rsid w:val="003E24A1"/>
    <w:rsid w:val="003E2B4D"/>
    <w:rsid w:val="003E2C4E"/>
    <w:rsid w:val="003E4066"/>
    <w:rsid w:val="003E4B86"/>
    <w:rsid w:val="003E4FC5"/>
    <w:rsid w:val="003E558C"/>
    <w:rsid w:val="003E60FB"/>
    <w:rsid w:val="003E62D5"/>
    <w:rsid w:val="003E6526"/>
    <w:rsid w:val="003E66C3"/>
    <w:rsid w:val="003E6EAC"/>
    <w:rsid w:val="003E7243"/>
    <w:rsid w:val="003E7B1A"/>
    <w:rsid w:val="003E7B78"/>
    <w:rsid w:val="003F1040"/>
    <w:rsid w:val="003F2939"/>
    <w:rsid w:val="003F2EC5"/>
    <w:rsid w:val="003F4DDE"/>
    <w:rsid w:val="003F5E95"/>
    <w:rsid w:val="003F6106"/>
    <w:rsid w:val="003F6517"/>
    <w:rsid w:val="003F6E87"/>
    <w:rsid w:val="003F715D"/>
    <w:rsid w:val="003F7255"/>
    <w:rsid w:val="003F7A21"/>
    <w:rsid w:val="003F7BE1"/>
    <w:rsid w:val="003F7ECC"/>
    <w:rsid w:val="00400357"/>
    <w:rsid w:val="00400699"/>
    <w:rsid w:val="004008A5"/>
    <w:rsid w:val="00400AD3"/>
    <w:rsid w:val="00400C48"/>
    <w:rsid w:val="00400C73"/>
    <w:rsid w:val="00400EAF"/>
    <w:rsid w:val="00401526"/>
    <w:rsid w:val="004021EB"/>
    <w:rsid w:val="0040240F"/>
    <w:rsid w:val="00402C9E"/>
    <w:rsid w:val="0040310D"/>
    <w:rsid w:val="00403B21"/>
    <w:rsid w:val="00404382"/>
    <w:rsid w:val="00404CF6"/>
    <w:rsid w:val="0040517D"/>
    <w:rsid w:val="00407166"/>
    <w:rsid w:val="00410029"/>
    <w:rsid w:val="004101EB"/>
    <w:rsid w:val="0041110E"/>
    <w:rsid w:val="00413002"/>
    <w:rsid w:val="00413239"/>
    <w:rsid w:val="004133CC"/>
    <w:rsid w:val="004138C8"/>
    <w:rsid w:val="00413A32"/>
    <w:rsid w:val="00413BB9"/>
    <w:rsid w:val="00414570"/>
    <w:rsid w:val="004146B7"/>
    <w:rsid w:val="00414C9C"/>
    <w:rsid w:val="004155AD"/>
    <w:rsid w:val="00416709"/>
    <w:rsid w:val="004216A0"/>
    <w:rsid w:val="00421BC5"/>
    <w:rsid w:val="00421CE4"/>
    <w:rsid w:val="0042212B"/>
    <w:rsid w:val="00423393"/>
    <w:rsid w:val="0042465B"/>
    <w:rsid w:val="004247A2"/>
    <w:rsid w:val="00425882"/>
    <w:rsid w:val="00425C60"/>
    <w:rsid w:val="004269B9"/>
    <w:rsid w:val="004278E2"/>
    <w:rsid w:val="00430459"/>
    <w:rsid w:val="00430A31"/>
    <w:rsid w:val="004316B8"/>
    <w:rsid w:val="0043258B"/>
    <w:rsid w:val="00433A61"/>
    <w:rsid w:val="00433BFB"/>
    <w:rsid w:val="00433C08"/>
    <w:rsid w:val="00434B1B"/>
    <w:rsid w:val="00435AD0"/>
    <w:rsid w:val="00435EDC"/>
    <w:rsid w:val="004363E9"/>
    <w:rsid w:val="0043683F"/>
    <w:rsid w:val="00436BEA"/>
    <w:rsid w:val="0043709E"/>
    <w:rsid w:val="00437A48"/>
    <w:rsid w:val="00437B0C"/>
    <w:rsid w:val="00440082"/>
    <w:rsid w:val="004404E1"/>
    <w:rsid w:val="00440C18"/>
    <w:rsid w:val="00441960"/>
    <w:rsid w:val="00441972"/>
    <w:rsid w:val="00441991"/>
    <w:rsid w:val="004431F4"/>
    <w:rsid w:val="00443712"/>
    <w:rsid w:val="00443891"/>
    <w:rsid w:val="0044392D"/>
    <w:rsid w:val="00444A02"/>
    <w:rsid w:val="0044568C"/>
    <w:rsid w:val="0044664D"/>
    <w:rsid w:val="00446967"/>
    <w:rsid w:val="00446F55"/>
    <w:rsid w:val="004470B7"/>
    <w:rsid w:val="004470E3"/>
    <w:rsid w:val="004525C9"/>
    <w:rsid w:val="00452E9C"/>
    <w:rsid w:val="00453054"/>
    <w:rsid w:val="00453C48"/>
    <w:rsid w:val="00453F02"/>
    <w:rsid w:val="0045512D"/>
    <w:rsid w:val="004553F8"/>
    <w:rsid w:val="00455D06"/>
    <w:rsid w:val="004561A8"/>
    <w:rsid w:val="0045698E"/>
    <w:rsid w:val="00456E7C"/>
    <w:rsid w:val="00457B74"/>
    <w:rsid w:val="0046047F"/>
    <w:rsid w:val="004607BD"/>
    <w:rsid w:val="0046086A"/>
    <w:rsid w:val="0046116C"/>
    <w:rsid w:val="00461C4D"/>
    <w:rsid w:val="00461F7E"/>
    <w:rsid w:val="00462BAF"/>
    <w:rsid w:val="004633A3"/>
    <w:rsid w:val="00464A3C"/>
    <w:rsid w:val="00465084"/>
    <w:rsid w:val="00465907"/>
    <w:rsid w:val="00465C69"/>
    <w:rsid w:val="00465D5F"/>
    <w:rsid w:val="004661C7"/>
    <w:rsid w:val="00466C53"/>
    <w:rsid w:val="00467A6F"/>
    <w:rsid w:val="004700D5"/>
    <w:rsid w:val="00470306"/>
    <w:rsid w:val="00470335"/>
    <w:rsid w:val="004709AD"/>
    <w:rsid w:val="00470F33"/>
    <w:rsid w:val="004712CD"/>
    <w:rsid w:val="00471CB3"/>
    <w:rsid w:val="004722A7"/>
    <w:rsid w:val="004727D2"/>
    <w:rsid w:val="00472F4F"/>
    <w:rsid w:val="004730E2"/>
    <w:rsid w:val="0047359E"/>
    <w:rsid w:val="004737C6"/>
    <w:rsid w:val="004741F5"/>
    <w:rsid w:val="00476015"/>
    <w:rsid w:val="0047666D"/>
    <w:rsid w:val="00476A9E"/>
    <w:rsid w:val="004772EE"/>
    <w:rsid w:val="0047789C"/>
    <w:rsid w:val="004805A2"/>
    <w:rsid w:val="00480669"/>
    <w:rsid w:val="00480E01"/>
    <w:rsid w:val="0048111B"/>
    <w:rsid w:val="0048115D"/>
    <w:rsid w:val="00482539"/>
    <w:rsid w:val="004826D3"/>
    <w:rsid w:val="004829B7"/>
    <w:rsid w:val="00483715"/>
    <w:rsid w:val="00484010"/>
    <w:rsid w:val="00484DE7"/>
    <w:rsid w:val="00485C4B"/>
    <w:rsid w:val="00485E4E"/>
    <w:rsid w:val="00486C4F"/>
    <w:rsid w:val="004871D5"/>
    <w:rsid w:val="004872D0"/>
    <w:rsid w:val="00487316"/>
    <w:rsid w:val="004906D9"/>
    <w:rsid w:val="00490779"/>
    <w:rsid w:val="00490995"/>
    <w:rsid w:val="0049195F"/>
    <w:rsid w:val="0049292A"/>
    <w:rsid w:val="004929CA"/>
    <w:rsid w:val="00493125"/>
    <w:rsid w:val="00493903"/>
    <w:rsid w:val="00493A0A"/>
    <w:rsid w:val="00493F26"/>
    <w:rsid w:val="00495081"/>
    <w:rsid w:val="00495D84"/>
    <w:rsid w:val="004960C6"/>
    <w:rsid w:val="004969A3"/>
    <w:rsid w:val="004977CA"/>
    <w:rsid w:val="004979F2"/>
    <w:rsid w:val="004A00E7"/>
    <w:rsid w:val="004A1DFE"/>
    <w:rsid w:val="004A3E6F"/>
    <w:rsid w:val="004A470C"/>
    <w:rsid w:val="004A4AF6"/>
    <w:rsid w:val="004A517E"/>
    <w:rsid w:val="004A5AF3"/>
    <w:rsid w:val="004A6930"/>
    <w:rsid w:val="004A75F9"/>
    <w:rsid w:val="004B006F"/>
    <w:rsid w:val="004B02C6"/>
    <w:rsid w:val="004B0AC0"/>
    <w:rsid w:val="004B0D7F"/>
    <w:rsid w:val="004B108D"/>
    <w:rsid w:val="004B1DEB"/>
    <w:rsid w:val="004B1E34"/>
    <w:rsid w:val="004B2F99"/>
    <w:rsid w:val="004B4906"/>
    <w:rsid w:val="004B49D8"/>
    <w:rsid w:val="004B6CC9"/>
    <w:rsid w:val="004B7069"/>
    <w:rsid w:val="004B73D8"/>
    <w:rsid w:val="004C0C97"/>
    <w:rsid w:val="004C1E46"/>
    <w:rsid w:val="004C1F3A"/>
    <w:rsid w:val="004C310E"/>
    <w:rsid w:val="004C32AE"/>
    <w:rsid w:val="004C3604"/>
    <w:rsid w:val="004C36C1"/>
    <w:rsid w:val="004C3BA6"/>
    <w:rsid w:val="004C3E69"/>
    <w:rsid w:val="004C4000"/>
    <w:rsid w:val="004C5532"/>
    <w:rsid w:val="004C6526"/>
    <w:rsid w:val="004C7058"/>
    <w:rsid w:val="004C783C"/>
    <w:rsid w:val="004C789D"/>
    <w:rsid w:val="004C7954"/>
    <w:rsid w:val="004C7C13"/>
    <w:rsid w:val="004D0760"/>
    <w:rsid w:val="004D2312"/>
    <w:rsid w:val="004D24ED"/>
    <w:rsid w:val="004D24F3"/>
    <w:rsid w:val="004D3485"/>
    <w:rsid w:val="004D3614"/>
    <w:rsid w:val="004D528D"/>
    <w:rsid w:val="004D5871"/>
    <w:rsid w:val="004D5BF3"/>
    <w:rsid w:val="004D5C68"/>
    <w:rsid w:val="004D6028"/>
    <w:rsid w:val="004D653D"/>
    <w:rsid w:val="004D6643"/>
    <w:rsid w:val="004D6874"/>
    <w:rsid w:val="004D6F9B"/>
    <w:rsid w:val="004D7386"/>
    <w:rsid w:val="004E0218"/>
    <w:rsid w:val="004E0502"/>
    <w:rsid w:val="004E1506"/>
    <w:rsid w:val="004E1800"/>
    <w:rsid w:val="004E4487"/>
    <w:rsid w:val="004E507E"/>
    <w:rsid w:val="004E59FE"/>
    <w:rsid w:val="004E662E"/>
    <w:rsid w:val="004F076E"/>
    <w:rsid w:val="004F08D6"/>
    <w:rsid w:val="004F08E4"/>
    <w:rsid w:val="004F0CE9"/>
    <w:rsid w:val="004F13B8"/>
    <w:rsid w:val="004F1C13"/>
    <w:rsid w:val="004F1C3C"/>
    <w:rsid w:val="004F28F8"/>
    <w:rsid w:val="004F3FBD"/>
    <w:rsid w:val="004F4073"/>
    <w:rsid w:val="004F4D99"/>
    <w:rsid w:val="004F509E"/>
    <w:rsid w:val="004F55AA"/>
    <w:rsid w:val="004F5B3E"/>
    <w:rsid w:val="004F5DB7"/>
    <w:rsid w:val="004F6FA6"/>
    <w:rsid w:val="004F72D6"/>
    <w:rsid w:val="004F7774"/>
    <w:rsid w:val="005002DE"/>
    <w:rsid w:val="00500C8A"/>
    <w:rsid w:val="00501470"/>
    <w:rsid w:val="0050246D"/>
    <w:rsid w:val="00503499"/>
    <w:rsid w:val="005034DA"/>
    <w:rsid w:val="00503515"/>
    <w:rsid w:val="00503BBD"/>
    <w:rsid w:val="00503EEB"/>
    <w:rsid w:val="005042D3"/>
    <w:rsid w:val="00504A18"/>
    <w:rsid w:val="00504D4B"/>
    <w:rsid w:val="00504E74"/>
    <w:rsid w:val="00505ACC"/>
    <w:rsid w:val="005071A7"/>
    <w:rsid w:val="00507637"/>
    <w:rsid w:val="005077A3"/>
    <w:rsid w:val="00507CAA"/>
    <w:rsid w:val="00510982"/>
    <w:rsid w:val="00510C4F"/>
    <w:rsid w:val="00511DEB"/>
    <w:rsid w:val="005123FB"/>
    <w:rsid w:val="0051268F"/>
    <w:rsid w:val="00512F9C"/>
    <w:rsid w:val="00513278"/>
    <w:rsid w:val="00514632"/>
    <w:rsid w:val="00514853"/>
    <w:rsid w:val="005148A0"/>
    <w:rsid w:val="00514A24"/>
    <w:rsid w:val="00514FB2"/>
    <w:rsid w:val="00515714"/>
    <w:rsid w:val="005157A0"/>
    <w:rsid w:val="005160F9"/>
    <w:rsid w:val="0051665E"/>
    <w:rsid w:val="0052071A"/>
    <w:rsid w:val="00520BF7"/>
    <w:rsid w:val="00521B3F"/>
    <w:rsid w:val="00521F4B"/>
    <w:rsid w:val="00522142"/>
    <w:rsid w:val="00523276"/>
    <w:rsid w:val="00523B2B"/>
    <w:rsid w:val="00523DAC"/>
    <w:rsid w:val="005240C3"/>
    <w:rsid w:val="005247F2"/>
    <w:rsid w:val="00525212"/>
    <w:rsid w:val="00525E2A"/>
    <w:rsid w:val="005262EC"/>
    <w:rsid w:val="00526670"/>
    <w:rsid w:val="00527757"/>
    <w:rsid w:val="00527FCB"/>
    <w:rsid w:val="00530800"/>
    <w:rsid w:val="00531D78"/>
    <w:rsid w:val="00531F76"/>
    <w:rsid w:val="0053217A"/>
    <w:rsid w:val="00532793"/>
    <w:rsid w:val="00532C28"/>
    <w:rsid w:val="00533081"/>
    <w:rsid w:val="00533B96"/>
    <w:rsid w:val="00533CD9"/>
    <w:rsid w:val="0053513B"/>
    <w:rsid w:val="00535980"/>
    <w:rsid w:val="00536015"/>
    <w:rsid w:val="00536243"/>
    <w:rsid w:val="0053642F"/>
    <w:rsid w:val="00536B09"/>
    <w:rsid w:val="005371BB"/>
    <w:rsid w:val="00537576"/>
    <w:rsid w:val="0053764A"/>
    <w:rsid w:val="005412A9"/>
    <w:rsid w:val="005418FE"/>
    <w:rsid w:val="00542F54"/>
    <w:rsid w:val="005430C2"/>
    <w:rsid w:val="00543AB2"/>
    <w:rsid w:val="00543D5B"/>
    <w:rsid w:val="005443CA"/>
    <w:rsid w:val="00544D63"/>
    <w:rsid w:val="005457AF"/>
    <w:rsid w:val="00545843"/>
    <w:rsid w:val="00545D92"/>
    <w:rsid w:val="0054619D"/>
    <w:rsid w:val="005463FB"/>
    <w:rsid w:val="00546C7D"/>
    <w:rsid w:val="005472AE"/>
    <w:rsid w:val="00551529"/>
    <w:rsid w:val="0055158C"/>
    <w:rsid w:val="005517B9"/>
    <w:rsid w:val="00551BEE"/>
    <w:rsid w:val="00551D9B"/>
    <w:rsid w:val="005521B0"/>
    <w:rsid w:val="00552E99"/>
    <w:rsid w:val="0055365A"/>
    <w:rsid w:val="00554447"/>
    <w:rsid w:val="0055481E"/>
    <w:rsid w:val="0055489F"/>
    <w:rsid w:val="00555147"/>
    <w:rsid w:val="00555686"/>
    <w:rsid w:val="00555D59"/>
    <w:rsid w:val="00555DF7"/>
    <w:rsid w:val="00556582"/>
    <w:rsid w:val="0055674E"/>
    <w:rsid w:val="00557376"/>
    <w:rsid w:val="0055758B"/>
    <w:rsid w:val="00561258"/>
    <w:rsid w:val="00562640"/>
    <w:rsid w:val="00562D63"/>
    <w:rsid w:val="005652B2"/>
    <w:rsid w:val="005653CE"/>
    <w:rsid w:val="0056572C"/>
    <w:rsid w:val="0056668E"/>
    <w:rsid w:val="005678C9"/>
    <w:rsid w:val="00567B86"/>
    <w:rsid w:val="005703E4"/>
    <w:rsid w:val="00570B59"/>
    <w:rsid w:val="005714FC"/>
    <w:rsid w:val="0057169F"/>
    <w:rsid w:val="005722F0"/>
    <w:rsid w:val="00572CAD"/>
    <w:rsid w:val="00573974"/>
    <w:rsid w:val="00574467"/>
    <w:rsid w:val="00574AC1"/>
    <w:rsid w:val="00574FCE"/>
    <w:rsid w:val="00575116"/>
    <w:rsid w:val="0057535D"/>
    <w:rsid w:val="0057541A"/>
    <w:rsid w:val="005756C9"/>
    <w:rsid w:val="00575995"/>
    <w:rsid w:val="00575D96"/>
    <w:rsid w:val="0057601F"/>
    <w:rsid w:val="00580087"/>
    <w:rsid w:val="005803B1"/>
    <w:rsid w:val="005807F8"/>
    <w:rsid w:val="00581A1A"/>
    <w:rsid w:val="00584A04"/>
    <w:rsid w:val="00584D34"/>
    <w:rsid w:val="0058710E"/>
    <w:rsid w:val="005872BD"/>
    <w:rsid w:val="00590174"/>
    <w:rsid w:val="00591072"/>
    <w:rsid w:val="005910CD"/>
    <w:rsid w:val="0059143C"/>
    <w:rsid w:val="00591985"/>
    <w:rsid w:val="00591B88"/>
    <w:rsid w:val="00592432"/>
    <w:rsid w:val="00592F47"/>
    <w:rsid w:val="0059318C"/>
    <w:rsid w:val="00593B1A"/>
    <w:rsid w:val="00594C89"/>
    <w:rsid w:val="00594DB9"/>
    <w:rsid w:val="00596185"/>
    <w:rsid w:val="0059626E"/>
    <w:rsid w:val="00596373"/>
    <w:rsid w:val="00596866"/>
    <w:rsid w:val="0059715F"/>
    <w:rsid w:val="005A04B0"/>
    <w:rsid w:val="005A0832"/>
    <w:rsid w:val="005A17EF"/>
    <w:rsid w:val="005A20D9"/>
    <w:rsid w:val="005A2B77"/>
    <w:rsid w:val="005A2D20"/>
    <w:rsid w:val="005A2FA8"/>
    <w:rsid w:val="005A3B3C"/>
    <w:rsid w:val="005A3C8C"/>
    <w:rsid w:val="005A3FB2"/>
    <w:rsid w:val="005A4168"/>
    <w:rsid w:val="005A4193"/>
    <w:rsid w:val="005A4506"/>
    <w:rsid w:val="005A4FF3"/>
    <w:rsid w:val="005A6F59"/>
    <w:rsid w:val="005A7138"/>
    <w:rsid w:val="005A71C7"/>
    <w:rsid w:val="005A79D6"/>
    <w:rsid w:val="005B09E8"/>
    <w:rsid w:val="005B2495"/>
    <w:rsid w:val="005B3166"/>
    <w:rsid w:val="005B3808"/>
    <w:rsid w:val="005B4C6E"/>
    <w:rsid w:val="005B5144"/>
    <w:rsid w:val="005B56CB"/>
    <w:rsid w:val="005B7175"/>
    <w:rsid w:val="005B7B98"/>
    <w:rsid w:val="005C162A"/>
    <w:rsid w:val="005C2BE8"/>
    <w:rsid w:val="005C2DD9"/>
    <w:rsid w:val="005C3661"/>
    <w:rsid w:val="005C586A"/>
    <w:rsid w:val="005C5D87"/>
    <w:rsid w:val="005C6256"/>
    <w:rsid w:val="005C62D4"/>
    <w:rsid w:val="005C6DFB"/>
    <w:rsid w:val="005D04F1"/>
    <w:rsid w:val="005D0CA5"/>
    <w:rsid w:val="005D1B3A"/>
    <w:rsid w:val="005D2049"/>
    <w:rsid w:val="005D3317"/>
    <w:rsid w:val="005D34D3"/>
    <w:rsid w:val="005D3840"/>
    <w:rsid w:val="005D39AC"/>
    <w:rsid w:val="005D4336"/>
    <w:rsid w:val="005D4780"/>
    <w:rsid w:val="005D4C11"/>
    <w:rsid w:val="005D5604"/>
    <w:rsid w:val="005D692A"/>
    <w:rsid w:val="005D7045"/>
    <w:rsid w:val="005D7BAD"/>
    <w:rsid w:val="005E01F5"/>
    <w:rsid w:val="005E05DA"/>
    <w:rsid w:val="005E0F50"/>
    <w:rsid w:val="005E11E1"/>
    <w:rsid w:val="005E225C"/>
    <w:rsid w:val="005E2608"/>
    <w:rsid w:val="005E3D43"/>
    <w:rsid w:val="005E4987"/>
    <w:rsid w:val="005E4D87"/>
    <w:rsid w:val="005E573F"/>
    <w:rsid w:val="005E5F58"/>
    <w:rsid w:val="005E6617"/>
    <w:rsid w:val="005E6619"/>
    <w:rsid w:val="005E6F6D"/>
    <w:rsid w:val="005E73F0"/>
    <w:rsid w:val="005E75A8"/>
    <w:rsid w:val="005E7E89"/>
    <w:rsid w:val="005F0828"/>
    <w:rsid w:val="005F0A23"/>
    <w:rsid w:val="005F0D68"/>
    <w:rsid w:val="005F0E45"/>
    <w:rsid w:val="005F0E8F"/>
    <w:rsid w:val="005F104C"/>
    <w:rsid w:val="005F1646"/>
    <w:rsid w:val="005F230D"/>
    <w:rsid w:val="005F2B7C"/>
    <w:rsid w:val="005F2CB8"/>
    <w:rsid w:val="005F2D6C"/>
    <w:rsid w:val="005F2E7F"/>
    <w:rsid w:val="005F3821"/>
    <w:rsid w:val="005F3A65"/>
    <w:rsid w:val="005F3E0F"/>
    <w:rsid w:val="005F471A"/>
    <w:rsid w:val="005F575C"/>
    <w:rsid w:val="005F7576"/>
    <w:rsid w:val="00600ADE"/>
    <w:rsid w:val="00601173"/>
    <w:rsid w:val="00601285"/>
    <w:rsid w:val="006016C7"/>
    <w:rsid w:val="0060191E"/>
    <w:rsid w:val="00602FF7"/>
    <w:rsid w:val="006043E4"/>
    <w:rsid w:val="00604B07"/>
    <w:rsid w:val="00604F19"/>
    <w:rsid w:val="0060610E"/>
    <w:rsid w:val="00606CA3"/>
    <w:rsid w:val="0060762B"/>
    <w:rsid w:val="00607A6E"/>
    <w:rsid w:val="00607C5E"/>
    <w:rsid w:val="00610DF3"/>
    <w:rsid w:val="00610E95"/>
    <w:rsid w:val="00610F38"/>
    <w:rsid w:val="00611AB5"/>
    <w:rsid w:val="00613499"/>
    <w:rsid w:val="006145D8"/>
    <w:rsid w:val="0061462A"/>
    <w:rsid w:val="00614B05"/>
    <w:rsid w:val="00617585"/>
    <w:rsid w:val="00617A08"/>
    <w:rsid w:val="00620897"/>
    <w:rsid w:val="00621232"/>
    <w:rsid w:val="00621D98"/>
    <w:rsid w:val="00622110"/>
    <w:rsid w:val="006232E8"/>
    <w:rsid w:val="006238AB"/>
    <w:rsid w:val="00623EE7"/>
    <w:rsid w:val="0062504C"/>
    <w:rsid w:val="006250CA"/>
    <w:rsid w:val="00625366"/>
    <w:rsid w:val="006253E3"/>
    <w:rsid w:val="006259D3"/>
    <w:rsid w:val="00625EFD"/>
    <w:rsid w:val="0063041B"/>
    <w:rsid w:val="00631064"/>
    <w:rsid w:val="00631C5B"/>
    <w:rsid w:val="0063255A"/>
    <w:rsid w:val="00632883"/>
    <w:rsid w:val="00633983"/>
    <w:rsid w:val="00633C31"/>
    <w:rsid w:val="006341BE"/>
    <w:rsid w:val="006344B8"/>
    <w:rsid w:val="00634E8A"/>
    <w:rsid w:val="00636359"/>
    <w:rsid w:val="006372D7"/>
    <w:rsid w:val="006376B7"/>
    <w:rsid w:val="006379EF"/>
    <w:rsid w:val="006401EE"/>
    <w:rsid w:val="00640225"/>
    <w:rsid w:val="006412D1"/>
    <w:rsid w:val="006418C9"/>
    <w:rsid w:val="006418E3"/>
    <w:rsid w:val="00641A63"/>
    <w:rsid w:val="00641E71"/>
    <w:rsid w:val="00642305"/>
    <w:rsid w:val="00642C2F"/>
    <w:rsid w:val="00642E3E"/>
    <w:rsid w:val="006430BA"/>
    <w:rsid w:val="00644F22"/>
    <w:rsid w:val="00645329"/>
    <w:rsid w:val="006456C7"/>
    <w:rsid w:val="006457D3"/>
    <w:rsid w:val="00645B26"/>
    <w:rsid w:val="00646248"/>
    <w:rsid w:val="0064630C"/>
    <w:rsid w:val="006466F3"/>
    <w:rsid w:val="00646BB2"/>
    <w:rsid w:val="00646CE8"/>
    <w:rsid w:val="0065036F"/>
    <w:rsid w:val="00652261"/>
    <w:rsid w:val="006524C7"/>
    <w:rsid w:val="00652C60"/>
    <w:rsid w:val="0065368F"/>
    <w:rsid w:val="00654417"/>
    <w:rsid w:val="006545AC"/>
    <w:rsid w:val="00654B30"/>
    <w:rsid w:val="006558E8"/>
    <w:rsid w:val="00655C69"/>
    <w:rsid w:val="00655F04"/>
    <w:rsid w:val="006567E1"/>
    <w:rsid w:val="00656DA5"/>
    <w:rsid w:val="00657F5D"/>
    <w:rsid w:val="006602E9"/>
    <w:rsid w:val="006613B5"/>
    <w:rsid w:val="0066163E"/>
    <w:rsid w:val="00661EE2"/>
    <w:rsid w:val="00663217"/>
    <w:rsid w:val="00665506"/>
    <w:rsid w:val="00665B6A"/>
    <w:rsid w:val="00665BC9"/>
    <w:rsid w:val="0066605B"/>
    <w:rsid w:val="00666384"/>
    <w:rsid w:val="0066762F"/>
    <w:rsid w:val="0067112B"/>
    <w:rsid w:val="00671C73"/>
    <w:rsid w:val="00672A87"/>
    <w:rsid w:val="006732D8"/>
    <w:rsid w:val="006738B4"/>
    <w:rsid w:val="00675446"/>
    <w:rsid w:val="00675800"/>
    <w:rsid w:val="006760E1"/>
    <w:rsid w:val="0067678C"/>
    <w:rsid w:val="006767B9"/>
    <w:rsid w:val="0067680C"/>
    <w:rsid w:val="00676C27"/>
    <w:rsid w:val="00676D59"/>
    <w:rsid w:val="00676D5A"/>
    <w:rsid w:val="00676FBA"/>
    <w:rsid w:val="006807CE"/>
    <w:rsid w:val="0068310F"/>
    <w:rsid w:val="00683EF6"/>
    <w:rsid w:val="0068459B"/>
    <w:rsid w:val="0068500B"/>
    <w:rsid w:val="00685D35"/>
    <w:rsid w:val="00686406"/>
    <w:rsid w:val="00687036"/>
    <w:rsid w:val="0068734C"/>
    <w:rsid w:val="006877DE"/>
    <w:rsid w:val="00690197"/>
    <w:rsid w:val="006911FE"/>
    <w:rsid w:val="00691A9E"/>
    <w:rsid w:val="0069233F"/>
    <w:rsid w:val="006927D6"/>
    <w:rsid w:val="00693032"/>
    <w:rsid w:val="0069312E"/>
    <w:rsid w:val="00694933"/>
    <w:rsid w:val="006954F6"/>
    <w:rsid w:val="00696150"/>
    <w:rsid w:val="00696B7A"/>
    <w:rsid w:val="00696CB2"/>
    <w:rsid w:val="006A04B6"/>
    <w:rsid w:val="006A1201"/>
    <w:rsid w:val="006A1FD0"/>
    <w:rsid w:val="006A22C7"/>
    <w:rsid w:val="006A2DD0"/>
    <w:rsid w:val="006A2E5E"/>
    <w:rsid w:val="006A430D"/>
    <w:rsid w:val="006A458D"/>
    <w:rsid w:val="006A4EC5"/>
    <w:rsid w:val="006A516B"/>
    <w:rsid w:val="006A6608"/>
    <w:rsid w:val="006A7714"/>
    <w:rsid w:val="006B023D"/>
    <w:rsid w:val="006B1715"/>
    <w:rsid w:val="006B251F"/>
    <w:rsid w:val="006B29DA"/>
    <w:rsid w:val="006B3745"/>
    <w:rsid w:val="006B3D6C"/>
    <w:rsid w:val="006B41A3"/>
    <w:rsid w:val="006B448E"/>
    <w:rsid w:val="006B4F10"/>
    <w:rsid w:val="006B56BB"/>
    <w:rsid w:val="006B5E90"/>
    <w:rsid w:val="006B6DD3"/>
    <w:rsid w:val="006C02BC"/>
    <w:rsid w:val="006C0370"/>
    <w:rsid w:val="006C0569"/>
    <w:rsid w:val="006C072A"/>
    <w:rsid w:val="006C0D20"/>
    <w:rsid w:val="006C10AD"/>
    <w:rsid w:val="006C15D8"/>
    <w:rsid w:val="006C447C"/>
    <w:rsid w:val="006C4A20"/>
    <w:rsid w:val="006C62AE"/>
    <w:rsid w:val="006C66C7"/>
    <w:rsid w:val="006D0359"/>
    <w:rsid w:val="006D087D"/>
    <w:rsid w:val="006D14AE"/>
    <w:rsid w:val="006D2574"/>
    <w:rsid w:val="006D290F"/>
    <w:rsid w:val="006D2E7A"/>
    <w:rsid w:val="006D2EED"/>
    <w:rsid w:val="006D2F6D"/>
    <w:rsid w:val="006D2FE9"/>
    <w:rsid w:val="006D396C"/>
    <w:rsid w:val="006D3CFB"/>
    <w:rsid w:val="006D4775"/>
    <w:rsid w:val="006D4D13"/>
    <w:rsid w:val="006D680E"/>
    <w:rsid w:val="006D6C67"/>
    <w:rsid w:val="006D75C7"/>
    <w:rsid w:val="006D7A5E"/>
    <w:rsid w:val="006D7BF5"/>
    <w:rsid w:val="006D7C92"/>
    <w:rsid w:val="006E0BF4"/>
    <w:rsid w:val="006E0E41"/>
    <w:rsid w:val="006E1183"/>
    <w:rsid w:val="006E197C"/>
    <w:rsid w:val="006E2824"/>
    <w:rsid w:val="006E2873"/>
    <w:rsid w:val="006E343E"/>
    <w:rsid w:val="006E4AB1"/>
    <w:rsid w:val="006E4B2E"/>
    <w:rsid w:val="006E4E57"/>
    <w:rsid w:val="006E5E0B"/>
    <w:rsid w:val="006E5E1B"/>
    <w:rsid w:val="006E69F2"/>
    <w:rsid w:val="006E7076"/>
    <w:rsid w:val="006E7DCF"/>
    <w:rsid w:val="006F0752"/>
    <w:rsid w:val="006F0BA1"/>
    <w:rsid w:val="006F0D07"/>
    <w:rsid w:val="006F1ABB"/>
    <w:rsid w:val="006F22C3"/>
    <w:rsid w:val="006F2D3F"/>
    <w:rsid w:val="006F3580"/>
    <w:rsid w:val="006F4565"/>
    <w:rsid w:val="006F4B38"/>
    <w:rsid w:val="006F546A"/>
    <w:rsid w:val="006F5717"/>
    <w:rsid w:val="006F571E"/>
    <w:rsid w:val="006F5D28"/>
    <w:rsid w:val="006F6219"/>
    <w:rsid w:val="006F6DFA"/>
    <w:rsid w:val="006F7F10"/>
    <w:rsid w:val="0070022D"/>
    <w:rsid w:val="00700249"/>
    <w:rsid w:val="0070138D"/>
    <w:rsid w:val="00702550"/>
    <w:rsid w:val="00704D36"/>
    <w:rsid w:val="00706272"/>
    <w:rsid w:val="007062DF"/>
    <w:rsid w:val="0070635F"/>
    <w:rsid w:val="00707284"/>
    <w:rsid w:val="00707395"/>
    <w:rsid w:val="00707881"/>
    <w:rsid w:val="00707DFC"/>
    <w:rsid w:val="0071094F"/>
    <w:rsid w:val="00710C41"/>
    <w:rsid w:val="00711A83"/>
    <w:rsid w:val="00711FC9"/>
    <w:rsid w:val="007123CF"/>
    <w:rsid w:val="00712795"/>
    <w:rsid w:val="0071341B"/>
    <w:rsid w:val="00713C8E"/>
    <w:rsid w:val="00714559"/>
    <w:rsid w:val="007158BC"/>
    <w:rsid w:val="00715926"/>
    <w:rsid w:val="00715A11"/>
    <w:rsid w:val="00716E5B"/>
    <w:rsid w:val="0072106B"/>
    <w:rsid w:val="00721A09"/>
    <w:rsid w:val="007229F8"/>
    <w:rsid w:val="00723DBE"/>
    <w:rsid w:val="00723F59"/>
    <w:rsid w:val="0072473F"/>
    <w:rsid w:val="00724BA9"/>
    <w:rsid w:val="00724E2F"/>
    <w:rsid w:val="00724F8C"/>
    <w:rsid w:val="00725CC3"/>
    <w:rsid w:val="00725EBE"/>
    <w:rsid w:val="00726940"/>
    <w:rsid w:val="00727D1D"/>
    <w:rsid w:val="007307D1"/>
    <w:rsid w:val="007312F8"/>
    <w:rsid w:val="00731E04"/>
    <w:rsid w:val="007322A1"/>
    <w:rsid w:val="00733EBB"/>
    <w:rsid w:val="00734D55"/>
    <w:rsid w:val="00735C5B"/>
    <w:rsid w:val="007372B8"/>
    <w:rsid w:val="00737FF1"/>
    <w:rsid w:val="007402E6"/>
    <w:rsid w:val="007412EC"/>
    <w:rsid w:val="007416A9"/>
    <w:rsid w:val="007422A2"/>
    <w:rsid w:val="00742E32"/>
    <w:rsid w:val="00742F8F"/>
    <w:rsid w:val="007445E0"/>
    <w:rsid w:val="00744CAE"/>
    <w:rsid w:val="007451CE"/>
    <w:rsid w:val="007453B6"/>
    <w:rsid w:val="0074589C"/>
    <w:rsid w:val="00746095"/>
    <w:rsid w:val="00746524"/>
    <w:rsid w:val="00747966"/>
    <w:rsid w:val="00747F8D"/>
    <w:rsid w:val="00750500"/>
    <w:rsid w:val="0075118F"/>
    <w:rsid w:val="00752431"/>
    <w:rsid w:val="0075259D"/>
    <w:rsid w:val="007536A4"/>
    <w:rsid w:val="0075381E"/>
    <w:rsid w:val="007539B2"/>
    <w:rsid w:val="00753FCF"/>
    <w:rsid w:val="00754364"/>
    <w:rsid w:val="007563E2"/>
    <w:rsid w:val="00756B1A"/>
    <w:rsid w:val="00756BA0"/>
    <w:rsid w:val="00756D06"/>
    <w:rsid w:val="00757CD0"/>
    <w:rsid w:val="00760678"/>
    <w:rsid w:val="0076074D"/>
    <w:rsid w:val="007608FE"/>
    <w:rsid w:val="00760E68"/>
    <w:rsid w:val="007624E2"/>
    <w:rsid w:val="0076302E"/>
    <w:rsid w:val="007630AE"/>
    <w:rsid w:val="00763E75"/>
    <w:rsid w:val="00766BBD"/>
    <w:rsid w:val="00766FEF"/>
    <w:rsid w:val="0076799C"/>
    <w:rsid w:val="00767A89"/>
    <w:rsid w:val="00767D2F"/>
    <w:rsid w:val="00767F04"/>
    <w:rsid w:val="00770BCB"/>
    <w:rsid w:val="00771C46"/>
    <w:rsid w:val="00772254"/>
    <w:rsid w:val="00772C9F"/>
    <w:rsid w:val="007737A3"/>
    <w:rsid w:val="00774F39"/>
    <w:rsid w:val="00775F74"/>
    <w:rsid w:val="007760FD"/>
    <w:rsid w:val="0077612D"/>
    <w:rsid w:val="0077759A"/>
    <w:rsid w:val="00780E23"/>
    <w:rsid w:val="007813D4"/>
    <w:rsid w:val="0078239A"/>
    <w:rsid w:val="00782D92"/>
    <w:rsid w:val="00782E21"/>
    <w:rsid w:val="0078311B"/>
    <w:rsid w:val="00783460"/>
    <w:rsid w:val="007834AB"/>
    <w:rsid w:val="00784325"/>
    <w:rsid w:val="00784F98"/>
    <w:rsid w:val="007852D4"/>
    <w:rsid w:val="0078572E"/>
    <w:rsid w:val="00785DBF"/>
    <w:rsid w:val="00786267"/>
    <w:rsid w:val="007863FE"/>
    <w:rsid w:val="00786B6C"/>
    <w:rsid w:val="00787360"/>
    <w:rsid w:val="00787A49"/>
    <w:rsid w:val="00787B88"/>
    <w:rsid w:val="0079035C"/>
    <w:rsid w:val="00790818"/>
    <w:rsid w:val="00790B4B"/>
    <w:rsid w:val="00790FDC"/>
    <w:rsid w:val="00791F04"/>
    <w:rsid w:val="007925AC"/>
    <w:rsid w:val="007926DE"/>
    <w:rsid w:val="00793422"/>
    <w:rsid w:val="00793B8C"/>
    <w:rsid w:val="00793FA0"/>
    <w:rsid w:val="00794B22"/>
    <w:rsid w:val="00794C76"/>
    <w:rsid w:val="0079505B"/>
    <w:rsid w:val="0079598A"/>
    <w:rsid w:val="00795E3A"/>
    <w:rsid w:val="00796694"/>
    <w:rsid w:val="007967BA"/>
    <w:rsid w:val="00796ED8"/>
    <w:rsid w:val="00797AF9"/>
    <w:rsid w:val="007A04E4"/>
    <w:rsid w:val="007A4DB9"/>
    <w:rsid w:val="007A5360"/>
    <w:rsid w:val="007A60FB"/>
    <w:rsid w:val="007A6650"/>
    <w:rsid w:val="007B0BEC"/>
    <w:rsid w:val="007B15B1"/>
    <w:rsid w:val="007B1F1F"/>
    <w:rsid w:val="007B26E6"/>
    <w:rsid w:val="007B3AD1"/>
    <w:rsid w:val="007B3E66"/>
    <w:rsid w:val="007B43CD"/>
    <w:rsid w:val="007B4656"/>
    <w:rsid w:val="007B48F9"/>
    <w:rsid w:val="007B5E69"/>
    <w:rsid w:val="007B7A04"/>
    <w:rsid w:val="007B7FFA"/>
    <w:rsid w:val="007C093E"/>
    <w:rsid w:val="007C2883"/>
    <w:rsid w:val="007C2907"/>
    <w:rsid w:val="007C2CD8"/>
    <w:rsid w:val="007C4549"/>
    <w:rsid w:val="007C4AD3"/>
    <w:rsid w:val="007C57AC"/>
    <w:rsid w:val="007C5F42"/>
    <w:rsid w:val="007C626F"/>
    <w:rsid w:val="007C6363"/>
    <w:rsid w:val="007C6531"/>
    <w:rsid w:val="007C67C3"/>
    <w:rsid w:val="007C6C02"/>
    <w:rsid w:val="007C6F10"/>
    <w:rsid w:val="007C7EF5"/>
    <w:rsid w:val="007D0564"/>
    <w:rsid w:val="007D09E5"/>
    <w:rsid w:val="007D0ADD"/>
    <w:rsid w:val="007D15DF"/>
    <w:rsid w:val="007D1D22"/>
    <w:rsid w:val="007D234A"/>
    <w:rsid w:val="007D2894"/>
    <w:rsid w:val="007D2A06"/>
    <w:rsid w:val="007D2A0F"/>
    <w:rsid w:val="007D2DF2"/>
    <w:rsid w:val="007D2F89"/>
    <w:rsid w:val="007D3C36"/>
    <w:rsid w:val="007D4050"/>
    <w:rsid w:val="007D4846"/>
    <w:rsid w:val="007D4B76"/>
    <w:rsid w:val="007D541B"/>
    <w:rsid w:val="007D5421"/>
    <w:rsid w:val="007E0E61"/>
    <w:rsid w:val="007E245A"/>
    <w:rsid w:val="007E2509"/>
    <w:rsid w:val="007E2A25"/>
    <w:rsid w:val="007E466F"/>
    <w:rsid w:val="007E4766"/>
    <w:rsid w:val="007E4D67"/>
    <w:rsid w:val="007E52CF"/>
    <w:rsid w:val="007E5B64"/>
    <w:rsid w:val="007E610C"/>
    <w:rsid w:val="007E6FD8"/>
    <w:rsid w:val="007E7028"/>
    <w:rsid w:val="007E765C"/>
    <w:rsid w:val="007E7D40"/>
    <w:rsid w:val="007F0198"/>
    <w:rsid w:val="007F1764"/>
    <w:rsid w:val="007F262A"/>
    <w:rsid w:val="007F304E"/>
    <w:rsid w:val="007F35EB"/>
    <w:rsid w:val="007F3BA1"/>
    <w:rsid w:val="007F4B76"/>
    <w:rsid w:val="007F4FD3"/>
    <w:rsid w:val="007F54E0"/>
    <w:rsid w:val="007F5F6E"/>
    <w:rsid w:val="007F6073"/>
    <w:rsid w:val="007F6B1F"/>
    <w:rsid w:val="007F6BB0"/>
    <w:rsid w:val="007F6FC7"/>
    <w:rsid w:val="007F7606"/>
    <w:rsid w:val="0080062D"/>
    <w:rsid w:val="0080134C"/>
    <w:rsid w:val="00801823"/>
    <w:rsid w:val="00801AB0"/>
    <w:rsid w:val="00801CCC"/>
    <w:rsid w:val="008028A5"/>
    <w:rsid w:val="00803706"/>
    <w:rsid w:val="0080692F"/>
    <w:rsid w:val="008069F7"/>
    <w:rsid w:val="00806CE0"/>
    <w:rsid w:val="00807F5C"/>
    <w:rsid w:val="0081067D"/>
    <w:rsid w:val="00812453"/>
    <w:rsid w:val="008125CF"/>
    <w:rsid w:val="008133E7"/>
    <w:rsid w:val="00814813"/>
    <w:rsid w:val="00815315"/>
    <w:rsid w:val="00815EE9"/>
    <w:rsid w:val="00816336"/>
    <w:rsid w:val="00817345"/>
    <w:rsid w:val="008177D8"/>
    <w:rsid w:val="00817FB1"/>
    <w:rsid w:val="0082187D"/>
    <w:rsid w:val="00822A77"/>
    <w:rsid w:val="008231A0"/>
    <w:rsid w:val="00823355"/>
    <w:rsid w:val="00823A7B"/>
    <w:rsid w:val="00824193"/>
    <w:rsid w:val="008242FA"/>
    <w:rsid w:val="008243A5"/>
    <w:rsid w:val="00824939"/>
    <w:rsid w:val="00825830"/>
    <w:rsid w:val="00825E85"/>
    <w:rsid w:val="008267B2"/>
    <w:rsid w:val="00830396"/>
    <w:rsid w:val="00830637"/>
    <w:rsid w:val="00830736"/>
    <w:rsid w:val="00830E53"/>
    <w:rsid w:val="00830F8A"/>
    <w:rsid w:val="00830FCF"/>
    <w:rsid w:val="008314E9"/>
    <w:rsid w:val="008319E2"/>
    <w:rsid w:val="00831DBC"/>
    <w:rsid w:val="0083276E"/>
    <w:rsid w:val="00832841"/>
    <w:rsid w:val="00832F10"/>
    <w:rsid w:val="0083330E"/>
    <w:rsid w:val="00833A33"/>
    <w:rsid w:val="00833D8C"/>
    <w:rsid w:val="008345A0"/>
    <w:rsid w:val="00834A36"/>
    <w:rsid w:val="00834B27"/>
    <w:rsid w:val="00835355"/>
    <w:rsid w:val="00836E57"/>
    <w:rsid w:val="0084015D"/>
    <w:rsid w:val="00841408"/>
    <w:rsid w:val="00841434"/>
    <w:rsid w:val="0084261D"/>
    <w:rsid w:val="008427CB"/>
    <w:rsid w:val="00842C72"/>
    <w:rsid w:val="00843730"/>
    <w:rsid w:val="00844684"/>
    <w:rsid w:val="00845F39"/>
    <w:rsid w:val="008460BC"/>
    <w:rsid w:val="0084618E"/>
    <w:rsid w:val="00846384"/>
    <w:rsid w:val="00846CD2"/>
    <w:rsid w:val="00850246"/>
    <w:rsid w:val="00850C5E"/>
    <w:rsid w:val="008523B1"/>
    <w:rsid w:val="00852429"/>
    <w:rsid w:val="0085271D"/>
    <w:rsid w:val="00852CEF"/>
    <w:rsid w:val="0085333C"/>
    <w:rsid w:val="008535A1"/>
    <w:rsid w:val="008536D4"/>
    <w:rsid w:val="0085485E"/>
    <w:rsid w:val="008557A2"/>
    <w:rsid w:val="00855C50"/>
    <w:rsid w:val="008562CA"/>
    <w:rsid w:val="0085650D"/>
    <w:rsid w:val="00860276"/>
    <w:rsid w:val="00860F9C"/>
    <w:rsid w:val="008611B1"/>
    <w:rsid w:val="0086178A"/>
    <w:rsid w:val="00861E20"/>
    <w:rsid w:val="00862760"/>
    <w:rsid w:val="00862C9B"/>
    <w:rsid w:val="008643E6"/>
    <w:rsid w:val="00864466"/>
    <w:rsid w:val="0086449C"/>
    <w:rsid w:val="00865566"/>
    <w:rsid w:val="0086680A"/>
    <w:rsid w:val="008673DD"/>
    <w:rsid w:val="008673ED"/>
    <w:rsid w:val="00867DF3"/>
    <w:rsid w:val="00867F68"/>
    <w:rsid w:val="00870FB7"/>
    <w:rsid w:val="0087109B"/>
    <w:rsid w:val="0087158D"/>
    <w:rsid w:val="00871969"/>
    <w:rsid w:val="008720BE"/>
    <w:rsid w:val="00872D6A"/>
    <w:rsid w:val="0087477C"/>
    <w:rsid w:val="00876D32"/>
    <w:rsid w:val="00877DD2"/>
    <w:rsid w:val="00877FED"/>
    <w:rsid w:val="00880384"/>
    <w:rsid w:val="00880393"/>
    <w:rsid w:val="008808C4"/>
    <w:rsid w:val="00880A6F"/>
    <w:rsid w:val="008813C1"/>
    <w:rsid w:val="008815B1"/>
    <w:rsid w:val="00881E71"/>
    <w:rsid w:val="00882111"/>
    <w:rsid w:val="00882179"/>
    <w:rsid w:val="008821CF"/>
    <w:rsid w:val="00883F71"/>
    <w:rsid w:val="008841E3"/>
    <w:rsid w:val="0088492F"/>
    <w:rsid w:val="008849DC"/>
    <w:rsid w:val="00884DCE"/>
    <w:rsid w:val="00884E25"/>
    <w:rsid w:val="00884EFD"/>
    <w:rsid w:val="00885009"/>
    <w:rsid w:val="00885D84"/>
    <w:rsid w:val="00886762"/>
    <w:rsid w:val="008870FE"/>
    <w:rsid w:val="00890158"/>
    <w:rsid w:val="0089187A"/>
    <w:rsid w:val="00892754"/>
    <w:rsid w:val="00893F00"/>
    <w:rsid w:val="00894297"/>
    <w:rsid w:val="008959F0"/>
    <w:rsid w:val="00896252"/>
    <w:rsid w:val="00896586"/>
    <w:rsid w:val="00897B62"/>
    <w:rsid w:val="008A0FC1"/>
    <w:rsid w:val="008A129C"/>
    <w:rsid w:val="008A1316"/>
    <w:rsid w:val="008A140F"/>
    <w:rsid w:val="008A1814"/>
    <w:rsid w:val="008A4549"/>
    <w:rsid w:val="008A4FB1"/>
    <w:rsid w:val="008A6352"/>
    <w:rsid w:val="008A67FC"/>
    <w:rsid w:val="008B01E3"/>
    <w:rsid w:val="008B0512"/>
    <w:rsid w:val="008B0844"/>
    <w:rsid w:val="008B148B"/>
    <w:rsid w:val="008B14DD"/>
    <w:rsid w:val="008B2788"/>
    <w:rsid w:val="008B310A"/>
    <w:rsid w:val="008B34DB"/>
    <w:rsid w:val="008B3659"/>
    <w:rsid w:val="008B46CD"/>
    <w:rsid w:val="008B4D31"/>
    <w:rsid w:val="008B4DF2"/>
    <w:rsid w:val="008B4FCA"/>
    <w:rsid w:val="008B524D"/>
    <w:rsid w:val="008B5296"/>
    <w:rsid w:val="008B5ECB"/>
    <w:rsid w:val="008B63E0"/>
    <w:rsid w:val="008B7B86"/>
    <w:rsid w:val="008B7EE6"/>
    <w:rsid w:val="008C0277"/>
    <w:rsid w:val="008C0A76"/>
    <w:rsid w:val="008C11E2"/>
    <w:rsid w:val="008C1614"/>
    <w:rsid w:val="008C1C74"/>
    <w:rsid w:val="008C2200"/>
    <w:rsid w:val="008C264E"/>
    <w:rsid w:val="008C29D4"/>
    <w:rsid w:val="008C2C67"/>
    <w:rsid w:val="008C2EC6"/>
    <w:rsid w:val="008C50AD"/>
    <w:rsid w:val="008C520D"/>
    <w:rsid w:val="008C52C9"/>
    <w:rsid w:val="008C5532"/>
    <w:rsid w:val="008C630B"/>
    <w:rsid w:val="008C66E0"/>
    <w:rsid w:val="008C7240"/>
    <w:rsid w:val="008C7414"/>
    <w:rsid w:val="008C7768"/>
    <w:rsid w:val="008C7901"/>
    <w:rsid w:val="008D026C"/>
    <w:rsid w:val="008D0EB2"/>
    <w:rsid w:val="008D26DF"/>
    <w:rsid w:val="008D29EC"/>
    <w:rsid w:val="008D2A1E"/>
    <w:rsid w:val="008D2E08"/>
    <w:rsid w:val="008D339B"/>
    <w:rsid w:val="008D3787"/>
    <w:rsid w:val="008D41F0"/>
    <w:rsid w:val="008D4A66"/>
    <w:rsid w:val="008D4EF1"/>
    <w:rsid w:val="008D5746"/>
    <w:rsid w:val="008D65DD"/>
    <w:rsid w:val="008D69E3"/>
    <w:rsid w:val="008D7585"/>
    <w:rsid w:val="008D7808"/>
    <w:rsid w:val="008D7AF2"/>
    <w:rsid w:val="008E0100"/>
    <w:rsid w:val="008E0E47"/>
    <w:rsid w:val="008E11E3"/>
    <w:rsid w:val="008E34AD"/>
    <w:rsid w:val="008E34B9"/>
    <w:rsid w:val="008E3A48"/>
    <w:rsid w:val="008E3AC3"/>
    <w:rsid w:val="008E3B75"/>
    <w:rsid w:val="008E3D3E"/>
    <w:rsid w:val="008E3DC7"/>
    <w:rsid w:val="008E4C71"/>
    <w:rsid w:val="008E59F6"/>
    <w:rsid w:val="008E5DF7"/>
    <w:rsid w:val="008E6ACC"/>
    <w:rsid w:val="008E7292"/>
    <w:rsid w:val="008E77AC"/>
    <w:rsid w:val="008E7F53"/>
    <w:rsid w:val="008F05F1"/>
    <w:rsid w:val="008F0F60"/>
    <w:rsid w:val="008F134D"/>
    <w:rsid w:val="008F202C"/>
    <w:rsid w:val="008F44D5"/>
    <w:rsid w:val="008F4684"/>
    <w:rsid w:val="008F56A2"/>
    <w:rsid w:val="008F575E"/>
    <w:rsid w:val="008F6170"/>
    <w:rsid w:val="008F7050"/>
    <w:rsid w:val="008F7544"/>
    <w:rsid w:val="008F775C"/>
    <w:rsid w:val="008F7EDD"/>
    <w:rsid w:val="00900738"/>
    <w:rsid w:val="00901AB1"/>
    <w:rsid w:val="00902B0A"/>
    <w:rsid w:val="00902C4D"/>
    <w:rsid w:val="00902D8B"/>
    <w:rsid w:val="00904076"/>
    <w:rsid w:val="009043D7"/>
    <w:rsid w:val="009051BC"/>
    <w:rsid w:val="00907518"/>
    <w:rsid w:val="00907A32"/>
    <w:rsid w:val="00910E6E"/>
    <w:rsid w:val="009117B3"/>
    <w:rsid w:val="009117F1"/>
    <w:rsid w:val="00913017"/>
    <w:rsid w:val="00913808"/>
    <w:rsid w:val="00914F4B"/>
    <w:rsid w:val="009157A6"/>
    <w:rsid w:val="00916981"/>
    <w:rsid w:val="00916E20"/>
    <w:rsid w:val="00917904"/>
    <w:rsid w:val="00920543"/>
    <w:rsid w:val="00920AD8"/>
    <w:rsid w:val="00920CBF"/>
    <w:rsid w:val="00921048"/>
    <w:rsid w:val="00921E56"/>
    <w:rsid w:val="00922CE6"/>
    <w:rsid w:val="0092397D"/>
    <w:rsid w:val="00924389"/>
    <w:rsid w:val="00925169"/>
    <w:rsid w:val="00926142"/>
    <w:rsid w:val="00926A1C"/>
    <w:rsid w:val="009276E1"/>
    <w:rsid w:val="00927B21"/>
    <w:rsid w:val="00930E01"/>
    <w:rsid w:val="00930E75"/>
    <w:rsid w:val="00931430"/>
    <w:rsid w:val="00931690"/>
    <w:rsid w:val="009316BF"/>
    <w:rsid w:val="00931882"/>
    <w:rsid w:val="009321D7"/>
    <w:rsid w:val="00933B6F"/>
    <w:rsid w:val="00934699"/>
    <w:rsid w:val="00934870"/>
    <w:rsid w:val="00934F26"/>
    <w:rsid w:val="00935DCF"/>
    <w:rsid w:val="00936A7C"/>
    <w:rsid w:val="009404CD"/>
    <w:rsid w:val="00940D84"/>
    <w:rsid w:val="00940E70"/>
    <w:rsid w:val="00941D0D"/>
    <w:rsid w:val="00942260"/>
    <w:rsid w:val="00942AB5"/>
    <w:rsid w:val="00943AE9"/>
    <w:rsid w:val="00943E3B"/>
    <w:rsid w:val="00946432"/>
    <w:rsid w:val="00946917"/>
    <w:rsid w:val="00950979"/>
    <w:rsid w:val="009515B1"/>
    <w:rsid w:val="00953C4F"/>
    <w:rsid w:val="00955A2B"/>
    <w:rsid w:val="0095644C"/>
    <w:rsid w:val="00957543"/>
    <w:rsid w:val="0095789D"/>
    <w:rsid w:val="00960738"/>
    <w:rsid w:val="00960A99"/>
    <w:rsid w:val="0096140C"/>
    <w:rsid w:val="00961A36"/>
    <w:rsid w:val="00961E81"/>
    <w:rsid w:val="009625ED"/>
    <w:rsid w:val="009637F7"/>
    <w:rsid w:val="00963930"/>
    <w:rsid w:val="00963ADB"/>
    <w:rsid w:val="00963AFE"/>
    <w:rsid w:val="009652AA"/>
    <w:rsid w:val="00965DC6"/>
    <w:rsid w:val="00965EE5"/>
    <w:rsid w:val="00966DDE"/>
    <w:rsid w:val="00967161"/>
    <w:rsid w:val="00967AFF"/>
    <w:rsid w:val="00967F26"/>
    <w:rsid w:val="009703EE"/>
    <w:rsid w:val="00972460"/>
    <w:rsid w:val="0097268B"/>
    <w:rsid w:val="00972B32"/>
    <w:rsid w:val="0097329F"/>
    <w:rsid w:val="0097341C"/>
    <w:rsid w:val="00973ECD"/>
    <w:rsid w:val="00974DBB"/>
    <w:rsid w:val="00976692"/>
    <w:rsid w:val="00977109"/>
    <w:rsid w:val="0098036A"/>
    <w:rsid w:val="00980589"/>
    <w:rsid w:val="00980773"/>
    <w:rsid w:val="00980962"/>
    <w:rsid w:val="00981268"/>
    <w:rsid w:val="00981AE0"/>
    <w:rsid w:val="00982A6B"/>
    <w:rsid w:val="00983F4B"/>
    <w:rsid w:val="00984E1B"/>
    <w:rsid w:val="0098531D"/>
    <w:rsid w:val="009857EF"/>
    <w:rsid w:val="00985ABF"/>
    <w:rsid w:val="009866A2"/>
    <w:rsid w:val="009869D4"/>
    <w:rsid w:val="00986D3B"/>
    <w:rsid w:val="00986FFD"/>
    <w:rsid w:val="00987134"/>
    <w:rsid w:val="0098740B"/>
    <w:rsid w:val="0098787B"/>
    <w:rsid w:val="00990052"/>
    <w:rsid w:val="00990C6A"/>
    <w:rsid w:val="00990F59"/>
    <w:rsid w:val="00991330"/>
    <w:rsid w:val="0099164B"/>
    <w:rsid w:val="00992270"/>
    <w:rsid w:val="0099235B"/>
    <w:rsid w:val="009923AC"/>
    <w:rsid w:val="00992450"/>
    <w:rsid w:val="00992D48"/>
    <w:rsid w:val="00994A58"/>
    <w:rsid w:val="00995CE4"/>
    <w:rsid w:val="009964F8"/>
    <w:rsid w:val="0099671B"/>
    <w:rsid w:val="009A0B05"/>
    <w:rsid w:val="009A141F"/>
    <w:rsid w:val="009A1479"/>
    <w:rsid w:val="009A1ABC"/>
    <w:rsid w:val="009A2B13"/>
    <w:rsid w:val="009A3C6C"/>
    <w:rsid w:val="009A40ED"/>
    <w:rsid w:val="009A481C"/>
    <w:rsid w:val="009A652B"/>
    <w:rsid w:val="009A6B40"/>
    <w:rsid w:val="009B062D"/>
    <w:rsid w:val="009B1660"/>
    <w:rsid w:val="009B4052"/>
    <w:rsid w:val="009B6828"/>
    <w:rsid w:val="009B6FC9"/>
    <w:rsid w:val="009B6FF5"/>
    <w:rsid w:val="009C01F3"/>
    <w:rsid w:val="009C0BFB"/>
    <w:rsid w:val="009C1479"/>
    <w:rsid w:val="009C1FF6"/>
    <w:rsid w:val="009C2FD4"/>
    <w:rsid w:val="009C4382"/>
    <w:rsid w:val="009C47CB"/>
    <w:rsid w:val="009C491F"/>
    <w:rsid w:val="009C4A98"/>
    <w:rsid w:val="009C5325"/>
    <w:rsid w:val="009C6ABF"/>
    <w:rsid w:val="009C75E7"/>
    <w:rsid w:val="009C7AA1"/>
    <w:rsid w:val="009C7F58"/>
    <w:rsid w:val="009D0910"/>
    <w:rsid w:val="009D0F91"/>
    <w:rsid w:val="009D20DE"/>
    <w:rsid w:val="009D2DEC"/>
    <w:rsid w:val="009D339C"/>
    <w:rsid w:val="009D4DAF"/>
    <w:rsid w:val="009D50A6"/>
    <w:rsid w:val="009D531D"/>
    <w:rsid w:val="009D58C9"/>
    <w:rsid w:val="009D655D"/>
    <w:rsid w:val="009D658B"/>
    <w:rsid w:val="009D6D7D"/>
    <w:rsid w:val="009D7C85"/>
    <w:rsid w:val="009D7D74"/>
    <w:rsid w:val="009E0172"/>
    <w:rsid w:val="009E05BC"/>
    <w:rsid w:val="009E2222"/>
    <w:rsid w:val="009E2AB3"/>
    <w:rsid w:val="009E3B2B"/>
    <w:rsid w:val="009E786A"/>
    <w:rsid w:val="009E797D"/>
    <w:rsid w:val="009E7A46"/>
    <w:rsid w:val="009F0CFC"/>
    <w:rsid w:val="009F0EF3"/>
    <w:rsid w:val="009F1511"/>
    <w:rsid w:val="009F1BDC"/>
    <w:rsid w:val="009F1CF4"/>
    <w:rsid w:val="009F2219"/>
    <w:rsid w:val="009F29B9"/>
    <w:rsid w:val="009F3AA8"/>
    <w:rsid w:val="009F488F"/>
    <w:rsid w:val="009F5141"/>
    <w:rsid w:val="009F5C87"/>
    <w:rsid w:val="009F6D67"/>
    <w:rsid w:val="009F797A"/>
    <w:rsid w:val="009F7F0A"/>
    <w:rsid w:val="009F7F17"/>
    <w:rsid w:val="00A006F5"/>
    <w:rsid w:val="00A00AD3"/>
    <w:rsid w:val="00A01024"/>
    <w:rsid w:val="00A015CB"/>
    <w:rsid w:val="00A01AAE"/>
    <w:rsid w:val="00A0254A"/>
    <w:rsid w:val="00A0329C"/>
    <w:rsid w:val="00A035B3"/>
    <w:rsid w:val="00A036D7"/>
    <w:rsid w:val="00A03DF3"/>
    <w:rsid w:val="00A04736"/>
    <w:rsid w:val="00A04F38"/>
    <w:rsid w:val="00A05232"/>
    <w:rsid w:val="00A0527B"/>
    <w:rsid w:val="00A05E52"/>
    <w:rsid w:val="00A0677D"/>
    <w:rsid w:val="00A06A76"/>
    <w:rsid w:val="00A07095"/>
    <w:rsid w:val="00A10A53"/>
    <w:rsid w:val="00A10E9E"/>
    <w:rsid w:val="00A12384"/>
    <w:rsid w:val="00A1278C"/>
    <w:rsid w:val="00A127A8"/>
    <w:rsid w:val="00A12CFB"/>
    <w:rsid w:val="00A12D6A"/>
    <w:rsid w:val="00A12DAA"/>
    <w:rsid w:val="00A134EF"/>
    <w:rsid w:val="00A13B25"/>
    <w:rsid w:val="00A155F4"/>
    <w:rsid w:val="00A15723"/>
    <w:rsid w:val="00A1609E"/>
    <w:rsid w:val="00A17587"/>
    <w:rsid w:val="00A204DC"/>
    <w:rsid w:val="00A20950"/>
    <w:rsid w:val="00A216B1"/>
    <w:rsid w:val="00A2327D"/>
    <w:rsid w:val="00A23298"/>
    <w:rsid w:val="00A23E17"/>
    <w:rsid w:val="00A23F12"/>
    <w:rsid w:val="00A251FF"/>
    <w:rsid w:val="00A26F5F"/>
    <w:rsid w:val="00A26FE9"/>
    <w:rsid w:val="00A275FD"/>
    <w:rsid w:val="00A2770F"/>
    <w:rsid w:val="00A27782"/>
    <w:rsid w:val="00A277EF"/>
    <w:rsid w:val="00A27C72"/>
    <w:rsid w:val="00A30C24"/>
    <w:rsid w:val="00A3208B"/>
    <w:rsid w:val="00A3294A"/>
    <w:rsid w:val="00A336A2"/>
    <w:rsid w:val="00A34634"/>
    <w:rsid w:val="00A34698"/>
    <w:rsid w:val="00A34755"/>
    <w:rsid w:val="00A34EBA"/>
    <w:rsid w:val="00A365D5"/>
    <w:rsid w:val="00A369AE"/>
    <w:rsid w:val="00A36C98"/>
    <w:rsid w:val="00A36D01"/>
    <w:rsid w:val="00A37FFB"/>
    <w:rsid w:val="00A402DA"/>
    <w:rsid w:val="00A40661"/>
    <w:rsid w:val="00A40CBF"/>
    <w:rsid w:val="00A411C4"/>
    <w:rsid w:val="00A42E5E"/>
    <w:rsid w:val="00A43262"/>
    <w:rsid w:val="00A4353D"/>
    <w:rsid w:val="00A44EBE"/>
    <w:rsid w:val="00A4501A"/>
    <w:rsid w:val="00A4504D"/>
    <w:rsid w:val="00A45177"/>
    <w:rsid w:val="00A455D1"/>
    <w:rsid w:val="00A45A0D"/>
    <w:rsid w:val="00A45C40"/>
    <w:rsid w:val="00A46CBB"/>
    <w:rsid w:val="00A47AF2"/>
    <w:rsid w:val="00A50CEC"/>
    <w:rsid w:val="00A51C1C"/>
    <w:rsid w:val="00A52BF7"/>
    <w:rsid w:val="00A53566"/>
    <w:rsid w:val="00A53CF0"/>
    <w:rsid w:val="00A54530"/>
    <w:rsid w:val="00A54CFC"/>
    <w:rsid w:val="00A56370"/>
    <w:rsid w:val="00A566B2"/>
    <w:rsid w:val="00A57204"/>
    <w:rsid w:val="00A572B3"/>
    <w:rsid w:val="00A57EF9"/>
    <w:rsid w:val="00A604B9"/>
    <w:rsid w:val="00A6095D"/>
    <w:rsid w:val="00A60F80"/>
    <w:rsid w:val="00A613B3"/>
    <w:rsid w:val="00A620F8"/>
    <w:rsid w:val="00A6210C"/>
    <w:rsid w:val="00A62436"/>
    <w:rsid w:val="00A62591"/>
    <w:rsid w:val="00A627FA"/>
    <w:rsid w:val="00A628C9"/>
    <w:rsid w:val="00A62F2F"/>
    <w:rsid w:val="00A6372E"/>
    <w:rsid w:val="00A6413E"/>
    <w:rsid w:val="00A644E0"/>
    <w:rsid w:val="00A65207"/>
    <w:rsid w:val="00A65C39"/>
    <w:rsid w:val="00A66D21"/>
    <w:rsid w:val="00A66F50"/>
    <w:rsid w:val="00A67F55"/>
    <w:rsid w:val="00A709B8"/>
    <w:rsid w:val="00A70D91"/>
    <w:rsid w:val="00A71809"/>
    <w:rsid w:val="00A72F9C"/>
    <w:rsid w:val="00A73D6F"/>
    <w:rsid w:val="00A74A14"/>
    <w:rsid w:val="00A75A42"/>
    <w:rsid w:val="00A75B69"/>
    <w:rsid w:val="00A762B3"/>
    <w:rsid w:val="00A764D4"/>
    <w:rsid w:val="00A7702E"/>
    <w:rsid w:val="00A80B90"/>
    <w:rsid w:val="00A8125E"/>
    <w:rsid w:val="00A814F3"/>
    <w:rsid w:val="00A81551"/>
    <w:rsid w:val="00A8408C"/>
    <w:rsid w:val="00A8545E"/>
    <w:rsid w:val="00A86424"/>
    <w:rsid w:val="00A8662B"/>
    <w:rsid w:val="00A86D57"/>
    <w:rsid w:val="00A879EA"/>
    <w:rsid w:val="00A910C0"/>
    <w:rsid w:val="00A9162B"/>
    <w:rsid w:val="00A921BC"/>
    <w:rsid w:val="00A921DC"/>
    <w:rsid w:val="00A927D2"/>
    <w:rsid w:val="00A92C8E"/>
    <w:rsid w:val="00A932C4"/>
    <w:rsid w:val="00A937F8"/>
    <w:rsid w:val="00A93CCD"/>
    <w:rsid w:val="00A94F31"/>
    <w:rsid w:val="00A96D6D"/>
    <w:rsid w:val="00A96E6B"/>
    <w:rsid w:val="00A97088"/>
    <w:rsid w:val="00A97E69"/>
    <w:rsid w:val="00AA1575"/>
    <w:rsid w:val="00AA22A9"/>
    <w:rsid w:val="00AA249F"/>
    <w:rsid w:val="00AA2D33"/>
    <w:rsid w:val="00AA3684"/>
    <w:rsid w:val="00AA48CF"/>
    <w:rsid w:val="00AA4FE6"/>
    <w:rsid w:val="00AA53FA"/>
    <w:rsid w:val="00AA6A82"/>
    <w:rsid w:val="00AA7A8C"/>
    <w:rsid w:val="00AB08FE"/>
    <w:rsid w:val="00AB137F"/>
    <w:rsid w:val="00AB31E5"/>
    <w:rsid w:val="00AB3E9F"/>
    <w:rsid w:val="00AB4767"/>
    <w:rsid w:val="00AB479B"/>
    <w:rsid w:val="00AB58F0"/>
    <w:rsid w:val="00AB6A0B"/>
    <w:rsid w:val="00AB7C22"/>
    <w:rsid w:val="00AC172E"/>
    <w:rsid w:val="00AC1A0F"/>
    <w:rsid w:val="00AC1FA5"/>
    <w:rsid w:val="00AC2413"/>
    <w:rsid w:val="00AC30F7"/>
    <w:rsid w:val="00AC3DB8"/>
    <w:rsid w:val="00AC44BA"/>
    <w:rsid w:val="00AC5F61"/>
    <w:rsid w:val="00AC6F6A"/>
    <w:rsid w:val="00AC79A0"/>
    <w:rsid w:val="00AC7ED0"/>
    <w:rsid w:val="00AD0D06"/>
    <w:rsid w:val="00AD0FF3"/>
    <w:rsid w:val="00AD110E"/>
    <w:rsid w:val="00AD1833"/>
    <w:rsid w:val="00AD19BE"/>
    <w:rsid w:val="00AD1ACE"/>
    <w:rsid w:val="00AD1F19"/>
    <w:rsid w:val="00AD2946"/>
    <w:rsid w:val="00AD3B77"/>
    <w:rsid w:val="00AD46A6"/>
    <w:rsid w:val="00AD4C35"/>
    <w:rsid w:val="00AD516B"/>
    <w:rsid w:val="00AD77A9"/>
    <w:rsid w:val="00AE0156"/>
    <w:rsid w:val="00AE098F"/>
    <w:rsid w:val="00AE10CF"/>
    <w:rsid w:val="00AE115C"/>
    <w:rsid w:val="00AE14F9"/>
    <w:rsid w:val="00AE25CD"/>
    <w:rsid w:val="00AE2E30"/>
    <w:rsid w:val="00AE2F68"/>
    <w:rsid w:val="00AE3370"/>
    <w:rsid w:val="00AE39C4"/>
    <w:rsid w:val="00AE4348"/>
    <w:rsid w:val="00AE4377"/>
    <w:rsid w:val="00AE4771"/>
    <w:rsid w:val="00AE48E7"/>
    <w:rsid w:val="00AE4ECD"/>
    <w:rsid w:val="00AE5A43"/>
    <w:rsid w:val="00AE5E22"/>
    <w:rsid w:val="00AE5FB8"/>
    <w:rsid w:val="00AE6C6A"/>
    <w:rsid w:val="00AE6E1D"/>
    <w:rsid w:val="00AE7034"/>
    <w:rsid w:val="00AE72AC"/>
    <w:rsid w:val="00AE72D9"/>
    <w:rsid w:val="00AE74B7"/>
    <w:rsid w:val="00AE7EAA"/>
    <w:rsid w:val="00AF03E0"/>
    <w:rsid w:val="00AF0426"/>
    <w:rsid w:val="00AF1D3F"/>
    <w:rsid w:val="00AF2960"/>
    <w:rsid w:val="00AF34DE"/>
    <w:rsid w:val="00AF3BA4"/>
    <w:rsid w:val="00AF3E7D"/>
    <w:rsid w:val="00AF4993"/>
    <w:rsid w:val="00AF6FA1"/>
    <w:rsid w:val="00AF73F6"/>
    <w:rsid w:val="00AF793D"/>
    <w:rsid w:val="00B000DF"/>
    <w:rsid w:val="00B0084C"/>
    <w:rsid w:val="00B00D35"/>
    <w:rsid w:val="00B011E8"/>
    <w:rsid w:val="00B018B7"/>
    <w:rsid w:val="00B02F9C"/>
    <w:rsid w:val="00B02FC8"/>
    <w:rsid w:val="00B0336C"/>
    <w:rsid w:val="00B039C4"/>
    <w:rsid w:val="00B04E38"/>
    <w:rsid w:val="00B05844"/>
    <w:rsid w:val="00B05CD4"/>
    <w:rsid w:val="00B064E7"/>
    <w:rsid w:val="00B06817"/>
    <w:rsid w:val="00B06EBC"/>
    <w:rsid w:val="00B07A00"/>
    <w:rsid w:val="00B07E31"/>
    <w:rsid w:val="00B105ED"/>
    <w:rsid w:val="00B10BCC"/>
    <w:rsid w:val="00B10CCC"/>
    <w:rsid w:val="00B1136E"/>
    <w:rsid w:val="00B117E6"/>
    <w:rsid w:val="00B11F50"/>
    <w:rsid w:val="00B136EE"/>
    <w:rsid w:val="00B136F5"/>
    <w:rsid w:val="00B14125"/>
    <w:rsid w:val="00B154A3"/>
    <w:rsid w:val="00B16974"/>
    <w:rsid w:val="00B17A14"/>
    <w:rsid w:val="00B20B1A"/>
    <w:rsid w:val="00B20D65"/>
    <w:rsid w:val="00B2190C"/>
    <w:rsid w:val="00B21983"/>
    <w:rsid w:val="00B22414"/>
    <w:rsid w:val="00B22DDB"/>
    <w:rsid w:val="00B23BA6"/>
    <w:rsid w:val="00B24775"/>
    <w:rsid w:val="00B249BD"/>
    <w:rsid w:val="00B24C05"/>
    <w:rsid w:val="00B24EDE"/>
    <w:rsid w:val="00B2554F"/>
    <w:rsid w:val="00B26819"/>
    <w:rsid w:val="00B26C36"/>
    <w:rsid w:val="00B26F8C"/>
    <w:rsid w:val="00B27A5C"/>
    <w:rsid w:val="00B3017B"/>
    <w:rsid w:val="00B3195A"/>
    <w:rsid w:val="00B31CF5"/>
    <w:rsid w:val="00B330E5"/>
    <w:rsid w:val="00B33258"/>
    <w:rsid w:val="00B33AD5"/>
    <w:rsid w:val="00B34918"/>
    <w:rsid w:val="00B35C52"/>
    <w:rsid w:val="00B35E0A"/>
    <w:rsid w:val="00B36495"/>
    <w:rsid w:val="00B3696B"/>
    <w:rsid w:val="00B36A5B"/>
    <w:rsid w:val="00B36CEE"/>
    <w:rsid w:val="00B40A9D"/>
    <w:rsid w:val="00B419FC"/>
    <w:rsid w:val="00B4204D"/>
    <w:rsid w:val="00B42159"/>
    <w:rsid w:val="00B422A4"/>
    <w:rsid w:val="00B43C14"/>
    <w:rsid w:val="00B43EF1"/>
    <w:rsid w:val="00B450A2"/>
    <w:rsid w:val="00B45627"/>
    <w:rsid w:val="00B45719"/>
    <w:rsid w:val="00B45A54"/>
    <w:rsid w:val="00B45E22"/>
    <w:rsid w:val="00B46345"/>
    <w:rsid w:val="00B46AB4"/>
    <w:rsid w:val="00B4709F"/>
    <w:rsid w:val="00B47A44"/>
    <w:rsid w:val="00B50A42"/>
    <w:rsid w:val="00B51821"/>
    <w:rsid w:val="00B51AB4"/>
    <w:rsid w:val="00B525AE"/>
    <w:rsid w:val="00B52669"/>
    <w:rsid w:val="00B52CD4"/>
    <w:rsid w:val="00B5332E"/>
    <w:rsid w:val="00B53B96"/>
    <w:rsid w:val="00B53CA2"/>
    <w:rsid w:val="00B5425B"/>
    <w:rsid w:val="00B54C75"/>
    <w:rsid w:val="00B5516C"/>
    <w:rsid w:val="00B5535C"/>
    <w:rsid w:val="00B575BF"/>
    <w:rsid w:val="00B5793D"/>
    <w:rsid w:val="00B60A16"/>
    <w:rsid w:val="00B61BE6"/>
    <w:rsid w:val="00B62DF4"/>
    <w:rsid w:val="00B64395"/>
    <w:rsid w:val="00B643BF"/>
    <w:rsid w:val="00B64A35"/>
    <w:rsid w:val="00B64B03"/>
    <w:rsid w:val="00B64C28"/>
    <w:rsid w:val="00B64E98"/>
    <w:rsid w:val="00B64FC0"/>
    <w:rsid w:val="00B65277"/>
    <w:rsid w:val="00B652C9"/>
    <w:rsid w:val="00B65FB2"/>
    <w:rsid w:val="00B73F7F"/>
    <w:rsid w:val="00B73F8D"/>
    <w:rsid w:val="00B75C1A"/>
    <w:rsid w:val="00B76C4A"/>
    <w:rsid w:val="00B77C95"/>
    <w:rsid w:val="00B77FC7"/>
    <w:rsid w:val="00B80948"/>
    <w:rsid w:val="00B809AC"/>
    <w:rsid w:val="00B80EC2"/>
    <w:rsid w:val="00B80F9C"/>
    <w:rsid w:val="00B81DFB"/>
    <w:rsid w:val="00B8284D"/>
    <w:rsid w:val="00B82D22"/>
    <w:rsid w:val="00B83302"/>
    <w:rsid w:val="00B83312"/>
    <w:rsid w:val="00B8332F"/>
    <w:rsid w:val="00B849C0"/>
    <w:rsid w:val="00B84EB9"/>
    <w:rsid w:val="00B8530B"/>
    <w:rsid w:val="00B854D2"/>
    <w:rsid w:val="00B8610F"/>
    <w:rsid w:val="00B90C48"/>
    <w:rsid w:val="00B912C0"/>
    <w:rsid w:val="00B91426"/>
    <w:rsid w:val="00B91CF7"/>
    <w:rsid w:val="00B91FF9"/>
    <w:rsid w:val="00B9236D"/>
    <w:rsid w:val="00B926E0"/>
    <w:rsid w:val="00B92884"/>
    <w:rsid w:val="00B93721"/>
    <w:rsid w:val="00B93B06"/>
    <w:rsid w:val="00B94280"/>
    <w:rsid w:val="00B9471B"/>
    <w:rsid w:val="00B96098"/>
    <w:rsid w:val="00B9738C"/>
    <w:rsid w:val="00B97746"/>
    <w:rsid w:val="00B97C5F"/>
    <w:rsid w:val="00BA0E17"/>
    <w:rsid w:val="00BA0F18"/>
    <w:rsid w:val="00BA24BF"/>
    <w:rsid w:val="00BA29DF"/>
    <w:rsid w:val="00BA2F8D"/>
    <w:rsid w:val="00BA347B"/>
    <w:rsid w:val="00BA38B3"/>
    <w:rsid w:val="00BA4D3C"/>
    <w:rsid w:val="00BA5FC8"/>
    <w:rsid w:val="00BA6A2C"/>
    <w:rsid w:val="00BA7326"/>
    <w:rsid w:val="00BA7443"/>
    <w:rsid w:val="00BA7D77"/>
    <w:rsid w:val="00BB0120"/>
    <w:rsid w:val="00BB01CA"/>
    <w:rsid w:val="00BB01F7"/>
    <w:rsid w:val="00BB16B1"/>
    <w:rsid w:val="00BB2BE9"/>
    <w:rsid w:val="00BB314E"/>
    <w:rsid w:val="00BB317B"/>
    <w:rsid w:val="00BB3C9E"/>
    <w:rsid w:val="00BB63FB"/>
    <w:rsid w:val="00BB6ADB"/>
    <w:rsid w:val="00BB74D7"/>
    <w:rsid w:val="00BB7636"/>
    <w:rsid w:val="00BB7FDE"/>
    <w:rsid w:val="00BC0C41"/>
    <w:rsid w:val="00BC15EB"/>
    <w:rsid w:val="00BC245E"/>
    <w:rsid w:val="00BC307B"/>
    <w:rsid w:val="00BC3494"/>
    <w:rsid w:val="00BC369C"/>
    <w:rsid w:val="00BC36BF"/>
    <w:rsid w:val="00BC3C6E"/>
    <w:rsid w:val="00BC432E"/>
    <w:rsid w:val="00BC4876"/>
    <w:rsid w:val="00BC4CF5"/>
    <w:rsid w:val="00BC524B"/>
    <w:rsid w:val="00BC5D1B"/>
    <w:rsid w:val="00BD0EDD"/>
    <w:rsid w:val="00BD268F"/>
    <w:rsid w:val="00BD29A7"/>
    <w:rsid w:val="00BD2E8D"/>
    <w:rsid w:val="00BD5AA0"/>
    <w:rsid w:val="00BD5C16"/>
    <w:rsid w:val="00BD7C80"/>
    <w:rsid w:val="00BD7F80"/>
    <w:rsid w:val="00BE0477"/>
    <w:rsid w:val="00BE1432"/>
    <w:rsid w:val="00BE2D86"/>
    <w:rsid w:val="00BE3140"/>
    <w:rsid w:val="00BE36CC"/>
    <w:rsid w:val="00BE3849"/>
    <w:rsid w:val="00BE3AFB"/>
    <w:rsid w:val="00BE3FA2"/>
    <w:rsid w:val="00BE4B00"/>
    <w:rsid w:val="00BE4ED7"/>
    <w:rsid w:val="00BE55C6"/>
    <w:rsid w:val="00BE5E80"/>
    <w:rsid w:val="00BE619C"/>
    <w:rsid w:val="00BE6718"/>
    <w:rsid w:val="00BE7A93"/>
    <w:rsid w:val="00BF07DC"/>
    <w:rsid w:val="00BF09D8"/>
    <w:rsid w:val="00BF190D"/>
    <w:rsid w:val="00BF1E9B"/>
    <w:rsid w:val="00BF1EE3"/>
    <w:rsid w:val="00BF2E78"/>
    <w:rsid w:val="00BF381A"/>
    <w:rsid w:val="00BF390E"/>
    <w:rsid w:val="00BF4783"/>
    <w:rsid w:val="00BF4792"/>
    <w:rsid w:val="00BF5389"/>
    <w:rsid w:val="00BF5EC1"/>
    <w:rsid w:val="00BF64EC"/>
    <w:rsid w:val="00BF6E47"/>
    <w:rsid w:val="00BF6F2E"/>
    <w:rsid w:val="00BF74BF"/>
    <w:rsid w:val="00BF7500"/>
    <w:rsid w:val="00C00063"/>
    <w:rsid w:val="00C00402"/>
    <w:rsid w:val="00C00462"/>
    <w:rsid w:val="00C00841"/>
    <w:rsid w:val="00C02082"/>
    <w:rsid w:val="00C02890"/>
    <w:rsid w:val="00C02953"/>
    <w:rsid w:val="00C02AEB"/>
    <w:rsid w:val="00C02FF0"/>
    <w:rsid w:val="00C03160"/>
    <w:rsid w:val="00C03B01"/>
    <w:rsid w:val="00C03E92"/>
    <w:rsid w:val="00C04C50"/>
    <w:rsid w:val="00C05BBF"/>
    <w:rsid w:val="00C06A9E"/>
    <w:rsid w:val="00C07064"/>
    <w:rsid w:val="00C10747"/>
    <w:rsid w:val="00C107DA"/>
    <w:rsid w:val="00C10C9E"/>
    <w:rsid w:val="00C10F4A"/>
    <w:rsid w:val="00C116A0"/>
    <w:rsid w:val="00C11A61"/>
    <w:rsid w:val="00C1302B"/>
    <w:rsid w:val="00C130C5"/>
    <w:rsid w:val="00C14B66"/>
    <w:rsid w:val="00C14B7E"/>
    <w:rsid w:val="00C16239"/>
    <w:rsid w:val="00C163D3"/>
    <w:rsid w:val="00C16694"/>
    <w:rsid w:val="00C17117"/>
    <w:rsid w:val="00C2007C"/>
    <w:rsid w:val="00C20841"/>
    <w:rsid w:val="00C210B5"/>
    <w:rsid w:val="00C21313"/>
    <w:rsid w:val="00C220A3"/>
    <w:rsid w:val="00C229A5"/>
    <w:rsid w:val="00C229F1"/>
    <w:rsid w:val="00C22C8D"/>
    <w:rsid w:val="00C23148"/>
    <w:rsid w:val="00C23F69"/>
    <w:rsid w:val="00C241F7"/>
    <w:rsid w:val="00C24803"/>
    <w:rsid w:val="00C24DF8"/>
    <w:rsid w:val="00C25242"/>
    <w:rsid w:val="00C25352"/>
    <w:rsid w:val="00C2701F"/>
    <w:rsid w:val="00C27A3B"/>
    <w:rsid w:val="00C27CB4"/>
    <w:rsid w:val="00C27EF4"/>
    <w:rsid w:val="00C3160D"/>
    <w:rsid w:val="00C316BF"/>
    <w:rsid w:val="00C31870"/>
    <w:rsid w:val="00C32742"/>
    <w:rsid w:val="00C32907"/>
    <w:rsid w:val="00C329A0"/>
    <w:rsid w:val="00C32A93"/>
    <w:rsid w:val="00C33950"/>
    <w:rsid w:val="00C3398E"/>
    <w:rsid w:val="00C34819"/>
    <w:rsid w:val="00C34C2C"/>
    <w:rsid w:val="00C3518B"/>
    <w:rsid w:val="00C35773"/>
    <w:rsid w:val="00C358EB"/>
    <w:rsid w:val="00C3591B"/>
    <w:rsid w:val="00C35BD8"/>
    <w:rsid w:val="00C364E2"/>
    <w:rsid w:val="00C36C92"/>
    <w:rsid w:val="00C37793"/>
    <w:rsid w:val="00C40EA1"/>
    <w:rsid w:val="00C40F54"/>
    <w:rsid w:val="00C41104"/>
    <w:rsid w:val="00C4163C"/>
    <w:rsid w:val="00C417CF"/>
    <w:rsid w:val="00C4180F"/>
    <w:rsid w:val="00C42DD9"/>
    <w:rsid w:val="00C43407"/>
    <w:rsid w:val="00C439B4"/>
    <w:rsid w:val="00C43B62"/>
    <w:rsid w:val="00C43CF8"/>
    <w:rsid w:val="00C440AD"/>
    <w:rsid w:val="00C45765"/>
    <w:rsid w:val="00C45D4D"/>
    <w:rsid w:val="00C45F9F"/>
    <w:rsid w:val="00C462D4"/>
    <w:rsid w:val="00C47452"/>
    <w:rsid w:val="00C51C15"/>
    <w:rsid w:val="00C51DD2"/>
    <w:rsid w:val="00C521C1"/>
    <w:rsid w:val="00C534F2"/>
    <w:rsid w:val="00C53530"/>
    <w:rsid w:val="00C53657"/>
    <w:rsid w:val="00C540CC"/>
    <w:rsid w:val="00C551CA"/>
    <w:rsid w:val="00C55B6A"/>
    <w:rsid w:val="00C5681B"/>
    <w:rsid w:val="00C57C9D"/>
    <w:rsid w:val="00C57CDF"/>
    <w:rsid w:val="00C6010D"/>
    <w:rsid w:val="00C60777"/>
    <w:rsid w:val="00C616EE"/>
    <w:rsid w:val="00C623AB"/>
    <w:rsid w:val="00C62783"/>
    <w:rsid w:val="00C6306B"/>
    <w:rsid w:val="00C6392A"/>
    <w:rsid w:val="00C64548"/>
    <w:rsid w:val="00C64742"/>
    <w:rsid w:val="00C64D30"/>
    <w:rsid w:val="00C64FE9"/>
    <w:rsid w:val="00C65FC0"/>
    <w:rsid w:val="00C665D7"/>
    <w:rsid w:val="00C667C9"/>
    <w:rsid w:val="00C6792C"/>
    <w:rsid w:val="00C700D3"/>
    <w:rsid w:val="00C704BA"/>
    <w:rsid w:val="00C70860"/>
    <w:rsid w:val="00C71403"/>
    <w:rsid w:val="00C71668"/>
    <w:rsid w:val="00C71999"/>
    <w:rsid w:val="00C71DE9"/>
    <w:rsid w:val="00C72BF6"/>
    <w:rsid w:val="00C72E33"/>
    <w:rsid w:val="00C7419D"/>
    <w:rsid w:val="00C74DC5"/>
    <w:rsid w:val="00C752CC"/>
    <w:rsid w:val="00C76AEA"/>
    <w:rsid w:val="00C771FD"/>
    <w:rsid w:val="00C77719"/>
    <w:rsid w:val="00C77768"/>
    <w:rsid w:val="00C77AB6"/>
    <w:rsid w:val="00C81E56"/>
    <w:rsid w:val="00C81E78"/>
    <w:rsid w:val="00C8255E"/>
    <w:rsid w:val="00C829B6"/>
    <w:rsid w:val="00C82DFA"/>
    <w:rsid w:val="00C83264"/>
    <w:rsid w:val="00C8333E"/>
    <w:rsid w:val="00C83A12"/>
    <w:rsid w:val="00C84193"/>
    <w:rsid w:val="00C8464C"/>
    <w:rsid w:val="00C84E80"/>
    <w:rsid w:val="00C84FF1"/>
    <w:rsid w:val="00C8534D"/>
    <w:rsid w:val="00C856BC"/>
    <w:rsid w:val="00C8636B"/>
    <w:rsid w:val="00C86E3A"/>
    <w:rsid w:val="00C86FA0"/>
    <w:rsid w:val="00C905F9"/>
    <w:rsid w:val="00C9104F"/>
    <w:rsid w:val="00C91E96"/>
    <w:rsid w:val="00C92984"/>
    <w:rsid w:val="00C92AC9"/>
    <w:rsid w:val="00C92B7B"/>
    <w:rsid w:val="00C94C7F"/>
    <w:rsid w:val="00C94C9E"/>
    <w:rsid w:val="00C956B5"/>
    <w:rsid w:val="00C95931"/>
    <w:rsid w:val="00C9643B"/>
    <w:rsid w:val="00C9773E"/>
    <w:rsid w:val="00CA175A"/>
    <w:rsid w:val="00CA19A7"/>
    <w:rsid w:val="00CA1A37"/>
    <w:rsid w:val="00CA1B03"/>
    <w:rsid w:val="00CA1B51"/>
    <w:rsid w:val="00CA3196"/>
    <w:rsid w:val="00CA34B2"/>
    <w:rsid w:val="00CA448B"/>
    <w:rsid w:val="00CA5B29"/>
    <w:rsid w:val="00CA5E65"/>
    <w:rsid w:val="00CA6CEB"/>
    <w:rsid w:val="00CA70D5"/>
    <w:rsid w:val="00CA7C36"/>
    <w:rsid w:val="00CA7E10"/>
    <w:rsid w:val="00CB1B0F"/>
    <w:rsid w:val="00CB1D6F"/>
    <w:rsid w:val="00CB20E9"/>
    <w:rsid w:val="00CB2A96"/>
    <w:rsid w:val="00CB2E48"/>
    <w:rsid w:val="00CB311B"/>
    <w:rsid w:val="00CB38E1"/>
    <w:rsid w:val="00CB4136"/>
    <w:rsid w:val="00CB4321"/>
    <w:rsid w:val="00CB493A"/>
    <w:rsid w:val="00CB4BE0"/>
    <w:rsid w:val="00CB4C63"/>
    <w:rsid w:val="00CB4D28"/>
    <w:rsid w:val="00CB5085"/>
    <w:rsid w:val="00CB50A8"/>
    <w:rsid w:val="00CB5B61"/>
    <w:rsid w:val="00CB6585"/>
    <w:rsid w:val="00CB6BC2"/>
    <w:rsid w:val="00CC0328"/>
    <w:rsid w:val="00CC0A6B"/>
    <w:rsid w:val="00CC13E4"/>
    <w:rsid w:val="00CC1742"/>
    <w:rsid w:val="00CC177B"/>
    <w:rsid w:val="00CC1B43"/>
    <w:rsid w:val="00CC2627"/>
    <w:rsid w:val="00CC2CFB"/>
    <w:rsid w:val="00CC2FDC"/>
    <w:rsid w:val="00CC300B"/>
    <w:rsid w:val="00CC34B9"/>
    <w:rsid w:val="00CC498D"/>
    <w:rsid w:val="00CC5085"/>
    <w:rsid w:val="00CC5479"/>
    <w:rsid w:val="00CC5A5E"/>
    <w:rsid w:val="00CC695D"/>
    <w:rsid w:val="00CC7F80"/>
    <w:rsid w:val="00CD0722"/>
    <w:rsid w:val="00CD1596"/>
    <w:rsid w:val="00CD1F69"/>
    <w:rsid w:val="00CD2EBB"/>
    <w:rsid w:val="00CD39CB"/>
    <w:rsid w:val="00CD42B5"/>
    <w:rsid w:val="00CD4EF4"/>
    <w:rsid w:val="00CD5893"/>
    <w:rsid w:val="00CD6749"/>
    <w:rsid w:val="00CD7937"/>
    <w:rsid w:val="00CE0170"/>
    <w:rsid w:val="00CE0A26"/>
    <w:rsid w:val="00CE1D36"/>
    <w:rsid w:val="00CE209E"/>
    <w:rsid w:val="00CE2205"/>
    <w:rsid w:val="00CE23CA"/>
    <w:rsid w:val="00CE314C"/>
    <w:rsid w:val="00CE33D1"/>
    <w:rsid w:val="00CE473B"/>
    <w:rsid w:val="00CE5FD3"/>
    <w:rsid w:val="00CE6023"/>
    <w:rsid w:val="00CE66EA"/>
    <w:rsid w:val="00CE686C"/>
    <w:rsid w:val="00CE6B5C"/>
    <w:rsid w:val="00CE6CB0"/>
    <w:rsid w:val="00CE70EF"/>
    <w:rsid w:val="00CE7283"/>
    <w:rsid w:val="00CE798B"/>
    <w:rsid w:val="00CF1091"/>
    <w:rsid w:val="00CF26E3"/>
    <w:rsid w:val="00CF3362"/>
    <w:rsid w:val="00CF4301"/>
    <w:rsid w:val="00CF439F"/>
    <w:rsid w:val="00CF4B8D"/>
    <w:rsid w:val="00CF4C01"/>
    <w:rsid w:val="00CF4CFB"/>
    <w:rsid w:val="00CF578A"/>
    <w:rsid w:val="00CF57CF"/>
    <w:rsid w:val="00CF5A21"/>
    <w:rsid w:val="00CF616A"/>
    <w:rsid w:val="00CF693D"/>
    <w:rsid w:val="00CF78AF"/>
    <w:rsid w:val="00CF7E83"/>
    <w:rsid w:val="00D026E2"/>
    <w:rsid w:val="00D03A59"/>
    <w:rsid w:val="00D04085"/>
    <w:rsid w:val="00D04A7D"/>
    <w:rsid w:val="00D051A2"/>
    <w:rsid w:val="00D058B5"/>
    <w:rsid w:val="00D05E6B"/>
    <w:rsid w:val="00D0617D"/>
    <w:rsid w:val="00D06434"/>
    <w:rsid w:val="00D066DC"/>
    <w:rsid w:val="00D07CC1"/>
    <w:rsid w:val="00D107A3"/>
    <w:rsid w:val="00D1291A"/>
    <w:rsid w:val="00D12A45"/>
    <w:rsid w:val="00D1351F"/>
    <w:rsid w:val="00D139B8"/>
    <w:rsid w:val="00D14B96"/>
    <w:rsid w:val="00D15557"/>
    <w:rsid w:val="00D15C33"/>
    <w:rsid w:val="00D168B3"/>
    <w:rsid w:val="00D16AE9"/>
    <w:rsid w:val="00D178D8"/>
    <w:rsid w:val="00D17EB4"/>
    <w:rsid w:val="00D207FF"/>
    <w:rsid w:val="00D20E95"/>
    <w:rsid w:val="00D21376"/>
    <w:rsid w:val="00D214C7"/>
    <w:rsid w:val="00D2253F"/>
    <w:rsid w:val="00D22BD2"/>
    <w:rsid w:val="00D22FF7"/>
    <w:rsid w:val="00D23142"/>
    <w:rsid w:val="00D2379B"/>
    <w:rsid w:val="00D23C11"/>
    <w:rsid w:val="00D24C82"/>
    <w:rsid w:val="00D24FDC"/>
    <w:rsid w:val="00D253DA"/>
    <w:rsid w:val="00D256F6"/>
    <w:rsid w:val="00D257CB"/>
    <w:rsid w:val="00D25D8D"/>
    <w:rsid w:val="00D266D5"/>
    <w:rsid w:val="00D266EB"/>
    <w:rsid w:val="00D269F0"/>
    <w:rsid w:val="00D27043"/>
    <w:rsid w:val="00D2733E"/>
    <w:rsid w:val="00D27797"/>
    <w:rsid w:val="00D279E9"/>
    <w:rsid w:val="00D302F1"/>
    <w:rsid w:val="00D3089B"/>
    <w:rsid w:val="00D30CB4"/>
    <w:rsid w:val="00D31321"/>
    <w:rsid w:val="00D31A6B"/>
    <w:rsid w:val="00D31FB1"/>
    <w:rsid w:val="00D326B3"/>
    <w:rsid w:val="00D33E89"/>
    <w:rsid w:val="00D33F48"/>
    <w:rsid w:val="00D34BF9"/>
    <w:rsid w:val="00D34F34"/>
    <w:rsid w:val="00D35055"/>
    <w:rsid w:val="00D35425"/>
    <w:rsid w:val="00D35882"/>
    <w:rsid w:val="00D35961"/>
    <w:rsid w:val="00D372A0"/>
    <w:rsid w:val="00D3775B"/>
    <w:rsid w:val="00D37F75"/>
    <w:rsid w:val="00D412E1"/>
    <w:rsid w:val="00D412FE"/>
    <w:rsid w:val="00D417C6"/>
    <w:rsid w:val="00D41954"/>
    <w:rsid w:val="00D41F8B"/>
    <w:rsid w:val="00D420BB"/>
    <w:rsid w:val="00D4255F"/>
    <w:rsid w:val="00D43053"/>
    <w:rsid w:val="00D447D2"/>
    <w:rsid w:val="00D4677C"/>
    <w:rsid w:val="00D4686F"/>
    <w:rsid w:val="00D479D7"/>
    <w:rsid w:val="00D47E0A"/>
    <w:rsid w:val="00D5029B"/>
    <w:rsid w:val="00D5043C"/>
    <w:rsid w:val="00D52433"/>
    <w:rsid w:val="00D52853"/>
    <w:rsid w:val="00D529A4"/>
    <w:rsid w:val="00D52C0E"/>
    <w:rsid w:val="00D547AF"/>
    <w:rsid w:val="00D5662E"/>
    <w:rsid w:val="00D5694D"/>
    <w:rsid w:val="00D5723F"/>
    <w:rsid w:val="00D60937"/>
    <w:rsid w:val="00D60F8E"/>
    <w:rsid w:val="00D6120A"/>
    <w:rsid w:val="00D6151A"/>
    <w:rsid w:val="00D61A50"/>
    <w:rsid w:val="00D61FB4"/>
    <w:rsid w:val="00D62873"/>
    <w:rsid w:val="00D62CF5"/>
    <w:rsid w:val="00D62F18"/>
    <w:rsid w:val="00D63FE0"/>
    <w:rsid w:val="00D647C3"/>
    <w:rsid w:val="00D647CB"/>
    <w:rsid w:val="00D64B70"/>
    <w:rsid w:val="00D673D2"/>
    <w:rsid w:val="00D67503"/>
    <w:rsid w:val="00D6794E"/>
    <w:rsid w:val="00D70C4B"/>
    <w:rsid w:val="00D71137"/>
    <w:rsid w:val="00D72311"/>
    <w:rsid w:val="00D7277C"/>
    <w:rsid w:val="00D72E80"/>
    <w:rsid w:val="00D7333E"/>
    <w:rsid w:val="00D75295"/>
    <w:rsid w:val="00D7628E"/>
    <w:rsid w:val="00D76CF5"/>
    <w:rsid w:val="00D77A72"/>
    <w:rsid w:val="00D77C4E"/>
    <w:rsid w:val="00D808F0"/>
    <w:rsid w:val="00D80A4B"/>
    <w:rsid w:val="00D80E35"/>
    <w:rsid w:val="00D8115B"/>
    <w:rsid w:val="00D816B4"/>
    <w:rsid w:val="00D8232A"/>
    <w:rsid w:val="00D829D8"/>
    <w:rsid w:val="00D8526F"/>
    <w:rsid w:val="00D853F0"/>
    <w:rsid w:val="00D85655"/>
    <w:rsid w:val="00D859B9"/>
    <w:rsid w:val="00D86467"/>
    <w:rsid w:val="00D8677D"/>
    <w:rsid w:val="00D86C98"/>
    <w:rsid w:val="00D86EAF"/>
    <w:rsid w:val="00D90910"/>
    <w:rsid w:val="00D90A50"/>
    <w:rsid w:val="00D90A88"/>
    <w:rsid w:val="00D93D85"/>
    <w:rsid w:val="00D93DAD"/>
    <w:rsid w:val="00D93FE1"/>
    <w:rsid w:val="00D94472"/>
    <w:rsid w:val="00D948E4"/>
    <w:rsid w:val="00D94A57"/>
    <w:rsid w:val="00D953E6"/>
    <w:rsid w:val="00D95909"/>
    <w:rsid w:val="00D95B8A"/>
    <w:rsid w:val="00D95C01"/>
    <w:rsid w:val="00D96B4E"/>
    <w:rsid w:val="00D974A5"/>
    <w:rsid w:val="00D97E3B"/>
    <w:rsid w:val="00DA0005"/>
    <w:rsid w:val="00DA042A"/>
    <w:rsid w:val="00DA080B"/>
    <w:rsid w:val="00DA0D67"/>
    <w:rsid w:val="00DA2AED"/>
    <w:rsid w:val="00DA2B8D"/>
    <w:rsid w:val="00DA49B6"/>
    <w:rsid w:val="00DA531C"/>
    <w:rsid w:val="00DA5A7A"/>
    <w:rsid w:val="00DA5DDE"/>
    <w:rsid w:val="00DA69C6"/>
    <w:rsid w:val="00DA78F3"/>
    <w:rsid w:val="00DB0031"/>
    <w:rsid w:val="00DB0285"/>
    <w:rsid w:val="00DB0D37"/>
    <w:rsid w:val="00DB0FB7"/>
    <w:rsid w:val="00DB1384"/>
    <w:rsid w:val="00DB30BC"/>
    <w:rsid w:val="00DB313A"/>
    <w:rsid w:val="00DB377E"/>
    <w:rsid w:val="00DB46AC"/>
    <w:rsid w:val="00DB503D"/>
    <w:rsid w:val="00DB52F5"/>
    <w:rsid w:val="00DB5447"/>
    <w:rsid w:val="00DB5C14"/>
    <w:rsid w:val="00DB6176"/>
    <w:rsid w:val="00DB62D7"/>
    <w:rsid w:val="00DB7B07"/>
    <w:rsid w:val="00DB7D2A"/>
    <w:rsid w:val="00DC0709"/>
    <w:rsid w:val="00DC0A12"/>
    <w:rsid w:val="00DC1540"/>
    <w:rsid w:val="00DC3E66"/>
    <w:rsid w:val="00DC4311"/>
    <w:rsid w:val="00DC4B45"/>
    <w:rsid w:val="00DC53D3"/>
    <w:rsid w:val="00DC6BC4"/>
    <w:rsid w:val="00DC7DD4"/>
    <w:rsid w:val="00DD045F"/>
    <w:rsid w:val="00DD07C2"/>
    <w:rsid w:val="00DD0FAB"/>
    <w:rsid w:val="00DD1A3D"/>
    <w:rsid w:val="00DD22D7"/>
    <w:rsid w:val="00DD2EA5"/>
    <w:rsid w:val="00DD3320"/>
    <w:rsid w:val="00DD4433"/>
    <w:rsid w:val="00DD64D4"/>
    <w:rsid w:val="00DD677F"/>
    <w:rsid w:val="00DD7216"/>
    <w:rsid w:val="00DD77B2"/>
    <w:rsid w:val="00DE12DC"/>
    <w:rsid w:val="00DE1A82"/>
    <w:rsid w:val="00DE25E4"/>
    <w:rsid w:val="00DE2CED"/>
    <w:rsid w:val="00DE3051"/>
    <w:rsid w:val="00DE31C7"/>
    <w:rsid w:val="00DE39DB"/>
    <w:rsid w:val="00DE68EE"/>
    <w:rsid w:val="00DE6CB6"/>
    <w:rsid w:val="00DE7723"/>
    <w:rsid w:val="00DF0794"/>
    <w:rsid w:val="00DF0B6F"/>
    <w:rsid w:val="00DF0BB8"/>
    <w:rsid w:val="00DF0D1C"/>
    <w:rsid w:val="00DF195B"/>
    <w:rsid w:val="00DF1BC7"/>
    <w:rsid w:val="00DF2C6D"/>
    <w:rsid w:val="00DF2FC4"/>
    <w:rsid w:val="00DF3A16"/>
    <w:rsid w:val="00DF46A0"/>
    <w:rsid w:val="00DF59CF"/>
    <w:rsid w:val="00DF5C7F"/>
    <w:rsid w:val="00DF62C3"/>
    <w:rsid w:val="00DF65B7"/>
    <w:rsid w:val="00E00AF8"/>
    <w:rsid w:val="00E00B73"/>
    <w:rsid w:val="00E012E1"/>
    <w:rsid w:val="00E0177F"/>
    <w:rsid w:val="00E018CB"/>
    <w:rsid w:val="00E03112"/>
    <w:rsid w:val="00E04342"/>
    <w:rsid w:val="00E046C7"/>
    <w:rsid w:val="00E048E3"/>
    <w:rsid w:val="00E059F8"/>
    <w:rsid w:val="00E06693"/>
    <w:rsid w:val="00E06D08"/>
    <w:rsid w:val="00E06ED3"/>
    <w:rsid w:val="00E100F1"/>
    <w:rsid w:val="00E10811"/>
    <w:rsid w:val="00E10A80"/>
    <w:rsid w:val="00E1100A"/>
    <w:rsid w:val="00E11B6A"/>
    <w:rsid w:val="00E1206A"/>
    <w:rsid w:val="00E12D6A"/>
    <w:rsid w:val="00E12E40"/>
    <w:rsid w:val="00E13D1D"/>
    <w:rsid w:val="00E15D1F"/>
    <w:rsid w:val="00E16964"/>
    <w:rsid w:val="00E170B3"/>
    <w:rsid w:val="00E170FC"/>
    <w:rsid w:val="00E1731B"/>
    <w:rsid w:val="00E2043F"/>
    <w:rsid w:val="00E20DDA"/>
    <w:rsid w:val="00E2226C"/>
    <w:rsid w:val="00E222B1"/>
    <w:rsid w:val="00E2287D"/>
    <w:rsid w:val="00E23457"/>
    <w:rsid w:val="00E237B4"/>
    <w:rsid w:val="00E24BDB"/>
    <w:rsid w:val="00E2507A"/>
    <w:rsid w:val="00E25FB0"/>
    <w:rsid w:val="00E26781"/>
    <w:rsid w:val="00E2707A"/>
    <w:rsid w:val="00E276DA"/>
    <w:rsid w:val="00E27914"/>
    <w:rsid w:val="00E27970"/>
    <w:rsid w:val="00E27A5F"/>
    <w:rsid w:val="00E27AF7"/>
    <w:rsid w:val="00E30933"/>
    <w:rsid w:val="00E30A7D"/>
    <w:rsid w:val="00E332A7"/>
    <w:rsid w:val="00E33AC9"/>
    <w:rsid w:val="00E33BC0"/>
    <w:rsid w:val="00E349FB"/>
    <w:rsid w:val="00E356B0"/>
    <w:rsid w:val="00E3580E"/>
    <w:rsid w:val="00E36ED1"/>
    <w:rsid w:val="00E37013"/>
    <w:rsid w:val="00E37EA9"/>
    <w:rsid w:val="00E40089"/>
    <w:rsid w:val="00E40AEE"/>
    <w:rsid w:val="00E40FC3"/>
    <w:rsid w:val="00E416A3"/>
    <w:rsid w:val="00E41C55"/>
    <w:rsid w:val="00E41C95"/>
    <w:rsid w:val="00E41D26"/>
    <w:rsid w:val="00E420F4"/>
    <w:rsid w:val="00E42F43"/>
    <w:rsid w:val="00E435A1"/>
    <w:rsid w:val="00E43B2E"/>
    <w:rsid w:val="00E43D0B"/>
    <w:rsid w:val="00E47D0D"/>
    <w:rsid w:val="00E511FD"/>
    <w:rsid w:val="00E514CA"/>
    <w:rsid w:val="00E51F99"/>
    <w:rsid w:val="00E52B01"/>
    <w:rsid w:val="00E53AF8"/>
    <w:rsid w:val="00E53D0F"/>
    <w:rsid w:val="00E53E41"/>
    <w:rsid w:val="00E54580"/>
    <w:rsid w:val="00E54B41"/>
    <w:rsid w:val="00E54D41"/>
    <w:rsid w:val="00E56249"/>
    <w:rsid w:val="00E56856"/>
    <w:rsid w:val="00E5723B"/>
    <w:rsid w:val="00E57DA2"/>
    <w:rsid w:val="00E600F0"/>
    <w:rsid w:val="00E602F2"/>
    <w:rsid w:val="00E60B2A"/>
    <w:rsid w:val="00E60C3A"/>
    <w:rsid w:val="00E60C99"/>
    <w:rsid w:val="00E61523"/>
    <w:rsid w:val="00E621BA"/>
    <w:rsid w:val="00E62312"/>
    <w:rsid w:val="00E62E6F"/>
    <w:rsid w:val="00E62FFA"/>
    <w:rsid w:val="00E63AD1"/>
    <w:rsid w:val="00E6570D"/>
    <w:rsid w:val="00E6622A"/>
    <w:rsid w:val="00E66679"/>
    <w:rsid w:val="00E7033A"/>
    <w:rsid w:val="00E704CC"/>
    <w:rsid w:val="00E70867"/>
    <w:rsid w:val="00E70D5E"/>
    <w:rsid w:val="00E71320"/>
    <w:rsid w:val="00E71504"/>
    <w:rsid w:val="00E71F09"/>
    <w:rsid w:val="00E7210D"/>
    <w:rsid w:val="00E73276"/>
    <w:rsid w:val="00E7381C"/>
    <w:rsid w:val="00E747A0"/>
    <w:rsid w:val="00E74E65"/>
    <w:rsid w:val="00E75289"/>
    <w:rsid w:val="00E75A08"/>
    <w:rsid w:val="00E75E69"/>
    <w:rsid w:val="00E7691C"/>
    <w:rsid w:val="00E778EA"/>
    <w:rsid w:val="00E80F18"/>
    <w:rsid w:val="00E81490"/>
    <w:rsid w:val="00E81888"/>
    <w:rsid w:val="00E81C22"/>
    <w:rsid w:val="00E81CA3"/>
    <w:rsid w:val="00E82A60"/>
    <w:rsid w:val="00E82A79"/>
    <w:rsid w:val="00E8308B"/>
    <w:rsid w:val="00E83C07"/>
    <w:rsid w:val="00E83C08"/>
    <w:rsid w:val="00E83ED7"/>
    <w:rsid w:val="00E83F18"/>
    <w:rsid w:val="00E84537"/>
    <w:rsid w:val="00E84A02"/>
    <w:rsid w:val="00E8504A"/>
    <w:rsid w:val="00E8510D"/>
    <w:rsid w:val="00E85564"/>
    <w:rsid w:val="00E85983"/>
    <w:rsid w:val="00E85F8A"/>
    <w:rsid w:val="00E860A0"/>
    <w:rsid w:val="00E87804"/>
    <w:rsid w:val="00E902EC"/>
    <w:rsid w:val="00E91528"/>
    <w:rsid w:val="00E923CF"/>
    <w:rsid w:val="00E927FD"/>
    <w:rsid w:val="00E92A05"/>
    <w:rsid w:val="00E932EB"/>
    <w:rsid w:val="00E93372"/>
    <w:rsid w:val="00E94007"/>
    <w:rsid w:val="00E94847"/>
    <w:rsid w:val="00E949C5"/>
    <w:rsid w:val="00E94B37"/>
    <w:rsid w:val="00E94CA4"/>
    <w:rsid w:val="00E94F4B"/>
    <w:rsid w:val="00E955C3"/>
    <w:rsid w:val="00E9750E"/>
    <w:rsid w:val="00E975E8"/>
    <w:rsid w:val="00E97DAC"/>
    <w:rsid w:val="00EA0399"/>
    <w:rsid w:val="00EA1F7E"/>
    <w:rsid w:val="00EA242D"/>
    <w:rsid w:val="00EA3F09"/>
    <w:rsid w:val="00EA4181"/>
    <w:rsid w:val="00EA489D"/>
    <w:rsid w:val="00EA5EF3"/>
    <w:rsid w:val="00EA7260"/>
    <w:rsid w:val="00EB0B5E"/>
    <w:rsid w:val="00EB0CC0"/>
    <w:rsid w:val="00EB1F64"/>
    <w:rsid w:val="00EB3A21"/>
    <w:rsid w:val="00EB3BC3"/>
    <w:rsid w:val="00EB3F3B"/>
    <w:rsid w:val="00EB40C4"/>
    <w:rsid w:val="00EB4EBE"/>
    <w:rsid w:val="00EB4F00"/>
    <w:rsid w:val="00EB50C8"/>
    <w:rsid w:val="00EB5660"/>
    <w:rsid w:val="00EB56A8"/>
    <w:rsid w:val="00EB60B4"/>
    <w:rsid w:val="00EB6422"/>
    <w:rsid w:val="00EB71C2"/>
    <w:rsid w:val="00EC0252"/>
    <w:rsid w:val="00EC0255"/>
    <w:rsid w:val="00EC1A79"/>
    <w:rsid w:val="00EC237B"/>
    <w:rsid w:val="00EC24D4"/>
    <w:rsid w:val="00EC34BE"/>
    <w:rsid w:val="00EC35B2"/>
    <w:rsid w:val="00EC35EA"/>
    <w:rsid w:val="00EC4ED1"/>
    <w:rsid w:val="00EC5B69"/>
    <w:rsid w:val="00EC63D5"/>
    <w:rsid w:val="00EC6833"/>
    <w:rsid w:val="00EC6DC3"/>
    <w:rsid w:val="00EC6E45"/>
    <w:rsid w:val="00EC7B9A"/>
    <w:rsid w:val="00EC7D0C"/>
    <w:rsid w:val="00ED0F79"/>
    <w:rsid w:val="00ED162E"/>
    <w:rsid w:val="00ED20DB"/>
    <w:rsid w:val="00ED2EE5"/>
    <w:rsid w:val="00ED3439"/>
    <w:rsid w:val="00ED4AE4"/>
    <w:rsid w:val="00ED4EC9"/>
    <w:rsid w:val="00ED59F3"/>
    <w:rsid w:val="00ED5F89"/>
    <w:rsid w:val="00ED6989"/>
    <w:rsid w:val="00ED798C"/>
    <w:rsid w:val="00ED7C06"/>
    <w:rsid w:val="00ED7FC9"/>
    <w:rsid w:val="00EE0351"/>
    <w:rsid w:val="00EE04D0"/>
    <w:rsid w:val="00EE19F7"/>
    <w:rsid w:val="00EE1E41"/>
    <w:rsid w:val="00EE230B"/>
    <w:rsid w:val="00EE2396"/>
    <w:rsid w:val="00EE28E3"/>
    <w:rsid w:val="00EE4032"/>
    <w:rsid w:val="00EE513D"/>
    <w:rsid w:val="00EE68D7"/>
    <w:rsid w:val="00EE691B"/>
    <w:rsid w:val="00EE6E88"/>
    <w:rsid w:val="00EE7F52"/>
    <w:rsid w:val="00EF0AE2"/>
    <w:rsid w:val="00EF13D1"/>
    <w:rsid w:val="00EF2841"/>
    <w:rsid w:val="00EF288D"/>
    <w:rsid w:val="00EF28DE"/>
    <w:rsid w:val="00EF29EE"/>
    <w:rsid w:val="00EF29F0"/>
    <w:rsid w:val="00EF2C8F"/>
    <w:rsid w:val="00EF2DA2"/>
    <w:rsid w:val="00EF3102"/>
    <w:rsid w:val="00EF31D2"/>
    <w:rsid w:val="00EF32E9"/>
    <w:rsid w:val="00EF3AF2"/>
    <w:rsid w:val="00EF42F9"/>
    <w:rsid w:val="00EF556F"/>
    <w:rsid w:val="00EF57CE"/>
    <w:rsid w:val="00EF5B38"/>
    <w:rsid w:val="00EF5CA7"/>
    <w:rsid w:val="00EF691A"/>
    <w:rsid w:val="00EF6DD3"/>
    <w:rsid w:val="00EF711E"/>
    <w:rsid w:val="00EF71EB"/>
    <w:rsid w:val="00EF7BE0"/>
    <w:rsid w:val="00EF7D6E"/>
    <w:rsid w:val="00F004CB"/>
    <w:rsid w:val="00F0067C"/>
    <w:rsid w:val="00F00AF5"/>
    <w:rsid w:val="00F00F42"/>
    <w:rsid w:val="00F02046"/>
    <w:rsid w:val="00F02D3B"/>
    <w:rsid w:val="00F0318D"/>
    <w:rsid w:val="00F04E42"/>
    <w:rsid w:val="00F05B3A"/>
    <w:rsid w:val="00F05B4B"/>
    <w:rsid w:val="00F05B75"/>
    <w:rsid w:val="00F0670D"/>
    <w:rsid w:val="00F06824"/>
    <w:rsid w:val="00F06AE2"/>
    <w:rsid w:val="00F10BEA"/>
    <w:rsid w:val="00F1152B"/>
    <w:rsid w:val="00F11EB9"/>
    <w:rsid w:val="00F11F24"/>
    <w:rsid w:val="00F1226C"/>
    <w:rsid w:val="00F1367C"/>
    <w:rsid w:val="00F139B5"/>
    <w:rsid w:val="00F14061"/>
    <w:rsid w:val="00F151F9"/>
    <w:rsid w:val="00F155B0"/>
    <w:rsid w:val="00F158B8"/>
    <w:rsid w:val="00F15F91"/>
    <w:rsid w:val="00F16776"/>
    <w:rsid w:val="00F16E78"/>
    <w:rsid w:val="00F17398"/>
    <w:rsid w:val="00F17ABE"/>
    <w:rsid w:val="00F17E2A"/>
    <w:rsid w:val="00F20A61"/>
    <w:rsid w:val="00F2127A"/>
    <w:rsid w:val="00F217BE"/>
    <w:rsid w:val="00F23A9E"/>
    <w:rsid w:val="00F23B69"/>
    <w:rsid w:val="00F240AB"/>
    <w:rsid w:val="00F25248"/>
    <w:rsid w:val="00F258E5"/>
    <w:rsid w:val="00F25BD8"/>
    <w:rsid w:val="00F25D66"/>
    <w:rsid w:val="00F25F97"/>
    <w:rsid w:val="00F2621B"/>
    <w:rsid w:val="00F275F6"/>
    <w:rsid w:val="00F3024E"/>
    <w:rsid w:val="00F3049B"/>
    <w:rsid w:val="00F30C70"/>
    <w:rsid w:val="00F3139E"/>
    <w:rsid w:val="00F3207F"/>
    <w:rsid w:val="00F32202"/>
    <w:rsid w:val="00F32466"/>
    <w:rsid w:val="00F32BFA"/>
    <w:rsid w:val="00F33BEA"/>
    <w:rsid w:val="00F33F4D"/>
    <w:rsid w:val="00F36460"/>
    <w:rsid w:val="00F402F4"/>
    <w:rsid w:val="00F40C09"/>
    <w:rsid w:val="00F4119A"/>
    <w:rsid w:val="00F41B5B"/>
    <w:rsid w:val="00F41E5A"/>
    <w:rsid w:val="00F422B5"/>
    <w:rsid w:val="00F42555"/>
    <w:rsid w:val="00F43494"/>
    <w:rsid w:val="00F44023"/>
    <w:rsid w:val="00F4447D"/>
    <w:rsid w:val="00F455DB"/>
    <w:rsid w:val="00F459C4"/>
    <w:rsid w:val="00F46C01"/>
    <w:rsid w:val="00F46EC9"/>
    <w:rsid w:val="00F4731B"/>
    <w:rsid w:val="00F47ADA"/>
    <w:rsid w:val="00F502A9"/>
    <w:rsid w:val="00F50BCF"/>
    <w:rsid w:val="00F5128B"/>
    <w:rsid w:val="00F51FB0"/>
    <w:rsid w:val="00F52078"/>
    <w:rsid w:val="00F53377"/>
    <w:rsid w:val="00F53E3A"/>
    <w:rsid w:val="00F5490E"/>
    <w:rsid w:val="00F55586"/>
    <w:rsid w:val="00F5611D"/>
    <w:rsid w:val="00F56258"/>
    <w:rsid w:val="00F564B3"/>
    <w:rsid w:val="00F566D7"/>
    <w:rsid w:val="00F568A1"/>
    <w:rsid w:val="00F56A2C"/>
    <w:rsid w:val="00F56EF3"/>
    <w:rsid w:val="00F60442"/>
    <w:rsid w:val="00F60B67"/>
    <w:rsid w:val="00F60F3F"/>
    <w:rsid w:val="00F62E18"/>
    <w:rsid w:val="00F63295"/>
    <w:rsid w:val="00F63423"/>
    <w:rsid w:val="00F64611"/>
    <w:rsid w:val="00F657EF"/>
    <w:rsid w:val="00F65A69"/>
    <w:rsid w:val="00F66D12"/>
    <w:rsid w:val="00F67866"/>
    <w:rsid w:val="00F67E90"/>
    <w:rsid w:val="00F71A6D"/>
    <w:rsid w:val="00F71C14"/>
    <w:rsid w:val="00F73D4C"/>
    <w:rsid w:val="00F76D03"/>
    <w:rsid w:val="00F76FD9"/>
    <w:rsid w:val="00F77374"/>
    <w:rsid w:val="00F77543"/>
    <w:rsid w:val="00F77851"/>
    <w:rsid w:val="00F80196"/>
    <w:rsid w:val="00F8055A"/>
    <w:rsid w:val="00F80982"/>
    <w:rsid w:val="00F817A9"/>
    <w:rsid w:val="00F81925"/>
    <w:rsid w:val="00F81AD6"/>
    <w:rsid w:val="00F81BC9"/>
    <w:rsid w:val="00F824D7"/>
    <w:rsid w:val="00F82A12"/>
    <w:rsid w:val="00F82F15"/>
    <w:rsid w:val="00F840F4"/>
    <w:rsid w:val="00F843A2"/>
    <w:rsid w:val="00F8456A"/>
    <w:rsid w:val="00F854F9"/>
    <w:rsid w:val="00F861BE"/>
    <w:rsid w:val="00F86BAC"/>
    <w:rsid w:val="00F87CB9"/>
    <w:rsid w:val="00F90E6A"/>
    <w:rsid w:val="00F921BD"/>
    <w:rsid w:val="00F9235C"/>
    <w:rsid w:val="00F935B0"/>
    <w:rsid w:val="00F93D7A"/>
    <w:rsid w:val="00F93E48"/>
    <w:rsid w:val="00F959D3"/>
    <w:rsid w:val="00F95DC5"/>
    <w:rsid w:val="00F96419"/>
    <w:rsid w:val="00F97422"/>
    <w:rsid w:val="00F9769A"/>
    <w:rsid w:val="00F97A10"/>
    <w:rsid w:val="00FA030D"/>
    <w:rsid w:val="00FA10E8"/>
    <w:rsid w:val="00FA1389"/>
    <w:rsid w:val="00FA170A"/>
    <w:rsid w:val="00FA2040"/>
    <w:rsid w:val="00FA21B2"/>
    <w:rsid w:val="00FA2905"/>
    <w:rsid w:val="00FA337D"/>
    <w:rsid w:val="00FA353A"/>
    <w:rsid w:val="00FA3B9B"/>
    <w:rsid w:val="00FA3C24"/>
    <w:rsid w:val="00FA469D"/>
    <w:rsid w:val="00FA4FD6"/>
    <w:rsid w:val="00FA557B"/>
    <w:rsid w:val="00FA64AF"/>
    <w:rsid w:val="00FA6615"/>
    <w:rsid w:val="00FB107C"/>
    <w:rsid w:val="00FB20E0"/>
    <w:rsid w:val="00FB313C"/>
    <w:rsid w:val="00FB32EE"/>
    <w:rsid w:val="00FB3AE4"/>
    <w:rsid w:val="00FB3E6F"/>
    <w:rsid w:val="00FB3EE3"/>
    <w:rsid w:val="00FB41A1"/>
    <w:rsid w:val="00FB4299"/>
    <w:rsid w:val="00FB4B2A"/>
    <w:rsid w:val="00FB4CA6"/>
    <w:rsid w:val="00FB5531"/>
    <w:rsid w:val="00FB5DF0"/>
    <w:rsid w:val="00FB7279"/>
    <w:rsid w:val="00FC06E4"/>
    <w:rsid w:val="00FC11D9"/>
    <w:rsid w:val="00FC1A3A"/>
    <w:rsid w:val="00FC1DA9"/>
    <w:rsid w:val="00FC29EB"/>
    <w:rsid w:val="00FC5DE5"/>
    <w:rsid w:val="00FC5F32"/>
    <w:rsid w:val="00FC5FA3"/>
    <w:rsid w:val="00FC6348"/>
    <w:rsid w:val="00FC6EF8"/>
    <w:rsid w:val="00FC7DB4"/>
    <w:rsid w:val="00FD1542"/>
    <w:rsid w:val="00FD2546"/>
    <w:rsid w:val="00FD25AF"/>
    <w:rsid w:val="00FD4831"/>
    <w:rsid w:val="00FD4ED2"/>
    <w:rsid w:val="00FD51CB"/>
    <w:rsid w:val="00FD51FD"/>
    <w:rsid w:val="00FD5B36"/>
    <w:rsid w:val="00FD5CBA"/>
    <w:rsid w:val="00FD63FA"/>
    <w:rsid w:val="00FD6A33"/>
    <w:rsid w:val="00FD7054"/>
    <w:rsid w:val="00FD7418"/>
    <w:rsid w:val="00FD74DE"/>
    <w:rsid w:val="00FE02FB"/>
    <w:rsid w:val="00FE0457"/>
    <w:rsid w:val="00FE0D72"/>
    <w:rsid w:val="00FE109B"/>
    <w:rsid w:val="00FE2144"/>
    <w:rsid w:val="00FE2C56"/>
    <w:rsid w:val="00FE45B4"/>
    <w:rsid w:val="00FE45C5"/>
    <w:rsid w:val="00FE527E"/>
    <w:rsid w:val="00FE52DF"/>
    <w:rsid w:val="00FE688D"/>
    <w:rsid w:val="00FE73BA"/>
    <w:rsid w:val="00FE776D"/>
    <w:rsid w:val="00FE7F75"/>
    <w:rsid w:val="00FE7F9C"/>
    <w:rsid w:val="00FF0305"/>
    <w:rsid w:val="00FF1021"/>
    <w:rsid w:val="00FF1791"/>
    <w:rsid w:val="00FF1A23"/>
    <w:rsid w:val="00FF1F49"/>
    <w:rsid w:val="00FF34DC"/>
    <w:rsid w:val="00FF36B8"/>
    <w:rsid w:val="00FF576A"/>
    <w:rsid w:val="00FF59F0"/>
    <w:rsid w:val="00FF6E91"/>
    <w:rsid w:val="00FF71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24577"/>
    <o:shapelayout v:ext="edit">
      <o:idmap v:ext="edit" data="1"/>
    </o:shapelayout>
  </w:shapeDefaults>
  <w:decimalSymbol w:val="."/>
  <w:listSeparator w:val=","/>
  <w14:docId w14:val="5553BA8D"/>
  <w15:docId w15:val="{63029EC3-7BCE-4175-96D2-7BF710AF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372"/>
    <w:rPr>
      <w:sz w:val="24"/>
      <w:szCs w:val="24"/>
    </w:rPr>
  </w:style>
  <w:style w:type="paragraph" w:styleId="Heading1">
    <w:name w:val="heading 1"/>
    <w:basedOn w:val="Normal"/>
    <w:next w:val="Normal"/>
    <w:qFormat/>
    <w:rsid w:val="006C4A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6622A"/>
    <w:pPr>
      <w:keepNext/>
      <w:spacing w:line="360" w:lineRule="atLeast"/>
      <w:jc w:val="both"/>
      <w:outlineLvl w:val="1"/>
    </w:pPr>
    <w:rPr>
      <w:b/>
      <w:szCs w:val="20"/>
      <w:u w:val="single"/>
    </w:rPr>
  </w:style>
  <w:style w:type="paragraph" w:styleId="Heading5">
    <w:name w:val="heading 5"/>
    <w:basedOn w:val="Normal"/>
    <w:next w:val="Normal"/>
    <w:qFormat/>
    <w:rsid w:val="00E6622A"/>
    <w:pPr>
      <w:keepNext/>
      <w:spacing w:before="40" w:after="40"/>
      <w:jc w:val="both"/>
      <w:outlineLvl w:val="4"/>
    </w:pPr>
    <w:rPr>
      <w:b/>
      <w:vanish/>
      <w:szCs w:val="20"/>
    </w:rPr>
  </w:style>
  <w:style w:type="paragraph" w:styleId="Heading6">
    <w:name w:val="heading 6"/>
    <w:basedOn w:val="Normal"/>
    <w:next w:val="Normal"/>
    <w:link w:val="Heading6Char"/>
    <w:uiPriority w:val="9"/>
    <w:semiHidden/>
    <w:unhideWhenUsed/>
    <w:qFormat/>
    <w:rsid w:val="00073B0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73B0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arCarChar">
    <w:name w:val="Char1 Char Char Car Car Char"/>
    <w:basedOn w:val="Normal"/>
    <w:rsid w:val="006C4A20"/>
    <w:pPr>
      <w:spacing w:after="160" w:line="240" w:lineRule="exact"/>
    </w:pPr>
    <w:rPr>
      <w:lang w:val="en-US" w:eastAsia="en-US"/>
    </w:rPr>
  </w:style>
  <w:style w:type="character" w:customStyle="1" w:styleId="CSIchar">
    <w:name w:val="CSIchar"/>
    <w:basedOn w:val="DefaultParagraphFont"/>
    <w:rsid w:val="006C4A20"/>
    <w:rPr>
      <w:bdr w:val="none" w:sz="0" w:space="0" w:color="auto"/>
      <w:shd w:val="clear" w:color="auto" w:fill="CCCCCC"/>
    </w:rPr>
  </w:style>
  <w:style w:type="paragraph" w:customStyle="1" w:styleId="NoNumHead2">
    <w:name w:val="NoNum:Head2"/>
    <w:basedOn w:val="Normal"/>
    <w:next w:val="Normal"/>
    <w:link w:val="NoNumHead2Char"/>
    <w:rsid w:val="006C4A20"/>
    <w:pPr>
      <w:keepNext/>
      <w:spacing w:before="120" w:after="240"/>
      <w:outlineLvl w:val="0"/>
    </w:pPr>
    <w:rPr>
      <w:rFonts w:ascii="Arial" w:hAnsi="Arial"/>
      <w:b/>
      <w:caps/>
      <w:sz w:val="26"/>
      <w:szCs w:val="26"/>
      <w:lang w:val="en-GB" w:eastAsia="ja-JP"/>
    </w:rPr>
  </w:style>
  <w:style w:type="character" w:customStyle="1" w:styleId="NoNumHead2Char">
    <w:name w:val="NoNum:Head2 Char"/>
    <w:basedOn w:val="DefaultParagraphFont"/>
    <w:link w:val="NoNumHead2"/>
    <w:rsid w:val="006C4A20"/>
    <w:rPr>
      <w:rFonts w:ascii="Arial" w:hAnsi="Arial"/>
      <w:b/>
      <w:caps/>
      <w:sz w:val="26"/>
      <w:szCs w:val="26"/>
      <w:lang w:val="en-GB" w:eastAsia="ja-JP" w:bidi="ar-SA"/>
    </w:rPr>
  </w:style>
  <w:style w:type="character" w:styleId="CommentReference">
    <w:name w:val="annotation reference"/>
    <w:basedOn w:val="DefaultParagraphFont"/>
    <w:uiPriority w:val="99"/>
    <w:rsid w:val="006C4A20"/>
    <w:rPr>
      <w:rFonts w:ascii="Arial" w:hAnsi="Arial"/>
      <w:vanish/>
      <w:color w:val="FF0000"/>
      <w:sz w:val="16"/>
    </w:rPr>
  </w:style>
  <w:style w:type="paragraph" w:customStyle="1" w:styleId="NoNumHead4">
    <w:name w:val="NoNum:Head4"/>
    <w:basedOn w:val="Normal"/>
    <w:next w:val="Normal"/>
    <w:rsid w:val="006C4A20"/>
    <w:pPr>
      <w:keepNext/>
      <w:spacing w:before="120" w:after="240"/>
      <w:outlineLvl w:val="0"/>
    </w:pPr>
    <w:rPr>
      <w:rFonts w:ascii="Arial" w:hAnsi="Arial"/>
      <w:b/>
      <w:sz w:val="22"/>
      <w:szCs w:val="22"/>
      <w:lang w:val="en-GB" w:eastAsia="ja-JP"/>
    </w:rPr>
  </w:style>
  <w:style w:type="paragraph" w:customStyle="1" w:styleId="NoNumHead3">
    <w:name w:val="NoNum:Head3"/>
    <w:basedOn w:val="Normal"/>
    <w:next w:val="Normal"/>
    <w:link w:val="NoNumHead3Char"/>
    <w:rsid w:val="006C4A20"/>
    <w:pPr>
      <w:keepNext/>
      <w:spacing w:before="120" w:after="240"/>
      <w:outlineLvl w:val="0"/>
    </w:pPr>
    <w:rPr>
      <w:rFonts w:ascii="Arial" w:hAnsi="Arial"/>
      <w:b/>
      <w:lang w:val="en-GB" w:eastAsia="ja-JP"/>
    </w:rPr>
  </w:style>
  <w:style w:type="character" w:customStyle="1" w:styleId="NoNumHead3Char">
    <w:name w:val="NoNum:Head3 Char"/>
    <w:basedOn w:val="DefaultParagraphFont"/>
    <w:link w:val="NoNumHead3"/>
    <w:rsid w:val="006C4A20"/>
    <w:rPr>
      <w:rFonts w:ascii="Arial" w:hAnsi="Arial"/>
      <w:b/>
      <w:sz w:val="24"/>
      <w:szCs w:val="24"/>
      <w:lang w:val="en-GB" w:eastAsia="ja-JP" w:bidi="ar-SA"/>
    </w:rPr>
  </w:style>
  <w:style w:type="paragraph" w:customStyle="1" w:styleId="NoNumHead5">
    <w:name w:val="NoNum:Head5"/>
    <w:basedOn w:val="NoNumHead4"/>
    <w:next w:val="Normal"/>
    <w:rsid w:val="006C4A20"/>
    <w:pPr>
      <w:spacing w:before="0"/>
    </w:pPr>
    <w:rPr>
      <w:i/>
    </w:rPr>
  </w:style>
  <w:style w:type="paragraph" w:customStyle="1" w:styleId="NoNumHead6GDS">
    <w:name w:val="NoNum:Head6 GDS"/>
    <w:basedOn w:val="Normal"/>
    <w:rsid w:val="006C4A20"/>
    <w:pPr>
      <w:keepNext/>
      <w:spacing w:after="240"/>
      <w:outlineLvl w:val="0"/>
    </w:pPr>
    <w:rPr>
      <w:b/>
      <w:i/>
      <w:szCs w:val="20"/>
      <w:lang w:val="en-GB" w:eastAsia="ja-JP"/>
    </w:rPr>
  </w:style>
  <w:style w:type="paragraph" w:customStyle="1" w:styleId="LBLListStyle1">
    <w:name w:val="LBL ListStyle 1"/>
    <w:basedOn w:val="Normal"/>
    <w:rsid w:val="006C4A20"/>
    <w:pPr>
      <w:numPr>
        <w:numId w:val="1"/>
      </w:numPr>
      <w:tabs>
        <w:tab w:val="left" w:pos="720"/>
        <w:tab w:val="left" w:pos="994"/>
      </w:tabs>
      <w:spacing w:line="320" w:lineRule="atLeast"/>
    </w:pPr>
    <w:rPr>
      <w:szCs w:val="20"/>
      <w:lang w:val="en-US" w:eastAsia="en-US"/>
    </w:rPr>
  </w:style>
  <w:style w:type="paragraph" w:styleId="CommentText">
    <w:name w:val="annotation text"/>
    <w:aliases w:val="Comment Text Char1 Char,Comment Text Char Char Char,Comment Text Char1"/>
    <w:basedOn w:val="Normal"/>
    <w:link w:val="CommentTextChar"/>
    <w:rsid w:val="006C4A20"/>
    <w:rPr>
      <w:sz w:val="20"/>
      <w:szCs w:val="20"/>
    </w:rPr>
  </w:style>
  <w:style w:type="table" w:styleId="TableGrid">
    <w:name w:val="Table Grid"/>
    <w:basedOn w:val="TableNormal"/>
    <w:uiPriority w:val="59"/>
    <w:rsid w:val="006C4A20"/>
    <w:pPr>
      <w:tabs>
        <w:tab w:val="left" w:pos="274"/>
        <w:tab w:val="left" w:pos="547"/>
        <w:tab w:val="left" w:pos="821"/>
        <w:tab w:val="left" w:pos="1094"/>
      </w:tabs>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table"/>
    <w:basedOn w:val="Normal"/>
    <w:next w:val="Normal"/>
    <w:link w:val="captiontableChar"/>
    <w:rsid w:val="006C4A20"/>
    <w:pPr>
      <w:keepNext/>
      <w:spacing w:after="240"/>
      <w:ind w:left="1440" w:hanging="1440"/>
    </w:pPr>
    <w:rPr>
      <w:rFonts w:ascii="Arial" w:hAnsi="Arial"/>
      <w:b/>
      <w:sz w:val="22"/>
      <w:szCs w:val="20"/>
      <w:lang w:val="en-GB" w:eastAsia="ja-JP"/>
    </w:rPr>
  </w:style>
  <w:style w:type="paragraph" w:customStyle="1" w:styleId="listalpha">
    <w:name w:val="list:alpha"/>
    <w:basedOn w:val="Normal"/>
    <w:rsid w:val="006C4A20"/>
    <w:pPr>
      <w:spacing w:after="120"/>
      <w:ind w:left="432" w:hanging="432"/>
    </w:pPr>
    <w:rPr>
      <w:szCs w:val="20"/>
      <w:lang w:val="en-GB" w:eastAsia="ja-JP"/>
    </w:rPr>
  </w:style>
  <w:style w:type="paragraph" w:customStyle="1" w:styleId="tabletextNS">
    <w:name w:val="table:textNS"/>
    <w:basedOn w:val="Normal"/>
    <w:link w:val="tabletextNSChar"/>
    <w:rsid w:val="006C4A20"/>
    <w:rPr>
      <w:rFonts w:ascii="Arial Narrow" w:hAnsi="Arial Narrow"/>
      <w:szCs w:val="20"/>
      <w:lang w:val="en-GB" w:eastAsia="ja-JP"/>
    </w:rPr>
  </w:style>
  <w:style w:type="character" w:customStyle="1" w:styleId="LBLLevel3">
    <w:name w:val="LBLLevel 3"/>
    <w:basedOn w:val="DefaultParagraphFont"/>
    <w:rsid w:val="006C4A20"/>
    <w:rPr>
      <w:rFonts w:ascii="Arial" w:hAnsi="Arial"/>
      <w:u w:val="single"/>
    </w:rPr>
  </w:style>
  <w:style w:type="character" w:customStyle="1" w:styleId="LBLLevel4">
    <w:name w:val="LBLLevel 4"/>
    <w:rsid w:val="006C4A20"/>
    <w:rPr>
      <w:rFonts w:ascii="Arial" w:hAnsi="Arial" w:cs="Arial"/>
      <w:i/>
    </w:rPr>
  </w:style>
  <w:style w:type="character" w:customStyle="1" w:styleId="LBLTableFootnotesChar">
    <w:name w:val="LBL Table Footnotes Char"/>
    <w:basedOn w:val="DefaultParagraphFont"/>
    <w:link w:val="LBLTableFootnotes"/>
    <w:rsid w:val="006C4A20"/>
    <w:rPr>
      <w:sz w:val="24"/>
      <w:szCs w:val="24"/>
      <w:lang w:val="en-GB" w:eastAsia="en-US" w:bidi="ar-SA"/>
    </w:rPr>
  </w:style>
  <w:style w:type="paragraph" w:customStyle="1" w:styleId="LBLTableFootnotes">
    <w:name w:val="LBL Table Footnotes"/>
    <w:basedOn w:val="Normal"/>
    <w:link w:val="LBLTableFootnotesChar"/>
    <w:rsid w:val="006C4A20"/>
    <w:pPr>
      <w:keepNext/>
      <w:keepLines/>
      <w:tabs>
        <w:tab w:val="left" w:pos="720"/>
        <w:tab w:val="left" w:pos="994"/>
      </w:tabs>
      <w:spacing w:line="320" w:lineRule="atLeast"/>
    </w:pPr>
    <w:rPr>
      <w:lang w:val="en-GB" w:eastAsia="en-US"/>
    </w:rPr>
  </w:style>
  <w:style w:type="paragraph" w:customStyle="1" w:styleId="LBLBulletStyle1">
    <w:name w:val="LBL BulletStyle 1"/>
    <w:basedOn w:val="Normal"/>
    <w:rsid w:val="006C4A20"/>
    <w:pPr>
      <w:numPr>
        <w:numId w:val="2"/>
      </w:numPr>
      <w:tabs>
        <w:tab w:val="left" w:pos="720"/>
        <w:tab w:val="left" w:pos="994"/>
      </w:tabs>
      <w:spacing w:line="320" w:lineRule="atLeast"/>
    </w:pPr>
    <w:rPr>
      <w:szCs w:val="20"/>
      <w:lang w:val="en-GB" w:eastAsia="en-US"/>
    </w:rPr>
  </w:style>
  <w:style w:type="numbering" w:customStyle="1" w:styleId="GDSTablefootnotes">
    <w:name w:val="GDS Table footnotes"/>
    <w:basedOn w:val="NoList"/>
    <w:rsid w:val="006C4A20"/>
    <w:pPr>
      <w:numPr>
        <w:numId w:val="3"/>
      </w:numPr>
    </w:pPr>
  </w:style>
  <w:style w:type="paragraph" w:customStyle="1" w:styleId="NoNumHead1">
    <w:name w:val="NoNum:Head1"/>
    <w:basedOn w:val="Heading1"/>
    <w:next w:val="Normal"/>
    <w:link w:val="NoNumHead1Char"/>
    <w:rsid w:val="006C4A20"/>
    <w:pPr>
      <w:spacing w:before="120" w:after="240"/>
    </w:pPr>
    <w:rPr>
      <w:rFonts w:cs="Times New Roman"/>
      <w:bCs w:val="0"/>
      <w:caps/>
      <w:kern w:val="0"/>
      <w:sz w:val="28"/>
      <w:szCs w:val="24"/>
      <w:lang w:val="en-GB" w:eastAsia="ja-JP"/>
    </w:rPr>
  </w:style>
  <w:style w:type="character" w:customStyle="1" w:styleId="NoNumHead1Char">
    <w:name w:val="NoNum:Head1 Char"/>
    <w:basedOn w:val="DefaultParagraphFont"/>
    <w:link w:val="NoNumHead1"/>
    <w:rsid w:val="006C4A20"/>
    <w:rPr>
      <w:rFonts w:ascii="Arial" w:hAnsi="Arial"/>
      <w:b/>
      <w:caps/>
      <w:sz w:val="28"/>
      <w:szCs w:val="24"/>
      <w:lang w:val="en-GB" w:eastAsia="ja-JP" w:bidi="ar-SA"/>
    </w:rPr>
  </w:style>
  <w:style w:type="paragraph" w:customStyle="1" w:styleId="listindentbull">
    <w:name w:val="list:indent bull"/>
    <w:link w:val="listindentbullChar"/>
    <w:rsid w:val="006C4A20"/>
    <w:pPr>
      <w:numPr>
        <w:numId w:val="4"/>
      </w:numPr>
      <w:spacing w:after="120"/>
    </w:pPr>
    <w:rPr>
      <w:sz w:val="24"/>
      <w:lang w:val="en-GB" w:eastAsia="ja-JP"/>
    </w:rPr>
  </w:style>
  <w:style w:type="paragraph" w:styleId="BalloonText">
    <w:name w:val="Balloon Text"/>
    <w:basedOn w:val="Normal"/>
    <w:semiHidden/>
    <w:rsid w:val="008A4FB1"/>
    <w:rPr>
      <w:rFonts w:ascii="Tahoma" w:hAnsi="Tahoma" w:cs="Tahoma"/>
      <w:sz w:val="16"/>
      <w:szCs w:val="16"/>
    </w:rPr>
  </w:style>
  <w:style w:type="paragraph" w:styleId="CommentSubject">
    <w:name w:val="annotation subject"/>
    <w:basedOn w:val="CommentText"/>
    <w:next w:val="CommentText"/>
    <w:semiHidden/>
    <w:rsid w:val="00CE314C"/>
    <w:rPr>
      <w:b/>
      <w:bCs/>
    </w:rPr>
  </w:style>
  <w:style w:type="paragraph" w:customStyle="1" w:styleId="Default">
    <w:name w:val="Default"/>
    <w:rsid w:val="005A3FB2"/>
    <w:pPr>
      <w:autoSpaceDE w:val="0"/>
      <w:autoSpaceDN w:val="0"/>
      <w:adjustRightInd w:val="0"/>
    </w:pPr>
    <w:rPr>
      <w:color w:val="000000"/>
      <w:sz w:val="24"/>
      <w:szCs w:val="24"/>
    </w:rPr>
  </w:style>
  <w:style w:type="paragraph" w:styleId="Header">
    <w:name w:val="header"/>
    <w:basedOn w:val="Normal"/>
    <w:link w:val="HeaderChar"/>
    <w:uiPriority w:val="99"/>
    <w:rsid w:val="00746095"/>
    <w:pPr>
      <w:tabs>
        <w:tab w:val="center" w:pos="4153"/>
        <w:tab w:val="right" w:pos="8306"/>
      </w:tabs>
    </w:pPr>
  </w:style>
  <w:style w:type="paragraph" w:styleId="Footer">
    <w:name w:val="footer"/>
    <w:basedOn w:val="Normal"/>
    <w:link w:val="FooterChar"/>
    <w:uiPriority w:val="99"/>
    <w:rsid w:val="00746095"/>
    <w:pPr>
      <w:tabs>
        <w:tab w:val="center" w:pos="4153"/>
        <w:tab w:val="right" w:pos="8306"/>
      </w:tabs>
    </w:pPr>
  </w:style>
  <w:style w:type="character" w:styleId="PageNumber">
    <w:name w:val="page number"/>
    <w:basedOn w:val="DefaultParagraphFont"/>
    <w:rsid w:val="00746095"/>
  </w:style>
  <w:style w:type="paragraph" w:customStyle="1" w:styleId="captionfigure">
    <w:name w:val="caption:figure"/>
    <w:basedOn w:val="Normal"/>
    <w:next w:val="Normal"/>
    <w:rsid w:val="002D3A11"/>
    <w:pPr>
      <w:keepNext/>
      <w:spacing w:after="240"/>
      <w:ind w:left="1440" w:hanging="1440"/>
    </w:pPr>
    <w:rPr>
      <w:rFonts w:ascii="Arial" w:hAnsi="Arial"/>
      <w:b/>
      <w:sz w:val="22"/>
      <w:szCs w:val="20"/>
      <w:lang w:val="en-GB" w:eastAsia="en-GB"/>
    </w:rPr>
  </w:style>
  <w:style w:type="paragraph" w:customStyle="1" w:styleId="CharChar1CharCharCharCharCharChar1CharCharCharCharCharChar">
    <w:name w:val="Char Char1 Char Char Char Char Char Char1 Char Char Char Char Char Char"/>
    <w:basedOn w:val="Normal"/>
    <w:rsid w:val="002D3A11"/>
    <w:pPr>
      <w:widowControl w:val="0"/>
      <w:adjustRightInd w:val="0"/>
      <w:spacing w:after="160" w:line="240" w:lineRule="exact"/>
      <w:jc w:val="both"/>
      <w:textAlignment w:val="baseline"/>
    </w:pPr>
    <w:rPr>
      <w:rFonts w:ascii="Verdana" w:eastAsia="SimSun" w:hAnsi="Verdana"/>
      <w:sz w:val="20"/>
      <w:szCs w:val="20"/>
      <w:lang w:val="en-US" w:eastAsia="zh-CN"/>
    </w:rPr>
  </w:style>
  <w:style w:type="paragraph" w:customStyle="1" w:styleId="tableref">
    <w:name w:val="table:ref"/>
    <w:basedOn w:val="Normal"/>
    <w:rsid w:val="00BF6E47"/>
    <w:pPr>
      <w:tabs>
        <w:tab w:val="left" w:pos="360"/>
      </w:tabs>
      <w:ind w:left="360" w:hanging="360"/>
    </w:pPr>
    <w:rPr>
      <w:rFonts w:ascii="Arial Narrow" w:hAnsi="Arial Narrow"/>
      <w:sz w:val="20"/>
      <w:szCs w:val="20"/>
      <w:lang w:val="en-GB" w:eastAsia="en-GB"/>
    </w:rPr>
  </w:style>
  <w:style w:type="character" w:customStyle="1" w:styleId="tabletextNSChar">
    <w:name w:val="table:textNS Char"/>
    <w:basedOn w:val="DefaultParagraphFont"/>
    <w:link w:val="tabletextNS"/>
    <w:rsid w:val="00BF6E47"/>
    <w:rPr>
      <w:rFonts w:ascii="Arial Narrow" w:hAnsi="Arial Narrow"/>
      <w:sz w:val="24"/>
      <w:lang w:val="en-GB" w:eastAsia="ja-JP" w:bidi="ar-SA"/>
    </w:rPr>
  </w:style>
  <w:style w:type="character" w:customStyle="1" w:styleId="listindentbullChar">
    <w:name w:val="list:indent bull Char"/>
    <w:basedOn w:val="DefaultParagraphFont"/>
    <w:link w:val="listindentbull"/>
    <w:rsid w:val="00965DC6"/>
    <w:rPr>
      <w:sz w:val="24"/>
      <w:lang w:val="en-GB" w:eastAsia="ja-JP"/>
    </w:rPr>
  </w:style>
  <w:style w:type="table" w:customStyle="1" w:styleId="GSKTableStyle">
    <w:name w:val="GSK Table Style"/>
    <w:basedOn w:val="TableGrid"/>
    <w:rsid w:val="00C3398E"/>
    <w:pPr>
      <w:tabs>
        <w:tab w:val="clear" w:pos="274"/>
        <w:tab w:val="clear" w:pos="547"/>
        <w:tab w:val="clear" w:pos="821"/>
        <w:tab w:val="clear" w:pos="1094"/>
      </w:tabs>
      <w:spacing w:after="240" w:line="240" w:lineRule="auto"/>
    </w:pPr>
    <w:rPr>
      <w:rFonts w:ascii="Arial Narrow" w:hAnsi="Arial Narrow"/>
    </w:rPr>
    <w:tblPr/>
  </w:style>
  <w:style w:type="paragraph" w:customStyle="1" w:styleId="BullHead">
    <w:name w:val="Bull Head"/>
    <w:basedOn w:val="Normal"/>
    <w:autoRedefine/>
    <w:rsid w:val="00200A87"/>
    <w:pPr>
      <w:shd w:val="clear" w:color="000000" w:fill="FFFFFF"/>
      <w:tabs>
        <w:tab w:val="left" w:pos="562"/>
      </w:tabs>
      <w:spacing w:before="240" w:after="120" w:line="300" w:lineRule="atLeast"/>
      <w:jc w:val="both"/>
    </w:pPr>
    <w:rPr>
      <w:rFonts w:ascii="Arial" w:hAnsi="Arial" w:cs="Arial"/>
      <w:b/>
      <w:i/>
      <w:color w:val="000000"/>
      <w:sz w:val="22"/>
      <w:szCs w:val="22"/>
      <w:lang w:val="en-GB" w:eastAsia="en-US"/>
    </w:rPr>
  </w:style>
  <w:style w:type="paragraph" w:customStyle="1" w:styleId="BridgeheadGDS">
    <w:name w:val="Bridgehead GDS"/>
    <w:basedOn w:val="Normal"/>
    <w:autoRedefine/>
    <w:rsid w:val="00957543"/>
    <w:pPr>
      <w:keepNext/>
      <w:spacing w:after="240" w:line="300" w:lineRule="atLeast"/>
      <w:jc w:val="both"/>
      <w:outlineLvl w:val="0"/>
    </w:pPr>
    <w:rPr>
      <w:rFonts w:ascii="Arial" w:hAnsi="Arial" w:cs="Arial"/>
      <w:b/>
      <w:i/>
      <w:sz w:val="22"/>
      <w:szCs w:val="22"/>
      <w:lang w:val="en-GB" w:eastAsia="en-US"/>
    </w:rPr>
  </w:style>
  <w:style w:type="paragraph" w:customStyle="1" w:styleId="TableCell">
    <w:name w:val="TableCell"/>
    <w:basedOn w:val="Normal"/>
    <w:rsid w:val="0018077E"/>
    <w:rPr>
      <w:szCs w:val="20"/>
      <w:lang w:val="en-GB" w:eastAsia="en-US"/>
    </w:rPr>
  </w:style>
  <w:style w:type="character" w:styleId="Hyperlink">
    <w:name w:val="Hyperlink"/>
    <w:basedOn w:val="DefaultParagraphFont"/>
    <w:uiPriority w:val="99"/>
    <w:rsid w:val="008F7050"/>
    <w:rPr>
      <w:color w:val="0000FF"/>
      <w:u w:val="single"/>
    </w:rPr>
  </w:style>
  <w:style w:type="paragraph" w:styleId="Caption">
    <w:name w:val="caption"/>
    <w:basedOn w:val="Normal"/>
    <w:next w:val="Normal"/>
    <w:link w:val="CaptionChar"/>
    <w:qFormat/>
    <w:rsid w:val="006A22C7"/>
    <w:pPr>
      <w:spacing w:before="120" w:after="120"/>
    </w:pPr>
    <w:rPr>
      <w:b/>
      <w:lang w:val="en-GB" w:eastAsia="en-GB"/>
    </w:rPr>
  </w:style>
  <w:style w:type="character" w:customStyle="1" w:styleId="CaptionChar">
    <w:name w:val="Caption Char"/>
    <w:basedOn w:val="DefaultParagraphFont"/>
    <w:link w:val="Caption"/>
    <w:rsid w:val="006A22C7"/>
    <w:rPr>
      <w:b/>
      <w:sz w:val="24"/>
      <w:szCs w:val="24"/>
      <w:lang w:val="en-GB" w:eastAsia="en-GB" w:bidi="ar-SA"/>
    </w:rPr>
  </w:style>
  <w:style w:type="paragraph" w:customStyle="1" w:styleId="LBLLevel2">
    <w:name w:val="LBLLevel 2"/>
    <w:basedOn w:val="Normal"/>
    <w:next w:val="Normal"/>
    <w:link w:val="LBLLevel2Char"/>
    <w:rsid w:val="007A5360"/>
    <w:pPr>
      <w:tabs>
        <w:tab w:val="left" w:pos="720"/>
        <w:tab w:val="left" w:pos="990"/>
        <w:tab w:val="left" w:pos="1260"/>
      </w:tabs>
      <w:spacing w:line="320" w:lineRule="atLeast"/>
    </w:pPr>
    <w:rPr>
      <w:rFonts w:ascii="Arial" w:hAnsi="Arial"/>
      <w:b/>
      <w:lang w:val="en-US" w:eastAsia="en-US"/>
    </w:rPr>
  </w:style>
  <w:style w:type="character" w:customStyle="1" w:styleId="LBLLevel2Char">
    <w:name w:val="LBLLevel 2 Char"/>
    <w:basedOn w:val="DefaultParagraphFont"/>
    <w:link w:val="LBLLevel2"/>
    <w:rsid w:val="007A5360"/>
    <w:rPr>
      <w:rFonts w:ascii="Arial" w:hAnsi="Arial"/>
      <w:b/>
      <w:sz w:val="24"/>
      <w:szCs w:val="24"/>
      <w:lang w:val="en-US" w:eastAsia="en-US" w:bidi="ar-SA"/>
    </w:rPr>
  </w:style>
  <w:style w:type="paragraph" w:customStyle="1" w:styleId="listbull">
    <w:name w:val="list:bull"/>
    <w:basedOn w:val="listalpha"/>
    <w:rsid w:val="00886762"/>
    <w:pPr>
      <w:numPr>
        <w:numId w:val="5"/>
      </w:numPr>
    </w:pPr>
    <w:rPr>
      <w:lang w:eastAsia="en-GB"/>
    </w:rPr>
  </w:style>
  <w:style w:type="paragraph" w:customStyle="1" w:styleId="tablerefalpha">
    <w:name w:val="table:ref (alpha)"/>
    <w:basedOn w:val="Normal"/>
    <w:link w:val="tablerefalphaChar"/>
    <w:rsid w:val="0042465B"/>
    <w:pPr>
      <w:numPr>
        <w:numId w:val="6"/>
      </w:numPr>
    </w:pPr>
    <w:rPr>
      <w:rFonts w:ascii="Arial Narrow" w:hAnsi="Arial Narrow" w:cs="Arial Narrow"/>
      <w:lang w:val="en-GB" w:eastAsia="en-US"/>
    </w:rPr>
  </w:style>
  <w:style w:type="character" w:customStyle="1" w:styleId="tablerefalphaChar">
    <w:name w:val="table:ref (alpha) Char"/>
    <w:basedOn w:val="DefaultParagraphFont"/>
    <w:link w:val="tablerefalpha"/>
    <w:rsid w:val="0042465B"/>
    <w:rPr>
      <w:rFonts w:ascii="Arial Narrow" w:hAnsi="Arial Narrow" w:cs="Arial Narrow"/>
      <w:sz w:val="24"/>
      <w:szCs w:val="24"/>
      <w:lang w:val="en-GB" w:eastAsia="en-US"/>
    </w:rPr>
  </w:style>
  <w:style w:type="paragraph" w:customStyle="1" w:styleId="Text">
    <w:name w:val="Text"/>
    <w:aliases w:val="Graphic,Graphic Char Char,Graphic Char Char Char Char Char,Graphic Char Char Char Char Char Char Char C"/>
    <w:basedOn w:val="Normal"/>
    <w:link w:val="TextChar"/>
    <w:qFormat/>
    <w:rsid w:val="00E6622A"/>
    <w:pPr>
      <w:spacing w:line="312" w:lineRule="exact"/>
    </w:pPr>
    <w:rPr>
      <w:rFonts w:ascii="Arial" w:hAnsi="Arial"/>
      <w:szCs w:val="20"/>
      <w:lang w:val="en-GB"/>
    </w:rPr>
  </w:style>
  <w:style w:type="paragraph" w:styleId="Title">
    <w:name w:val="Title"/>
    <w:basedOn w:val="Normal"/>
    <w:qFormat/>
    <w:rsid w:val="00E6622A"/>
    <w:pPr>
      <w:pBdr>
        <w:top w:val="single" w:sz="18" w:space="1" w:color="FF0000"/>
        <w:bottom w:val="single" w:sz="18" w:space="1" w:color="FF0000"/>
      </w:pBdr>
      <w:jc w:val="center"/>
    </w:pPr>
    <w:rPr>
      <w:rFonts w:ascii="Arial" w:hAnsi="Arial"/>
      <w:b/>
      <w:i/>
      <w:color w:val="FF0000"/>
      <w:sz w:val="36"/>
      <w:szCs w:val="20"/>
      <w:lang w:val="en-GB"/>
    </w:rPr>
  </w:style>
  <w:style w:type="paragraph" w:styleId="ListParagraph">
    <w:name w:val="List Paragraph"/>
    <w:basedOn w:val="Normal"/>
    <w:uiPriority w:val="34"/>
    <w:qFormat/>
    <w:rsid w:val="00620897"/>
    <w:pPr>
      <w:spacing w:line="320" w:lineRule="atLeast"/>
      <w:ind w:left="720"/>
    </w:pPr>
    <w:rPr>
      <w:rFonts w:eastAsia="Calibri"/>
      <w:lang w:val="en-GB" w:eastAsia="en-GB"/>
    </w:rPr>
  </w:style>
  <w:style w:type="character" w:customStyle="1" w:styleId="CSI">
    <w:name w:val="CSI"/>
    <w:basedOn w:val="DefaultParagraphFont"/>
    <w:uiPriority w:val="1"/>
    <w:qFormat/>
    <w:rsid w:val="00156E94"/>
    <w:rPr>
      <w:bdr w:val="none" w:sz="0" w:space="0" w:color="auto"/>
      <w:shd w:val="clear" w:color="auto" w:fill="BFBFBF"/>
    </w:rPr>
  </w:style>
  <w:style w:type="character" w:customStyle="1" w:styleId="captiontableChar">
    <w:name w:val="caption:table Char"/>
    <w:basedOn w:val="DefaultParagraphFont"/>
    <w:link w:val="captiontable"/>
    <w:rsid w:val="00393D88"/>
    <w:rPr>
      <w:rFonts w:ascii="Arial" w:hAnsi="Arial"/>
      <w:b/>
      <w:sz w:val="22"/>
      <w:lang w:val="en-GB" w:eastAsia="ja-JP"/>
    </w:rPr>
  </w:style>
  <w:style w:type="paragraph" w:customStyle="1" w:styleId="tabletext">
    <w:name w:val="table:text"/>
    <w:basedOn w:val="Normal"/>
    <w:rsid w:val="00C21313"/>
    <w:pPr>
      <w:spacing w:before="120" w:after="120"/>
    </w:pPr>
    <w:rPr>
      <w:rFonts w:ascii="Arial Narrow" w:hAnsi="Arial Narrow"/>
      <w:szCs w:val="20"/>
      <w:lang w:val="en-GB" w:eastAsia="en-GB"/>
    </w:rPr>
  </w:style>
  <w:style w:type="paragraph" w:styleId="Revision">
    <w:name w:val="Revision"/>
    <w:hidden/>
    <w:uiPriority w:val="99"/>
    <w:semiHidden/>
    <w:rsid w:val="00830F8A"/>
    <w:rPr>
      <w:sz w:val="24"/>
      <w:szCs w:val="24"/>
    </w:rPr>
  </w:style>
  <w:style w:type="character" w:styleId="FollowedHyperlink">
    <w:name w:val="FollowedHyperlink"/>
    <w:basedOn w:val="DefaultParagraphFont"/>
    <w:uiPriority w:val="99"/>
    <w:semiHidden/>
    <w:unhideWhenUsed/>
    <w:rsid w:val="008535A1"/>
    <w:rPr>
      <w:color w:val="800080" w:themeColor="followedHyperlink"/>
      <w:u w:val="single"/>
    </w:rPr>
  </w:style>
  <w:style w:type="character" w:customStyle="1" w:styleId="CommentTextChar">
    <w:name w:val="Comment Text Char"/>
    <w:aliases w:val="Comment Text Char1 Char Char,Comment Text Char Char Char Char,Comment Text Char1 Char1"/>
    <w:basedOn w:val="DefaultParagraphFont"/>
    <w:link w:val="CommentText"/>
    <w:rsid w:val="0001408C"/>
  </w:style>
  <w:style w:type="character" w:customStyle="1" w:styleId="HeaderChar">
    <w:name w:val="Header Char"/>
    <w:basedOn w:val="DefaultParagraphFont"/>
    <w:link w:val="Header"/>
    <w:uiPriority w:val="99"/>
    <w:rsid w:val="008562CA"/>
    <w:rPr>
      <w:sz w:val="24"/>
      <w:szCs w:val="24"/>
    </w:rPr>
  </w:style>
  <w:style w:type="paragraph" w:customStyle="1" w:styleId="inst">
    <w:name w:val="inst"/>
    <w:basedOn w:val="Normal"/>
    <w:rsid w:val="00BD5AA0"/>
    <w:pPr>
      <w:spacing w:before="20" w:after="80" w:line="260" w:lineRule="exact"/>
    </w:pPr>
    <w:rPr>
      <w:b/>
      <w:bCs/>
      <w:sz w:val="20"/>
      <w:szCs w:val="20"/>
    </w:rPr>
  </w:style>
  <w:style w:type="character" w:customStyle="1" w:styleId="FooterChar">
    <w:name w:val="Footer Char"/>
    <w:basedOn w:val="DefaultParagraphFont"/>
    <w:link w:val="Footer"/>
    <w:uiPriority w:val="99"/>
    <w:rsid w:val="005E2608"/>
    <w:rPr>
      <w:sz w:val="24"/>
      <w:szCs w:val="24"/>
    </w:rPr>
  </w:style>
  <w:style w:type="character" w:styleId="PlaceholderText">
    <w:name w:val="Placeholder Text"/>
    <w:basedOn w:val="DefaultParagraphFont"/>
    <w:uiPriority w:val="99"/>
    <w:semiHidden/>
    <w:rsid w:val="008F0F60"/>
    <w:rPr>
      <w:color w:val="808080"/>
    </w:rPr>
  </w:style>
  <w:style w:type="character" w:customStyle="1" w:styleId="Heading6Char">
    <w:name w:val="Heading 6 Char"/>
    <w:basedOn w:val="DefaultParagraphFont"/>
    <w:link w:val="Heading6"/>
    <w:uiPriority w:val="9"/>
    <w:semiHidden/>
    <w:rsid w:val="00073B0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73B03"/>
    <w:rPr>
      <w:rFonts w:asciiTheme="majorHAnsi" w:eastAsiaTheme="majorEastAsia" w:hAnsiTheme="majorHAnsi" w:cstheme="majorBidi"/>
      <w:i/>
      <w:iCs/>
      <w:color w:val="243F60" w:themeColor="accent1" w:themeShade="7F"/>
      <w:sz w:val="24"/>
      <w:szCs w:val="24"/>
    </w:rPr>
  </w:style>
  <w:style w:type="paragraph" w:customStyle="1" w:styleId="Nottoc-headings">
    <w:name w:val="Not toc-headings"/>
    <w:basedOn w:val="Normal"/>
    <w:next w:val="Normal"/>
    <w:link w:val="Nottoc-headingsChar"/>
    <w:rsid w:val="000A1D42"/>
    <w:pPr>
      <w:keepNext/>
      <w:keepLines/>
      <w:spacing w:before="240" w:after="60"/>
    </w:pPr>
    <w:rPr>
      <w:rFonts w:ascii="Arial" w:eastAsia="MS Gothic" w:hAnsi="Arial" w:cs="Arial"/>
      <w:b/>
      <w:lang w:val="en-US" w:eastAsia="zh-CN"/>
    </w:rPr>
  </w:style>
  <w:style w:type="character" w:customStyle="1" w:styleId="Nottoc-headingsChar">
    <w:name w:val="Not toc-headings Char"/>
    <w:link w:val="Nottoc-headings"/>
    <w:rsid w:val="000A1D42"/>
    <w:rPr>
      <w:rFonts w:ascii="Arial" w:eastAsia="MS Gothic" w:hAnsi="Arial" w:cs="Arial"/>
      <w:b/>
      <w:sz w:val="24"/>
      <w:szCs w:val="24"/>
      <w:lang w:val="en-US" w:eastAsia="zh-CN"/>
    </w:rPr>
  </w:style>
  <w:style w:type="character" w:customStyle="1" w:styleId="TextChar">
    <w:name w:val="Text Char"/>
    <w:aliases w:val="Graphic Char"/>
    <w:link w:val="Text"/>
    <w:rsid w:val="00FF34DC"/>
    <w:rPr>
      <w:rFonts w:ascii="Arial" w:hAnsi="Arial"/>
      <w:sz w:val="24"/>
      <w:lang w:val="en-GB"/>
    </w:rPr>
  </w:style>
  <w:style w:type="character" w:styleId="EndnoteReference">
    <w:name w:val="endnote reference"/>
    <w:semiHidden/>
    <w:rsid w:val="00931882"/>
    <w:rPr>
      <w:vertAlign w:val="baseline"/>
    </w:rPr>
  </w:style>
  <w:style w:type="character" w:customStyle="1" w:styleId="hilighti1">
    <w:name w:val="hilighti1"/>
    <w:basedOn w:val="DefaultParagraphFont"/>
    <w:rsid w:val="005D34D3"/>
    <w:rPr>
      <w:b/>
      <w:bCs/>
      <w:color w:val="FF0000"/>
      <w:u w:val="single"/>
    </w:rPr>
  </w:style>
  <w:style w:type="character" w:styleId="Emphasis">
    <w:name w:val="Emphasis"/>
    <w:basedOn w:val="DefaultParagraphFont"/>
    <w:uiPriority w:val="20"/>
    <w:qFormat/>
    <w:rsid w:val="005D34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445">
      <w:bodyDiv w:val="1"/>
      <w:marLeft w:val="0"/>
      <w:marRight w:val="0"/>
      <w:marTop w:val="0"/>
      <w:marBottom w:val="0"/>
      <w:divBdr>
        <w:top w:val="none" w:sz="0" w:space="0" w:color="auto"/>
        <w:left w:val="none" w:sz="0" w:space="0" w:color="auto"/>
        <w:bottom w:val="none" w:sz="0" w:space="0" w:color="auto"/>
        <w:right w:val="none" w:sz="0" w:space="0" w:color="auto"/>
      </w:divBdr>
    </w:div>
    <w:div w:id="220019049">
      <w:bodyDiv w:val="1"/>
      <w:marLeft w:val="0"/>
      <w:marRight w:val="0"/>
      <w:marTop w:val="0"/>
      <w:marBottom w:val="0"/>
      <w:divBdr>
        <w:top w:val="none" w:sz="0" w:space="0" w:color="auto"/>
        <w:left w:val="none" w:sz="0" w:space="0" w:color="auto"/>
        <w:bottom w:val="none" w:sz="0" w:space="0" w:color="auto"/>
        <w:right w:val="none" w:sz="0" w:space="0" w:color="auto"/>
      </w:divBdr>
    </w:div>
    <w:div w:id="299115533">
      <w:bodyDiv w:val="1"/>
      <w:marLeft w:val="0"/>
      <w:marRight w:val="0"/>
      <w:marTop w:val="0"/>
      <w:marBottom w:val="0"/>
      <w:divBdr>
        <w:top w:val="none" w:sz="0" w:space="0" w:color="auto"/>
        <w:left w:val="none" w:sz="0" w:space="0" w:color="auto"/>
        <w:bottom w:val="none" w:sz="0" w:space="0" w:color="auto"/>
        <w:right w:val="none" w:sz="0" w:space="0" w:color="auto"/>
      </w:divBdr>
    </w:div>
    <w:div w:id="571626631">
      <w:bodyDiv w:val="1"/>
      <w:marLeft w:val="0"/>
      <w:marRight w:val="0"/>
      <w:marTop w:val="0"/>
      <w:marBottom w:val="0"/>
      <w:divBdr>
        <w:top w:val="none" w:sz="0" w:space="0" w:color="auto"/>
        <w:left w:val="none" w:sz="0" w:space="0" w:color="auto"/>
        <w:bottom w:val="none" w:sz="0" w:space="0" w:color="auto"/>
        <w:right w:val="none" w:sz="0" w:space="0" w:color="auto"/>
      </w:divBdr>
    </w:div>
    <w:div w:id="909074686">
      <w:bodyDiv w:val="1"/>
      <w:marLeft w:val="0"/>
      <w:marRight w:val="0"/>
      <w:marTop w:val="0"/>
      <w:marBottom w:val="0"/>
      <w:divBdr>
        <w:top w:val="none" w:sz="0" w:space="0" w:color="auto"/>
        <w:left w:val="none" w:sz="0" w:space="0" w:color="auto"/>
        <w:bottom w:val="none" w:sz="0" w:space="0" w:color="auto"/>
        <w:right w:val="none" w:sz="0" w:space="0" w:color="auto"/>
      </w:divBdr>
    </w:div>
    <w:div w:id="967858402">
      <w:bodyDiv w:val="1"/>
      <w:marLeft w:val="0"/>
      <w:marRight w:val="0"/>
      <w:marTop w:val="0"/>
      <w:marBottom w:val="0"/>
      <w:divBdr>
        <w:top w:val="none" w:sz="0" w:space="0" w:color="auto"/>
        <w:left w:val="none" w:sz="0" w:space="0" w:color="auto"/>
        <w:bottom w:val="none" w:sz="0" w:space="0" w:color="auto"/>
        <w:right w:val="none" w:sz="0" w:space="0" w:color="auto"/>
      </w:divBdr>
    </w:div>
    <w:div w:id="20408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47567F0551F4D89536B0F0DC67798" ma:contentTypeVersion="1" ma:contentTypeDescription="Create a new document." ma:contentTypeScope="" ma:versionID="890cbc47ffc4defe920d2fdc1f6864f4">
  <xsd:schema xmlns:xsd="http://www.w3.org/2001/XMLSchema" xmlns:p="http://schemas.microsoft.com/office/2006/metadata/properties" targetNamespace="http://schemas.microsoft.com/office/2006/metadata/properties" ma:root="true" ma:fieldsID="11589d61fa8cf58cae57f152df7fde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7F13C-F4A9-4236-B3EF-D70A991925F6}">
  <ds:schemaRefs>
    <ds:schemaRef ds:uri="http://schemas.microsoft.com/sharepoint/v3/contenttype/forms"/>
  </ds:schemaRefs>
</ds:datastoreItem>
</file>

<file path=customXml/itemProps2.xml><?xml version="1.0" encoding="utf-8"?>
<ds:datastoreItem xmlns:ds="http://schemas.openxmlformats.org/officeDocument/2006/customXml" ds:itemID="{CBCE1877-DD38-4E95-95F7-B1C07A9F0BD6}">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CB875DE-4AD1-4769-8C21-27EC5ED0F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C370835-4DEB-4424-8A57-8A3B0F8E383F}">
  <ds:schemaRefs>
    <ds:schemaRef ds:uri="http://schemas.microsoft.com/sharepoint/v3/contenttype/forms"/>
  </ds:schemaRefs>
</ds:datastoreItem>
</file>

<file path=customXml/itemProps5.xml><?xml version="1.0" encoding="utf-8"?>
<ds:datastoreItem xmlns:ds="http://schemas.openxmlformats.org/officeDocument/2006/customXml" ds:itemID="{72D4BCA6-2F29-41D7-B7EB-0454DF9B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26</Pages>
  <Words>9476</Words>
  <Characters>53519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AusPAR Attachment 1: Product Information for Ribociclib succinate</vt:lpstr>
    </vt:vector>
  </TitlesOfParts>
  <Manager/>
  <Company/>
  <LinksUpToDate>false</LinksUpToDate>
  <CharactersWithSpaces>62870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Ribociclib succinate</dc:title>
  <dc:subject>Prescription medicines</dc:subject>
  <dc:creator>NOVARTIS Pharmaceuticals Australia Pty Limited</dc:creator>
  <cp:keywords>AusPARs</cp:keywords>
  <cp:lastModifiedBy>SHEPPARD, Fran</cp:lastModifiedBy>
  <cp:revision>2</cp:revision>
  <cp:lastPrinted>2017-10-20T05:02:00Z</cp:lastPrinted>
  <dcterms:created xsi:type="dcterms:W3CDTF">2017-10-23T11:42:00Z</dcterms:created>
  <dcterms:modified xsi:type="dcterms:W3CDTF">2020-07-07T05:27:00Z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0x01010062F47567F0551F4D89536B0F0DC67798</vt:lpwstr>
  </property>
</Properties>
</file>