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9863"/>
        <w:tblOverlap w:val="never"/>
        <w:tblW w:w="4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28"/>
      </w:tblGrid>
      <w:tr w:rsidR="008E7846" w:rsidRPr="00487162" w:rsidTr="00466F56">
        <w:trPr>
          <w:trHeight w:val="1863"/>
        </w:trPr>
        <w:tc>
          <w:tcPr>
            <w:tcW w:w="4928" w:type="dxa"/>
            <w:tcBorders>
              <w:top w:val="nil"/>
              <w:left w:val="nil"/>
              <w:bottom w:val="nil"/>
              <w:right w:val="nil"/>
            </w:tcBorders>
          </w:tcPr>
          <w:p w:rsidR="008E7846" w:rsidRPr="0017078F" w:rsidRDefault="00466F56" w:rsidP="0017078F">
            <w:pPr>
              <w:rPr>
                <w:rFonts w:ascii="Arial" w:hAnsi="Arial" w:cs="Arial"/>
                <w:b/>
                <w:color w:val="002C47"/>
                <w:sz w:val="36"/>
                <w:szCs w:val="36"/>
              </w:rPr>
            </w:pPr>
            <w:r>
              <w:rPr>
                <w:rFonts w:ascii="Arial" w:hAnsi="Arial" w:cs="Arial"/>
                <w:b/>
                <w:color w:val="002C47"/>
                <w:sz w:val="36"/>
                <w:szCs w:val="36"/>
              </w:rPr>
              <w:t>Date of</w:t>
            </w:r>
            <w:r w:rsidR="00FD581C">
              <w:rPr>
                <w:rFonts w:ascii="Arial" w:hAnsi="Arial" w:cs="Arial"/>
                <w:b/>
                <w:color w:val="002C47"/>
                <w:sz w:val="36"/>
                <w:szCs w:val="36"/>
              </w:rPr>
              <w:t xml:space="preserve"> CE</w:t>
            </w:r>
            <w:r w:rsidR="0017078F">
              <w:rPr>
                <w:rFonts w:ascii="Arial" w:hAnsi="Arial" w:cs="Arial"/>
                <w:b/>
                <w:color w:val="002C47"/>
                <w:sz w:val="36"/>
                <w:szCs w:val="36"/>
              </w:rPr>
              <w:t>R</w:t>
            </w:r>
            <w:r>
              <w:rPr>
                <w:rFonts w:ascii="Arial" w:hAnsi="Arial" w:cs="Arial"/>
                <w:b/>
                <w:color w:val="002C47"/>
                <w:sz w:val="36"/>
                <w:szCs w:val="36"/>
              </w:rPr>
              <w:t>: 9 July 2012</w:t>
            </w:r>
          </w:p>
        </w:tc>
      </w:tr>
    </w:tbl>
    <w:tbl>
      <w:tblPr>
        <w:tblpPr w:leftFromText="180" w:rightFromText="180" w:vertAnchor="page" w:tblpY="3316"/>
        <w:tblW w:w="9079" w:type="dxa"/>
        <w:tblLayout w:type="fixed"/>
        <w:tblLook w:val="04A0"/>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rPr>
            </w:pPr>
            <w:proofErr w:type="spellStart"/>
            <w:r>
              <w:rPr>
                <w:color w:val="FFFFFF"/>
              </w:rPr>
              <w:t>AusPAR</w:t>
            </w:r>
            <w:proofErr w:type="spellEnd"/>
            <w:r>
              <w:rPr>
                <w:color w:val="FFFFFF"/>
              </w:rPr>
              <w:t xml:space="preserve"> Attachment 2</w:t>
            </w:r>
          </w:p>
        </w:tc>
      </w:tr>
      <w:tr w:rsidR="00E07F15" w:rsidRPr="00A964D1" w:rsidTr="00E07F15">
        <w:trPr>
          <w:trHeight w:val="868"/>
        </w:trPr>
        <w:tc>
          <w:tcPr>
            <w:tcW w:w="9079" w:type="dxa"/>
          </w:tcPr>
          <w:p w:rsidR="00E07F15" w:rsidRPr="00A964D1" w:rsidRDefault="00E07F15" w:rsidP="00E07F15">
            <w:pPr>
              <w:pStyle w:val="Title"/>
              <w:rPr>
                <w:color w:val="FFFFFF"/>
              </w:rPr>
            </w:pPr>
            <w:r>
              <w:rPr>
                <w:color w:val="FFFFFF"/>
              </w:rPr>
              <w:t>Extract from the Clinical Evaluation Report</w:t>
            </w:r>
            <w:r w:rsidR="00B60CFE">
              <w:rPr>
                <w:color w:val="FFFFFF"/>
              </w:rPr>
              <w:t xml:space="preserve"> for </w:t>
            </w:r>
            <w:proofErr w:type="spellStart"/>
            <w:r w:rsidR="00B60CFE">
              <w:rPr>
                <w:color w:val="FFFFFF"/>
              </w:rPr>
              <w:t>R</w:t>
            </w:r>
            <w:r w:rsidR="00350DD5" w:rsidRPr="00350DD5">
              <w:rPr>
                <w:color w:val="FFFFFF"/>
              </w:rPr>
              <w:t>etigabine</w:t>
            </w:r>
            <w:proofErr w:type="spellEnd"/>
          </w:p>
        </w:tc>
      </w:tr>
      <w:tr w:rsidR="00E07F15" w:rsidRPr="00B64760" w:rsidTr="00E07F15">
        <w:tc>
          <w:tcPr>
            <w:tcW w:w="9079" w:type="dxa"/>
          </w:tcPr>
          <w:p w:rsidR="00E07F15" w:rsidRPr="008E7846" w:rsidRDefault="00E07F15" w:rsidP="00350DD5">
            <w:pPr>
              <w:pStyle w:val="Subtitle"/>
              <w:ind w:left="142"/>
              <w:rPr>
                <w:color w:val="FFFFFF"/>
              </w:rPr>
            </w:pPr>
            <w:r w:rsidRPr="008E7846">
              <w:rPr>
                <w:color w:val="FFFFFF"/>
              </w:rPr>
              <w:t xml:space="preserve">Proprietary Product Name: </w:t>
            </w:r>
            <w:proofErr w:type="spellStart"/>
            <w:r w:rsidR="00350DD5">
              <w:rPr>
                <w:color w:val="FFFFFF"/>
              </w:rPr>
              <w:t>Trobalt</w:t>
            </w:r>
            <w:proofErr w:type="spellEnd"/>
          </w:p>
        </w:tc>
      </w:tr>
      <w:tr w:rsidR="00E07F15" w:rsidRPr="00B64760" w:rsidTr="00E07F15">
        <w:trPr>
          <w:trHeight w:val="486"/>
        </w:trPr>
        <w:tc>
          <w:tcPr>
            <w:tcW w:w="9079" w:type="dxa"/>
          </w:tcPr>
          <w:p w:rsidR="00E07F15" w:rsidRPr="008E7846" w:rsidRDefault="000B6CF8" w:rsidP="004A43CC">
            <w:pPr>
              <w:pStyle w:val="Subtitle"/>
              <w:ind w:left="142"/>
              <w:rPr>
                <w:color w:val="FFFFFF"/>
              </w:rPr>
            </w:pPr>
            <w:r>
              <w:rPr>
                <w:color w:val="FFFFFF"/>
              </w:rPr>
              <w:t xml:space="preserve">Sponsor: </w:t>
            </w:r>
            <w:r w:rsidRPr="000B6CF8">
              <w:rPr>
                <w:color w:val="FFFFFF"/>
              </w:rPr>
              <w:t>GlaxoSmithKline Australia Pty Ltd</w:t>
            </w:r>
          </w:p>
        </w:tc>
      </w:tr>
    </w:tbl>
    <w:p w:rsidR="008E7846" w:rsidRPr="001F6CBA" w:rsidRDefault="008E7846" w:rsidP="008E7846">
      <w:pPr>
        <w:pStyle w:val="NonTOCHeading2"/>
      </w:pPr>
      <w:r>
        <w:br w:type="page"/>
      </w:r>
      <w:r w:rsidRPr="001F6CBA">
        <w:lastRenderedPageBreak/>
        <w:t>About the Therapeutic Goods Administration (TGA)</w:t>
      </w:r>
    </w:p>
    <w:p w:rsidR="008E7846" w:rsidRDefault="008E7846" w:rsidP="002D0C92">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2D0C92">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2D0C92">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2D0C92">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2D0C92">
      <w:pPr>
        <w:pStyle w:val="ListBullet"/>
        <w:numPr>
          <w:ilvl w:val="0"/>
          <w:numId w:val="1"/>
        </w:numPr>
        <w:ind w:left="357" w:hanging="357"/>
      </w:pPr>
      <w:r>
        <w:t>To report a problem with a medicine or medical device, please see the information on the TGA website</w:t>
      </w:r>
      <w:r w:rsidR="00112F56">
        <w:t xml:space="preserve"> &lt;</w:t>
      </w:r>
      <w:hyperlink r:id="rId8"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2903B5" w:rsidRDefault="003D0A3B" w:rsidP="002903B5">
      <w:pPr>
        <w:pStyle w:val="ListBullet"/>
      </w:pPr>
      <w:r w:rsidRPr="003D0A3B">
        <w:t>For the most recent Product Information (PI), please refer to the TGA website</w:t>
      </w:r>
      <w:r>
        <w:t xml:space="preserve"> </w:t>
      </w:r>
      <w:r w:rsidR="00B1425E" w:rsidRPr="00B1425E">
        <w:t>&lt;</w:t>
      </w:r>
      <w:hyperlink r:id="rId9" w:history="1">
        <w:r w:rsidR="00B1425E" w:rsidRPr="00B1425E">
          <w:rPr>
            <w:rStyle w:val="Hyperlink"/>
          </w:rPr>
          <w:t>http://www.tga.gov.au/hp/information-medicines-pi.htm</w:t>
        </w:r>
      </w:hyperlink>
      <w:r w:rsidR="0017078F">
        <w:t>&gt;.</w:t>
      </w:r>
    </w:p>
    <w:p w:rsidR="002903B5" w:rsidRDefault="002903B5" w:rsidP="00B60CFE">
      <w:pPr>
        <w:pStyle w:val="LegalCopy"/>
        <w:spacing w:before="4320"/>
      </w:pPr>
      <w:r w:rsidRPr="002903B5">
        <w:rPr>
          <w:rFonts w:cs="Arial"/>
          <w:b/>
          <w:lang w:val="en-GB"/>
        </w:rPr>
        <w:t>Copyright</w:t>
      </w:r>
      <w:r w:rsidRPr="002903B5">
        <w:rPr>
          <w:rFonts w:cs="Arial"/>
          <w:b/>
          <w:lang w:val="en-GB"/>
        </w:rPr>
        <w:br/>
      </w:r>
      <w:r w:rsidR="00924482" w:rsidRPr="00191B3B">
        <w:rPr>
          <w:rFonts w:cs="Arial"/>
          <w:lang w:val="en-GB"/>
        </w:rPr>
        <w:t>© Comm</w:t>
      </w:r>
      <w:r w:rsidR="00924482">
        <w:rPr>
          <w:rFonts w:cs="Arial"/>
          <w:lang w:val="en-GB"/>
        </w:rPr>
        <w:t>onwealth of Australia 201</w:t>
      </w:r>
      <w:r w:rsidR="00BF1190">
        <w:rPr>
          <w:rFonts w:cs="Arial"/>
          <w:lang w:val="en-GB"/>
        </w:rPr>
        <w:t>3</w:t>
      </w:r>
      <w:r w:rsidR="00924482"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00924482" w:rsidRPr="00191B3B">
        <w:rPr>
          <w:rFonts w:cs="Arial"/>
          <w:i/>
          <w:lang w:val="en-GB"/>
        </w:rPr>
        <w:t>Copyright Act 1968</w:t>
      </w:r>
      <w:r w:rsidR="00924482"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00924482" w:rsidRPr="00191B3B">
        <w:rPr>
          <w:rFonts w:cs="Arial"/>
          <w:lang w:val="en-GB"/>
        </w:rPr>
        <w:t>Woden</w:t>
      </w:r>
      <w:proofErr w:type="spellEnd"/>
      <w:r w:rsidR="00924482" w:rsidRPr="00191B3B">
        <w:rPr>
          <w:rFonts w:cs="Arial"/>
          <w:lang w:val="en-GB"/>
        </w:rPr>
        <w:t xml:space="preserve"> ACT 2606 or emailed to &lt;</w:t>
      </w:r>
      <w:hyperlink r:id="rId10" w:history="1">
        <w:r w:rsidR="00924482" w:rsidRPr="00191B3B">
          <w:rPr>
            <w:rStyle w:val="Hyperlink"/>
            <w:rFonts w:cs="Arial"/>
            <w:lang w:val="en-GB"/>
          </w:rPr>
          <w:t>tga.copyright@tga.gov.au</w:t>
        </w:r>
      </w:hyperlink>
      <w:r w:rsidR="00924482" w:rsidRPr="00191B3B">
        <w:rPr>
          <w:rFonts w:cs="Arial"/>
        </w:rPr>
        <w:t>&gt;.</w:t>
      </w:r>
    </w:p>
    <w:p w:rsidR="00924482" w:rsidRDefault="00924482" w:rsidP="00924482">
      <w:pPr>
        <w:pStyle w:val="LegalCopy"/>
        <w:sectPr w:rsidR="00924482" w:rsidSect="003D1E62">
          <w:headerReference w:type="default" r:id="rId11"/>
          <w:footerReference w:type="default" r:id="rId12"/>
          <w:headerReference w:type="first" r:id="rId13"/>
          <w:pgSz w:w="11906" w:h="16838" w:code="9"/>
          <w:pgMar w:top="426" w:right="1701" w:bottom="0" w:left="1701" w:header="907" w:footer="142" w:gutter="0"/>
          <w:pgNumType w:fmt="lowerRoman" w:start="1"/>
          <w:cols w:space="708"/>
          <w:titlePg/>
          <w:docGrid w:linePitch="360"/>
        </w:sectPr>
      </w:pPr>
    </w:p>
    <w:p w:rsidR="0089635C" w:rsidRPr="0089635C" w:rsidRDefault="0089635C" w:rsidP="0010788A">
      <w:pPr>
        <w:pStyle w:val="Contents"/>
      </w:pPr>
      <w:bookmarkStart w:id="0" w:name="_Toc196046425"/>
      <w:bookmarkStart w:id="1" w:name="_Toc247691501"/>
      <w:r w:rsidRPr="0010788A">
        <w:lastRenderedPageBreak/>
        <w:t>Contents</w:t>
      </w:r>
    </w:p>
    <w:p w:rsidR="00B038DB" w:rsidRDefault="006D7D0F">
      <w:pPr>
        <w:pStyle w:val="TOC2"/>
        <w:rPr>
          <w:rFonts w:ascii="Calibri" w:eastAsia="Times New Roman" w:hAnsi="Calibri"/>
          <w:b w:val="0"/>
          <w:noProof/>
          <w:sz w:val="22"/>
          <w:lang w:eastAsia="en-AU"/>
        </w:rPr>
      </w:pPr>
      <w:r>
        <w:fldChar w:fldCharType="begin"/>
      </w:r>
      <w:r w:rsidR="0089635C">
        <w:instrText xml:space="preserve"> TOC \o "1-3" \h \z \u </w:instrText>
      </w:r>
      <w:r>
        <w:fldChar w:fldCharType="separate"/>
      </w:r>
      <w:hyperlink w:anchor="_Toc365636781" w:history="1">
        <w:r w:rsidR="00B038DB" w:rsidRPr="00413AD7">
          <w:rPr>
            <w:rStyle w:val="Hyperlink"/>
            <w:noProof/>
          </w:rPr>
          <w:t>List of abbreviations</w:t>
        </w:r>
        <w:r w:rsidR="00B038DB">
          <w:rPr>
            <w:noProof/>
            <w:webHidden/>
          </w:rPr>
          <w:tab/>
        </w:r>
        <w:r>
          <w:rPr>
            <w:noProof/>
            <w:webHidden/>
          </w:rPr>
          <w:fldChar w:fldCharType="begin"/>
        </w:r>
        <w:r w:rsidR="00B038DB">
          <w:rPr>
            <w:noProof/>
            <w:webHidden/>
          </w:rPr>
          <w:instrText xml:space="preserve"> PAGEREF _Toc365636781 \h </w:instrText>
        </w:r>
        <w:r>
          <w:rPr>
            <w:noProof/>
            <w:webHidden/>
          </w:rPr>
        </w:r>
        <w:r>
          <w:rPr>
            <w:noProof/>
            <w:webHidden/>
          </w:rPr>
          <w:fldChar w:fldCharType="separate"/>
        </w:r>
        <w:r w:rsidR="00BB727E">
          <w:rPr>
            <w:noProof/>
            <w:webHidden/>
          </w:rPr>
          <w:t>5</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82" w:history="1">
        <w:r w:rsidR="00B038DB" w:rsidRPr="00413AD7">
          <w:rPr>
            <w:rStyle w:val="Hyperlink"/>
            <w:noProof/>
            <w:lang w:eastAsia="en-AU"/>
          </w:rPr>
          <w:t>1.</w:t>
        </w:r>
        <w:r w:rsidR="00B038DB">
          <w:rPr>
            <w:rFonts w:ascii="Calibri" w:eastAsia="Times New Roman" w:hAnsi="Calibri"/>
            <w:b w:val="0"/>
            <w:noProof/>
            <w:sz w:val="22"/>
            <w:lang w:eastAsia="en-AU"/>
          </w:rPr>
          <w:tab/>
        </w:r>
        <w:r w:rsidR="00B038DB" w:rsidRPr="00413AD7">
          <w:rPr>
            <w:rStyle w:val="Hyperlink"/>
            <w:noProof/>
            <w:lang w:eastAsia="en-AU"/>
          </w:rPr>
          <w:t>Clinical rationale</w:t>
        </w:r>
        <w:r w:rsidR="00B038DB">
          <w:rPr>
            <w:noProof/>
            <w:webHidden/>
          </w:rPr>
          <w:tab/>
        </w:r>
        <w:r>
          <w:rPr>
            <w:noProof/>
            <w:webHidden/>
          </w:rPr>
          <w:fldChar w:fldCharType="begin"/>
        </w:r>
        <w:r w:rsidR="00B038DB">
          <w:rPr>
            <w:noProof/>
            <w:webHidden/>
          </w:rPr>
          <w:instrText xml:space="preserve"> PAGEREF _Toc365636782 \h </w:instrText>
        </w:r>
        <w:r>
          <w:rPr>
            <w:noProof/>
            <w:webHidden/>
          </w:rPr>
        </w:r>
        <w:r>
          <w:rPr>
            <w:noProof/>
            <w:webHidden/>
          </w:rPr>
          <w:fldChar w:fldCharType="separate"/>
        </w:r>
        <w:r w:rsidR="00BB727E">
          <w:rPr>
            <w:noProof/>
            <w:webHidden/>
          </w:rPr>
          <w:t>8</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83" w:history="1">
        <w:r w:rsidR="00B038DB" w:rsidRPr="00413AD7">
          <w:rPr>
            <w:rStyle w:val="Hyperlink"/>
            <w:noProof/>
            <w:lang w:eastAsia="en-AU"/>
          </w:rPr>
          <w:t>2.</w:t>
        </w:r>
        <w:r w:rsidR="00B038DB">
          <w:rPr>
            <w:rFonts w:ascii="Calibri" w:eastAsia="Times New Roman" w:hAnsi="Calibri"/>
            <w:b w:val="0"/>
            <w:noProof/>
            <w:sz w:val="22"/>
            <w:lang w:eastAsia="en-AU"/>
          </w:rPr>
          <w:tab/>
        </w:r>
        <w:r w:rsidR="00B038DB" w:rsidRPr="00413AD7">
          <w:rPr>
            <w:rStyle w:val="Hyperlink"/>
            <w:noProof/>
            <w:lang w:eastAsia="en-AU"/>
          </w:rPr>
          <w:t>Contents of the clinical dossier</w:t>
        </w:r>
        <w:r w:rsidR="00B038DB">
          <w:rPr>
            <w:noProof/>
            <w:webHidden/>
          </w:rPr>
          <w:tab/>
        </w:r>
        <w:r>
          <w:rPr>
            <w:noProof/>
            <w:webHidden/>
          </w:rPr>
          <w:fldChar w:fldCharType="begin"/>
        </w:r>
        <w:r w:rsidR="00B038DB">
          <w:rPr>
            <w:noProof/>
            <w:webHidden/>
          </w:rPr>
          <w:instrText xml:space="preserve"> PAGEREF _Toc365636783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84" w:history="1">
        <w:r w:rsidR="00B038DB" w:rsidRPr="00413AD7">
          <w:rPr>
            <w:rStyle w:val="Hyperlink"/>
            <w:noProof/>
          </w:rPr>
          <w:t>2.1.</w:t>
        </w:r>
        <w:r w:rsidR="00B038DB">
          <w:rPr>
            <w:rFonts w:ascii="Calibri" w:eastAsia="Times New Roman" w:hAnsi="Calibri"/>
            <w:noProof/>
            <w:lang w:eastAsia="en-AU"/>
          </w:rPr>
          <w:tab/>
        </w:r>
        <w:r w:rsidR="00B038DB" w:rsidRPr="00413AD7">
          <w:rPr>
            <w:rStyle w:val="Hyperlink"/>
            <w:noProof/>
          </w:rPr>
          <w:t>Scope of the clinical dossier</w:t>
        </w:r>
        <w:r w:rsidR="00B038DB">
          <w:rPr>
            <w:noProof/>
            <w:webHidden/>
          </w:rPr>
          <w:tab/>
        </w:r>
        <w:r>
          <w:rPr>
            <w:noProof/>
            <w:webHidden/>
          </w:rPr>
          <w:fldChar w:fldCharType="begin"/>
        </w:r>
        <w:r w:rsidR="00B038DB">
          <w:rPr>
            <w:noProof/>
            <w:webHidden/>
          </w:rPr>
          <w:instrText xml:space="preserve"> PAGEREF _Toc365636784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85" w:history="1">
        <w:r w:rsidR="00B038DB" w:rsidRPr="00413AD7">
          <w:rPr>
            <w:rStyle w:val="Hyperlink"/>
            <w:noProof/>
          </w:rPr>
          <w:t>2.2.</w:t>
        </w:r>
        <w:r w:rsidR="00B038DB">
          <w:rPr>
            <w:rFonts w:ascii="Calibri" w:eastAsia="Times New Roman" w:hAnsi="Calibri"/>
            <w:noProof/>
            <w:lang w:eastAsia="en-AU"/>
          </w:rPr>
          <w:tab/>
        </w:r>
        <w:r w:rsidR="00B038DB" w:rsidRPr="00413AD7">
          <w:rPr>
            <w:rStyle w:val="Hyperlink"/>
            <w:noProof/>
          </w:rPr>
          <w:t>Paediatric data</w:t>
        </w:r>
        <w:r w:rsidR="00B038DB">
          <w:rPr>
            <w:noProof/>
            <w:webHidden/>
          </w:rPr>
          <w:tab/>
        </w:r>
        <w:r>
          <w:rPr>
            <w:noProof/>
            <w:webHidden/>
          </w:rPr>
          <w:fldChar w:fldCharType="begin"/>
        </w:r>
        <w:r w:rsidR="00B038DB">
          <w:rPr>
            <w:noProof/>
            <w:webHidden/>
          </w:rPr>
          <w:instrText xml:space="preserve"> PAGEREF _Toc365636785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86" w:history="1">
        <w:r w:rsidR="00B038DB" w:rsidRPr="00413AD7">
          <w:rPr>
            <w:rStyle w:val="Hyperlink"/>
            <w:noProof/>
          </w:rPr>
          <w:t>2.3.</w:t>
        </w:r>
        <w:r w:rsidR="00B038DB">
          <w:rPr>
            <w:rFonts w:ascii="Calibri" w:eastAsia="Times New Roman" w:hAnsi="Calibri"/>
            <w:noProof/>
            <w:lang w:eastAsia="en-AU"/>
          </w:rPr>
          <w:tab/>
        </w:r>
        <w:r w:rsidR="00B038DB" w:rsidRPr="00413AD7">
          <w:rPr>
            <w:rStyle w:val="Hyperlink"/>
            <w:noProof/>
          </w:rPr>
          <w:t>Good clinical practice</w:t>
        </w:r>
        <w:r w:rsidR="00B038DB">
          <w:rPr>
            <w:noProof/>
            <w:webHidden/>
          </w:rPr>
          <w:tab/>
        </w:r>
        <w:r>
          <w:rPr>
            <w:noProof/>
            <w:webHidden/>
          </w:rPr>
          <w:fldChar w:fldCharType="begin"/>
        </w:r>
        <w:r w:rsidR="00B038DB">
          <w:rPr>
            <w:noProof/>
            <w:webHidden/>
          </w:rPr>
          <w:instrText xml:space="preserve"> PAGEREF _Toc365636786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87" w:history="1">
        <w:r w:rsidR="00B038DB" w:rsidRPr="00413AD7">
          <w:rPr>
            <w:rStyle w:val="Hyperlink"/>
            <w:noProof/>
          </w:rPr>
          <w:t>3.</w:t>
        </w:r>
        <w:r w:rsidR="00B038DB">
          <w:rPr>
            <w:rFonts w:ascii="Calibri" w:eastAsia="Times New Roman" w:hAnsi="Calibri"/>
            <w:b w:val="0"/>
            <w:noProof/>
            <w:sz w:val="22"/>
            <w:lang w:eastAsia="en-AU"/>
          </w:rPr>
          <w:tab/>
        </w:r>
        <w:r w:rsidR="00B038DB" w:rsidRPr="00413AD7">
          <w:rPr>
            <w:rStyle w:val="Hyperlink"/>
            <w:noProof/>
          </w:rPr>
          <w:t>Pharmacokinetics</w:t>
        </w:r>
        <w:r w:rsidR="00B038DB">
          <w:rPr>
            <w:noProof/>
            <w:webHidden/>
          </w:rPr>
          <w:tab/>
        </w:r>
        <w:r>
          <w:rPr>
            <w:noProof/>
            <w:webHidden/>
          </w:rPr>
          <w:fldChar w:fldCharType="begin"/>
        </w:r>
        <w:r w:rsidR="00B038DB">
          <w:rPr>
            <w:noProof/>
            <w:webHidden/>
          </w:rPr>
          <w:instrText xml:space="preserve"> PAGEREF _Toc365636787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88" w:history="1">
        <w:r w:rsidR="00B038DB" w:rsidRPr="00413AD7">
          <w:rPr>
            <w:rStyle w:val="Hyperlink"/>
            <w:noProof/>
          </w:rPr>
          <w:t>3.1.</w:t>
        </w:r>
        <w:r w:rsidR="00B038DB">
          <w:rPr>
            <w:rFonts w:ascii="Calibri" w:eastAsia="Times New Roman" w:hAnsi="Calibri"/>
            <w:noProof/>
            <w:lang w:eastAsia="en-AU"/>
          </w:rPr>
          <w:tab/>
        </w:r>
        <w:r w:rsidR="00B038DB" w:rsidRPr="00413AD7">
          <w:rPr>
            <w:rStyle w:val="Hyperlink"/>
            <w:noProof/>
          </w:rPr>
          <w:t>Studies providing pharmacokinetic data</w:t>
        </w:r>
        <w:r w:rsidR="00B038DB">
          <w:rPr>
            <w:noProof/>
            <w:webHidden/>
          </w:rPr>
          <w:tab/>
        </w:r>
        <w:r>
          <w:rPr>
            <w:noProof/>
            <w:webHidden/>
          </w:rPr>
          <w:fldChar w:fldCharType="begin"/>
        </w:r>
        <w:r w:rsidR="00B038DB">
          <w:rPr>
            <w:noProof/>
            <w:webHidden/>
          </w:rPr>
          <w:instrText xml:space="preserve"> PAGEREF _Toc365636788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89" w:history="1">
        <w:r w:rsidR="00B038DB" w:rsidRPr="00413AD7">
          <w:rPr>
            <w:rStyle w:val="Hyperlink"/>
            <w:noProof/>
          </w:rPr>
          <w:t>3.2.</w:t>
        </w:r>
        <w:r w:rsidR="00B038DB">
          <w:rPr>
            <w:rFonts w:ascii="Calibri" w:eastAsia="Times New Roman" w:hAnsi="Calibri"/>
            <w:noProof/>
            <w:lang w:eastAsia="en-AU"/>
          </w:rPr>
          <w:tab/>
        </w:r>
        <w:r w:rsidR="00B038DB" w:rsidRPr="00413AD7">
          <w:rPr>
            <w:rStyle w:val="Hyperlink"/>
            <w:noProof/>
          </w:rPr>
          <w:t>Summary of pharmacokinetics</w:t>
        </w:r>
        <w:r w:rsidR="00B038DB">
          <w:rPr>
            <w:noProof/>
            <w:webHidden/>
          </w:rPr>
          <w:tab/>
        </w:r>
        <w:r>
          <w:rPr>
            <w:noProof/>
            <w:webHidden/>
          </w:rPr>
          <w:fldChar w:fldCharType="begin"/>
        </w:r>
        <w:r w:rsidR="00B038DB">
          <w:rPr>
            <w:noProof/>
            <w:webHidden/>
          </w:rPr>
          <w:instrText xml:space="preserve"> PAGEREF _Toc365636789 \h </w:instrText>
        </w:r>
        <w:r>
          <w:rPr>
            <w:noProof/>
            <w:webHidden/>
          </w:rPr>
        </w:r>
        <w:r>
          <w:rPr>
            <w:noProof/>
            <w:webHidden/>
          </w:rPr>
          <w:fldChar w:fldCharType="separate"/>
        </w:r>
        <w:r w:rsidR="00BB727E">
          <w:rPr>
            <w:noProof/>
            <w:webHidden/>
          </w:rPr>
          <w:t>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0" w:history="1">
        <w:r w:rsidR="00B038DB" w:rsidRPr="00413AD7">
          <w:rPr>
            <w:rStyle w:val="Hyperlink"/>
            <w:noProof/>
          </w:rPr>
          <w:t>3.3.</w:t>
        </w:r>
        <w:r w:rsidR="00B038DB">
          <w:rPr>
            <w:rFonts w:ascii="Calibri" w:eastAsia="Times New Roman" w:hAnsi="Calibri"/>
            <w:noProof/>
            <w:lang w:eastAsia="en-AU"/>
          </w:rPr>
          <w:tab/>
        </w:r>
        <w:r w:rsidR="00B038DB" w:rsidRPr="00413AD7">
          <w:rPr>
            <w:rStyle w:val="Hyperlink"/>
            <w:noProof/>
          </w:rPr>
          <w:t>Evaluator’s overall conclusions on pharmacokinetics</w:t>
        </w:r>
        <w:r w:rsidR="00B038DB">
          <w:rPr>
            <w:noProof/>
            <w:webHidden/>
          </w:rPr>
          <w:tab/>
        </w:r>
        <w:r>
          <w:rPr>
            <w:noProof/>
            <w:webHidden/>
          </w:rPr>
          <w:fldChar w:fldCharType="begin"/>
        </w:r>
        <w:r w:rsidR="00B038DB">
          <w:rPr>
            <w:noProof/>
            <w:webHidden/>
          </w:rPr>
          <w:instrText xml:space="preserve"> PAGEREF _Toc365636790 \h </w:instrText>
        </w:r>
        <w:r>
          <w:rPr>
            <w:noProof/>
            <w:webHidden/>
          </w:rPr>
        </w:r>
        <w:r>
          <w:rPr>
            <w:noProof/>
            <w:webHidden/>
          </w:rPr>
          <w:fldChar w:fldCharType="separate"/>
        </w:r>
        <w:r w:rsidR="00BB727E">
          <w:rPr>
            <w:noProof/>
            <w:webHidden/>
          </w:rPr>
          <w:t>22</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91" w:history="1">
        <w:r w:rsidR="00B038DB" w:rsidRPr="00413AD7">
          <w:rPr>
            <w:rStyle w:val="Hyperlink"/>
            <w:noProof/>
          </w:rPr>
          <w:t>4.</w:t>
        </w:r>
        <w:r w:rsidR="00B038DB">
          <w:rPr>
            <w:rFonts w:ascii="Calibri" w:eastAsia="Times New Roman" w:hAnsi="Calibri"/>
            <w:b w:val="0"/>
            <w:noProof/>
            <w:sz w:val="22"/>
            <w:lang w:eastAsia="en-AU"/>
          </w:rPr>
          <w:tab/>
        </w:r>
        <w:r w:rsidR="00B038DB" w:rsidRPr="00413AD7">
          <w:rPr>
            <w:rStyle w:val="Hyperlink"/>
            <w:noProof/>
          </w:rPr>
          <w:t>Pharmacodynamics</w:t>
        </w:r>
        <w:r w:rsidR="00B038DB">
          <w:rPr>
            <w:noProof/>
            <w:webHidden/>
          </w:rPr>
          <w:tab/>
        </w:r>
        <w:r>
          <w:rPr>
            <w:noProof/>
            <w:webHidden/>
          </w:rPr>
          <w:fldChar w:fldCharType="begin"/>
        </w:r>
        <w:r w:rsidR="00B038DB">
          <w:rPr>
            <w:noProof/>
            <w:webHidden/>
          </w:rPr>
          <w:instrText xml:space="preserve"> PAGEREF _Toc365636791 \h </w:instrText>
        </w:r>
        <w:r>
          <w:rPr>
            <w:noProof/>
            <w:webHidden/>
          </w:rPr>
        </w:r>
        <w:r>
          <w:rPr>
            <w:noProof/>
            <w:webHidden/>
          </w:rPr>
          <w:fldChar w:fldCharType="separate"/>
        </w:r>
        <w:r w:rsidR="00BB727E">
          <w:rPr>
            <w:noProof/>
            <w:webHidden/>
          </w:rPr>
          <w:t>22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2" w:history="1">
        <w:r w:rsidR="00B038DB" w:rsidRPr="00413AD7">
          <w:rPr>
            <w:rStyle w:val="Hyperlink"/>
            <w:noProof/>
          </w:rPr>
          <w:t>4.1.</w:t>
        </w:r>
        <w:r w:rsidR="00B038DB">
          <w:rPr>
            <w:rFonts w:ascii="Calibri" w:eastAsia="Times New Roman" w:hAnsi="Calibri"/>
            <w:noProof/>
            <w:lang w:eastAsia="en-AU"/>
          </w:rPr>
          <w:tab/>
        </w:r>
        <w:r w:rsidR="00B038DB" w:rsidRPr="00413AD7">
          <w:rPr>
            <w:rStyle w:val="Hyperlink"/>
            <w:noProof/>
          </w:rPr>
          <w:t>Summary of pharmacodynamics</w:t>
        </w:r>
        <w:r w:rsidR="00B038DB">
          <w:rPr>
            <w:noProof/>
            <w:webHidden/>
          </w:rPr>
          <w:tab/>
        </w:r>
        <w:r>
          <w:rPr>
            <w:noProof/>
            <w:webHidden/>
          </w:rPr>
          <w:fldChar w:fldCharType="begin"/>
        </w:r>
        <w:r w:rsidR="00B038DB">
          <w:rPr>
            <w:noProof/>
            <w:webHidden/>
          </w:rPr>
          <w:instrText xml:space="preserve"> PAGEREF _Toc365636792 \h </w:instrText>
        </w:r>
        <w:r>
          <w:rPr>
            <w:noProof/>
            <w:webHidden/>
          </w:rPr>
        </w:r>
        <w:r>
          <w:rPr>
            <w:noProof/>
            <w:webHidden/>
          </w:rPr>
          <w:fldChar w:fldCharType="separate"/>
        </w:r>
        <w:r w:rsidR="00BB727E">
          <w:rPr>
            <w:noProof/>
            <w:webHidden/>
          </w:rPr>
          <w:t>22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3" w:history="1">
        <w:r w:rsidR="00B038DB" w:rsidRPr="00413AD7">
          <w:rPr>
            <w:rStyle w:val="Hyperlink"/>
            <w:noProof/>
          </w:rPr>
          <w:t>4.2.</w:t>
        </w:r>
        <w:r w:rsidR="00B038DB">
          <w:rPr>
            <w:rFonts w:ascii="Calibri" w:eastAsia="Times New Roman" w:hAnsi="Calibri"/>
            <w:noProof/>
            <w:lang w:eastAsia="en-AU"/>
          </w:rPr>
          <w:tab/>
        </w:r>
        <w:r w:rsidR="00B038DB" w:rsidRPr="00413AD7">
          <w:rPr>
            <w:rStyle w:val="Hyperlink"/>
            <w:noProof/>
          </w:rPr>
          <w:t>Evaluator’s overall conclusions on pharmacodynamics</w:t>
        </w:r>
        <w:r w:rsidR="00B038DB">
          <w:rPr>
            <w:noProof/>
            <w:webHidden/>
          </w:rPr>
          <w:tab/>
        </w:r>
        <w:r>
          <w:rPr>
            <w:noProof/>
            <w:webHidden/>
          </w:rPr>
          <w:fldChar w:fldCharType="begin"/>
        </w:r>
        <w:r w:rsidR="00B038DB">
          <w:rPr>
            <w:noProof/>
            <w:webHidden/>
          </w:rPr>
          <w:instrText xml:space="preserve"> PAGEREF _Toc365636793 \h </w:instrText>
        </w:r>
        <w:r>
          <w:rPr>
            <w:noProof/>
            <w:webHidden/>
          </w:rPr>
        </w:r>
        <w:r>
          <w:rPr>
            <w:noProof/>
            <w:webHidden/>
          </w:rPr>
          <w:fldChar w:fldCharType="separate"/>
        </w:r>
        <w:r w:rsidR="00BB727E">
          <w:rPr>
            <w:noProof/>
            <w:webHidden/>
          </w:rPr>
          <w:t>23</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94" w:history="1">
        <w:r w:rsidR="00B038DB" w:rsidRPr="00413AD7">
          <w:rPr>
            <w:rStyle w:val="Hyperlink"/>
            <w:noProof/>
          </w:rPr>
          <w:t>5.</w:t>
        </w:r>
        <w:r w:rsidR="00B038DB">
          <w:rPr>
            <w:rFonts w:ascii="Calibri" w:eastAsia="Times New Roman" w:hAnsi="Calibri"/>
            <w:b w:val="0"/>
            <w:noProof/>
            <w:sz w:val="22"/>
            <w:lang w:eastAsia="en-AU"/>
          </w:rPr>
          <w:tab/>
        </w:r>
        <w:r w:rsidR="00B038DB" w:rsidRPr="00413AD7">
          <w:rPr>
            <w:rStyle w:val="Hyperlink"/>
            <w:noProof/>
          </w:rPr>
          <w:t>Dosage selection for the pivotal studies</w:t>
        </w:r>
        <w:r w:rsidR="00B038DB">
          <w:rPr>
            <w:noProof/>
            <w:webHidden/>
          </w:rPr>
          <w:tab/>
        </w:r>
        <w:r>
          <w:rPr>
            <w:noProof/>
            <w:webHidden/>
          </w:rPr>
          <w:fldChar w:fldCharType="begin"/>
        </w:r>
        <w:r w:rsidR="00B038DB">
          <w:rPr>
            <w:noProof/>
            <w:webHidden/>
          </w:rPr>
          <w:instrText xml:space="preserve"> PAGEREF _Toc365636794 \h </w:instrText>
        </w:r>
        <w:r>
          <w:rPr>
            <w:noProof/>
            <w:webHidden/>
          </w:rPr>
        </w:r>
        <w:r>
          <w:rPr>
            <w:noProof/>
            <w:webHidden/>
          </w:rPr>
          <w:fldChar w:fldCharType="separate"/>
        </w:r>
        <w:r w:rsidR="00BB727E">
          <w:rPr>
            <w:noProof/>
            <w:webHidden/>
          </w:rPr>
          <w:t>23</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795" w:history="1">
        <w:r w:rsidR="00B038DB" w:rsidRPr="00413AD7">
          <w:rPr>
            <w:rStyle w:val="Hyperlink"/>
            <w:noProof/>
          </w:rPr>
          <w:t>6.</w:t>
        </w:r>
        <w:r w:rsidR="00B038DB">
          <w:rPr>
            <w:rFonts w:ascii="Calibri" w:eastAsia="Times New Roman" w:hAnsi="Calibri"/>
            <w:b w:val="0"/>
            <w:noProof/>
            <w:sz w:val="22"/>
            <w:lang w:eastAsia="en-AU"/>
          </w:rPr>
          <w:tab/>
        </w:r>
        <w:r w:rsidR="00B038DB" w:rsidRPr="00413AD7">
          <w:rPr>
            <w:rStyle w:val="Hyperlink"/>
            <w:noProof/>
          </w:rPr>
          <w:t>Clinical efficacy</w:t>
        </w:r>
        <w:r w:rsidR="00B038DB">
          <w:rPr>
            <w:noProof/>
            <w:webHidden/>
          </w:rPr>
          <w:tab/>
        </w:r>
        <w:r>
          <w:rPr>
            <w:noProof/>
            <w:webHidden/>
          </w:rPr>
          <w:fldChar w:fldCharType="begin"/>
        </w:r>
        <w:r w:rsidR="00B038DB">
          <w:rPr>
            <w:noProof/>
            <w:webHidden/>
          </w:rPr>
          <w:instrText xml:space="preserve"> PAGEREF _Toc365636795 \h </w:instrText>
        </w:r>
        <w:r>
          <w:rPr>
            <w:noProof/>
            <w:webHidden/>
          </w:rPr>
        </w:r>
        <w:r>
          <w:rPr>
            <w:noProof/>
            <w:webHidden/>
          </w:rPr>
          <w:fldChar w:fldCharType="separate"/>
        </w:r>
        <w:r w:rsidR="00BB727E">
          <w:rPr>
            <w:noProof/>
            <w:webHidden/>
          </w:rPr>
          <w:t>23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6" w:history="1">
        <w:r w:rsidR="00B038DB" w:rsidRPr="00413AD7">
          <w:rPr>
            <w:rStyle w:val="Hyperlink"/>
            <w:noProof/>
          </w:rPr>
          <w:t>6.1.</w:t>
        </w:r>
        <w:r w:rsidR="00B038DB">
          <w:rPr>
            <w:rFonts w:ascii="Calibri" w:eastAsia="Times New Roman" w:hAnsi="Calibri"/>
            <w:noProof/>
            <w:lang w:eastAsia="en-AU"/>
          </w:rPr>
          <w:tab/>
        </w:r>
        <w:r w:rsidR="00B038DB" w:rsidRPr="00413AD7">
          <w:rPr>
            <w:rStyle w:val="Hyperlink"/>
            <w:noProof/>
          </w:rPr>
          <w:t>Pivotal efficacy studies</w:t>
        </w:r>
        <w:r w:rsidR="00B038DB">
          <w:rPr>
            <w:noProof/>
            <w:webHidden/>
          </w:rPr>
          <w:tab/>
        </w:r>
        <w:r>
          <w:rPr>
            <w:noProof/>
            <w:webHidden/>
          </w:rPr>
          <w:fldChar w:fldCharType="begin"/>
        </w:r>
        <w:r w:rsidR="00B038DB">
          <w:rPr>
            <w:noProof/>
            <w:webHidden/>
          </w:rPr>
          <w:instrText xml:space="preserve"> PAGEREF _Toc365636796 \h </w:instrText>
        </w:r>
        <w:r>
          <w:rPr>
            <w:noProof/>
            <w:webHidden/>
          </w:rPr>
        </w:r>
        <w:r>
          <w:rPr>
            <w:noProof/>
            <w:webHidden/>
          </w:rPr>
          <w:fldChar w:fldCharType="separate"/>
        </w:r>
        <w:r w:rsidR="00BB727E">
          <w:rPr>
            <w:noProof/>
            <w:webHidden/>
          </w:rPr>
          <w:t>23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7" w:history="1">
        <w:r w:rsidR="00B038DB" w:rsidRPr="00413AD7">
          <w:rPr>
            <w:rStyle w:val="Hyperlink"/>
            <w:noProof/>
          </w:rPr>
          <w:t>6.2.</w:t>
        </w:r>
        <w:r w:rsidR="00B038DB">
          <w:rPr>
            <w:rFonts w:ascii="Calibri" w:eastAsia="Times New Roman" w:hAnsi="Calibri"/>
            <w:noProof/>
            <w:lang w:eastAsia="en-AU"/>
          </w:rPr>
          <w:tab/>
        </w:r>
        <w:r w:rsidR="00B038DB" w:rsidRPr="00413AD7">
          <w:rPr>
            <w:rStyle w:val="Hyperlink"/>
            <w:noProof/>
          </w:rPr>
          <w:t>Other efficacy studies</w:t>
        </w:r>
        <w:r w:rsidR="00B038DB">
          <w:rPr>
            <w:noProof/>
            <w:webHidden/>
          </w:rPr>
          <w:tab/>
        </w:r>
        <w:r>
          <w:rPr>
            <w:noProof/>
            <w:webHidden/>
          </w:rPr>
          <w:fldChar w:fldCharType="begin"/>
        </w:r>
        <w:r w:rsidR="00B038DB">
          <w:rPr>
            <w:noProof/>
            <w:webHidden/>
          </w:rPr>
          <w:instrText xml:space="preserve"> PAGEREF _Toc365636797 \h </w:instrText>
        </w:r>
        <w:r>
          <w:rPr>
            <w:noProof/>
            <w:webHidden/>
          </w:rPr>
        </w:r>
        <w:r>
          <w:rPr>
            <w:noProof/>
            <w:webHidden/>
          </w:rPr>
          <w:fldChar w:fldCharType="separate"/>
        </w:r>
        <w:r w:rsidR="00BB727E">
          <w:rPr>
            <w:noProof/>
            <w:webHidden/>
          </w:rPr>
          <w:t>46</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8" w:history="1">
        <w:r w:rsidR="00B038DB" w:rsidRPr="00413AD7">
          <w:rPr>
            <w:rStyle w:val="Hyperlink"/>
            <w:noProof/>
          </w:rPr>
          <w:t>6.3.</w:t>
        </w:r>
        <w:r w:rsidR="00B038DB">
          <w:rPr>
            <w:rFonts w:ascii="Calibri" w:eastAsia="Times New Roman" w:hAnsi="Calibri"/>
            <w:noProof/>
            <w:lang w:eastAsia="en-AU"/>
          </w:rPr>
          <w:tab/>
        </w:r>
        <w:r w:rsidR="00B038DB" w:rsidRPr="00413AD7">
          <w:rPr>
            <w:rStyle w:val="Hyperlink"/>
            <w:noProof/>
          </w:rPr>
          <w:t>Analyses performed across trials (pooled and meta-analyses)</w:t>
        </w:r>
        <w:r w:rsidR="00B038DB">
          <w:rPr>
            <w:noProof/>
            <w:webHidden/>
          </w:rPr>
          <w:tab/>
        </w:r>
        <w:r>
          <w:rPr>
            <w:noProof/>
            <w:webHidden/>
          </w:rPr>
          <w:fldChar w:fldCharType="begin"/>
        </w:r>
        <w:r w:rsidR="00B038DB">
          <w:rPr>
            <w:noProof/>
            <w:webHidden/>
          </w:rPr>
          <w:instrText xml:space="preserve"> PAGEREF _Toc365636798 \h </w:instrText>
        </w:r>
        <w:r>
          <w:rPr>
            <w:noProof/>
            <w:webHidden/>
          </w:rPr>
        </w:r>
        <w:r>
          <w:rPr>
            <w:noProof/>
            <w:webHidden/>
          </w:rPr>
          <w:fldChar w:fldCharType="separate"/>
        </w:r>
        <w:r w:rsidR="00BB727E">
          <w:rPr>
            <w:noProof/>
            <w:webHidden/>
          </w:rPr>
          <w:t>53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799" w:history="1">
        <w:r w:rsidR="00B038DB" w:rsidRPr="00413AD7">
          <w:rPr>
            <w:rStyle w:val="Hyperlink"/>
            <w:noProof/>
          </w:rPr>
          <w:t>6.4.</w:t>
        </w:r>
        <w:r w:rsidR="00B038DB">
          <w:rPr>
            <w:rFonts w:ascii="Calibri" w:eastAsia="Times New Roman" w:hAnsi="Calibri"/>
            <w:noProof/>
            <w:lang w:eastAsia="en-AU"/>
          </w:rPr>
          <w:tab/>
        </w:r>
        <w:r w:rsidR="00B038DB" w:rsidRPr="00413AD7">
          <w:rPr>
            <w:rStyle w:val="Hyperlink"/>
            <w:noProof/>
          </w:rPr>
          <w:t>Evaluator’s conclusions on clinical efficacy</w:t>
        </w:r>
        <w:r w:rsidR="00B038DB">
          <w:rPr>
            <w:noProof/>
            <w:webHidden/>
          </w:rPr>
          <w:tab/>
        </w:r>
        <w:r>
          <w:rPr>
            <w:noProof/>
            <w:webHidden/>
          </w:rPr>
          <w:fldChar w:fldCharType="begin"/>
        </w:r>
        <w:r w:rsidR="00B038DB">
          <w:rPr>
            <w:noProof/>
            <w:webHidden/>
          </w:rPr>
          <w:instrText xml:space="preserve"> PAGEREF _Toc365636799 \h </w:instrText>
        </w:r>
        <w:r>
          <w:rPr>
            <w:noProof/>
            <w:webHidden/>
          </w:rPr>
        </w:r>
        <w:r>
          <w:rPr>
            <w:noProof/>
            <w:webHidden/>
          </w:rPr>
          <w:fldChar w:fldCharType="separate"/>
        </w:r>
        <w:r w:rsidR="00BB727E">
          <w:rPr>
            <w:noProof/>
            <w:webHidden/>
          </w:rPr>
          <w:t>61</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800" w:history="1">
        <w:r w:rsidR="00B038DB" w:rsidRPr="00413AD7">
          <w:rPr>
            <w:rStyle w:val="Hyperlink"/>
            <w:noProof/>
          </w:rPr>
          <w:t>7.</w:t>
        </w:r>
        <w:r w:rsidR="00B038DB">
          <w:rPr>
            <w:rFonts w:ascii="Calibri" w:eastAsia="Times New Roman" w:hAnsi="Calibri"/>
            <w:b w:val="0"/>
            <w:noProof/>
            <w:sz w:val="22"/>
            <w:lang w:eastAsia="en-AU"/>
          </w:rPr>
          <w:tab/>
        </w:r>
        <w:r w:rsidR="00B038DB" w:rsidRPr="00413AD7">
          <w:rPr>
            <w:rStyle w:val="Hyperlink"/>
            <w:noProof/>
          </w:rPr>
          <w:t>Clinical safety</w:t>
        </w:r>
        <w:r w:rsidR="00B038DB">
          <w:rPr>
            <w:noProof/>
            <w:webHidden/>
          </w:rPr>
          <w:tab/>
        </w:r>
        <w:r>
          <w:rPr>
            <w:noProof/>
            <w:webHidden/>
          </w:rPr>
          <w:fldChar w:fldCharType="begin"/>
        </w:r>
        <w:r w:rsidR="00B038DB">
          <w:rPr>
            <w:noProof/>
            <w:webHidden/>
          </w:rPr>
          <w:instrText xml:space="preserve"> PAGEREF _Toc365636800 \h </w:instrText>
        </w:r>
        <w:r>
          <w:rPr>
            <w:noProof/>
            <w:webHidden/>
          </w:rPr>
        </w:r>
        <w:r>
          <w:rPr>
            <w:noProof/>
            <w:webHidden/>
          </w:rPr>
          <w:fldChar w:fldCharType="separate"/>
        </w:r>
        <w:r w:rsidR="00BB727E">
          <w:rPr>
            <w:noProof/>
            <w:webHidden/>
          </w:rPr>
          <w:t>62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1" w:history="1">
        <w:r w:rsidR="00B038DB" w:rsidRPr="00413AD7">
          <w:rPr>
            <w:rStyle w:val="Hyperlink"/>
            <w:noProof/>
          </w:rPr>
          <w:t>7.1.</w:t>
        </w:r>
        <w:r w:rsidR="00B038DB">
          <w:rPr>
            <w:rFonts w:ascii="Calibri" w:eastAsia="Times New Roman" w:hAnsi="Calibri"/>
            <w:noProof/>
            <w:lang w:eastAsia="en-AU"/>
          </w:rPr>
          <w:tab/>
        </w:r>
        <w:r w:rsidR="00B038DB" w:rsidRPr="00413AD7">
          <w:rPr>
            <w:rStyle w:val="Hyperlink"/>
            <w:noProof/>
          </w:rPr>
          <w:t>Studies providing evaluable safety data</w:t>
        </w:r>
        <w:r w:rsidR="00B038DB">
          <w:rPr>
            <w:noProof/>
            <w:webHidden/>
          </w:rPr>
          <w:tab/>
        </w:r>
        <w:r>
          <w:rPr>
            <w:noProof/>
            <w:webHidden/>
          </w:rPr>
          <w:fldChar w:fldCharType="begin"/>
        </w:r>
        <w:r w:rsidR="00B038DB">
          <w:rPr>
            <w:noProof/>
            <w:webHidden/>
          </w:rPr>
          <w:instrText xml:space="preserve"> PAGEREF _Toc365636801 \h </w:instrText>
        </w:r>
        <w:r>
          <w:rPr>
            <w:noProof/>
            <w:webHidden/>
          </w:rPr>
        </w:r>
        <w:r>
          <w:rPr>
            <w:noProof/>
            <w:webHidden/>
          </w:rPr>
          <w:fldChar w:fldCharType="separate"/>
        </w:r>
        <w:r w:rsidR="00BB727E">
          <w:rPr>
            <w:noProof/>
            <w:webHidden/>
          </w:rPr>
          <w:t>62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2" w:history="1">
        <w:r w:rsidR="00B038DB" w:rsidRPr="00413AD7">
          <w:rPr>
            <w:rStyle w:val="Hyperlink"/>
            <w:noProof/>
          </w:rPr>
          <w:t>7.2.</w:t>
        </w:r>
        <w:r w:rsidR="00B038DB">
          <w:rPr>
            <w:rFonts w:ascii="Calibri" w:eastAsia="Times New Roman" w:hAnsi="Calibri"/>
            <w:noProof/>
            <w:lang w:eastAsia="en-AU"/>
          </w:rPr>
          <w:tab/>
        </w:r>
        <w:r w:rsidR="00B038DB" w:rsidRPr="00413AD7">
          <w:rPr>
            <w:rStyle w:val="Hyperlink"/>
            <w:noProof/>
          </w:rPr>
          <w:t>Patient exposure</w:t>
        </w:r>
        <w:r w:rsidR="00B038DB">
          <w:rPr>
            <w:noProof/>
            <w:webHidden/>
          </w:rPr>
          <w:tab/>
        </w:r>
        <w:r>
          <w:rPr>
            <w:noProof/>
            <w:webHidden/>
          </w:rPr>
          <w:fldChar w:fldCharType="begin"/>
        </w:r>
        <w:r w:rsidR="00B038DB">
          <w:rPr>
            <w:noProof/>
            <w:webHidden/>
          </w:rPr>
          <w:instrText xml:space="preserve"> PAGEREF _Toc365636802 \h </w:instrText>
        </w:r>
        <w:r>
          <w:rPr>
            <w:noProof/>
            <w:webHidden/>
          </w:rPr>
        </w:r>
        <w:r>
          <w:rPr>
            <w:noProof/>
            <w:webHidden/>
          </w:rPr>
          <w:fldChar w:fldCharType="separate"/>
        </w:r>
        <w:r w:rsidR="00BB727E">
          <w:rPr>
            <w:noProof/>
            <w:webHidden/>
          </w:rPr>
          <w:t>63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3" w:history="1">
        <w:r w:rsidR="00B038DB" w:rsidRPr="00413AD7">
          <w:rPr>
            <w:rStyle w:val="Hyperlink"/>
            <w:noProof/>
          </w:rPr>
          <w:t>7.3.</w:t>
        </w:r>
        <w:r w:rsidR="00B038DB">
          <w:rPr>
            <w:rFonts w:ascii="Calibri" w:eastAsia="Times New Roman" w:hAnsi="Calibri"/>
            <w:noProof/>
            <w:lang w:eastAsia="en-AU"/>
          </w:rPr>
          <w:tab/>
        </w:r>
        <w:r w:rsidR="00B038DB" w:rsidRPr="00413AD7">
          <w:rPr>
            <w:rStyle w:val="Hyperlink"/>
            <w:noProof/>
          </w:rPr>
          <w:t>Adverse events</w:t>
        </w:r>
        <w:r w:rsidR="00B038DB">
          <w:rPr>
            <w:noProof/>
            <w:webHidden/>
          </w:rPr>
          <w:tab/>
        </w:r>
        <w:r>
          <w:rPr>
            <w:noProof/>
            <w:webHidden/>
          </w:rPr>
          <w:fldChar w:fldCharType="begin"/>
        </w:r>
        <w:r w:rsidR="00B038DB">
          <w:rPr>
            <w:noProof/>
            <w:webHidden/>
          </w:rPr>
          <w:instrText xml:space="preserve"> PAGEREF _Toc365636803 \h </w:instrText>
        </w:r>
        <w:r>
          <w:rPr>
            <w:noProof/>
            <w:webHidden/>
          </w:rPr>
        </w:r>
        <w:r>
          <w:rPr>
            <w:noProof/>
            <w:webHidden/>
          </w:rPr>
          <w:fldChar w:fldCharType="separate"/>
        </w:r>
        <w:r w:rsidR="00BB727E">
          <w:rPr>
            <w:noProof/>
            <w:webHidden/>
          </w:rPr>
          <w:t>64</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4" w:history="1">
        <w:r w:rsidR="00B038DB" w:rsidRPr="00413AD7">
          <w:rPr>
            <w:rStyle w:val="Hyperlink"/>
            <w:noProof/>
          </w:rPr>
          <w:t>7.4.</w:t>
        </w:r>
        <w:r w:rsidR="00B038DB">
          <w:rPr>
            <w:rFonts w:ascii="Calibri" w:eastAsia="Times New Roman" w:hAnsi="Calibri"/>
            <w:noProof/>
            <w:lang w:eastAsia="en-AU"/>
          </w:rPr>
          <w:tab/>
        </w:r>
        <w:r w:rsidR="00B038DB" w:rsidRPr="00413AD7">
          <w:rPr>
            <w:rStyle w:val="Hyperlink"/>
            <w:noProof/>
          </w:rPr>
          <w:t>Laboratory tests</w:t>
        </w:r>
        <w:r w:rsidR="00B038DB">
          <w:rPr>
            <w:noProof/>
            <w:webHidden/>
          </w:rPr>
          <w:tab/>
        </w:r>
        <w:r>
          <w:rPr>
            <w:noProof/>
            <w:webHidden/>
          </w:rPr>
          <w:fldChar w:fldCharType="begin"/>
        </w:r>
        <w:r w:rsidR="00B038DB">
          <w:rPr>
            <w:noProof/>
            <w:webHidden/>
          </w:rPr>
          <w:instrText xml:space="preserve"> PAGEREF _Toc365636804 \h </w:instrText>
        </w:r>
        <w:r>
          <w:rPr>
            <w:noProof/>
            <w:webHidden/>
          </w:rPr>
        </w:r>
        <w:r>
          <w:rPr>
            <w:noProof/>
            <w:webHidden/>
          </w:rPr>
          <w:fldChar w:fldCharType="separate"/>
        </w:r>
        <w:r w:rsidR="00BB727E">
          <w:rPr>
            <w:noProof/>
            <w:webHidden/>
          </w:rPr>
          <w:t>72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5" w:history="1">
        <w:r w:rsidR="00B038DB" w:rsidRPr="00413AD7">
          <w:rPr>
            <w:rStyle w:val="Hyperlink"/>
            <w:noProof/>
          </w:rPr>
          <w:t>7.5.</w:t>
        </w:r>
        <w:r w:rsidR="00B038DB">
          <w:rPr>
            <w:rFonts w:ascii="Calibri" w:eastAsia="Times New Roman" w:hAnsi="Calibri"/>
            <w:noProof/>
            <w:lang w:eastAsia="en-AU"/>
          </w:rPr>
          <w:tab/>
        </w:r>
        <w:r w:rsidR="00B038DB" w:rsidRPr="00413AD7">
          <w:rPr>
            <w:rStyle w:val="Hyperlink"/>
            <w:noProof/>
          </w:rPr>
          <w:t>Electrocardiograph</w:t>
        </w:r>
        <w:r w:rsidR="00B038DB">
          <w:rPr>
            <w:noProof/>
            <w:webHidden/>
          </w:rPr>
          <w:tab/>
        </w:r>
        <w:r>
          <w:rPr>
            <w:noProof/>
            <w:webHidden/>
          </w:rPr>
          <w:fldChar w:fldCharType="begin"/>
        </w:r>
        <w:r w:rsidR="00B038DB">
          <w:rPr>
            <w:noProof/>
            <w:webHidden/>
          </w:rPr>
          <w:instrText xml:space="preserve"> PAGEREF _Toc365636805 \h </w:instrText>
        </w:r>
        <w:r>
          <w:rPr>
            <w:noProof/>
            <w:webHidden/>
          </w:rPr>
        </w:r>
        <w:r>
          <w:rPr>
            <w:noProof/>
            <w:webHidden/>
          </w:rPr>
          <w:fldChar w:fldCharType="separate"/>
        </w:r>
        <w:r w:rsidR="00BB727E">
          <w:rPr>
            <w:noProof/>
            <w:webHidden/>
          </w:rPr>
          <w:t>74</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6" w:history="1">
        <w:r w:rsidR="00B038DB" w:rsidRPr="00413AD7">
          <w:rPr>
            <w:rStyle w:val="Hyperlink"/>
            <w:noProof/>
          </w:rPr>
          <w:t>7.6.</w:t>
        </w:r>
        <w:r w:rsidR="00B038DB">
          <w:rPr>
            <w:rFonts w:ascii="Calibri" w:eastAsia="Times New Roman" w:hAnsi="Calibri"/>
            <w:noProof/>
            <w:lang w:eastAsia="en-AU"/>
          </w:rPr>
          <w:tab/>
        </w:r>
        <w:r w:rsidR="00B038DB" w:rsidRPr="00413AD7">
          <w:rPr>
            <w:rStyle w:val="Hyperlink"/>
            <w:noProof/>
          </w:rPr>
          <w:t>Vital signs</w:t>
        </w:r>
        <w:r w:rsidR="00B038DB">
          <w:rPr>
            <w:noProof/>
            <w:webHidden/>
          </w:rPr>
          <w:tab/>
        </w:r>
        <w:r>
          <w:rPr>
            <w:noProof/>
            <w:webHidden/>
          </w:rPr>
          <w:fldChar w:fldCharType="begin"/>
        </w:r>
        <w:r w:rsidR="00B038DB">
          <w:rPr>
            <w:noProof/>
            <w:webHidden/>
          </w:rPr>
          <w:instrText xml:space="preserve"> PAGEREF _Toc365636806 \h </w:instrText>
        </w:r>
        <w:r>
          <w:rPr>
            <w:noProof/>
            <w:webHidden/>
          </w:rPr>
        </w:r>
        <w:r>
          <w:rPr>
            <w:noProof/>
            <w:webHidden/>
          </w:rPr>
          <w:fldChar w:fldCharType="separate"/>
        </w:r>
        <w:r w:rsidR="00BB727E">
          <w:rPr>
            <w:noProof/>
            <w:webHidden/>
          </w:rPr>
          <w:t>75</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7" w:history="1">
        <w:r w:rsidR="00B038DB" w:rsidRPr="00413AD7">
          <w:rPr>
            <w:rStyle w:val="Hyperlink"/>
            <w:noProof/>
          </w:rPr>
          <w:t>7.7.</w:t>
        </w:r>
        <w:r w:rsidR="00B038DB">
          <w:rPr>
            <w:rFonts w:ascii="Calibri" w:eastAsia="Times New Roman" w:hAnsi="Calibri"/>
            <w:noProof/>
            <w:lang w:eastAsia="en-AU"/>
          </w:rPr>
          <w:tab/>
        </w:r>
        <w:r w:rsidR="00B038DB" w:rsidRPr="00413AD7">
          <w:rPr>
            <w:rStyle w:val="Hyperlink"/>
            <w:noProof/>
          </w:rPr>
          <w:t>Weight</w:t>
        </w:r>
        <w:r w:rsidR="00B038DB">
          <w:rPr>
            <w:noProof/>
            <w:webHidden/>
          </w:rPr>
          <w:tab/>
        </w:r>
        <w:r>
          <w:rPr>
            <w:noProof/>
            <w:webHidden/>
          </w:rPr>
          <w:fldChar w:fldCharType="begin"/>
        </w:r>
        <w:r w:rsidR="00B038DB">
          <w:rPr>
            <w:noProof/>
            <w:webHidden/>
          </w:rPr>
          <w:instrText xml:space="preserve"> PAGEREF _Toc365636807 \h </w:instrText>
        </w:r>
        <w:r>
          <w:rPr>
            <w:noProof/>
            <w:webHidden/>
          </w:rPr>
        </w:r>
        <w:r>
          <w:rPr>
            <w:noProof/>
            <w:webHidden/>
          </w:rPr>
          <w:fldChar w:fldCharType="separate"/>
        </w:r>
        <w:r w:rsidR="00BB727E">
          <w:rPr>
            <w:noProof/>
            <w:webHidden/>
          </w:rPr>
          <w:t>76</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8" w:history="1">
        <w:r w:rsidR="00B038DB" w:rsidRPr="00413AD7">
          <w:rPr>
            <w:rStyle w:val="Hyperlink"/>
            <w:noProof/>
          </w:rPr>
          <w:t>7.8.</w:t>
        </w:r>
        <w:r w:rsidR="00B038DB">
          <w:rPr>
            <w:rFonts w:ascii="Calibri" w:eastAsia="Times New Roman" w:hAnsi="Calibri"/>
            <w:noProof/>
            <w:lang w:eastAsia="en-AU"/>
          </w:rPr>
          <w:tab/>
        </w:r>
        <w:r w:rsidR="00B038DB" w:rsidRPr="00413AD7">
          <w:rPr>
            <w:rStyle w:val="Hyperlink"/>
            <w:noProof/>
          </w:rPr>
          <w:t>Urological and renal safety</w:t>
        </w:r>
        <w:r w:rsidR="00B038DB">
          <w:rPr>
            <w:noProof/>
            <w:webHidden/>
          </w:rPr>
          <w:tab/>
        </w:r>
        <w:r>
          <w:rPr>
            <w:noProof/>
            <w:webHidden/>
          </w:rPr>
          <w:fldChar w:fldCharType="begin"/>
        </w:r>
        <w:r w:rsidR="00B038DB">
          <w:rPr>
            <w:noProof/>
            <w:webHidden/>
          </w:rPr>
          <w:instrText xml:space="preserve"> PAGEREF _Toc365636808 \h </w:instrText>
        </w:r>
        <w:r>
          <w:rPr>
            <w:noProof/>
            <w:webHidden/>
          </w:rPr>
        </w:r>
        <w:r>
          <w:rPr>
            <w:noProof/>
            <w:webHidden/>
          </w:rPr>
          <w:fldChar w:fldCharType="separate"/>
        </w:r>
        <w:r w:rsidR="00BB727E">
          <w:rPr>
            <w:noProof/>
            <w:webHidden/>
          </w:rPr>
          <w:t>77</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09" w:history="1">
        <w:r w:rsidR="00B038DB" w:rsidRPr="00413AD7">
          <w:rPr>
            <w:rStyle w:val="Hyperlink"/>
            <w:noProof/>
          </w:rPr>
          <w:t>7.9.</w:t>
        </w:r>
        <w:r w:rsidR="00B038DB">
          <w:rPr>
            <w:rFonts w:ascii="Calibri" w:eastAsia="Times New Roman" w:hAnsi="Calibri"/>
            <w:noProof/>
            <w:lang w:eastAsia="en-AU"/>
          </w:rPr>
          <w:tab/>
        </w:r>
        <w:r w:rsidR="00B038DB" w:rsidRPr="00413AD7">
          <w:rPr>
            <w:rStyle w:val="Hyperlink"/>
            <w:noProof/>
          </w:rPr>
          <w:t>Psychiatric safety</w:t>
        </w:r>
        <w:r w:rsidR="00B038DB">
          <w:rPr>
            <w:noProof/>
            <w:webHidden/>
          </w:rPr>
          <w:tab/>
        </w:r>
        <w:r>
          <w:rPr>
            <w:noProof/>
            <w:webHidden/>
          </w:rPr>
          <w:fldChar w:fldCharType="begin"/>
        </w:r>
        <w:r w:rsidR="00B038DB">
          <w:rPr>
            <w:noProof/>
            <w:webHidden/>
          </w:rPr>
          <w:instrText xml:space="preserve"> PAGEREF _Toc365636809 \h </w:instrText>
        </w:r>
        <w:r>
          <w:rPr>
            <w:noProof/>
            <w:webHidden/>
          </w:rPr>
        </w:r>
        <w:r>
          <w:rPr>
            <w:noProof/>
            <w:webHidden/>
          </w:rPr>
          <w:fldChar w:fldCharType="separate"/>
        </w:r>
        <w:r w:rsidR="00BB727E">
          <w:rPr>
            <w:noProof/>
            <w:webHidden/>
          </w:rPr>
          <w:t>79</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0" w:history="1">
        <w:r w:rsidR="00B038DB" w:rsidRPr="00413AD7">
          <w:rPr>
            <w:rStyle w:val="Hyperlink"/>
            <w:noProof/>
          </w:rPr>
          <w:t>7.10.</w:t>
        </w:r>
        <w:r w:rsidR="00B038DB">
          <w:rPr>
            <w:rFonts w:ascii="Calibri" w:eastAsia="Times New Roman" w:hAnsi="Calibri"/>
            <w:noProof/>
            <w:lang w:eastAsia="en-AU"/>
          </w:rPr>
          <w:tab/>
        </w:r>
        <w:r w:rsidR="00B038DB" w:rsidRPr="00413AD7">
          <w:rPr>
            <w:rStyle w:val="Hyperlink"/>
            <w:noProof/>
          </w:rPr>
          <w:t>Post-marketing experience</w:t>
        </w:r>
        <w:r w:rsidR="00B038DB">
          <w:rPr>
            <w:noProof/>
            <w:webHidden/>
          </w:rPr>
          <w:tab/>
        </w:r>
        <w:r>
          <w:rPr>
            <w:noProof/>
            <w:webHidden/>
          </w:rPr>
          <w:fldChar w:fldCharType="begin"/>
        </w:r>
        <w:r w:rsidR="00B038DB">
          <w:rPr>
            <w:noProof/>
            <w:webHidden/>
          </w:rPr>
          <w:instrText xml:space="preserve"> PAGEREF _Toc365636810 \h </w:instrText>
        </w:r>
        <w:r>
          <w:rPr>
            <w:noProof/>
            <w:webHidden/>
          </w:rPr>
        </w:r>
        <w:r>
          <w:rPr>
            <w:noProof/>
            <w:webHidden/>
          </w:rPr>
          <w:fldChar w:fldCharType="separate"/>
        </w:r>
        <w:r w:rsidR="00BB727E">
          <w:rPr>
            <w:noProof/>
            <w:webHidden/>
          </w:rPr>
          <w:t>81</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1" w:history="1">
        <w:r w:rsidR="00B038DB" w:rsidRPr="00413AD7">
          <w:rPr>
            <w:rStyle w:val="Hyperlink"/>
            <w:noProof/>
          </w:rPr>
          <w:t>7.11.</w:t>
        </w:r>
        <w:r w:rsidR="00B038DB">
          <w:rPr>
            <w:rFonts w:ascii="Calibri" w:eastAsia="Times New Roman" w:hAnsi="Calibri"/>
            <w:noProof/>
            <w:lang w:eastAsia="en-AU"/>
          </w:rPr>
          <w:tab/>
        </w:r>
        <w:r w:rsidR="00B038DB" w:rsidRPr="00413AD7">
          <w:rPr>
            <w:rStyle w:val="Hyperlink"/>
            <w:noProof/>
          </w:rPr>
          <w:t>Safety issues with the potential for major regulatory impact</w:t>
        </w:r>
        <w:r w:rsidR="00B038DB">
          <w:rPr>
            <w:noProof/>
            <w:webHidden/>
          </w:rPr>
          <w:tab/>
        </w:r>
        <w:r>
          <w:rPr>
            <w:noProof/>
            <w:webHidden/>
          </w:rPr>
          <w:fldChar w:fldCharType="begin"/>
        </w:r>
        <w:r w:rsidR="00B038DB">
          <w:rPr>
            <w:noProof/>
            <w:webHidden/>
          </w:rPr>
          <w:instrText xml:space="preserve"> PAGEREF _Toc365636811 \h </w:instrText>
        </w:r>
        <w:r>
          <w:rPr>
            <w:noProof/>
            <w:webHidden/>
          </w:rPr>
        </w:r>
        <w:r>
          <w:rPr>
            <w:noProof/>
            <w:webHidden/>
          </w:rPr>
          <w:fldChar w:fldCharType="separate"/>
        </w:r>
        <w:r w:rsidR="00BB727E">
          <w:rPr>
            <w:noProof/>
            <w:webHidden/>
          </w:rPr>
          <w:t>82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2" w:history="1">
        <w:r w:rsidR="00B038DB" w:rsidRPr="00413AD7">
          <w:rPr>
            <w:rStyle w:val="Hyperlink"/>
            <w:noProof/>
          </w:rPr>
          <w:t>7.12.</w:t>
        </w:r>
        <w:r w:rsidR="00B038DB">
          <w:rPr>
            <w:rFonts w:ascii="Calibri" w:eastAsia="Times New Roman" w:hAnsi="Calibri"/>
            <w:noProof/>
            <w:lang w:eastAsia="en-AU"/>
          </w:rPr>
          <w:tab/>
        </w:r>
        <w:r w:rsidR="00B038DB" w:rsidRPr="00413AD7">
          <w:rPr>
            <w:rStyle w:val="Hyperlink"/>
            <w:noProof/>
          </w:rPr>
          <w:t>Other safety issues</w:t>
        </w:r>
        <w:r w:rsidR="00B038DB">
          <w:rPr>
            <w:noProof/>
            <w:webHidden/>
          </w:rPr>
          <w:tab/>
        </w:r>
        <w:r>
          <w:rPr>
            <w:noProof/>
            <w:webHidden/>
          </w:rPr>
          <w:fldChar w:fldCharType="begin"/>
        </w:r>
        <w:r w:rsidR="00B038DB">
          <w:rPr>
            <w:noProof/>
            <w:webHidden/>
          </w:rPr>
          <w:instrText xml:space="preserve"> PAGEREF _Toc365636812 \h </w:instrText>
        </w:r>
        <w:r>
          <w:rPr>
            <w:noProof/>
            <w:webHidden/>
          </w:rPr>
        </w:r>
        <w:r>
          <w:rPr>
            <w:noProof/>
            <w:webHidden/>
          </w:rPr>
          <w:fldChar w:fldCharType="separate"/>
        </w:r>
        <w:r w:rsidR="00BB727E">
          <w:rPr>
            <w:noProof/>
            <w:webHidden/>
          </w:rPr>
          <w:t>84</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3" w:history="1">
        <w:r w:rsidR="00B038DB" w:rsidRPr="00413AD7">
          <w:rPr>
            <w:rStyle w:val="Hyperlink"/>
            <w:noProof/>
          </w:rPr>
          <w:t>7.13.</w:t>
        </w:r>
        <w:r w:rsidR="00B038DB">
          <w:rPr>
            <w:rFonts w:ascii="Calibri" w:eastAsia="Times New Roman" w:hAnsi="Calibri"/>
            <w:noProof/>
            <w:lang w:eastAsia="en-AU"/>
          </w:rPr>
          <w:tab/>
        </w:r>
        <w:r w:rsidR="00B038DB" w:rsidRPr="00413AD7">
          <w:rPr>
            <w:rStyle w:val="Hyperlink"/>
            <w:noProof/>
          </w:rPr>
          <w:t>Evaluator’s overall conclusions on clinical safety</w:t>
        </w:r>
        <w:r w:rsidR="00B038DB">
          <w:rPr>
            <w:noProof/>
            <w:webHidden/>
          </w:rPr>
          <w:tab/>
        </w:r>
        <w:r>
          <w:rPr>
            <w:noProof/>
            <w:webHidden/>
          </w:rPr>
          <w:fldChar w:fldCharType="begin"/>
        </w:r>
        <w:r w:rsidR="00B038DB">
          <w:rPr>
            <w:noProof/>
            <w:webHidden/>
          </w:rPr>
          <w:instrText xml:space="preserve"> PAGEREF _Toc365636813 \h </w:instrText>
        </w:r>
        <w:r>
          <w:rPr>
            <w:noProof/>
            <w:webHidden/>
          </w:rPr>
        </w:r>
        <w:r>
          <w:rPr>
            <w:noProof/>
            <w:webHidden/>
          </w:rPr>
          <w:fldChar w:fldCharType="separate"/>
        </w:r>
        <w:r w:rsidR="00BB727E">
          <w:rPr>
            <w:noProof/>
            <w:webHidden/>
          </w:rPr>
          <w:t>88</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814" w:history="1">
        <w:r w:rsidR="00B038DB" w:rsidRPr="00413AD7">
          <w:rPr>
            <w:rStyle w:val="Hyperlink"/>
            <w:noProof/>
          </w:rPr>
          <w:t>8.</w:t>
        </w:r>
        <w:r w:rsidR="00B038DB">
          <w:rPr>
            <w:rFonts w:ascii="Calibri" w:eastAsia="Times New Roman" w:hAnsi="Calibri"/>
            <w:b w:val="0"/>
            <w:noProof/>
            <w:sz w:val="22"/>
            <w:lang w:eastAsia="en-AU"/>
          </w:rPr>
          <w:tab/>
        </w:r>
        <w:r w:rsidR="00B038DB" w:rsidRPr="00413AD7">
          <w:rPr>
            <w:rStyle w:val="Hyperlink"/>
            <w:noProof/>
          </w:rPr>
          <w:t>First round benefit-risk assessment</w:t>
        </w:r>
        <w:r w:rsidR="00B038DB">
          <w:rPr>
            <w:noProof/>
            <w:webHidden/>
          </w:rPr>
          <w:tab/>
        </w:r>
        <w:r>
          <w:rPr>
            <w:noProof/>
            <w:webHidden/>
          </w:rPr>
          <w:fldChar w:fldCharType="begin"/>
        </w:r>
        <w:r w:rsidR="00B038DB">
          <w:rPr>
            <w:noProof/>
            <w:webHidden/>
          </w:rPr>
          <w:instrText xml:space="preserve"> PAGEREF _Toc365636814 \h </w:instrText>
        </w:r>
        <w:r>
          <w:rPr>
            <w:noProof/>
            <w:webHidden/>
          </w:rPr>
        </w:r>
        <w:r>
          <w:rPr>
            <w:noProof/>
            <w:webHidden/>
          </w:rPr>
          <w:fldChar w:fldCharType="separate"/>
        </w:r>
        <w:r w:rsidR="00BB727E">
          <w:rPr>
            <w:noProof/>
            <w:webHidden/>
          </w:rPr>
          <w:t>90</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5" w:history="1">
        <w:r w:rsidR="00B038DB" w:rsidRPr="00413AD7">
          <w:rPr>
            <w:rStyle w:val="Hyperlink"/>
            <w:noProof/>
          </w:rPr>
          <w:t>8.1.</w:t>
        </w:r>
        <w:r w:rsidR="00B038DB">
          <w:rPr>
            <w:rFonts w:ascii="Calibri" w:eastAsia="Times New Roman" w:hAnsi="Calibri"/>
            <w:noProof/>
            <w:lang w:eastAsia="en-AU"/>
          </w:rPr>
          <w:tab/>
        </w:r>
        <w:r w:rsidR="00B038DB" w:rsidRPr="00413AD7">
          <w:rPr>
            <w:rStyle w:val="Hyperlink"/>
            <w:noProof/>
          </w:rPr>
          <w:t>First round assessment of benefits</w:t>
        </w:r>
        <w:r w:rsidR="00B038DB">
          <w:rPr>
            <w:noProof/>
            <w:webHidden/>
          </w:rPr>
          <w:tab/>
        </w:r>
        <w:r>
          <w:rPr>
            <w:noProof/>
            <w:webHidden/>
          </w:rPr>
          <w:fldChar w:fldCharType="begin"/>
        </w:r>
        <w:r w:rsidR="00B038DB">
          <w:rPr>
            <w:noProof/>
            <w:webHidden/>
          </w:rPr>
          <w:instrText xml:space="preserve"> PAGEREF _Toc365636815 \h </w:instrText>
        </w:r>
        <w:r>
          <w:rPr>
            <w:noProof/>
            <w:webHidden/>
          </w:rPr>
        </w:r>
        <w:r>
          <w:rPr>
            <w:noProof/>
            <w:webHidden/>
          </w:rPr>
          <w:fldChar w:fldCharType="separate"/>
        </w:r>
        <w:r w:rsidR="00BB727E">
          <w:rPr>
            <w:noProof/>
            <w:webHidden/>
          </w:rPr>
          <w:t>90</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6" w:history="1">
        <w:r w:rsidR="00B038DB" w:rsidRPr="00413AD7">
          <w:rPr>
            <w:rStyle w:val="Hyperlink"/>
            <w:noProof/>
          </w:rPr>
          <w:t>8.2.</w:t>
        </w:r>
        <w:r w:rsidR="00B038DB">
          <w:rPr>
            <w:rFonts w:ascii="Calibri" w:eastAsia="Times New Roman" w:hAnsi="Calibri"/>
            <w:noProof/>
            <w:lang w:eastAsia="en-AU"/>
          </w:rPr>
          <w:tab/>
        </w:r>
        <w:r w:rsidR="00B038DB" w:rsidRPr="00413AD7">
          <w:rPr>
            <w:rStyle w:val="Hyperlink"/>
            <w:noProof/>
          </w:rPr>
          <w:t>First round assessment of risks</w:t>
        </w:r>
        <w:r w:rsidR="00B038DB">
          <w:rPr>
            <w:noProof/>
            <w:webHidden/>
          </w:rPr>
          <w:tab/>
        </w:r>
        <w:r>
          <w:rPr>
            <w:noProof/>
            <w:webHidden/>
          </w:rPr>
          <w:fldChar w:fldCharType="begin"/>
        </w:r>
        <w:r w:rsidR="00B038DB">
          <w:rPr>
            <w:noProof/>
            <w:webHidden/>
          </w:rPr>
          <w:instrText xml:space="preserve"> PAGEREF _Toc365636816 \h </w:instrText>
        </w:r>
        <w:r>
          <w:rPr>
            <w:noProof/>
            <w:webHidden/>
          </w:rPr>
        </w:r>
        <w:r>
          <w:rPr>
            <w:noProof/>
            <w:webHidden/>
          </w:rPr>
          <w:fldChar w:fldCharType="separate"/>
        </w:r>
        <w:r w:rsidR="00BB727E">
          <w:rPr>
            <w:noProof/>
            <w:webHidden/>
          </w:rPr>
          <w:t>90</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17" w:history="1">
        <w:r w:rsidR="00B038DB" w:rsidRPr="00413AD7">
          <w:rPr>
            <w:rStyle w:val="Hyperlink"/>
            <w:noProof/>
          </w:rPr>
          <w:t>8.3.</w:t>
        </w:r>
        <w:r w:rsidR="00B038DB">
          <w:rPr>
            <w:rFonts w:ascii="Calibri" w:eastAsia="Times New Roman" w:hAnsi="Calibri"/>
            <w:noProof/>
            <w:lang w:eastAsia="en-AU"/>
          </w:rPr>
          <w:tab/>
        </w:r>
        <w:r w:rsidR="00B038DB" w:rsidRPr="00413AD7">
          <w:rPr>
            <w:rStyle w:val="Hyperlink"/>
            <w:noProof/>
          </w:rPr>
          <w:t>First round assessment of benefit-risk balance</w:t>
        </w:r>
        <w:r w:rsidR="00B038DB">
          <w:rPr>
            <w:noProof/>
            <w:webHidden/>
          </w:rPr>
          <w:tab/>
        </w:r>
        <w:r>
          <w:rPr>
            <w:noProof/>
            <w:webHidden/>
          </w:rPr>
          <w:fldChar w:fldCharType="begin"/>
        </w:r>
        <w:r w:rsidR="00B038DB">
          <w:rPr>
            <w:noProof/>
            <w:webHidden/>
          </w:rPr>
          <w:instrText xml:space="preserve"> PAGEREF _Toc365636817 \h </w:instrText>
        </w:r>
        <w:r>
          <w:rPr>
            <w:noProof/>
            <w:webHidden/>
          </w:rPr>
        </w:r>
        <w:r>
          <w:rPr>
            <w:noProof/>
            <w:webHidden/>
          </w:rPr>
          <w:fldChar w:fldCharType="separate"/>
        </w:r>
        <w:r w:rsidR="00BB727E">
          <w:rPr>
            <w:noProof/>
            <w:webHidden/>
          </w:rPr>
          <w:t>91</w:t>
        </w:r>
        <w:r>
          <w:rPr>
            <w:noProof/>
            <w:webHidden/>
          </w:rPr>
          <w:fldChar w:fldCharType="end"/>
        </w:r>
      </w:hyperlink>
    </w:p>
    <w:p w:rsidR="00B038DB" w:rsidRDefault="006D7D0F">
      <w:pPr>
        <w:pStyle w:val="TOC2"/>
        <w:tabs>
          <w:tab w:val="left" w:pos="1100"/>
        </w:tabs>
        <w:rPr>
          <w:rFonts w:ascii="Calibri" w:eastAsia="Times New Roman" w:hAnsi="Calibri"/>
          <w:b w:val="0"/>
          <w:noProof/>
          <w:sz w:val="22"/>
          <w:lang w:eastAsia="en-AU"/>
        </w:rPr>
      </w:pPr>
      <w:hyperlink w:anchor="_Toc365636818" w:history="1">
        <w:r w:rsidR="00B038DB" w:rsidRPr="00413AD7">
          <w:rPr>
            <w:rStyle w:val="Hyperlink"/>
            <w:noProof/>
          </w:rPr>
          <w:t>9.</w:t>
        </w:r>
        <w:r w:rsidR="00B038DB">
          <w:rPr>
            <w:rFonts w:ascii="Calibri" w:eastAsia="Times New Roman" w:hAnsi="Calibri"/>
            <w:b w:val="0"/>
            <w:noProof/>
            <w:sz w:val="22"/>
            <w:lang w:eastAsia="en-AU"/>
          </w:rPr>
          <w:tab/>
        </w:r>
        <w:r w:rsidR="00B038DB" w:rsidRPr="00413AD7">
          <w:rPr>
            <w:rStyle w:val="Hyperlink"/>
            <w:noProof/>
          </w:rPr>
          <w:t>First round recommendation regarding authorisation</w:t>
        </w:r>
        <w:r w:rsidR="00B038DB">
          <w:rPr>
            <w:noProof/>
            <w:webHidden/>
          </w:rPr>
          <w:tab/>
        </w:r>
        <w:r>
          <w:rPr>
            <w:noProof/>
            <w:webHidden/>
          </w:rPr>
          <w:fldChar w:fldCharType="begin"/>
        </w:r>
        <w:r w:rsidR="00B038DB">
          <w:rPr>
            <w:noProof/>
            <w:webHidden/>
          </w:rPr>
          <w:instrText xml:space="preserve"> PAGEREF _Toc365636818 \h </w:instrText>
        </w:r>
        <w:r>
          <w:rPr>
            <w:noProof/>
            <w:webHidden/>
          </w:rPr>
        </w:r>
        <w:r>
          <w:rPr>
            <w:noProof/>
            <w:webHidden/>
          </w:rPr>
          <w:fldChar w:fldCharType="separate"/>
        </w:r>
        <w:r w:rsidR="00BB727E">
          <w:rPr>
            <w:noProof/>
            <w:webHidden/>
          </w:rPr>
          <w:t>92</w:t>
        </w:r>
        <w:r>
          <w:rPr>
            <w:noProof/>
            <w:webHidden/>
          </w:rPr>
          <w:fldChar w:fldCharType="end"/>
        </w:r>
      </w:hyperlink>
    </w:p>
    <w:p w:rsidR="00B038DB" w:rsidRDefault="006D7D0F">
      <w:pPr>
        <w:pStyle w:val="TOC2"/>
        <w:tabs>
          <w:tab w:val="left" w:pos="1320"/>
        </w:tabs>
        <w:rPr>
          <w:rFonts w:ascii="Calibri" w:eastAsia="Times New Roman" w:hAnsi="Calibri"/>
          <w:b w:val="0"/>
          <w:noProof/>
          <w:sz w:val="22"/>
          <w:lang w:eastAsia="en-AU"/>
        </w:rPr>
      </w:pPr>
      <w:hyperlink w:anchor="_Toc365636819" w:history="1">
        <w:r w:rsidR="00B038DB" w:rsidRPr="00413AD7">
          <w:rPr>
            <w:rStyle w:val="Hyperlink"/>
            <w:noProof/>
          </w:rPr>
          <w:t>10.</w:t>
        </w:r>
        <w:r w:rsidR="00B038DB">
          <w:rPr>
            <w:rFonts w:ascii="Calibri" w:eastAsia="Times New Roman" w:hAnsi="Calibri"/>
            <w:b w:val="0"/>
            <w:noProof/>
            <w:sz w:val="22"/>
            <w:lang w:eastAsia="en-AU"/>
          </w:rPr>
          <w:tab/>
        </w:r>
        <w:r w:rsidR="00B038DB" w:rsidRPr="00413AD7">
          <w:rPr>
            <w:rStyle w:val="Hyperlink"/>
            <w:noProof/>
          </w:rPr>
          <w:t>Clinical questions</w:t>
        </w:r>
        <w:r w:rsidR="00B038DB">
          <w:rPr>
            <w:noProof/>
            <w:webHidden/>
          </w:rPr>
          <w:tab/>
        </w:r>
        <w:r>
          <w:rPr>
            <w:noProof/>
            <w:webHidden/>
          </w:rPr>
          <w:fldChar w:fldCharType="begin"/>
        </w:r>
        <w:r w:rsidR="00B038DB">
          <w:rPr>
            <w:noProof/>
            <w:webHidden/>
          </w:rPr>
          <w:instrText xml:space="preserve"> PAGEREF _Toc365636819 \h </w:instrText>
        </w:r>
        <w:r>
          <w:rPr>
            <w:noProof/>
            <w:webHidden/>
          </w:rPr>
        </w:r>
        <w:r>
          <w:rPr>
            <w:noProof/>
            <w:webHidden/>
          </w:rPr>
          <w:fldChar w:fldCharType="separate"/>
        </w:r>
        <w:r w:rsidR="00BB727E">
          <w:rPr>
            <w:noProof/>
            <w:webHidden/>
          </w:rPr>
          <w:t>92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20" w:history="1">
        <w:r w:rsidR="00B038DB" w:rsidRPr="00413AD7">
          <w:rPr>
            <w:rStyle w:val="Hyperlink"/>
            <w:noProof/>
          </w:rPr>
          <w:t>10.1.</w:t>
        </w:r>
        <w:r w:rsidR="00B038DB">
          <w:rPr>
            <w:rFonts w:ascii="Calibri" w:eastAsia="Times New Roman" w:hAnsi="Calibri"/>
            <w:noProof/>
            <w:lang w:eastAsia="en-AU"/>
          </w:rPr>
          <w:tab/>
        </w:r>
        <w:r w:rsidR="00B038DB" w:rsidRPr="00413AD7">
          <w:rPr>
            <w:rStyle w:val="Hyperlink"/>
            <w:noProof/>
          </w:rPr>
          <w:t>Pharmacokinetics</w:t>
        </w:r>
        <w:r w:rsidR="00B038DB">
          <w:rPr>
            <w:noProof/>
            <w:webHidden/>
          </w:rPr>
          <w:tab/>
        </w:r>
        <w:r>
          <w:rPr>
            <w:noProof/>
            <w:webHidden/>
          </w:rPr>
          <w:fldChar w:fldCharType="begin"/>
        </w:r>
        <w:r w:rsidR="00B038DB">
          <w:rPr>
            <w:noProof/>
            <w:webHidden/>
          </w:rPr>
          <w:instrText xml:space="preserve"> PAGEREF _Toc365636820 \h </w:instrText>
        </w:r>
        <w:r>
          <w:rPr>
            <w:noProof/>
            <w:webHidden/>
          </w:rPr>
        </w:r>
        <w:r>
          <w:rPr>
            <w:noProof/>
            <w:webHidden/>
          </w:rPr>
          <w:fldChar w:fldCharType="separate"/>
        </w:r>
        <w:r w:rsidR="00BB727E">
          <w:rPr>
            <w:noProof/>
            <w:webHidden/>
          </w:rPr>
          <w:t>92</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21" w:history="1">
        <w:r w:rsidR="00B038DB" w:rsidRPr="00413AD7">
          <w:rPr>
            <w:rStyle w:val="Hyperlink"/>
            <w:noProof/>
          </w:rPr>
          <w:t>10.2.</w:t>
        </w:r>
        <w:r w:rsidR="00B038DB">
          <w:rPr>
            <w:rFonts w:ascii="Calibri" w:eastAsia="Times New Roman" w:hAnsi="Calibri"/>
            <w:noProof/>
            <w:lang w:eastAsia="en-AU"/>
          </w:rPr>
          <w:tab/>
        </w:r>
        <w:r w:rsidR="00B038DB" w:rsidRPr="00413AD7">
          <w:rPr>
            <w:rStyle w:val="Hyperlink"/>
            <w:noProof/>
          </w:rPr>
          <w:t>Pharmacodynamics</w:t>
        </w:r>
        <w:r w:rsidR="00B038DB">
          <w:rPr>
            <w:noProof/>
            <w:webHidden/>
          </w:rPr>
          <w:tab/>
        </w:r>
        <w:r>
          <w:rPr>
            <w:noProof/>
            <w:webHidden/>
          </w:rPr>
          <w:fldChar w:fldCharType="begin"/>
        </w:r>
        <w:r w:rsidR="00B038DB">
          <w:rPr>
            <w:noProof/>
            <w:webHidden/>
          </w:rPr>
          <w:instrText xml:space="preserve"> PAGEREF _Toc365636821 \h </w:instrText>
        </w:r>
        <w:r>
          <w:rPr>
            <w:noProof/>
            <w:webHidden/>
          </w:rPr>
        </w:r>
        <w:r>
          <w:rPr>
            <w:noProof/>
            <w:webHidden/>
          </w:rPr>
          <w:fldChar w:fldCharType="separate"/>
        </w:r>
        <w:r w:rsidR="00BB727E">
          <w:rPr>
            <w:noProof/>
            <w:webHidden/>
          </w:rPr>
          <w:t>93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22" w:history="1">
        <w:r w:rsidR="00B038DB" w:rsidRPr="00413AD7">
          <w:rPr>
            <w:rStyle w:val="Hyperlink"/>
            <w:noProof/>
          </w:rPr>
          <w:t>10.3.</w:t>
        </w:r>
        <w:r w:rsidR="00B038DB">
          <w:rPr>
            <w:rFonts w:ascii="Calibri" w:eastAsia="Times New Roman" w:hAnsi="Calibri"/>
            <w:noProof/>
            <w:lang w:eastAsia="en-AU"/>
          </w:rPr>
          <w:tab/>
        </w:r>
        <w:r w:rsidR="00B038DB" w:rsidRPr="00413AD7">
          <w:rPr>
            <w:rStyle w:val="Hyperlink"/>
            <w:noProof/>
          </w:rPr>
          <w:t>Efficacy</w:t>
        </w:r>
        <w:r w:rsidR="00B038DB">
          <w:rPr>
            <w:noProof/>
            <w:webHidden/>
          </w:rPr>
          <w:tab/>
        </w:r>
        <w:r>
          <w:rPr>
            <w:noProof/>
            <w:webHidden/>
          </w:rPr>
          <w:fldChar w:fldCharType="begin"/>
        </w:r>
        <w:r w:rsidR="00B038DB">
          <w:rPr>
            <w:noProof/>
            <w:webHidden/>
          </w:rPr>
          <w:instrText xml:space="preserve"> PAGEREF _Toc365636822 \h </w:instrText>
        </w:r>
        <w:r>
          <w:rPr>
            <w:noProof/>
            <w:webHidden/>
          </w:rPr>
        </w:r>
        <w:r>
          <w:rPr>
            <w:noProof/>
            <w:webHidden/>
          </w:rPr>
          <w:fldChar w:fldCharType="separate"/>
        </w:r>
        <w:r w:rsidR="00BB727E">
          <w:rPr>
            <w:noProof/>
            <w:webHidden/>
          </w:rPr>
          <w:t>93</w:t>
        </w:r>
        <w:r>
          <w:rPr>
            <w:noProof/>
            <w:webHidden/>
          </w:rPr>
          <w:fldChar w:fldCharType="end"/>
        </w:r>
      </w:hyperlink>
    </w:p>
    <w:p w:rsidR="00B038DB" w:rsidRDefault="006D7D0F">
      <w:pPr>
        <w:pStyle w:val="TOC3"/>
        <w:tabs>
          <w:tab w:val="left" w:pos="1760"/>
        </w:tabs>
        <w:rPr>
          <w:rFonts w:ascii="Calibri" w:eastAsia="Times New Roman" w:hAnsi="Calibri"/>
          <w:noProof/>
          <w:lang w:eastAsia="en-AU"/>
        </w:rPr>
      </w:pPr>
      <w:hyperlink w:anchor="_Toc365636823" w:history="1">
        <w:r w:rsidR="00B038DB" w:rsidRPr="00413AD7">
          <w:rPr>
            <w:rStyle w:val="Hyperlink"/>
            <w:noProof/>
          </w:rPr>
          <w:t>10.4.</w:t>
        </w:r>
        <w:r w:rsidR="00B038DB">
          <w:rPr>
            <w:rFonts w:ascii="Calibri" w:eastAsia="Times New Roman" w:hAnsi="Calibri"/>
            <w:noProof/>
            <w:lang w:eastAsia="en-AU"/>
          </w:rPr>
          <w:tab/>
        </w:r>
        <w:r w:rsidR="00B038DB" w:rsidRPr="00413AD7">
          <w:rPr>
            <w:rStyle w:val="Hyperlink"/>
            <w:noProof/>
          </w:rPr>
          <w:t>Safety</w:t>
        </w:r>
        <w:r w:rsidR="00B038DB">
          <w:rPr>
            <w:noProof/>
            <w:webHidden/>
          </w:rPr>
          <w:tab/>
        </w:r>
        <w:r>
          <w:rPr>
            <w:noProof/>
            <w:webHidden/>
          </w:rPr>
          <w:fldChar w:fldCharType="begin"/>
        </w:r>
        <w:r w:rsidR="00B038DB">
          <w:rPr>
            <w:noProof/>
            <w:webHidden/>
          </w:rPr>
          <w:instrText xml:space="preserve"> PAGEREF _Toc365636823 \h </w:instrText>
        </w:r>
        <w:r>
          <w:rPr>
            <w:noProof/>
            <w:webHidden/>
          </w:rPr>
        </w:r>
        <w:r>
          <w:rPr>
            <w:noProof/>
            <w:webHidden/>
          </w:rPr>
          <w:fldChar w:fldCharType="separate"/>
        </w:r>
        <w:r w:rsidR="00BB727E">
          <w:rPr>
            <w:noProof/>
            <w:webHidden/>
          </w:rPr>
          <w:t>93</w:t>
        </w:r>
        <w:r>
          <w:rPr>
            <w:noProof/>
            <w:webHidden/>
          </w:rPr>
          <w:fldChar w:fldCharType="end"/>
        </w:r>
      </w:hyperlink>
    </w:p>
    <w:p w:rsidR="00B038DB" w:rsidRDefault="006D7D0F">
      <w:pPr>
        <w:pStyle w:val="TOC2"/>
        <w:tabs>
          <w:tab w:val="left" w:pos="1320"/>
        </w:tabs>
        <w:rPr>
          <w:rFonts w:ascii="Calibri" w:eastAsia="Times New Roman" w:hAnsi="Calibri"/>
          <w:b w:val="0"/>
          <w:noProof/>
          <w:sz w:val="22"/>
          <w:lang w:eastAsia="en-AU"/>
        </w:rPr>
      </w:pPr>
      <w:hyperlink w:anchor="_Toc365636824" w:history="1">
        <w:r w:rsidR="00B038DB" w:rsidRPr="00413AD7">
          <w:rPr>
            <w:rStyle w:val="Hyperlink"/>
            <w:noProof/>
          </w:rPr>
          <w:t>11.</w:t>
        </w:r>
        <w:r w:rsidR="00B038DB">
          <w:rPr>
            <w:rFonts w:ascii="Calibri" w:eastAsia="Times New Roman" w:hAnsi="Calibri"/>
            <w:b w:val="0"/>
            <w:noProof/>
            <w:sz w:val="22"/>
            <w:lang w:eastAsia="en-AU"/>
          </w:rPr>
          <w:tab/>
        </w:r>
        <w:r w:rsidR="00B038DB" w:rsidRPr="00413AD7">
          <w:rPr>
            <w:rStyle w:val="Hyperlink"/>
            <w:noProof/>
          </w:rPr>
          <w:t>References</w:t>
        </w:r>
        <w:r w:rsidR="00B038DB">
          <w:rPr>
            <w:noProof/>
            <w:webHidden/>
          </w:rPr>
          <w:tab/>
        </w:r>
        <w:r>
          <w:rPr>
            <w:noProof/>
            <w:webHidden/>
          </w:rPr>
          <w:fldChar w:fldCharType="begin"/>
        </w:r>
        <w:r w:rsidR="00B038DB">
          <w:rPr>
            <w:noProof/>
            <w:webHidden/>
          </w:rPr>
          <w:instrText xml:space="preserve"> PAGEREF _Toc365636824 \h </w:instrText>
        </w:r>
        <w:r>
          <w:rPr>
            <w:noProof/>
            <w:webHidden/>
          </w:rPr>
        </w:r>
        <w:r>
          <w:rPr>
            <w:noProof/>
            <w:webHidden/>
          </w:rPr>
          <w:fldChar w:fldCharType="separate"/>
        </w:r>
        <w:r w:rsidR="00BB727E">
          <w:rPr>
            <w:noProof/>
            <w:webHidden/>
          </w:rPr>
          <w:t>93</w:t>
        </w:r>
        <w:r>
          <w:rPr>
            <w:noProof/>
            <w:webHidden/>
          </w:rPr>
          <w:fldChar w:fldCharType="end"/>
        </w:r>
      </w:hyperlink>
    </w:p>
    <w:p w:rsidR="00586F98" w:rsidRDefault="006D7D0F" w:rsidP="00042913">
      <w:pPr>
        <w:pStyle w:val="TOC2"/>
      </w:pPr>
      <w:r>
        <w:fldChar w:fldCharType="end"/>
      </w:r>
      <w:bookmarkStart w:id="2" w:name="_Toc351716269"/>
      <w:bookmarkStart w:id="3" w:name="_Toc351718881"/>
      <w:bookmarkStart w:id="4" w:name="_Toc355338616"/>
      <w:bookmarkStart w:id="5" w:name="_Toc314842482"/>
      <w:r w:rsidR="00934CC8">
        <w:br w:type="page"/>
      </w:r>
      <w:bookmarkStart w:id="6" w:name="_Toc365636781"/>
      <w:r w:rsidR="00586F98">
        <w:lastRenderedPageBreak/>
        <w:t>List of abbreviations</w:t>
      </w:r>
      <w:bookmarkEnd w:id="2"/>
      <w:bookmarkEnd w:id="3"/>
      <w:bookmarkEnd w:id="4"/>
      <w:bookmarkEnd w:id="6"/>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1890"/>
        <w:gridCol w:w="6911"/>
      </w:tblGrid>
      <w:tr w:rsidR="00586F98" w:rsidTr="00042913">
        <w:trPr>
          <w:tblHeader/>
        </w:trPr>
        <w:tc>
          <w:tcPr>
            <w:tcW w:w="1890" w:type="dxa"/>
            <w:tcBorders>
              <w:top w:val="single" w:sz="8" w:space="0" w:color="000000"/>
              <w:left w:val="single" w:sz="8" w:space="0" w:color="000000"/>
              <w:bottom w:val="single" w:sz="8" w:space="0" w:color="000000"/>
              <w:right w:val="nil"/>
              <w:tl2br w:val="nil"/>
              <w:tr2bl w:val="nil"/>
            </w:tcBorders>
            <w:shd w:val="clear" w:color="auto" w:fill="006DA7"/>
          </w:tcPr>
          <w:p w:rsidR="00586F98" w:rsidRPr="004129D1" w:rsidRDefault="00586F98" w:rsidP="009A6272">
            <w:pPr>
              <w:ind w:left="170" w:right="170"/>
              <w:rPr>
                <w:b/>
                <w:color w:val="FFFFFF"/>
                <w:sz w:val="20"/>
                <w:szCs w:val="20"/>
                <w:lang w:eastAsia="en-AU"/>
              </w:rPr>
            </w:pPr>
            <w:r w:rsidRPr="004129D1">
              <w:rPr>
                <w:b/>
                <w:color w:val="FFFFFF"/>
                <w:sz w:val="20"/>
                <w:szCs w:val="20"/>
                <w:lang w:eastAsia="en-AU"/>
              </w:rPr>
              <w:t>Abbreviation</w:t>
            </w:r>
          </w:p>
        </w:tc>
        <w:tc>
          <w:tcPr>
            <w:tcW w:w="6911" w:type="dxa"/>
            <w:tcBorders>
              <w:top w:val="single" w:sz="8" w:space="0" w:color="000000"/>
              <w:left w:val="nil"/>
              <w:bottom w:val="single" w:sz="8" w:space="0" w:color="000000"/>
              <w:right w:val="single" w:sz="8" w:space="0" w:color="000000"/>
              <w:tl2br w:val="nil"/>
              <w:tr2bl w:val="nil"/>
            </w:tcBorders>
            <w:shd w:val="clear" w:color="auto" w:fill="006DA7"/>
          </w:tcPr>
          <w:p w:rsidR="00586F98" w:rsidRPr="004129D1" w:rsidRDefault="00586F98" w:rsidP="009A6272">
            <w:pPr>
              <w:ind w:left="170" w:right="170"/>
              <w:rPr>
                <w:b/>
                <w:color w:val="FFFFFF"/>
                <w:sz w:val="20"/>
                <w:szCs w:val="20"/>
                <w:lang w:eastAsia="en-AU"/>
              </w:rPr>
            </w:pPr>
            <w:r w:rsidRPr="004129D1">
              <w:rPr>
                <w:b/>
                <w:color w:val="FFFFFF"/>
                <w:sz w:val="20"/>
                <w:szCs w:val="20"/>
                <w:lang w:eastAsia="en-AU"/>
              </w:rPr>
              <w:t>Meaning</w:t>
            </w:r>
          </w:p>
        </w:tc>
      </w:tr>
      <w:tr w:rsidR="00586F98" w:rsidTr="0089642A">
        <w:tc>
          <w:tcPr>
            <w:tcW w:w="1890" w:type="dxa"/>
            <w:shd w:val="clear" w:color="auto" w:fill="auto"/>
          </w:tcPr>
          <w:p w:rsidR="00586F98" w:rsidRPr="004129D1" w:rsidRDefault="001E5DC6" w:rsidP="009A6272">
            <w:pPr>
              <w:ind w:left="170" w:right="170"/>
              <w:rPr>
                <w:color w:val="000000"/>
                <w:sz w:val="20"/>
                <w:szCs w:val="20"/>
                <w:lang w:eastAsia="en-AU"/>
              </w:rPr>
            </w:pPr>
            <w:r w:rsidRPr="004129D1">
              <w:rPr>
                <w:sz w:val="20"/>
                <w:szCs w:val="20"/>
              </w:rPr>
              <w:t>ADR</w:t>
            </w:r>
          </w:p>
        </w:tc>
        <w:tc>
          <w:tcPr>
            <w:tcW w:w="6911" w:type="dxa"/>
            <w:shd w:val="clear" w:color="auto" w:fill="auto"/>
          </w:tcPr>
          <w:p w:rsidR="00586F98" w:rsidRPr="004129D1" w:rsidRDefault="001E5DC6" w:rsidP="009A6272">
            <w:pPr>
              <w:ind w:left="170" w:right="170"/>
              <w:rPr>
                <w:color w:val="000000"/>
                <w:sz w:val="20"/>
                <w:szCs w:val="20"/>
                <w:lang w:eastAsia="en-AU"/>
              </w:rPr>
            </w:pPr>
            <w:r w:rsidRPr="004129D1">
              <w:rPr>
                <w:sz w:val="20"/>
                <w:szCs w:val="20"/>
              </w:rPr>
              <w:t>Adverse drug reactions</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AE</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Adverse event</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AED</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Antiepileptic drug</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AUA</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American Urological Association</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ALT</w:t>
            </w:r>
          </w:p>
        </w:tc>
        <w:tc>
          <w:tcPr>
            <w:tcW w:w="6911" w:type="dxa"/>
            <w:shd w:val="clear" w:color="auto" w:fill="auto"/>
          </w:tcPr>
          <w:p w:rsidR="0089642A" w:rsidRPr="004129D1" w:rsidRDefault="001E5DC6" w:rsidP="007448DC">
            <w:pPr>
              <w:ind w:left="170" w:right="170"/>
              <w:rPr>
                <w:color w:val="000000"/>
                <w:sz w:val="20"/>
                <w:szCs w:val="20"/>
                <w:lang w:eastAsia="en-AU"/>
              </w:rPr>
            </w:pPr>
            <w:proofErr w:type="spellStart"/>
            <w:r w:rsidRPr="004129D1">
              <w:rPr>
                <w:sz w:val="20"/>
                <w:szCs w:val="20"/>
              </w:rPr>
              <w:t>Alanine</w:t>
            </w:r>
            <w:proofErr w:type="spellEnd"/>
            <w:r w:rsidRPr="004129D1">
              <w:rPr>
                <w:sz w:val="20"/>
                <w:szCs w:val="20"/>
              </w:rPr>
              <w:t xml:space="preserve"> </w:t>
            </w:r>
            <w:proofErr w:type="spellStart"/>
            <w:r w:rsidRPr="004129D1">
              <w:rPr>
                <w:sz w:val="20"/>
                <w:szCs w:val="20"/>
              </w:rPr>
              <w:t>aminotransferase</w:t>
            </w:r>
            <w:proofErr w:type="spellEnd"/>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ANCOVA</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Analysis of covariance</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AST</w:t>
            </w:r>
          </w:p>
        </w:tc>
        <w:tc>
          <w:tcPr>
            <w:tcW w:w="6911" w:type="dxa"/>
            <w:shd w:val="clear" w:color="auto" w:fill="auto"/>
          </w:tcPr>
          <w:p w:rsidR="0089642A" w:rsidRPr="004129D1" w:rsidRDefault="001E5DC6" w:rsidP="007448DC">
            <w:pPr>
              <w:ind w:left="170" w:right="170"/>
              <w:rPr>
                <w:color w:val="000000"/>
                <w:sz w:val="20"/>
                <w:szCs w:val="20"/>
                <w:lang w:eastAsia="en-AU"/>
              </w:rPr>
            </w:pPr>
            <w:proofErr w:type="spellStart"/>
            <w:r w:rsidRPr="004129D1">
              <w:rPr>
                <w:sz w:val="20"/>
                <w:szCs w:val="20"/>
              </w:rPr>
              <w:t>Aspartate</w:t>
            </w:r>
            <w:proofErr w:type="spellEnd"/>
            <w:r w:rsidRPr="004129D1">
              <w:rPr>
                <w:sz w:val="20"/>
                <w:szCs w:val="20"/>
              </w:rPr>
              <w:t xml:space="preserve"> </w:t>
            </w:r>
            <w:proofErr w:type="spellStart"/>
            <w:r w:rsidRPr="004129D1">
              <w:rPr>
                <w:sz w:val="20"/>
                <w:szCs w:val="20"/>
              </w:rPr>
              <w:t>aminotransferase</w:t>
            </w:r>
            <w:proofErr w:type="spellEnd"/>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AUA SI</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American Urological Association Symptom Index</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AUC</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Area under the plasma concentration-time curve</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AUC(0-τ)</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AUC over the dosing interval</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AUC(0-∞)</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AUC from zero up to infinity</w:t>
            </w:r>
          </w:p>
        </w:tc>
      </w:tr>
      <w:tr w:rsidR="0089642A" w:rsidTr="0089642A">
        <w:tc>
          <w:tcPr>
            <w:tcW w:w="1890"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BID</w:t>
            </w:r>
          </w:p>
        </w:tc>
        <w:tc>
          <w:tcPr>
            <w:tcW w:w="6911" w:type="dxa"/>
            <w:shd w:val="clear" w:color="auto" w:fill="auto"/>
          </w:tcPr>
          <w:p w:rsidR="0089642A" w:rsidRPr="004129D1" w:rsidRDefault="001E5DC6" w:rsidP="007448DC">
            <w:pPr>
              <w:ind w:left="170" w:right="170"/>
              <w:rPr>
                <w:color w:val="000000"/>
                <w:sz w:val="20"/>
                <w:szCs w:val="20"/>
                <w:lang w:eastAsia="en-AU"/>
              </w:rPr>
            </w:pPr>
            <w:r w:rsidRPr="004129D1">
              <w:rPr>
                <w:sz w:val="20"/>
                <w:szCs w:val="20"/>
              </w:rPr>
              <w:t>Two times daily</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BSA</w:t>
            </w:r>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Body surface area</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CBZ</w:t>
            </w:r>
          </w:p>
        </w:tc>
        <w:tc>
          <w:tcPr>
            <w:tcW w:w="6911" w:type="dxa"/>
            <w:shd w:val="clear" w:color="auto" w:fill="auto"/>
          </w:tcPr>
          <w:p w:rsidR="0089642A" w:rsidRPr="004129D1" w:rsidRDefault="006017A3" w:rsidP="007448DC">
            <w:pPr>
              <w:ind w:left="170" w:right="170"/>
              <w:rPr>
                <w:color w:val="000000"/>
                <w:sz w:val="20"/>
                <w:szCs w:val="20"/>
                <w:lang w:eastAsia="en-AU"/>
              </w:rPr>
            </w:pPr>
            <w:proofErr w:type="spellStart"/>
            <w:r w:rsidRPr="004129D1">
              <w:rPr>
                <w:sz w:val="20"/>
                <w:szCs w:val="20"/>
              </w:rPr>
              <w:t>Carbamazepine</w:t>
            </w:r>
            <w:proofErr w:type="spellEnd"/>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CHMP</w:t>
            </w:r>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Committee for Medicinal Products for Human Use</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CL</w:t>
            </w:r>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Systemic clearance</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CL/F</w:t>
            </w:r>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Apparent oral clearance</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proofErr w:type="spellStart"/>
            <w:r w:rsidRPr="004129D1">
              <w:rPr>
                <w:sz w:val="20"/>
                <w:szCs w:val="20"/>
              </w:rPr>
              <w:t>Cmax</w:t>
            </w:r>
            <w:proofErr w:type="spellEnd"/>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Maximum concentration</w:t>
            </w:r>
          </w:p>
        </w:tc>
      </w:tr>
      <w:tr w:rsidR="0089642A" w:rsidTr="0089642A">
        <w:tc>
          <w:tcPr>
            <w:tcW w:w="1890"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CNS</w:t>
            </w:r>
          </w:p>
        </w:tc>
        <w:tc>
          <w:tcPr>
            <w:tcW w:w="6911" w:type="dxa"/>
            <w:shd w:val="clear" w:color="auto" w:fill="auto"/>
          </w:tcPr>
          <w:p w:rsidR="0089642A" w:rsidRPr="004129D1" w:rsidRDefault="006017A3" w:rsidP="007448DC">
            <w:pPr>
              <w:ind w:left="170" w:right="170"/>
              <w:rPr>
                <w:color w:val="000000"/>
                <w:sz w:val="20"/>
                <w:szCs w:val="20"/>
                <w:lang w:eastAsia="en-AU"/>
              </w:rPr>
            </w:pPr>
            <w:r w:rsidRPr="004129D1">
              <w:rPr>
                <w:sz w:val="20"/>
                <w:szCs w:val="20"/>
              </w:rPr>
              <w:t>Central nervous system</w:t>
            </w:r>
          </w:p>
        </w:tc>
      </w:tr>
      <w:tr w:rsidR="0089642A" w:rsidTr="0089642A">
        <w:tc>
          <w:tcPr>
            <w:tcW w:w="1890" w:type="dxa"/>
            <w:shd w:val="clear" w:color="auto" w:fill="auto"/>
          </w:tcPr>
          <w:p w:rsidR="0089642A" w:rsidRPr="004129D1" w:rsidRDefault="007B6D9D" w:rsidP="007448DC">
            <w:pPr>
              <w:ind w:left="170" w:right="170"/>
              <w:rPr>
                <w:color w:val="000000"/>
                <w:sz w:val="20"/>
                <w:szCs w:val="20"/>
                <w:lang w:eastAsia="en-AU"/>
              </w:rPr>
            </w:pPr>
            <w:proofErr w:type="spellStart"/>
            <w:r w:rsidRPr="004129D1">
              <w:rPr>
                <w:sz w:val="20"/>
                <w:szCs w:val="20"/>
              </w:rPr>
              <w:t>CrCL</w:t>
            </w:r>
            <w:proofErr w:type="spellEnd"/>
          </w:p>
        </w:tc>
        <w:tc>
          <w:tcPr>
            <w:tcW w:w="6911" w:type="dxa"/>
            <w:shd w:val="clear" w:color="auto" w:fill="auto"/>
          </w:tcPr>
          <w:p w:rsidR="0089642A" w:rsidRPr="004129D1" w:rsidRDefault="007B6D9D" w:rsidP="007448DC">
            <w:pPr>
              <w:ind w:left="170" w:right="170"/>
              <w:rPr>
                <w:color w:val="000000"/>
                <w:sz w:val="20"/>
                <w:szCs w:val="20"/>
                <w:lang w:eastAsia="en-AU"/>
              </w:rPr>
            </w:pPr>
            <w:proofErr w:type="spellStart"/>
            <w:r w:rsidRPr="004129D1">
              <w:rPr>
                <w:sz w:val="20"/>
                <w:szCs w:val="20"/>
              </w:rPr>
              <w:t>Creatinine</w:t>
            </w:r>
            <w:proofErr w:type="spellEnd"/>
            <w:r w:rsidRPr="004129D1">
              <w:rPr>
                <w:sz w:val="20"/>
                <w:szCs w:val="20"/>
              </w:rPr>
              <w:t xml:space="preserve"> clearance</w:t>
            </w:r>
          </w:p>
        </w:tc>
      </w:tr>
      <w:tr w:rsidR="0089642A" w:rsidTr="0089642A">
        <w:tc>
          <w:tcPr>
            <w:tcW w:w="1890"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CSR</w:t>
            </w:r>
          </w:p>
        </w:tc>
        <w:tc>
          <w:tcPr>
            <w:tcW w:w="6911"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Clinical Study Report</w:t>
            </w:r>
          </w:p>
        </w:tc>
      </w:tr>
      <w:tr w:rsidR="0089642A" w:rsidTr="0089642A">
        <w:tc>
          <w:tcPr>
            <w:tcW w:w="1890"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ECG</w:t>
            </w:r>
          </w:p>
        </w:tc>
        <w:tc>
          <w:tcPr>
            <w:tcW w:w="6911"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Electrocardiogram</w:t>
            </w:r>
          </w:p>
        </w:tc>
      </w:tr>
      <w:tr w:rsidR="0089642A" w:rsidTr="0089642A">
        <w:tc>
          <w:tcPr>
            <w:tcW w:w="1890"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EMEA</w:t>
            </w:r>
          </w:p>
        </w:tc>
        <w:tc>
          <w:tcPr>
            <w:tcW w:w="6911"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European Medicines Evaluation Agency</w:t>
            </w:r>
          </w:p>
        </w:tc>
      </w:tr>
      <w:tr w:rsidR="0089642A" w:rsidTr="0089642A">
        <w:tc>
          <w:tcPr>
            <w:tcW w:w="1890" w:type="dxa"/>
            <w:shd w:val="clear" w:color="auto" w:fill="auto"/>
          </w:tcPr>
          <w:p w:rsidR="0089642A" w:rsidRPr="004129D1" w:rsidRDefault="007B6D9D" w:rsidP="007448DC">
            <w:pPr>
              <w:ind w:left="170" w:right="170"/>
              <w:rPr>
                <w:color w:val="000000"/>
                <w:sz w:val="20"/>
                <w:szCs w:val="20"/>
                <w:lang w:eastAsia="en-AU"/>
              </w:rPr>
            </w:pPr>
            <w:r w:rsidRPr="004129D1">
              <w:rPr>
                <w:sz w:val="20"/>
                <w:szCs w:val="20"/>
              </w:rPr>
              <w:t>FDA</w:t>
            </w:r>
          </w:p>
        </w:tc>
        <w:tc>
          <w:tcPr>
            <w:tcW w:w="6911" w:type="dxa"/>
            <w:shd w:val="clear" w:color="auto" w:fill="auto"/>
          </w:tcPr>
          <w:p w:rsidR="0089642A" w:rsidRPr="004129D1" w:rsidRDefault="007B6D9D" w:rsidP="007448DC">
            <w:pPr>
              <w:ind w:left="170" w:right="170"/>
              <w:rPr>
                <w:color w:val="000000"/>
                <w:sz w:val="20"/>
                <w:szCs w:val="20"/>
                <w:lang w:eastAsia="en-AU"/>
              </w:rPr>
            </w:pPr>
            <w:r w:rsidRPr="004129D1">
              <w:rPr>
                <w:color w:val="000000"/>
                <w:sz w:val="20"/>
                <w:szCs w:val="20"/>
                <w:lang w:eastAsia="en-AU"/>
              </w:rPr>
              <w:t xml:space="preserve">US </w:t>
            </w:r>
            <w:r w:rsidRPr="004129D1">
              <w:rPr>
                <w:sz w:val="20"/>
                <w:szCs w:val="20"/>
              </w:rPr>
              <w:t>Food and Drug Administration</w:t>
            </w:r>
          </w:p>
        </w:tc>
      </w:tr>
      <w:tr w:rsidR="0089642A" w:rsidTr="0089642A">
        <w:tc>
          <w:tcPr>
            <w:tcW w:w="1890" w:type="dxa"/>
            <w:shd w:val="clear" w:color="auto" w:fill="auto"/>
          </w:tcPr>
          <w:p w:rsidR="0089642A" w:rsidRPr="004129D1" w:rsidRDefault="00BD31CC" w:rsidP="007448DC">
            <w:pPr>
              <w:ind w:left="170" w:right="170"/>
              <w:rPr>
                <w:color w:val="000000"/>
                <w:sz w:val="20"/>
                <w:szCs w:val="20"/>
                <w:lang w:eastAsia="en-AU"/>
              </w:rPr>
            </w:pPr>
            <w:r w:rsidRPr="004129D1">
              <w:rPr>
                <w:sz w:val="20"/>
                <w:szCs w:val="20"/>
              </w:rPr>
              <w:t>GABA</w:t>
            </w:r>
          </w:p>
        </w:tc>
        <w:tc>
          <w:tcPr>
            <w:tcW w:w="6911" w:type="dxa"/>
            <w:shd w:val="clear" w:color="auto" w:fill="auto"/>
          </w:tcPr>
          <w:p w:rsidR="0089642A" w:rsidRPr="004129D1" w:rsidRDefault="00BD31CC" w:rsidP="007448DC">
            <w:pPr>
              <w:ind w:left="170" w:right="170"/>
              <w:rPr>
                <w:color w:val="000000"/>
                <w:sz w:val="20"/>
                <w:szCs w:val="20"/>
                <w:lang w:eastAsia="en-AU"/>
              </w:rPr>
            </w:pPr>
            <w:r w:rsidRPr="004129D1">
              <w:rPr>
                <w:sz w:val="20"/>
                <w:szCs w:val="20"/>
              </w:rPr>
              <w:t>Gamma-</w:t>
            </w:r>
            <w:proofErr w:type="spellStart"/>
            <w:r w:rsidRPr="004129D1">
              <w:rPr>
                <w:sz w:val="20"/>
                <w:szCs w:val="20"/>
              </w:rPr>
              <w:t>aminobutyric</w:t>
            </w:r>
            <w:proofErr w:type="spellEnd"/>
            <w:r w:rsidRPr="004129D1">
              <w:rPr>
                <w:sz w:val="20"/>
                <w:szCs w:val="20"/>
              </w:rPr>
              <w:t xml:space="preserve"> acid</w:t>
            </w:r>
          </w:p>
        </w:tc>
      </w:tr>
      <w:tr w:rsidR="0089642A" w:rsidTr="0089642A">
        <w:tc>
          <w:tcPr>
            <w:tcW w:w="1890" w:type="dxa"/>
            <w:shd w:val="clear" w:color="auto" w:fill="auto"/>
          </w:tcPr>
          <w:p w:rsidR="0089642A" w:rsidRPr="004129D1" w:rsidRDefault="00BD31CC" w:rsidP="007448DC">
            <w:pPr>
              <w:ind w:left="170" w:right="170"/>
              <w:rPr>
                <w:color w:val="000000"/>
                <w:sz w:val="20"/>
                <w:szCs w:val="20"/>
                <w:lang w:eastAsia="en-AU"/>
              </w:rPr>
            </w:pPr>
            <w:r w:rsidRPr="004129D1">
              <w:rPr>
                <w:sz w:val="20"/>
                <w:szCs w:val="20"/>
              </w:rPr>
              <w:lastRenderedPageBreak/>
              <w:t>GCP</w:t>
            </w:r>
          </w:p>
        </w:tc>
        <w:tc>
          <w:tcPr>
            <w:tcW w:w="6911" w:type="dxa"/>
            <w:shd w:val="clear" w:color="auto" w:fill="auto"/>
          </w:tcPr>
          <w:p w:rsidR="0089642A" w:rsidRPr="004129D1" w:rsidRDefault="00BD31CC" w:rsidP="007448DC">
            <w:pPr>
              <w:ind w:left="170" w:right="170"/>
              <w:rPr>
                <w:color w:val="000000"/>
                <w:sz w:val="20"/>
                <w:szCs w:val="20"/>
                <w:lang w:eastAsia="en-AU"/>
              </w:rPr>
            </w:pPr>
            <w:r w:rsidRPr="004129D1">
              <w:rPr>
                <w:sz w:val="20"/>
                <w:szCs w:val="20"/>
              </w:rPr>
              <w:t>Good Clinical Practice</w:t>
            </w:r>
          </w:p>
        </w:tc>
      </w:tr>
      <w:tr w:rsidR="0089642A" w:rsidTr="0089642A">
        <w:tc>
          <w:tcPr>
            <w:tcW w:w="1890" w:type="dxa"/>
            <w:shd w:val="clear" w:color="auto" w:fill="auto"/>
          </w:tcPr>
          <w:p w:rsidR="0089642A" w:rsidRPr="004129D1" w:rsidRDefault="00BD31CC" w:rsidP="007448DC">
            <w:pPr>
              <w:ind w:left="170" w:right="170"/>
              <w:rPr>
                <w:color w:val="000000"/>
                <w:sz w:val="20"/>
                <w:szCs w:val="20"/>
                <w:lang w:eastAsia="en-AU"/>
              </w:rPr>
            </w:pPr>
            <w:r w:rsidRPr="004129D1">
              <w:rPr>
                <w:sz w:val="20"/>
                <w:szCs w:val="20"/>
              </w:rPr>
              <w:t>ICH</w:t>
            </w:r>
          </w:p>
        </w:tc>
        <w:tc>
          <w:tcPr>
            <w:tcW w:w="6911" w:type="dxa"/>
            <w:shd w:val="clear" w:color="auto" w:fill="auto"/>
          </w:tcPr>
          <w:p w:rsidR="0089642A" w:rsidRPr="004129D1" w:rsidRDefault="00BD31CC" w:rsidP="00BD31CC">
            <w:pPr>
              <w:ind w:left="170" w:right="170"/>
              <w:rPr>
                <w:color w:val="000000"/>
                <w:sz w:val="20"/>
                <w:szCs w:val="20"/>
                <w:lang w:eastAsia="en-AU"/>
              </w:rPr>
            </w:pPr>
            <w:r w:rsidRPr="004129D1">
              <w:rPr>
                <w:sz w:val="20"/>
                <w:szCs w:val="20"/>
              </w:rPr>
              <w:t>International Conference of Harmonisation</w:t>
            </w:r>
          </w:p>
        </w:tc>
      </w:tr>
      <w:tr w:rsidR="0089642A" w:rsidTr="0089642A">
        <w:tc>
          <w:tcPr>
            <w:tcW w:w="1890"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ILAE</w:t>
            </w:r>
          </w:p>
        </w:tc>
        <w:tc>
          <w:tcPr>
            <w:tcW w:w="6911"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International League Against Epilepsy</w:t>
            </w:r>
          </w:p>
        </w:tc>
      </w:tr>
      <w:tr w:rsidR="0089642A" w:rsidTr="0089642A">
        <w:tc>
          <w:tcPr>
            <w:tcW w:w="1890"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IR</w:t>
            </w:r>
          </w:p>
        </w:tc>
        <w:tc>
          <w:tcPr>
            <w:tcW w:w="6911"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Immediate release</w:t>
            </w:r>
          </w:p>
        </w:tc>
      </w:tr>
      <w:tr w:rsidR="0089642A" w:rsidTr="0089642A">
        <w:tc>
          <w:tcPr>
            <w:tcW w:w="1890"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ITT</w:t>
            </w:r>
          </w:p>
        </w:tc>
        <w:tc>
          <w:tcPr>
            <w:tcW w:w="6911"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Intent-to-treat</w:t>
            </w:r>
          </w:p>
        </w:tc>
      </w:tr>
      <w:tr w:rsidR="0089642A" w:rsidTr="0089642A">
        <w:tc>
          <w:tcPr>
            <w:tcW w:w="1890"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LEV</w:t>
            </w:r>
          </w:p>
        </w:tc>
        <w:tc>
          <w:tcPr>
            <w:tcW w:w="6911" w:type="dxa"/>
            <w:shd w:val="clear" w:color="auto" w:fill="auto"/>
          </w:tcPr>
          <w:p w:rsidR="0089642A" w:rsidRPr="004129D1" w:rsidRDefault="00112D47" w:rsidP="007448DC">
            <w:pPr>
              <w:ind w:left="170" w:right="170"/>
              <w:rPr>
                <w:color w:val="000000"/>
                <w:sz w:val="20"/>
                <w:szCs w:val="20"/>
                <w:lang w:eastAsia="en-AU"/>
              </w:rPr>
            </w:pPr>
            <w:proofErr w:type="spellStart"/>
            <w:r w:rsidRPr="004129D1">
              <w:rPr>
                <w:sz w:val="20"/>
                <w:szCs w:val="20"/>
              </w:rPr>
              <w:t>Levetiracetam</w:t>
            </w:r>
            <w:proofErr w:type="spellEnd"/>
          </w:p>
        </w:tc>
      </w:tr>
      <w:tr w:rsidR="0089642A" w:rsidTr="0089642A">
        <w:tc>
          <w:tcPr>
            <w:tcW w:w="1890" w:type="dxa"/>
            <w:shd w:val="clear" w:color="auto" w:fill="auto"/>
          </w:tcPr>
          <w:p w:rsidR="0089642A" w:rsidRPr="004129D1" w:rsidRDefault="00112D47" w:rsidP="007448DC">
            <w:pPr>
              <w:ind w:left="170" w:right="170"/>
              <w:rPr>
                <w:color w:val="000000"/>
                <w:sz w:val="20"/>
                <w:szCs w:val="20"/>
                <w:lang w:eastAsia="en-AU"/>
              </w:rPr>
            </w:pPr>
            <w:r w:rsidRPr="004129D1">
              <w:rPr>
                <w:sz w:val="20"/>
                <w:szCs w:val="20"/>
              </w:rPr>
              <w:t>LTG</w:t>
            </w:r>
          </w:p>
        </w:tc>
        <w:tc>
          <w:tcPr>
            <w:tcW w:w="6911" w:type="dxa"/>
            <w:shd w:val="clear" w:color="auto" w:fill="auto"/>
          </w:tcPr>
          <w:p w:rsidR="0089642A" w:rsidRPr="004129D1" w:rsidRDefault="00112D47" w:rsidP="007448DC">
            <w:pPr>
              <w:ind w:left="170" w:right="170"/>
              <w:rPr>
                <w:color w:val="000000"/>
                <w:sz w:val="20"/>
                <w:szCs w:val="20"/>
                <w:lang w:eastAsia="en-AU"/>
              </w:rPr>
            </w:pPr>
            <w:proofErr w:type="spellStart"/>
            <w:r w:rsidRPr="004129D1">
              <w:rPr>
                <w:sz w:val="20"/>
                <w:szCs w:val="20"/>
              </w:rPr>
              <w:t>Lamotrigine</w:t>
            </w:r>
            <w:proofErr w:type="spellEnd"/>
          </w:p>
        </w:tc>
      </w:tr>
      <w:tr w:rsidR="00112D47" w:rsidTr="007448DC">
        <w:tc>
          <w:tcPr>
            <w:tcW w:w="1890"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MR</w:t>
            </w:r>
          </w:p>
        </w:tc>
        <w:tc>
          <w:tcPr>
            <w:tcW w:w="6911"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Modified release</w:t>
            </w:r>
          </w:p>
        </w:tc>
      </w:tr>
      <w:tr w:rsidR="00112D47" w:rsidTr="007448DC">
        <w:tc>
          <w:tcPr>
            <w:tcW w:w="1890"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NAMR</w:t>
            </w:r>
          </w:p>
        </w:tc>
        <w:tc>
          <w:tcPr>
            <w:tcW w:w="6911"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 xml:space="preserve">N-acetyl metabolite of </w:t>
            </w:r>
            <w:proofErr w:type="spellStart"/>
            <w:r w:rsidRPr="004129D1">
              <w:rPr>
                <w:sz w:val="20"/>
                <w:szCs w:val="20"/>
              </w:rPr>
              <w:t>retigabine</w:t>
            </w:r>
            <w:proofErr w:type="spellEnd"/>
          </w:p>
        </w:tc>
      </w:tr>
      <w:tr w:rsidR="00112D47" w:rsidTr="007448DC">
        <w:tc>
          <w:tcPr>
            <w:tcW w:w="1890"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NDA</w:t>
            </w:r>
          </w:p>
        </w:tc>
        <w:tc>
          <w:tcPr>
            <w:tcW w:w="6911"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New Drug Application</w:t>
            </w:r>
          </w:p>
        </w:tc>
      </w:tr>
      <w:tr w:rsidR="00112D47" w:rsidTr="007448DC">
        <w:tc>
          <w:tcPr>
            <w:tcW w:w="1890"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PB</w:t>
            </w:r>
          </w:p>
        </w:tc>
        <w:tc>
          <w:tcPr>
            <w:tcW w:w="6911"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Phenobarbital</w:t>
            </w:r>
          </w:p>
        </w:tc>
      </w:tr>
      <w:tr w:rsidR="00112D47" w:rsidTr="007448DC">
        <w:tc>
          <w:tcPr>
            <w:tcW w:w="1890"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PCC</w:t>
            </w:r>
          </w:p>
        </w:tc>
        <w:tc>
          <w:tcPr>
            <w:tcW w:w="6911" w:type="dxa"/>
            <w:shd w:val="clear" w:color="auto" w:fill="auto"/>
          </w:tcPr>
          <w:p w:rsidR="00112D47" w:rsidRPr="004129D1" w:rsidRDefault="00112D47" w:rsidP="007448DC">
            <w:pPr>
              <w:ind w:left="170" w:right="170"/>
              <w:rPr>
                <w:color w:val="000000"/>
                <w:sz w:val="20"/>
                <w:szCs w:val="20"/>
                <w:lang w:eastAsia="en-AU"/>
              </w:rPr>
            </w:pPr>
            <w:r w:rsidRPr="004129D1">
              <w:rPr>
                <w:sz w:val="20"/>
                <w:szCs w:val="20"/>
              </w:rPr>
              <w:t>Potential Clinical Concern</w:t>
            </w:r>
          </w:p>
        </w:tc>
      </w:tr>
      <w:tr w:rsidR="00112D47" w:rsidTr="007448DC">
        <w:tc>
          <w:tcPr>
            <w:tcW w:w="1890" w:type="dxa"/>
            <w:shd w:val="clear" w:color="auto" w:fill="auto"/>
          </w:tcPr>
          <w:p w:rsidR="00112D47" w:rsidRPr="004129D1" w:rsidRDefault="00093E2F" w:rsidP="007448DC">
            <w:pPr>
              <w:ind w:left="170" w:right="170"/>
              <w:rPr>
                <w:color w:val="000000"/>
                <w:sz w:val="20"/>
                <w:szCs w:val="20"/>
                <w:lang w:eastAsia="en-AU"/>
              </w:rPr>
            </w:pPr>
            <w:r w:rsidRPr="004129D1">
              <w:rPr>
                <w:sz w:val="20"/>
                <w:szCs w:val="20"/>
              </w:rPr>
              <w:t>PCT</w:t>
            </w:r>
          </w:p>
        </w:tc>
        <w:tc>
          <w:tcPr>
            <w:tcW w:w="6911" w:type="dxa"/>
            <w:shd w:val="clear" w:color="auto" w:fill="auto"/>
          </w:tcPr>
          <w:p w:rsidR="00112D47" w:rsidRPr="004129D1" w:rsidRDefault="00093E2F" w:rsidP="007448DC">
            <w:pPr>
              <w:ind w:left="170" w:right="170"/>
              <w:rPr>
                <w:color w:val="000000"/>
                <w:sz w:val="20"/>
                <w:szCs w:val="20"/>
                <w:lang w:eastAsia="en-AU"/>
              </w:rPr>
            </w:pPr>
            <w:r w:rsidRPr="004129D1">
              <w:rPr>
                <w:sz w:val="20"/>
                <w:szCs w:val="20"/>
              </w:rPr>
              <w:t>Pivotal Controlled Trials</w:t>
            </w:r>
          </w:p>
        </w:tc>
      </w:tr>
      <w:tr w:rsidR="00112D47" w:rsidTr="007448DC">
        <w:tc>
          <w:tcPr>
            <w:tcW w:w="1890" w:type="dxa"/>
            <w:shd w:val="clear" w:color="auto" w:fill="auto"/>
          </w:tcPr>
          <w:p w:rsidR="00112D47" w:rsidRPr="004129D1" w:rsidRDefault="00093E2F" w:rsidP="007448DC">
            <w:pPr>
              <w:ind w:left="170" w:right="170"/>
              <w:rPr>
                <w:color w:val="000000"/>
                <w:sz w:val="20"/>
                <w:szCs w:val="20"/>
                <w:lang w:eastAsia="en-AU"/>
              </w:rPr>
            </w:pPr>
            <w:r w:rsidRPr="004129D1">
              <w:rPr>
                <w:sz w:val="20"/>
                <w:szCs w:val="20"/>
              </w:rPr>
              <w:t>PD</w:t>
            </w:r>
          </w:p>
        </w:tc>
        <w:tc>
          <w:tcPr>
            <w:tcW w:w="6911" w:type="dxa"/>
            <w:shd w:val="clear" w:color="auto" w:fill="auto"/>
          </w:tcPr>
          <w:p w:rsidR="00112D47" w:rsidRPr="004129D1" w:rsidRDefault="00093E2F" w:rsidP="007448DC">
            <w:pPr>
              <w:ind w:left="170" w:right="170"/>
              <w:rPr>
                <w:color w:val="000000"/>
                <w:sz w:val="20"/>
                <w:szCs w:val="20"/>
                <w:lang w:eastAsia="en-AU"/>
              </w:rPr>
            </w:pPr>
            <w:proofErr w:type="spellStart"/>
            <w:r w:rsidRPr="004129D1">
              <w:rPr>
                <w:sz w:val="20"/>
                <w:szCs w:val="20"/>
              </w:rPr>
              <w:t>Pharmacodynamic</w:t>
            </w:r>
            <w:proofErr w:type="spellEnd"/>
          </w:p>
        </w:tc>
      </w:tr>
      <w:tr w:rsidR="00112D47" w:rsidTr="007448DC">
        <w:tc>
          <w:tcPr>
            <w:tcW w:w="1890" w:type="dxa"/>
            <w:shd w:val="clear" w:color="auto" w:fill="auto"/>
          </w:tcPr>
          <w:p w:rsidR="00112D47" w:rsidRPr="004129D1" w:rsidRDefault="00462C46" w:rsidP="007448DC">
            <w:pPr>
              <w:ind w:left="170" w:right="170"/>
              <w:rPr>
                <w:color w:val="000000"/>
                <w:sz w:val="20"/>
                <w:szCs w:val="20"/>
                <w:lang w:eastAsia="en-AU"/>
              </w:rPr>
            </w:pPr>
            <w:r w:rsidRPr="004129D1">
              <w:rPr>
                <w:sz w:val="20"/>
                <w:szCs w:val="20"/>
              </w:rPr>
              <w:t>PDCO</w:t>
            </w:r>
          </w:p>
        </w:tc>
        <w:tc>
          <w:tcPr>
            <w:tcW w:w="6911" w:type="dxa"/>
            <w:shd w:val="clear" w:color="auto" w:fill="auto"/>
          </w:tcPr>
          <w:p w:rsidR="00112D47" w:rsidRPr="004129D1" w:rsidRDefault="00462C46" w:rsidP="007448DC">
            <w:pPr>
              <w:ind w:left="170" w:right="170"/>
              <w:rPr>
                <w:color w:val="000000"/>
                <w:sz w:val="20"/>
                <w:szCs w:val="20"/>
                <w:lang w:eastAsia="en-AU"/>
              </w:rPr>
            </w:pPr>
            <w:r w:rsidRPr="004129D1">
              <w:rPr>
                <w:sz w:val="20"/>
                <w:szCs w:val="20"/>
              </w:rPr>
              <w:t>Paediatric Committee</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PHN</w:t>
            </w:r>
          </w:p>
        </w:tc>
        <w:tc>
          <w:tcPr>
            <w:tcW w:w="6911" w:type="dxa"/>
            <w:shd w:val="clear" w:color="auto" w:fill="auto"/>
          </w:tcPr>
          <w:p w:rsidR="00112D47" w:rsidRPr="004129D1" w:rsidRDefault="00E63090" w:rsidP="00E63090">
            <w:pPr>
              <w:ind w:left="170" w:right="170"/>
              <w:rPr>
                <w:color w:val="000000"/>
                <w:sz w:val="20"/>
                <w:szCs w:val="20"/>
                <w:lang w:eastAsia="en-AU"/>
              </w:rPr>
            </w:pPr>
            <w:r w:rsidRPr="004129D1">
              <w:rPr>
                <w:sz w:val="20"/>
                <w:szCs w:val="20"/>
              </w:rPr>
              <w:t>Post herpetic neuralgia</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PHT</w:t>
            </w:r>
          </w:p>
        </w:tc>
        <w:tc>
          <w:tcPr>
            <w:tcW w:w="6911"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Phenytoin</w:t>
            </w:r>
            <w:proofErr w:type="spellEnd"/>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PIP</w:t>
            </w:r>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Paediatric Implementation Plan</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PK</w:t>
            </w:r>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Pharmacokinetic</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popPK</w:t>
            </w:r>
            <w:proofErr w:type="spellEnd"/>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Population pharmacokinetic</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PPSR</w:t>
            </w:r>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 xml:space="preserve">Proposed </w:t>
            </w:r>
            <w:proofErr w:type="spellStart"/>
            <w:r w:rsidRPr="004129D1">
              <w:rPr>
                <w:sz w:val="20"/>
                <w:szCs w:val="20"/>
              </w:rPr>
              <w:t>Pediatric</w:t>
            </w:r>
            <w:proofErr w:type="spellEnd"/>
            <w:r w:rsidRPr="004129D1">
              <w:rPr>
                <w:sz w:val="20"/>
                <w:szCs w:val="20"/>
              </w:rPr>
              <w:t xml:space="preserve"> Study Request</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PREA</w:t>
            </w:r>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Paediatric Research Equity Act</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QTc</w:t>
            </w:r>
            <w:proofErr w:type="spellEnd"/>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QT interval corrected</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QTcB</w:t>
            </w:r>
            <w:proofErr w:type="spellEnd"/>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 xml:space="preserve">QT interval corrected with </w:t>
            </w:r>
            <w:proofErr w:type="spellStart"/>
            <w:r w:rsidRPr="004129D1">
              <w:rPr>
                <w:sz w:val="20"/>
                <w:szCs w:val="20"/>
              </w:rPr>
              <w:t>Bazett’s</w:t>
            </w:r>
            <w:proofErr w:type="spellEnd"/>
            <w:r w:rsidRPr="004129D1">
              <w:rPr>
                <w:sz w:val="20"/>
                <w:szCs w:val="20"/>
              </w:rPr>
              <w:t xml:space="preserve"> formula</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QTcF</w:t>
            </w:r>
            <w:proofErr w:type="spellEnd"/>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 xml:space="preserve">QT interval corrected with </w:t>
            </w:r>
            <w:proofErr w:type="spellStart"/>
            <w:r w:rsidRPr="004129D1">
              <w:rPr>
                <w:sz w:val="20"/>
                <w:szCs w:val="20"/>
              </w:rPr>
              <w:t>Fridericia’s</w:t>
            </w:r>
            <w:proofErr w:type="spellEnd"/>
            <w:r w:rsidRPr="004129D1">
              <w:rPr>
                <w:sz w:val="20"/>
                <w:szCs w:val="20"/>
              </w:rPr>
              <w:t xml:space="preserve"> formula</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QTcI</w:t>
            </w:r>
            <w:proofErr w:type="spellEnd"/>
          </w:p>
        </w:tc>
        <w:tc>
          <w:tcPr>
            <w:tcW w:w="6911"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t>QT interval</w:t>
            </w:r>
          </w:p>
        </w:tc>
      </w:tr>
      <w:tr w:rsidR="00112D47" w:rsidTr="007448DC">
        <w:tc>
          <w:tcPr>
            <w:tcW w:w="1890" w:type="dxa"/>
            <w:shd w:val="clear" w:color="auto" w:fill="auto"/>
          </w:tcPr>
          <w:p w:rsidR="00112D47" w:rsidRPr="004129D1" w:rsidRDefault="00E63090" w:rsidP="007448DC">
            <w:pPr>
              <w:ind w:left="170" w:right="170"/>
              <w:rPr>
                <w:color w:val="000000"/>
                <w:sz w:val="20"/>
                <w:szCs w:val="20"/>
                <w:lang w:eastAsia="en-AU"/>
              </w:rPr>
            </w:pPr>
            <w:r w:rsidRPr="004129D1">
              <w:rPr>
                <w:sz w:val="20"/>
                <w:szCs w:val="20"/>
              </w:rPr>
              <w:lastRenderedPageBreak/>
              <w:t>RTG</w:t>
            </w:r>
          </w:p>
        </w:tc>
        <w:tc>
          <w:tcPr>
            <w:tcW w:w="6911" w:type="dxa"/>
            <w:shd w:val="clear" w:color="auto" w:fill="auto"/>
          </w:tcPr>
          <w:p w:rsidR="00112D47" w:rsidRPr="004129D1" w:rsidRDefault="00E63090" w:rsidP="007448DC">
            <w:pPr>
              <w:ind w:left="170" w:right="170"/>
              <w:rPr>
                <w:color w:val="000000"/>
                <w:sz w:val="20"/>
                <w:szCs w:val="20"/>
                <w:lang w:eastAsia="en-AU"/>
              </w:rPr>
            </w:pPr>
            <w:proofErr w:type="spellStart"/>
            <w:r w:rsidRPr="004129D1">
              <w:rPr>
                <w:sz w:val="20"/>
                <w:szCs w:val="20"/>
              </w:rPr>
              <w:t>Retigabine</w:t>
            </w:r>
            <w:proofErr w:type="spellEnd"/>
          </w:p>
        </w:tc>
      </w:tr>
      <w:tr w:rsidR="00112D47" w:rsidTr="007448DC">
        <w:tc>
          <w:tcPr>
            <w:tcW w:w="1890"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SAE</w:t>
            </w:r>
          </w:p>
        </w:tc>
        <w:tc>
          <w:tcPr>
            <w:tcW w:w="6911"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Serious adverse event</w:t>
            </w:r>
          </w:p>
        </w:tc>
      </w:tr>
      <w:tr w:rsidR="00112D47" w:rsidTr="007448DC">
        <w:tc>
          <w:tcPr>
            <w:tcW w:w="1890"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SD</w:t>
            </w:r>
          </w:p>
        </w:tc>
        <w:tc>
          <w:tcPr>
            <w:tcW w:w="6911"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Standard deviation</w:t>
            </w:r>
          </w:p>
        </w:tc>
      </w:tr>
      <w:tr w:rsidR="00112D47" w:rsidTr="007448DC">
        <w:tc>
          <w:tcPr>
            <w:tcW w:w="1890"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SPA</w:t>
            </w:r>
          </w:p>
        </w:tc>
        <w:tc>
          <w:tcPr>
            <w:tcW w:w="6911"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Special Protocol Assessment</w:t>
            </w:r>
          </w:p>
        </w:tc>
      </w:tr>
      <w:tr w:rsidR="00112D47" w:rsidTr="007448DC">
        <w:tc>
          <w:tcPr>
            <w:tcW w:w="1890" w:type="dxa"/>
            <w:shd w:val="clear" w:color="auto" w:fill="auto"/>
          </w:tcPr>
          <w:p w:rsidR="00112D47" w:rsidRPr="004129D1" w:rsidRDefault="005738CB" w:rsidP="007448DC">
            <w:pPr>
              <w:ind w:left="170" w:right="170"/>
              <w:rPr>
                <w:color w:val="000000"/>
                <w:sz w:val="20"/>
                <w:szCs w:val="20"/>
                <w:lang w:eastAsia="en-AU"/>
              </w:rPr>
            </w:pPr>
            <w:r w:rsidRPr="004129D1">
              <w:rPr>
                <w:sz w:val="20"/>
                <w:szCs w:val="20"/>
              </w:rPr>
              <w:t>SUDEP</w:t>
            </w:r>
          </w:p>
        </w:tc>
        <w:tc>
          <w:tcPr>
            <w:tcW w:w="6911" w:type="dxa"/>
            <w:shd w:val="clear" w:color="auto" w:fill="auto"/>
          </w:tcPr>
          <w:p w:rsidR="00112D47" w:rsidRPr="004129D1" w:rsidRDefault="005738CB" w:rsidP="005738CB">
            <w:pPr>
              <w:ind w:left="170" w:right="170"/>
              <w:rPr>
                <w:color w:val="000000"/>
                <w:sz w:val="20"/>
                <w:szCs w:val="20"/>
                <w:lang w:eastAsia="en-AU"/>
              </w:rPr>
            </w:pPr>
            <w:r w:rsidRPr="004129D1">
              <w:rPr>
                <w:sz w:val="20"/>
                <w:szCs w:val="20"/>
              </w:rPr>
              <w:t>Sudden Unexplained Death in Epilepsy</w:t>
            </w:r>
          </w:p>
        </w:tc>
      </w:tr>
      <w:tr w:rsidR="00112D47" w:rsidTr="007448DC">
        <w:tc>
          <w:tcPr>
            <w:tcW w:w="1890"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TEAE</w:t>
            </w:r>
          </w:p>
        </w:tc>
        <w:tc>
          <w:tcPr>
            <w:tcW w:w="6911"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Treatment-emergent adverse events</w:t>
            </w:r>
          </w:p>
        </w:tc>
      </w:tr>
      <w:tr w:rsidR="00112D47" w:rsidTr="007448DC">
        <w:tc>
          <w:tcPr>
            <w:tcW w:w="1890"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TESAE</w:t>
            </w:r>
          </w:p>
        </w:tc>
        <w:tc>
          <w:tcPr>
            <w:tcW w:w="6911"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Treatment-emergent serious adverse events</w:t>
            </w:r>
          </w:p>
        </w:tc>
      </w:tr>
      <w:tr w:rsidR="00112D47" w:rsidTr="007448DC">
        <w:tc>
          <w:tcPr>
            <w:tcW w:w="1890"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TID</w:t>
            </w:r>
          </w:p>
        </w:tc>
        <w:tc>
          <w:tcPr>
            <w:tcW w:w="6911"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Three times daily</w:t>
            </w:r>
          </w:p>
        </w:tc>
      </w:tr>
      <w:tr w:rsidR="00112D47" w:rsidTr="007448DC">
        <w:tc>
          <w:tcPr>
            <w:tcW w:w="1890" w:type="dxa"/>
            <w:shd w:val="clear" w:color="auto" w:fill="auto"/>
          </w:tcPr>
          <w:p w:rsidR="00112D47" w:rsidRPr="004129D1" w:rsidRDefault="00C960D9" w:rsidP="007448DC">
            <w:pPr>
              <w:ind w:left="170" w:right="170"/>
              <w:rPr>
                <w:color w:val="000000"/>
                <w:sz w:val="20"/>
                <w:szCs w:val="20"/>
                <w:lang w:eastAsia="en-AU"/>
              </w:rPr>
            </w:pPr>
            <w:proofErr w:type="spellStart"/>
            <w:r w:rsidRPr="004129D1">
              <w:rPr>
                <w:sz w:val="20"/>
                <w:szCs w:val="20"/>
              </w:rPr>
              <w:t>Tmax</w:t>
            </w:r>
            <w:proofErr w:type="spellEnd"/>
          </w:p>
        </w:tc>
        <w:tc>
          <w:tcPr>
            <w:tcW w:w="6911" w:type="dxa"/>
            <w:shd w:val="clear" w:color="auto" w:fill="auto"/>
          </w:tcPr>
          <w:p w:rsidR="00112D47" w:rsidRPr="004129D1" w:rsidRDefault="00C960D9" w:rsidP="007448DC">
            <w:pPr>
              <w:ind w:left="170" w:right="170"/>
              <w:rPr>
                <w:color w:val="000000"/>
                <w:sz w:val="20"/>
                <w:szCs w:val="20"/>
                <w:lang w:eastAsia="en-AU"/>
              </w:rPr>
            </w:pPr>
            <w:r w:rsidRPr="004129D1">
              <w:rPr>
                <w:sz w:val="20"/>
                <w:szCs w:val="20"/>
              </w:rPr>
              <w:t xml:space="preserve">Time to maximum concentration / reach </w:t>
            </w:r>
            <w:proofErr w:type="spellStart"/>
            <w:r w:rsidRPr="004129D1">
              <w:rPr>
                <w:sz w:val="20"/>
                <w:szCs w:val="20"/>
              </w:rPr>
              <w:t>Cmax</w:t>
            </w:r>
            <w:proofErr w:type="spellEnd"/>
          </w:p>
        </w:tc>
      </w:tr>
      <w:tr w:rsidR="0089642A" w:rsidTr="0089642A">
        <w:tc>
          <w:tcPr>
            <w:tcW w:w="1890" w:type="dxa"/>
            <w:shd w:val="clear" w:color="auto" w:fill="auto"/>
          </w:tcPr>
          <w:p w:rsidR="0089642A" w:rsidRPr="004129D1" w:rsidRDefault="00C960D9" w:rsidP="007448DC">
            <w:pPr>
              <w:ind w:left="170" w:right="170"/>
              <w:rPr>
                <w:color w:val="000000"/>
                <w:sz w:val="20"/>
                <w:szCs w:val="20"/>
                <w:lang w:eastAsia="en-AU"/>
              </w:rPr>
            </w:pPr>
            <w:r w:rsidRPr="004129D1">
              <w:rPr>
                <w:sz w:val="20"/>
                <w:szCs w:val="20"/>
              </w:rPr>
              <w:t>TPM</w:t>
            </w:r>
          </w:p>
        </w:tc>
        <w:tc>
          <w:tcPr>
            <w:tcW w:w="6911" w:type="dxa"/>
            <w:shd w:val="clear" w:color="auto" w:fill="auto"/>
          </w:tcPr>
          <w:p w:rsidR="0089642A" w:rsidRPr="004129D1" w:rsidRDefault="00C960D9" w:rsidP="007448DC">
            <w:pPr>
              <w:ind w:left="170" w:right="170"/>
              <w:rPr>
                <w:color w:val="000000"/>
                <w:sz w:val="20"/>
                <w:szCs w:val="20"/>
                <w:lang w:eastAsia="en-AU"/>
              </w:rPr>
            </w:pPr>
            <w:proofErr w:type="spellStart"/>
            <w:r w:rsidRPr="004129D1">
              <w:rPr>
                <w:sz w:val="20"/>
                <w:szCs w:val="20"/>
              </w:rPr>
              <w:t>Topiramate</w:t>
            </w:r>
            <w:proofErr w:type="spellEnd"/>
          </w:p>
        </w:tc>
      </w:tr>
      <w:tr w:rsidR="0089642A" w:rsidTr="0089642A">
        <w:tc>
          <w:tcPr>
            <w:tcW w:w="1890" w:type="dxa"/>
            <w:shd w:val="clear" w:color="auto" w:fill="auto"/>
          </w:tcPr>
          <w:p w:rsidR="0089642A" w:rsidRPr="004129D1" w:rsidRDefault="00C960D9" w:rsidP="007448DC">
            <w:pPr>
              <w:ind w:left="170" w:right="170"/>
              <w:rPr>
                <w:color w:val="000000"/>
                <w:sz w:val="20"/>
                <w:szCs w:val="20"/>
                <w:lang w:eastAsia="en-AU"/>
              </w:rPr>
            </w:pPr>
            <w:r w:rsidRPr="004129D1">
              <w:rPr>
                <w:sz w:val="20"/>
                <w:szCs w:val="20"/>
              </w:rPr>
              <w:t>VNS</w:t>
            </w:r>
          </w:p>
        </w:tc>
        <w:tc>
          <w:tcPr>
            <w:tcW w:w="6911" w:type="dxa"/>
            <w:shd w:val="clear" w:color="auto" w:fill="auto"/>
          </w:tcPr>
          <w:p w:rsidR="0089642A" w:rsidRPr="004129D1" w:rsidRDefault="00C960D9" w:rsidP="007448DC">
            <w:pPr>
              <w:ind w:left="170" w:right="170"/>
              <w:rPr>
                <w:color w:val="000000"/>
                <w:sz w:val="20"/>
                <w:szCs w:val="20"/>
                <w:lang w:eastAsia="en-AU"/>
              </w:rPr>
            </w:pPr>
            <w:proofErr w:type="spellStart"/>
            <w:r w:rsidRPr="004129D1">
              <w:rPr>
                <w:sz w:val="20"/>
                <w:szCs w:val="20"/>
              </w:rPr>
              <w:t>Vagus</w:t>
            </w:r>
            <w:proofErr w:type="spellEnd"/>
            <w:r w:rsidRPr="004129D1">
              <w:rPr>
                <w:sz w:val="20"/>
                <w:szCs w:val="20"/>
              </w:rPr>
              <w:t xml:space="preserve"> nerve stimulation</w:t>
            </w:r>
          </w:p>
        </w:tc>
      </w:tr>
      <w:tr w:rsidR="0089642A" w:rsidTr="0089642A">
        <w:tc>
          <w:tcPr>
            <w:tcW w:w="1890" w:type="dxa"/>
            <w:shd w:val="clear" w:color="auto" w:fill="auto"/>
          </w:tcPr>
          <w:p w:rsidR="0089642A" w:rsidRPr="004129D1" w:rsidRDefault="00C960D9" w:rsidP="007448DC">
            <w:pPr>
              <w:ind w:left="170" w:right="170"/>
              <w:rPr>
                <w:color w:val="000000"/>
                <w:sz w:val="20"/>
                <w:szCs w:val="20"/>
                <w:lang w:eastAsia="en-AU"/>
              </w:rPr>
            </w:pPr>
            <w:r w:rsidRPr="004129D1">
              <w:rPr>
                <w:sz w:val="20"/>
                <w:szCs w:val="20"/>
              </w:rPr>
              <w:t>VPA</w:t>
            </w:r>
          </w:p>
        </w:tc>
        <w:tc>
          <w:tcPr>
            <w:tcW w:w="6911" w:type="dxa"/>
            <w:shd w:val="clear" w:color="auto" w:fill="auto"/>
          </w:tcPr>
          <w:p w:rsidR="0089642A" w:rsidRPr="004129D1" w:rsidRDefault="00C960D9" w:rsidP="007448DC">
            <w:pPr>
              <w:ind w:left="170" w:right="170"/>
              <w:rPr>
                <w:color w:val="000000"/>
                <w:sz w:val="20"/>
                <w:szCs w:val="20"/>
                <w:lang w:eastAsia="en-AU"/>
              </w:rPr>
            </w:pPr>
            <w:proofErr w:type="spellStart"/>
            <w:r w:rsidRPr="004129D1">
              <w:rPr>
                <w:sz w:val="20"/>
                <w:szCs w:val="20"/>
              </w:rPr>
              <w:t>Valproic</w:t>
            </w:r>
            <w:proofErr w:type="spellEnd"/>
            <w:r w:rsidRPr="004129D1">
              <w:rPr>
                <w:sz w:val="20"/>
                <w:szCs w:val="20"/>
              </w:rPr>
              <w:t xml:space="preserve"> acid</w:t>
            </w:r>
          </w:p>
        </w:tc>
      </w:tr>
    </w:tbl>
    <w:p w:rsidR="00586F98" w:rsidRDefault="00586F98" w:rsidP="0043797D">
      <w:pPr>
        <w:pStyle w:val="Heading2"/>
        <w:pageBreakBefore/>
        <w:rPr>
          <w:lang w:eastAsia="en-AU"/>
        </w:rPr>
      </w:pPr>
      <w:bookmarkStart w:id="7" w:name="_Toc365636782"/>
      <w:bookmarkStart w:id="8" w:name="_Toc351718900"/>
      <w:bookmarkStart w:id="9" w:name="_Toc355338635"/>
      <w:r>
        <w:rPr>
          <w:lang w:eastAsia="en-AU"/>
        </w:rPr>
        <w:lastRenderedPageBreak/>
        <w:t>Clinical rationale</w:t>
      </w:r>
      <w:bookmarkEnd w:id="7"/>
    </w:p>
    <w:p w:rsidR="00301F06" w:rsidRPr="00A61AFC" w:rsidRDefault="00301F06" w:rsidP="00042913">
      <w:r w:rsidRPr="00A61AFC">
        <w:t>Epilepsy is a common neurological condition, affecting 0.7-1</w:t>
      </w:r>
      <w:r w:rsidR="00473F2E">
        <w:t>% of the population</w:t>
      </w:r>
      <w:r w:rsidRPr="00A61AFC">
        <w:t>.</w:t>
      </w:r>
      <w:r w:rsidR="00473F2E">
        <w:rPr>
          <w:rStyle w:val="FootnoteReference"/>
        </w:rPr>
        <w:footnoteReference w:id="1"/>
      </w:r>
      <w:r w:rsidRPr="00A61AFC">
        <w:t xml:space="preserve"> It is characterized by seizures, which are episodes of abnormal, synchronous neuronal firing, usually accompanied by a reduction in awareness or by focal neurological symptoms. Seizures are usually classified into focal (“partial”) seizures, which begin in one part of the brain, or primary generalised seizures, which involve the whole brain network from the onset of the seizure. Focal seizures may spread, eventually involving the whole brain as the seizure progresses, and these are known as secondarily generalised seizures. Focal seizures are the most common form of seizures, though the seizures may spread so rapidly that the initial focal phase is not clinically apparent. The sponsor proposes that </w:t>
      </w:r>
      <w:proofErr w:type="spellStart"/>
      <w:r w:rsidRPr="00A61AFC">
        <w:t>retigabine</w:t>
      </w:r>
      <w:proofErr w:type="spellEnd"/>
      <w:r w:rsidRPr="00A61AFC">
        <w:t xml:space="preserve"> be used for focal (partial) seizures, irrespective of whether these seizures spread to cause secondary generalisation. </w:t>
      </w:r>
    </w:p>
    <w:p w:rsidR="00301F06" w:rsidRPr="00A61AFC" w:rsidRDefault="00301F06" w:rsidP="00042913">
      <w:r w:rsidRPr="00A61AFC">
        <w:t xml:space="preserve">Antiepileptic drugs (AEDs) can often reduce the frequency and severity of seizures, producing lasting seizure-free intervals in some patients, but up to 30% of patients with epilepsy are resistant to drug treatment and continue to have frequent seizures </w:t>
      </w:r>
      <w:r w:rsidR="005A483B">
        <w:t>despite treatment</w:t>
      </w:r>
      <w:r w:rsidRPr="00A61AFC">
        <w:t>.</w:t>
      </w:r>
      <w:r w:rsidR="005A483B">
        <w:rPr>
          <w:rStyle w:val="FootnoteReference"/>
        </w:rPr>
        <w:footnoteReference w:id="2"/>
      </w:r>
      <w:r w:rsidRPr="00A61AFC">
        <w:t xml:space="preserve"> Many other patients can only achieve seizure-freedom at the expense of considerable side effects including sedation and blunted cognition, so clinicians must often choose a compromise between seizure frequency and medication tolerability. Patients who have failed to respond to standard anticonvulsants can sometimes reduce their seizure frequency when novel agents with a new mechanism of action are introduced. The need for novel, safe and effective anticonvulsants is therefore very clear to clinicians.</w:t>
      </w:r>
    </w:p>
    <w:p w:rsidR="00301F06" w:rsidRPr="00A61AFC" w:rsidRDefault="00301F06" w:rsidP="00042913">
      <w:r w:rsidRPr="00A61AFC">
        <w:t>Most existing anticonvulsants work by inhibiting sodium channels, by enhancing or mimicking the inhibition mediated by endogenous gamma-amino butyric acid (GABA), or by inhibiting the release of excitatory neurotransmitters. Inhibiting voltage-gated calcium channels can also be useful for some seizure types.</w:t>
      </w:r>
    </w:p>
    <w:p w:rsidR="00301F06" w:rsidRPr="00A61AFC" w:rsidRDefault="00301F06" w:rsidP="00042913">
      <w:proofErr w:type="spellStart"/>
      <w:r w:rsidRPr="00A61AFC">
        <w:t>Retigabine</w:t>
      </w:r>
      <w:proofErr w:type="spellEnd"/>
      <w:r w:rsidRPr="00A61AFC">
        <w:t xml:space="preserve"> has a primary pharmacological activity that differs from established AEDs: it enhances the potassium (K+) current mediated by the Kv7 subfamily of voltage-gated potassium (KCNQ) channels, predominantly KCNQ2 and KCNQ3, but also KCNQ4 and KCNQ5. Kv7 potassium channels are expressed in neurons, which is the target tissue for </w:t>
      </w:r>
      <w:proofErr w:type="spellStart"/>
      <w:r w:rsidRPr="00A61AFC">
        <w:t>retigabine</w:t>
      </w:r>
      <w:proofErr w:type="spellEnd"/>
      <w:r w:rsidRPr="00A61AFC">
        <w:t xml:space="preserve">, but also in other excitable cells. KCNQ2, KCNQ3 and KCNQ5 are the dominant forms expressed in neural tissues, but these channels are also expressed in the urinary bladder (all forms, but predominantly KCNQ3), intestine (KCNQ3 in combination with KCNQ1) and skeletal muscles (KCNQ5). KCNQ4 is mainly expressed in the cardiovascular and auditory systems. </w:t>
      </w:r>
      <w:proofErr w:type="spellStart"/>
      <w:r w:rsidRPr="00A61AFC">
        <w:t>Retigabine</w:t>
      </w:r>
      <w:proofErr w:type="spellEnd"/>
      <w:r w:rsidRPr="00A61AFC">
        <w:t xml:space="preserve"> would be expected to have some action at all of these sites.</w:t>
      </w:r>
    </w:p>
    <w:p w:rsidR="00301F06" w:rsidRPr="00A61AFC" w:rsidRDefault="00301F06" w:rsidP="00042913">
      <w:r w:rsidRPr="00A61AFC">
        <w:t xml:space="preserve">Along with sodium ions, potassium ions play a key role in determining the resting membrane potential of excitable cells and their flow out of the cell helps terminate the “action potential” associated with neural firing. Because potassium ions are largely intracellular, the cell interior becomes less positive when potassium ions flow down their concentration gradient. Facilitating the potassium current would therefore be expected to reduce neuronal excitability. Thus, there are good a priori reasons for suspecting that </w:t>
      </w:r>
      <w:proofErr w:type="spellStart"/>
      <w:r w:rsidRPr="00A61AFC">
        <w:t>retigabine</w:t>
      </w:r>
      <w:proofErr w:type="spellEnd"/>
      <w:r w:rsidRPr="00A61AFC">
        <w:t xml:space="preserve"> would exert an anticonvulsant action, and this is supported by a range of animal models of epilepsy. The expression of potassium channels in other tissues suggests that </w:t>
      </w:r>
      <w:proofErr w:type="spellStart"/>
      <w:r w:rsidRPr="00A61AFC">
        <w:t>retigabine</w:t>
      </w:r>
      <w:proofErr w:type="spellEnd"/>
      <w:r w:rsidRPr="00A61AFC">
        <w:t xml:space="preserve"> might also cause bladder inhibition, modify gut motility or, most importantly, interfere with cardiac excitability.</w:t>
      </w:r>
    </w:p>
    <w:p w:rsidR="00586F98" w:rsidRDefault="00586F98" w:rsidP="00042913">
      <w:pPr>
        <w:pStyle w:val="Heading2"/>
        <w:rPr>
          <w:lang w:eastAsia="en-AU"/>
        </w:rPr>
      </w:pPr>
      <w:bookmarkStart w:id="10" w:name="_Toc365636783"/>
      <w:r>
        <w:rPr>
          <w:lang w:eastAsia="en-AU"/>
        </w:rPr>
        <w:lastRenderedPageBreak/>
        <w:t xml:space="preserve">Contents of </w:t>
      </w:r>
      <w:r w:rsidRPr="00042913">
        <w:t>the</w:t>
      </w:r>
      <w:r>
        <w:rPr>
          <w:lang w:eastAsia="en-AU"/>
        </w:rPr>
        <w:t xml:space="preserve"> clinical dossier</w:t>
      </w:r>
      <w:bookmarkEnd w:id="8"/>
      <w:bookmarkEnd w:id="9"/>
      <w:bookmarkEnd w:id="10"/>
    </w:p>
    <w:p w:rsidR="00586F98" w:rsidRDefault="00586F98" w:rsidP="00042913">
      <w:pPr>
        <w:pStyle w:val="Heading3"/>
      </w:pPr>
      <w:bookmarkStart w:id="11" w:name="_Toc365636784"/>
      <w:r>
        <w:t xml:space="preserve">Scope of the clinical </w:t>
      </w:r>
      <w:r w:rsidRPr="00042913">
        <w:t>dossier</w:t>
      </w:r>
      <w:bookmarkEnd w:id="11"/>
    </w:p>
    <w:p w:rsidR="00D151AF" w:rsidRPr="00FA6DF9" w:rsidRDefault="00D151AF" w:rsidP="00042913">
      <w:r w:rsidRPr="00FA6DF9">
        <w:t>The submission contained the following clinical information:</w:t>
      </w:r>
    </w:p>
    <w:p w:rsidR="000D260D" w:rsidRPr="00042913" w:rsidRDefault="000D260D" w:rsidP="00042913">
      <w:pPr>
        <w:pStyle w:val="ListBullet"/>
      </w:pPr>
      <w:r w:rsidRPr="00042913">
        <w:t xml:space="preserve">21 clinical pharmacology studies, including 18 that provided pharmacokinetic data and 3 that provided </w:t>
      </w:r>
      <w:proofErr w:type="spellStart"/>
      <w:r w:rsidRPr="00042913">
        <w:t>pharmacodynamic</w:t>
      </w:r>
      <w:proofErr w:type="spellEnd"/>
      <w:r w:rsidRPr="00042913">
        <w:t xml:space="preserve"> data. The pivotal efficacy studies also collected pharmacokinetic data;</w:t>
      </w:r>
    </w:p>
    <w:p w:rsidR="000D260D" w:rsidRPr="00042913" w:rsidRDefault="000D260D" w:rsidP="00042913">
      <w:pPr>
        <w:pStyle w:val="ListBullet"/>
      </w:pPr>
      <w:r w:rsidRPr="00042913">
        <w:t>population pharmacokinetic analyses;</w:t>
      </w:r>
    </w:p>
    <w:p w:rsidR="000D260D" w:rsidRPr="00042913" w:rsidRDefault="000D260D" w:rsidP="00042913">
      <w:pPr>
        <w:pStyle w:val="ListBullet"/>
      </w:pPr>
      <w:r w:rsidRPr="00042913">
        <w:t>3 pivotal efficacy/safety studies; and</w:t>
      </w:r>
    </w:p>
    <w:p w:rsidR="000D260D" w:rsidRPr="00042913" w:rsidRDefault="000D260D" w:rsidP="00042913">
      <w:pPr>
        <w:pStyle w:val="ListBullet"/>
      </w:pPr>
      <w:r w:rsidRPr="00042913">
        <w:t>8 other efficacy/safety studies.</w:t>
      </w:r>
    </w:p>
    <w:p w:rsidR="00586F98" w:rsidRDefault="00586F98" w:rsidP="00042913">
      <w:pPr>
        <w:pStyle w:val="Heading3"/>
      </w:pPr>
      <w:bookmarkStart w:id="12" w:name="_Toc365636785"/>
      <w:r>
        <w:t xml:space="preserve">Paediatric </w:t>
      </w:r>
      <w:r w:rsidRPr="00042913">
        <w:t>data</w:t>
      </w:r>
      <w:bookmarkEnd w:id="12"/>
    </w:p>
    <w:p w:rsidR="001E4548" w:rsidRDefault="001E4548" w:rsidP="00042913">
      <w:r>
        <w:t>The submission did not include paediatric data, and the sponsor is not seeking approval for use in the paediatric population.</w:t>
      </w:r>
    </w:p>
    <w:p w:rsidR="00586F98" w:rsidRDefault="00586F98" w:rsidP="00042913">
      <w:pPr>
        <w:pStyle w:val="Heading3"/>
      </w:pPr>
      <w:bookmarkStart w:id="13" w:name="_Toc365636786"/>
      <w:r>
        <w:t xml:space="preserve">Good </w:t>
      </w:r>
      <w:r w:rsidRPr="00042913">
        <w:t>clinical</w:t>
      </w:r>
      <w:r>
        <w:t xml:space="preserve"> practice</w:t>
      </w:r>
      <w:bookmarkEnd w:id="13"/>
    </w:p>
    <w:p w:rsidR="001E4548" w:rsidRPr="001E4548" w:rsidRDefault="001E4548" w:rsidP="00042913">
      <w:bookmarkStart w:id="14" w:name="_Toc241374282"/>
      <w:r w:rsidRPr="001E4548">
        <w:t>The sponsor makes the following set of claims in the Clinical Overview:</w:t>
      </w:r>
    </w:p>
    <w:p w:rsidR="001E4548" w:rsidRPr="00042913" w:rsidRDefault="001E4548" w:rsidP="00042913">
      <w:pPr>
        <w:ind w:left="720"/>
        <w:rPr>
          <w:i/>
        </w:rPr>
      </w:pPr>
      <w:r w:rsidRPr="00042913">
        <w:rPr>
          <w:i/>
        </w:rPr>
        <w:t xml:space="preserve">“All studies conducted by Valeant Pharmaceuticals North America were undertaken in accordance with standard operating procedures of Valeant. All studies in the </w:t>
      </w:r>
      <w:proofErr w:type="spellStart"/>
      <w:r w:rsidRPr="00042913">
        <w:rPr>
          <w:i/>
        </w:rPr>
        <w:t>retigabine</w:t>
      </w:r>
      <w:proofErr w:type="spellEnd"/>
      <w:r w:rsidRPr="00042913">
        <w:rPr>
          <w:i/>
        </w:rPr>
        <w:t xml:space="preserve"> clinical development program were conducted in accordance with ethical principles recognized by the world community</w:t>
      </w:r>
      <w:r w:rsidR="00C45641" w:rsidRPr="00042913">
        <w:rPr>
          <w:i/>
        </w:rPr>
        <w:t>,</w:t>
      </w:r>
      <w:r w:rsidRPr="00042913">
        <w:rPr>
          <w:i/>
        </w:rPr>
        <w:t xml:space="preserve"> e.g. Declaration of Helsinki and/or Good Clinical Practice (GCP). All studies were conducted with the approval of Ethics Committees or Institutional Review Boards. Informed consent was obtained for all patients. Where regulatory approval was required, this was obtained from the relevant health authority.”</w:t>
      </w:r>
    </w:p>
    <w:bookmarkEnd w:id="14"/>
    <w:p w:rsidR="001E4548" w:rsidRPr="001E4548" w:rsidRDefault="001E4548" w:rsidP="00042913">
      <w:r w:rsidRPr="001E4548">
        <w:t>Similar statements appear in the individual study descriptions and it appears that GCP was followed throughout the study program.</w:t>
      </w:r>
    </w:p>
    <w:p w:rsidR="00586F98" w:rsidRDefault="00586F98" w:rsidP="00042913">
      <w:pPr>
        <w:pStyle w:val="Heading2"/>
      </w:pPr>
      <w:bookmarkStart w:id="15" w:name="_Toc355338639"/>
      <w:bookmarkStart w:id="16" w:name="_Toc365636787"/>
      <w:r w:rsidRPr="00042913">
        <w:t>Pharmacokinetics</w:t>
      </w:r>
      <w:bookmarkEnd w:id="15"/>
      <w:bookmarkEnd w:id="16"/>
      <w:r>
        <w:t xml:space="preserve"> </w:t>
      </w:r>
    </w:p>
    <w:p w:rsidR="007B5B53" w:rsidRDefault="007B5B53" w:rsidP="00042913">
      <w:pPr>
        <w:pStyle w:val="Heading3"/>
      </w:pPr>
      <w:bookmarkStart w:id="17" w:name="_Ref271017296"/>
      <w:bookmarkStart w:id="18" w:name="_Ref271018924"/>
      <w:bookmarkStart w:id="19" w:name="_Ref271018934"/>
      <w:bookmarkStart w:id="20" w:name="_Toc272414614"/>
      <w:bookmarkStart w:id="21" w:name="_Toc290846238"/>
      <w:bookmarkStart w:id="22" w:name="_Toc330196320"/>
      <w:bookmarkStart w:id="23" w:name="_Toc365636788"/>
      <w:r>
        <w:t>Studies</w:t>
      </w:r>
      <w:bookmarkEnd w:id="17"/>
      <w:bookmarkEnd w:id="18"/>
      <w:bookmarkEnd w:id="19"/>
      <w:r>
        <w:t xml:space="preserve"> providing </w:t>
      </w:r>
      <w:r w:rsidRPr="00042913">
        <w:t>pharmacokinetic</w:t>
      </w:r>
      <w:r>
        <w:t xml:space="preserve"> data</w:t>
      </w:r>
      <w:bookmarkEnd w:id="20"/>
      <w:bookmarkEnd w:id="21"/>
      <w:bookmarkEnd w:id="22"/>
      <w:bookmarkEnd w:id="23"/>
    </w:p>
    <w:p w:rsidR="007B5B53" w:rsidRPr="009B2210" w:rsidRDefault="007B5B53" w:rsidP="00042913">
      <w:r w:rsidRPr="009B2210">
        <w:t xml:space="preserve">None of the pharmacokinetic studies had deficiencies that excluded their results from consideration. However, the drug interaction studies should be interpreted with caution because the </w:t>
      </w:r>
      <w:proofErr w:type="spellStart"/>
      <w:r w:rsidRPr="009B2210">
        <w:t>lamotrigine</w:t>
      </w:r>
      <w:proofErr w:type="spellEnd"/>
      <w:r w:rsidRPr="009B2210">
        <w:t xml:space="preserve"> interaction study (3065A1-109) used a subclinical dose of </w:t>
      </w:r>
      <w:proofErr w:type="spellStart"/>
      <w:r w:rsidRPr="009B2210">
        <w:t>lamotrigine</w:t>
      </w:r>
      <w:proofErr w:type="spellEnd"/>
      <w:r w:rsidRPr="009B2210">
        <w:t>. The ‘Multiple AEDs’ study (3065A1-202) did not use standardised treatments – subjects entered the study on whatever AED regimen their clinicians had chosen previously – and this study had low numbers in many treatment groups.</w:t>
      </w:r>
    </w:p>
    <w:p w:rsidR="00E01C05" w:rsidRDefault="00E01C05" w:rsidP="00042913">
      <w:pPr>
        <w:pStyle w:val="Heading3"/>
      </w:pPr>
      <w:bookmarkStart w:id="24" w:name="_Ref269118175"/>
      <w:bookmarkStart w:id="25" w:name="_Toc272414616"/>
      <w:bookmarkStart w:id="26" w:name="_Toc290846239"/>
      <w:bookmarkStart w:id="27" w:name="_Toc330196322"/>
      <w:bookmarkStart w:id="28" w:name="_Toc365636789"/>
      <w:r>
        <w:t xml:space="preserve">Summary of </w:t>
      </w:r>
      <w:r w:rsidRPr="00042913">
        <w:t>pharmacokinetics</w:t>
      </w:r>
      <w:bookmarkEnd w:id="24"/>
      <w:bookmarkEnd w:id="25"/>
      <w:bookmarkEnd w:id="26"/>
      <w:bookmarkEnd w:id="27"/>
      <w:bookmarkEnd w:id="28"/>
    </w:p>
    <w:p w:rsidR="00E01C05" w:rsidRPr="009B2210" w:rsidRDefault="00E01C05" w:rsidP="00042913">
      <w:r w:rsidRPr="009B2210">
        <w:t>The information in the following summary is derived from conventional pharmacokinetic studies unless otherwise stated</w:t>
      </w:r>
      <w:r w:rsidR="009B2210" w:rsidRPr="009B2210">
        <w:t>.</w:t>
      </w:r>
    </w:p>
    <w:p w:rsidR="00E01C05" w:rsidRPr="00735939" w:rsidRDefault="00E01C05" w:rsidP="00042913">
      <w:pPr>
        <w:pStyle w:val="Heading4"/>
      </w:pPr>
      <w:bookmarkStart w:id="29" w:name="_Toc272414617"/>
      <w:bookmarkStart w:id="30" w:name="_Toc290846240"/>
      <w:bookmarkStart w:id="31" w:name="_Toc330196323"/>
      <w:r w:rsidRPr="00735939">
        <w:t xml:space="preserve">Physicochemical </w:t>
      </w:r>
      <w:r w:rsidRPr="00042913">
        <w:t>characteristics</w:t>
      </w:r>
      <w:r w:rsidRPr="00735939">
        <w:t xml:space="preserve"> of the active substance</w:t>
      </w:r>
      <w:bookmarkEnd w:id="29"/>
      <w:bookmarkEnd w:id="30"/>
      <w:bookmarkEnd w:id="31"/>
    </w:p>
    <w:p w:rsidR="00E01C05" w:rsidRPr="00A43F0D" w:rsidRDefault="00E01C05" w:rsidP="00042913">
      <w:r w:rsidRPr="00A43F0D">
        <w:t>From the proposed PI:</w:t>
      </w:r>
    </w:p>
    <w:p w:rsidR="00E01C05" w:rsidRPr="00042913" w:rsidRDefault="00E01C05" w:rsidP="00042913">
      <w:pPr>
        <w:ind w:left="720"/>
        <w:rPr>
          <w:i/>
        </w:rPr>
      </w:pPr>
      <w:r w:rsidRPr="00042913">
        <w:rPr>
          <w:i/>
        </w:rPr>
        <w:lastRenderedPageBreak/>
        <w:t>“</w:t>
      </w:r>
      <w:proofErr w:type="spellStart"/>
      <w:r w:rsidRPr="00042913">
        <w:rPr>
          <w:i/>
        </w:rPr>
        <w:t>Retigabine</w:t>
      </w:r>
      <w:proofErr w:type="spellEnd"/>
      <w:r w:rsidRPr="00042913">
        <w:rPr>
          <w:i/>
        </w:rPr>
        <w:t xml:space="preserve"> is a white to pinkish-brown solid with a molecular weight of 303.3. It is insoluble in water, and soluble in organic solvents, methanol, chloroform and </w:t>
      </w:r>
      <w:proofErr w:type="spellStart"/>
      <w:r w:rsidRPr="00042913">
        <w:rPr>
          <w:i/>
        </w:rPr>
        <w:t>dimethylformamide</w:t>
      </w:r>
      <w:proofErr w:type="spellEnd"/>
      <w:r w:rsidRPr="00042913">
        <w:rPr>
          <w:i/>
        </w:rPr>
        <w:t>.</w:t>
      </w:r>
    </w:p>
    <w:p w:rsidR="00E01C05" w:rsidRPr="00042913" w:rsidRDefault="00E01C05" w:rsidP="00042913">
      <w:pPr>
        <w:ind w:left="720"/>
        <w:rPr>
          <w:i/>
        </w:rPr>
      </w:pPr>
      <w:proofErr w:type="spellStart"/>
      <w:r w:rsidRPr="00042913">
        <w:rPr>
          <w:i/>
        </w:rPr>
        <w:t>Trobalt</w:t>
      </w:r>
      <w:proofErr w:type="spellEnd"/>
      <w:r w:rsidRPr="00042913">
        <w:rPr>
          <w:i/>
        </w:rPr>
        <w:t xml:space="preserve"> film-coated tablets also contain the inactive ingredients </w:t>
      </w:r>
      <w:proofErr w:type="spellStart"/>
      <w:r w:rsidRPr="00042913">
        <w:rPr>
          <w:i/>
        </w:rPr>
        <w:t>croscarmellose</w:t>
      </w:r>
      <w:proofErr w:type="spellEnd"/>
      <w:r w:rsidRPr="00042913">
        <w:rPr>
          <w:i/>
        </w:rPr>
        <w:t xml:space="preserve"> sodium, </w:t>
      </w:r>
      <w:proofErr w:type="spellStart"/>
      <w:r w:rsidRPr="00042913">
        <w:rPr>
          <w:i/>
        </w:rPr>
        <w:t>hypromellose</w:t>
      </w:r>
      <w:proofErr w:type="spellEnd"/>
      <w:r w:rsidRPr="00042913">
        <w:rPr>
          <w:i/>
        </w:rPr>
        <w:t xml:space="preserve">, magnesium </w:t>
      </w:r>
      <w:proofErr w:type="spellStart"/>
      <w:r w:rsidRPr="00042913">
        <w:rPr>
          <w:i/>
        </w:rPr>
        <w:t>stearate</w:t>
      </w:r>
      <w:proofErr w:type="spellEnd"/>
      <w:r w:rsidRPr="00042913">
        <w:rPr>
          <w:i/>
        </w:rPr>
        <w:t xml:space="preserve">, microcrystalline cellulose. The film coat includes polyvinyl alcohol, titanium dioxide, talc, indigo carmine aluminium lake, cochineal, iron oxide yellow CI77492, lecithin and </w:t>
      </w:r>
      <w:proofErr w:type="spellStart"/>
      <w:r w:rsidRPr="00042913">
        <w:rPr>
          <w:i/>
        </w:rPr>
        <w:t>xanthum</w:t>
      </w:r>
      <w:proofErr w:type="spellEnd"/>
      <w:r w:rsidRPr="00042913">
        <w:rPr>
          <w:i/>
        </w:rPr>
        <w:t xml:space="preserve"> gum.”</w:t>
      </w:r>
    </w:p>
    <w:p w:rsidR="00E01C05" w:rsidRPr="004F1AA5" w:rsidRDefault="00E01C05" w:rsidP="00042913">
      <w:pPr>
        <w:pStyle w:val="Heading4"/>
      </w:pPr>
      <w:bookmarkStart w:id="32" w:name="_Ref271189106"/>
      <w:bookmarkStart w:id="33" w:name="_Ref271189143"/>
      <w:bookmarkStart w:id="34" w:name="_Toc272414618"/>
      <w:bookmarkStart w:id="35" w:name="_Toc290846241"/>
      <w:bookmarkStart w:id="36" w:name="_Toc330196324"/>
      <w:r w:rsidRPr="00042913">
        <w:t>Pharmacokinetics</w:t>
      </w:r>
      <w:r w:rsidRPr="004F1AA5">
        <w:t xml:space="preserve"> in healthy subjects</w:t>
      </w:r>
      <w:bookmarkEnd w:id="32"/>
      <w:bookmarkEnd w:id="33"/>
      <w:bookmarkEnd w:id="34"/>
      <w:bookmarkEnd w:id="35"/>
      <w:bookmarkEnd w:id="36"/>
    </w:p>
    <w:p w:rsidR="00E01C05" w:rsidRPr="004F1AA5" w:rsidRDefault="00E01C05" w:rsidP="00042913">
      <w:pPr>
        <w:pStyle w:val="Heading5"/>
      </w:pPr>
      <w:bookmarkStart w:id="37" w:name="_Toc272414619"/>
      <w:bookmarkStart w:id="38" w:name="_Toc290846242"/>
      <w:bookmarkStart w:id="39" w:name="_Toc330196325"/>
      <w:r w:rsidRPr="00042913">
        <w:t>Absorption</w:t>
      </w:r>
      <w:bookmarkEnd w:id="37"/>
      <w:bookmarkEnd w:id="38"/>
      <w:bookmarkEnd w:id="39"/>
    </w:p>
    <w:p w:rsidR="00E01C05" w:rsidRPr="004F1AA5" w:rsidRDefault="00E01C05" w:rsidP="00042913">
      <w:pPr>
        <w:pStyle w:val="Heading6"/>
      </w:pPr>
      <w:r w:rsidRPr="004F1AA5">
        <w:t xml:space="preserve">Sites </w:t>
      </w:r>
      <w:r w:rsidRPr="00042913">
        <w:t>and</w:t>
      </w:r>
      <w:r w:rsidRPr="004F1AA5">
        <w:t xml:space="preserve"> mechanisms of absorption</w:t>
      </w:r>
    </w:p>
    <w:p w:rsidR="00E01C05" w:rsidRDefault="00E01C05" w:rsidP="00042913">
      <w:proofErr w:type="spellStart"/>
      <w:r w:rsidRPr="00BE6DC0">
        <w:t>Retig</w:t>
      </w:r>
      <w:r w:rsidR="0039203B">
        <w:t>abine</w:t>
      </w:r>
      <w:proofErr w:type="spellEnd"/>
      <w:r w:rsidR="0039203B">
        <w:t xml:space="preserve"> is absorbed from the gut, </w:t>
      </w:r>
      <w:r w:rsidRPr="00BE6DC0">
        <w:t>but details of the precise sites and mechanisms involved are lacking</w:t>
      </w:r>
      <w:r w:rsidR="00EA0A5E">
        <w:t xml:space="preserve">. </w:t>
      </w:r>
      <w:r w:rsidRPr="00BE6DC0">
        <w:t xml:space="preserve">Across multiple PK studies, </w:t>
      </w:r>
      <w:proofErr w:type="spellStart"/>
      <w:r w:rsidRPr="00BE6DC0">
        <w:t>Cmax</w:t>
      </w:r>
      <w:proofErr w:type="spellEnd"/>
      <w:r w:rsidRPr="00BE6DC0">
        <w:t xml:space="preserve"> was</w:t>
      </w:r>
      <w:r w:rsidR="00BE6DC0">
        <w:t xml:space="preserve"> generally reached in 2-3 hours (Figure 1).</w:t>
      </w:r>
    </w:p>
    <w:p w:rsidR="003F7085" w:rsidRPr="00042913" w:rsidRDefault="003F7085" w:rsidP="00042913">
      <w:pPr>
        <w:pStyle w:val="FigureTitle"/>
      </w:pPr>
      <w:r w:rsidRPr="00042913">
        <w:t xml:space="preserve">Figure 1: </w:t>
      </w:r>
      <w:r w:rsidR="00D74F3A" w:rsidRPr="00042913">
        <w:t xml:space="preserve">Mean plasma concentration-time profiles of </w:t>
      </w:r>
      <w:proofErr w:type="spellStart"/>
      <w:r w:rsidR="00D74F3A" w:rsidRPr="00042913">
        <w:t>retigabine</w:t>
      </w:r>
      <w:proofErr w:type="spellEnd"/>
      <w:r w:rsidR="00D74F3A" w:rsidRPr="00042913">
        <w:t xml:space="preserve"> after single oral administration of 50 to 600 mg </w:t>
      </w:r>
      <w:proofErr w:type="spellStart"/>
      <w:r w:rsidR="00D74F3A" w:rsidRPr="00042913">
        <w:t>retigabine</w:t>
      </w:r>
      <w:proofErr w:type="spellEnd"/>
      <w:r w:rsidR="00D74F3A" w:rsidRPr="00042913">
        <w:t xml:space="preserve"> (Study 3065A1-100)</w:t>
      </w:r>
      <w:r w:rsidRPr="00042913">
        <w:t>.</w:t>
      </w:r>
    </w:p>
    <w:p w:rsidR="00E01C05" w:rsidRPr="00E675C1" w:rsidRDefault="00DA36AD" w:rsidP="00D74F3A">
      <w:pPr>
        <w:autoSpaceDE w:val="0"/>
        <w:autoSpaceDN w:val="0"/>
        <w:adjustRightInd w:val="0"/>
        <w:jc w:val="center"/>
      </w:pPr>
      <w:r>
        <w:rPr>
          <w:noProof/>
          <w:lang w:eastAsia="en-AU"/>
        </w:rPr>
        <w:drawing>
          <wp:inline distT="0" distB="0" distL="0" distR="0">
            <wp:extent cx="4645025" cy="2765425"/>
            <wp:effectExtent l="19050" t="0" r="3175" b="0"/>
            <wp:docPr id="97" name="Picture 1" descr="Graph showing mean plasma concentration-time profiles of retigabine after single oral administration of 50 to 600 mg retigabine (Study 3065A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
                    <pic:cNvPicPr>
                      <a:picLocks noChangeAspect="1" noChangeArrowheads="1"/>
                    </pic:cNvPicPr>
                  </pic:nvPicPr>
                  <pic:blipFill>
                    <a:blip r:embed="rId14" cstate="print"/>
                    <a:srcRect/>
                    <a:stretch>
                      <a:fillRect/>
                    </a:stretch>
                  </pic:blipFill>
                  <pic:spPr bwMode="auto">
                    <a:xfrm>
                      <a:off x="0" y="0"/>
                      <a:ext cx="4645025" cy="2765425"/>
                    </a:xfrm>
                    <a:prstGeom prst="rect">
                      <a:avLst/>
                    </a:prstGeom>
                    <a:noFill/>
                    <a:ln w="9525">
                      <a:noFill/>
                      <a:miter lim="800000"/>
                      <a:headEnd/>
                      <a:tailEnd/>
                    </a:ln>
                  </pic:spPr>
                </pic:pic>
              </a:graphicData>
            </a:graphic>
          </wp:inline>
        </w:drawing>
      </w:r>
    </w:p>
    <w:p w:rsidR="00E01C05" w:rsidRPr="00DB14D1" w:rsidRDefault="00E01C05" w:rsidP="00042913">
      <w:pPr>
        <w:pStyle w:val="Heading5"/>
      </w:pPr>
      <w:bookmarkStart w:id="40" w:name="_Toc241374287"/>
      <w:bookmarkStart w:id="41" w:name="_Toc272414620"/>
      <w:bookmarkStart w:id="42" w:name="_Toc290846243"/>
      <w:bookmarkStart w:id="43" w:name="_Toc330196326"/>
      <w:r w:rsidRPr="00042913">
        <w:t>Bioavailability</w:t>
      </w:r>
      <w:bookmarkEnd w:id="40"/>
      <w:bookmarkEnd w:id="41"/>
      <w:bookmarkEnd w:id="42"/>
      <w:bookmarkEnd w:id="43"/>
    </w:p>
    <w:p w:rsidR="00E01C05" w:rsidRPr="00DB14D1" w:rsidRDefault="00E01C05" w:rsidP="00042913">
      <w:pPr>
        <w:pStyle w:val="Heading6"/>
      </w:pPr>
      <w:r w:rsidRPr="00042913">
        <w:t>Absolute</w:t>
      </w:r>
      <w:r w:rsidRPr="00DB14D1">
        <w:t xml:space="preserve"> bioavailability</w:t>
      </w:r>
    </w:p>
    <w:p w:rsidR="00E01C05" w:rsidRPr="00DE312A" w:rsidRDefault="00E01C05" w:rsidP="00042913">
      <w:r w:rsidRPr="00DE312A">
        <w:t xml:space="preserve">The absolute bioavailability of </w:t>
      </w:r>
      <w:proofErr w:type="spellStart"/>
      <w:r w:rsidRPr="00DE312A">
        <w:t>retigabine</w:t>
      </w:r>
      <w:proofErr w:type="spellEnd"/>
      <w:r w:rsidRPr="00DE312A">
        <w:t xml:space="preserve"> was investigated in Study 3065A1-123 (n=12), when the bioavailability of </w:t>
      </w:r>
      <w:proofErr w:type="spellStart"/>
      <w:r w:rsidRPr="00DE312A">
        <w:t>retigabine</w:t>
      </w:r>
      <w:proofErr w:type="spellEnd"/>
      <w:r w:rsidRPr="00DE312A">
        <w:t xml:space="preserve"> as an oral solution and as oral immediate release (IR) capsules were compared with intravenous </w:t>
      </w:r>
      <w:proofErr w:type="spellStart"/>
      <w:r w:rsidRPr="00DE312A">
        <w:t>retigabine</w:t>
      </w:r>
      <w:proofErr w:type="spellEnd"/>
      <w:r w:rsidRPr="00DE312A">
        <w:t xml:space="preserve"> in fasting healthy adult male subjects. The absolute bioavailability was estimated to be 60%.</w:t>
      </w:r>
    </w:p>
    <w:p w:rsidR="00E01C05" w:rsidRPr="00DB14D1" w:rsidRDefault="00E01C05" w:rsidP="00042913">
      <w:pPr>
        <w:pStyle w:val="Heading6"/>
      </w:pPr>
      <w:r w:rsidRPr="00DB14D1">
        <w:t xml:space="preserve">Bioavailability </w:t>
      </w:r>
      <w:r w:rsidRPr="00042913">
        <w:t>relative</w:t>
      </w:r>
      <w:r w:rsidRPr="00DB14D1">
        <w:t xml:space="preserve"> to an oral solution</w:t>
      </w:r>
    </w:p>
    <w:p w:rsidR="00E01C05" w:rsidRPr="00DE312A" w:rsidRDefault="00E01C05" w:rsidP="00042913">
      <w:r w:rsidRPr="00DE312A">
        <w:t>Study 3065A1-123 compared the bioavailability of immediate release tablets and oral solution, finding them to be equivalent.</w:t>
      </w:r>
    </w:p>
    <w:p w:rsidR="00E01C05" w:rsidRPr="00DB14D1" w:rsidRDefault="00E01C05" w:rsidP="00042913">
      <w:pPr>
        <w:pStyle w:val="Heading6"/>
      </w:pPr>
      <w:bookmarkStart w:id="44" w:name="_Ref329610586"/>
      <w:r w:rsidRPr="00DB14D1">
        <w:t xml:space="preserve">Bioequivalence of clinical </w:t>
      </w:r>
      <w:r w:rsidRPr="00042913">
        <w:t>trial</w:t>
      </w:r>
      <w:r w:rsidRPr="00DB14D1">
        <w:t xml:space="preserve"> and market formulations</w:t>
      </w:r>
      <w:bookmarkEnd w:id="44"/>
    </w:p>
    <w:p w:rsidR="00E01C05" w:rsidRPr="00DE312A" w:rsidRDefault="00265158" w:rsidP="00042913">
      <w:r>
        <w:t>Table 1</w:t>
      </w:r>
      <w:r w:rsidR="00E01C05" w:rsidRPr="00DE312A">
        <w:t xml:space="preserve"> summarises the different formulations in use throughout the development program. Four main formulations are relevant, as listed in the left-hand column of </w:t>
      </w:r>
      <w:r w:rsidR="00306F1B">
        <w:t>Table 1</w:t>
      </w:r>
      <w:r w:rsidR="00E01C05" w:rsidRPr="00DE312A">
        <w:t>: a capsule, the initial immediate release tablet, a clinical trial tablet and a market image tablet.</w:t>
      </w:r>
    </w:p>
    <w:p w:rsidR="00C45641" w:rsidRPr="000471E1" w:rsidRDefault="00126E2D" w:rsidP="00042913">
      <w:pPr>
        <w:pStyle w:val="TableTitle"/>
        <w:rPr>
          <w:lang w:val="en-GB"/>
        </w:rPr>
      </w:pPr>
      <w:r>
        <w:br w:type="page"/>
      </w:r>
      <w:r w:rsidR="00C45641">
        <w:lastRenderedPageBreak/>
        <w:t>Table 1</w:t>
      </w:r>
      <w:r w:rsidR="00C45641" w:rsidRPr="000471E1">
        <w:t xml:space="preserve">: </w:t>
      </w:r>
      <w:r w:rsidR="00C45641">
        <w:t xml:space="preserve">Summary of the formulations and tablet strengths used in the bioequivalence and efficacy studies for </w:t>
      </w:r>
      <w:proofErr w:type="spellStart"/>
      <w:r w:rsidR="00C45641">
        <w:t>retigabine</w:t>
      </w:r>
      <w:proofErr w:type="spellEnd"/>
      <w:r w:rsidR="00C45641">
        <w:t>.</w:t>
      </w:r>
    </w:p>
    <w:p w:rsidR="00E01C05" w:rsidRDefault="00DA36AD" w:rsidP="00CF67FB">
      <w:pPr>
        <w:autoSpaceDE w:val="0"/>
        <w:autoSpaceDN w:val="0"/>
        <w:adjustRightInd w:val="0"/>
        <w:jc w:val="center"/>
      </w:pPr>
      <w:r>
        <w:rPr>
          <w:noProof/>
          <w:lang w:eastAsia="en-AU"/>
        </w:rPr>
        <w:drawing>
          <wp:inline distT="0" distB="0" distL="0" distR="0">
            <wp:extent cx="4937760" cy="1390015"/>
            <wp:effectExtent l="19050" t="0" r="0" b="0"/>
            <wp:docPr id="2" name="Picture 2" descr="Table showing summary of the formulations and tablet strengths used in the bioequivalence and efficacy studies for retiga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5" cstate="print"/>
                    <a:srcRect/>
                    <a:stretch>
                      <a:fillRect/>
                    </a:stretch>
                  </pic:blipFill>
                  <pic:spPr bwMode="auto">
                    <a:xfrm>
                      <a:off x="0" y="0"/>
                      <a:ext cx="4937760" cy="1390015"/>
                    </a:xfrm>
                    <a:prstGeom prst="rect">
                      <a:avLst/>
                    </a:prstGeom>
                    <a:noFill/>
                    <a:ln w="9525">
                      <a:noFill/>
                      <a:miter lim="800000"/>
                      <a:headEnd/>
                      <a:tailEnd/>
                    </a:ln>
                  </pic:spPr>
                </pic:pic>
              </a:graphicData>
            </a:graphic>
          </wp:inline>
        </w:drawing>
      </w:r>
    </w:p>
    <w:p w:rsidR="00265158" w:rsidRDefault="00265158" w:rsidP="00042913">
      <w:r w:rsidRPr="00DE312A">
        <w:t>Pharmacokinetic studies generally used the “Initial tablet”. The capsule was used in the pivotal Phase II Study 205, but it was not used in the larger follow-up pivotal Phase III studies, which used a tablet designated the “Clinical Trial” tablet. The sponsor is seeking registration of the “Market Image” tablet, which has not been studied in any PK, PD or efficacy study.</w:t>
      </w:r>
    </w:p>
    <w:p w:rsidR="00E01C05" w:rsidRPr="00DE312A" w:rsidRDefault="00E01C05" w:rsidP="00042913">
      <w:r w:rsidRPr="00DE312A">
        <w:t xml:space="preserve">Equivalence between the relevant formulations has been satisfactorily demonstrated, where necessary. In bioequivalence Study 3065A1-110, the bioavailability of </w:t>
      </w:r>
      <w:proofErr w:type="spellStart"/>
      <w:r w:rsidRPr="00DE312A">
        <w:t>retigabine</w:t>
      </w:r>
      <w:proofErr w:type="spellEnd"/>
      <w:r w:rsidRPr="00DE312A">
        <w:t xml:space="preserve"> in the IR capsules (200 mg) was shown to be bioequivalent to the Initial IR tablet (200 mg) on the basis that the 90% confidence intervals (CIs) of </w:t>
      </w:r>
      <w:proofErr w:type="spellStart"/>
      <w:r w:rsidRPr="00DE312A">
        <w:t>Cmax</w:t>
      </w:r>
      <w:proofErr w:type="spellEnd"/>
      <w:r w:rsidRPr="00DE312A">
        <w:t xml:space="preserve"> and AUC were within the standard bioequivalence range (80 to 125%). This shows that the original PK studies are applicable to the capsule formulation used in Study 205.</w:t>
      </w:r>
    </w:p>
    <w:p w:rsidR="00E01C05" w:rsidRPr="00DE312A" w:rsidRDefault="00E01C05" w:rsidP="00042913">
      <w:r w:rsidRPr="00DE312A">
        <w:t xml:space="preserve">The “Clinical Trial” IR tablet has not been compared to the “Initial” IR tablet in any bioequivalence study, but it had the same core composition as the “Initial” tablets with only minor changes in tablet coating. The sponsor argues that the differences in tablet coating would not be anticipated to affect the rate or extent of release of </w:t>
      </w:r>
      <w:proofErr w:type="spellStart"/>
      <w:r w:rsidRPr="00DE312A">
        <w:t>retigabine</w:t>
      </w:r>
      <w:proofErr w:type="spellEnd"/>
      <w:r w:rsidRPr="00DE312A">
        <w:t>, which sounds plausible, but this point should be addressed by the non-clinical evaluator.</w:t>
      </w:r>
    </w:p>
    <w:p w:rsidR="00E01C05" w:rsidRPr="00DE312A" w:rsidRDefault="00E01C05" w:rsidP="00042913">
      <w:r w:rsidRPr="00DE312A">
        <w:t xml:space="preserve">Equivalence between the “Clinical Trial” tablet used in the pivotal Phase III studies and the “Market Image” tablet proposed for marketing was assessed in two studies: Study 105 (n=36) and RTG113287 (n=76). The first of these, Study 105, suggested that the Market Image tablet was more rapidly absorbed: the upper end of the 90% confidence interval (133%) for </w:t>
      </w:r>
      <w:proofErr w:type="spellStart"/>
      <w:r w:rsidRPr="00DE312A">
        <w:t>Cmax</w:t>
      </w:r>
      <w:proofErr w:type="spellEnd"/>
      <w:r w:rsidRPr="00DE312A">
        <w:t xml:space="preserve"> exceeded the standard criterion for equivalence (125%) and the geometric mean of the Market Image tablet was 16% higher than the Clinical Trial tablet. Overall systemic exposure was nonetheless the same, as reflected in similar AUC values within bioequivalence ranges. The sponsor argues that this study was underpowered: it had 72% power to demonstrate bioequivalence assuming the true difference between formulations is zero. A second bioequivalence study (RTG113287) with better power was conducted, and bioequivalence was demonstrated between the market image IR tablet and the clinical trial IR tablet on the basis of AUC and </w:t>
      </w:r>
      <w:proofErr w:type="spellStart"/>
      <w:r w:rsidRPr="00DE312A">
        <w:t>Cmax</w:t>
      </w:r>
      <w:proofErr w:type="spellEnd"/>
      <w:r w:rsidRPr="00DE312A">
        <w:t xml:space="preserve">. </w:t>
      </w:r>
    </w:p>
    <w:p w:rsidR="00E01C05" w:rsidRPr="00DE312A" w:rsidRDefault="00E01C05" w:rsidP="00042913">
      <w:r w:rsidRPr="00DE312A">
        <w:t xml:space="preserve">The sponsor also reports that the second study used clinical trial tablets with a d90 particle size for the active drug substance that was more representative of that used in the majority of patients studied in the pivotal Phase III clinical trials (Studies 301 and 302). This begs the question of whether particle size is likely to vary further, with subsequent changes in </w:t>
      </w:r>
      <w:proofErr w:type="spellStart"/>
      <w:r w:rsidRPr="00DE312A">
        <w:t>Cmax</w:t>
      </w:r>
      <w:proofErr w:type="spellEnd"/>
      <w:r w:rsidRPr="00DE312A">
        <w:t xml:space="preserve">, such that the drug released on the market differs from that employed in the clinical studies. A higher </w:t>
      </w:r>
      <w:proofErr w:type="spellStart"/>
      <w:r w:rsidRPr="00DE312A">
        <w:t>Cmax</w:t>
      </w:r>
      <w:proofErr w:type="spellEnd"/>
      <w:r w:rsidRPr="00DE312A">
        <w:t xml:space="preserve"> would be likely to be associated with a higher incidence of peak-dose CNS and </w:t>
      </w:r>
      <w:proofErr w:type="spellStart"/>
      <w:r w:rsidRPr="00DE312A">
        <w:t>proarrhythmic</w:t>
      </w:r>
      <w:proofErr w:type="spellEnd"/>
      <w:r w:rsidRPr="00DE312A">
        <w:t xml:space="preserve"> side effects. The sponsor should be asked to comment on this issue.</w:t>
      </w:r>
    </w:p>
    <w:p w:rsidR="00E01C05" w:rsidRPr="0047728F" w:rsidRDefault="00E01C05" w:rsidP="00042913">
      <w:pPr>
        <w:pStyle w:val="Heading6"/>
      </w:pPr>
      <w:r w:rsidRPr="00042913">
        <w:t>Bioequivalence</w:t>
      </w:r>
      <w:r w:rsidRPr="0047728F">
        <w:t xml:space="preserve"> of different dosage forms and strengths</w:t>
      </w:r>
    </w:p>
    <w:p w:rsidR="00E01C05" w:rsidRPr="00DE312A" w:rsidRDefault="00E01C05" w:rsidP="00042913">
      <w:r w:rsidRPr="00DE312A">
        <w:t xml:space="preserve">All </w:t>
      </w:r>
      <w:proofErr w:type="spellStart"/>
      <w:r w:rsidRPr="00DE312A">
        <w:t>retigabine</w:t>
      </w:r>
      <w:proofErr w:type="spellEnd"/>
      <w:r w:rsidRPr="00DE312A">
        <w:t xml:space="preserve"> tablets proposed for marketing are similar in composition, varying only in size and the amount of active drug. Bioequivalence of tablets of different strength has not been directly assessed, but differences are expected to be minor.</w:t>
      </w:r>
    </w:p>
    <w:p w:rsidR="00E01C05" w:rsidRPr="002367D2" w:rsidRDefault="00E01C05" w:rsidP="00042913">
      <w:pPr>
        <w:pStyle w:val="Heading6"/>
      </w:pPr>
      <w:bookmarkStart w:id="45" w:name="_Ref329269426"/>
      <w:r w:rsidRPr="002367D2">
        <w:lastRenderedPageBreak/>
        <w:t xml:space="preserve">Influence of </w:t>
      </w:r>
      <w:r w:rsidRPr="00042913">
        <w:t>food</w:t>
      </w:r>
      <w:bookmarkEnd w:id="45"/>
    </w:p>
    <w:p w:rsidR="00E01C05" w:rsidRPr="00DE312A" w:rsidRDefault="00E01C05" w:rsidP="00042913">
      <w:r w:rsidRPr="00DE312A">
        <w:t xml:space="preserve">The influence of food has been assessed using </w:t>
      </w:r>
      <w:proofErr w:type="spellStart"/>
      <w:r w:rsidRPr="00DE312A">
        <w:t>retigabine</w:t>
      </w:r>
      <w:proofErr w:type="spellEnd"/>
      <w:r w:rsidRPr="00DE312A">
        <w:t xml:space="preserve"> capsules, Initial IR tablets and Market Image tablets. (The sponsor also submitted a food study involving sustained release </w:t>
      </w:r>
      <w:proofErr w:type="spellStart"/>
      <w:r w:rsidRPr="00DE312A">
        <w:t>retigabine</w:t>
      </w:r>
      <w:proofErr w:type="spellEnd"/>
      <w:r w:rsidRPr="00DE312A">
        <w:t xml:space="preserve"> tablets, 3065A1-104, which is not directly relevant to the current application.)</w:t>
      </w:r>
    </w:p>
    <w:p w:rsidR="00E01C05" w:rsidRPr="00DE312A" w:rsidRDefault="00E01C05" w:rsidP="00042913">
      <w:r w:rsidRPr="00DE312A">
        <w:t xml:space="preserve">Study 3065A1-106 assessed the effect of administering </w:t>
      </w:r>
      <w:proofErr w:type="spellStart"/>
      <w:r w:rsidRPr="00DE312A">
        <w:t>retigabine</w:t>
      </w:r>
      <w:proofErr w:type="spellEnd"/>
      <w:r w:rsidRPr="00DE312A">
        <w:t xml:space="preserve"> IR capsules with a high fat breakfast: there were no significant effects on the AUC or </w:t>
      </w:r>
      <w:proofErr w:type="spellStart"/>
      <w:r w:rsidRPr="00DE312A">
        <w:t>Cmax</w:t>
      </w:r>
      <w:proofErr w:type="spellEnd"/>
      <w:r w:rsidRPr="00DE312A">
        <w:t xml:space="preserve"> values of </w:t>
      </w:r>
      <w:proofErr w:type="spellStart"/>
      <w:r w:rsidRPr="00DE312A">
        <w:t>retigabine</w:t>
      </w:r>
      <w:proofErr w:type="spellEnd"/>
      <w:r w:rsidRPr="00DE312A">
        <w:t xml:space="preserve"> relative to dosing in a fasted state, but there was a delay in the median </w:t>
      </w:r>
      <w:proofErr w:type="spellStart"/>
      <w:r w:rsidRPr="00DE312A">
        <w:t>tmax</w:t>
      </w:r>
      <w:proofErr w:type="spellEnd"/>
      <w:r w:rsidR="00460F24">
        <w:t xml:space="preserve"> </w:t>
      </w:r>
      <w:r w:rsidRPr="00DE312A">
        <w:t>of ~2.75 h.</w:t>
      </w:r>
    </w:p>
    <w:p w:rsidR="00E01C05" w:rsidRPr="00DE312A" w:rsidRDefault="00E01C05" w:rsidP="00042913">
      <w:r w:rsidRPr="00DE312A">
        <w:t xml:space="preserve">Study 3065A1-110 assessed administration of the Initial IR tablet formulation with a high-fat meal. There were no significant effects on the AUC but </w:t>
      </w:r>
      <w:proofErr w:type="spellStart"/>
      <w:r w:rsidRPr="00DE312A">
        <w:t>Cmax</w:t>
      </w:r>
      <w:proofErr w:type="spellEnd"/>
      <w:r w:rsidRPr="00DE312A">
        <w:t xml:space="preserve"> was increased by 14% relative to dosing in a fasted state.</w:t>
      </w:r>
    </w:p>
    <w:p w:rsidR="00E01C05" w:rsidRPr="00DE312A" w:rsidRDefault="00E01C05" w:rsidP="00042913">
      <w:r w:rsidRPr="00DE312A">
        <w:t xml:space="preserve">The most relevant study of food effect was Study VRX-RET-E22-104, which assessed the effect of a high-fat breakfast on absorption of </w:t>
      </w:r>
      <w:proofErr w:type="spellStart"/>
      <w:r w:rsidRPr="00DE312A">
        <w:t>retigabine</w:t>
      </w:r>
      <w:proofErr w:type="spellEnd"/>
      <w:r w:rsidRPr="00DE312A">
        <w:t xml:space="preserve"> from the Market Image IR tablet. Food did not affect the extent of oral absorption (AUC) of </w:t>
      </w:r>
      <w:proofErr w:type="spellStart"/>
      <w:r w:rsidRPr="00DE312A">
        <w:t>retigabine</w:t>
      </w:r>
      <w:proofErr w:type="spellEnd"/>
      <w:r w:rsidRPr="00DE312A">
        <w:t xml:space="preserve">, but it did result in a 38% higher </w:t>
      </w:r>
      <w:proofErr w:type="spellStart"/>
      <w:r w:rsidRPr="00DE312A">
        <w:t>Cmax</w:t>
      </w:r>
      <w:proofErr w:type="spellEnd"/>
      <w:r w:rsidRPr="00DE312A">
        <w:t xml:space="preserve">. Median </w:t>
      </w:r>
      <w:proofErr w:type="spellStart"/>
      <w:r w:rsidRPr="00DE312A">
        <w:t>tmax</w:t>
      </w:r>
      <w:proofErr w:type="spellEnd"/>
      <w:r w:rsidRPr="00DE312A">
        <w:t xml:space="preserve"> for </w:t>
      </w:r>
      <w:r w:rsidR="001C5411">
        <w:t xml:space="preserve">plasma </w:t>
      </w:r>
      <w:proofErr w:type="spellStart"/>
      <w:r w:rsidR="001C5411">
        <w:t>retigabine</w:t>
      </w:r>
      <w:proofErr w:type="spellEnd"/>
      <w:r w:rsidR="001C5411">
        <w:t xml:space="preserve"> was 2.50 h</w:t>
      </w:r>
      <w:r w:rsidRPr="00DE312A">
        <w:t xml:space="preserve"> under fed conditions and 1.75 hours under fasted conditions, indicating an approximate delay of 45 minutes attributable to food.</w:t>
      </w:r>
    </w:p>
    <w:p w:rsidR="00E01C05" w:rsidRPr="009F4BFD" w:rsidRDefault="00E01C05" w:rsidP="00042913">
      <w:pPr>
        <w:pStyle w:val="Heading6"/>
      </w:pPr>
      <w:r w:rsidRPr="009F4BFD">
        <w:t xml:space="preserve">Dose </w:t>
      </w:r>
      <w:r w:rsidRPr="00042913">
        <w:t>proportionality</w:t>
      </w:r>
    </w:p>
    <w:p w:rsidR="00E01C05" w:rsidRPr="00306F1B" w:rsidRDefault="00E01C05" w:rsidP="00042913">
      <w:r w:rsidRPr="00306F1B">
        <w:t xml:space="preserve">Dose proportionality has been demonstrated in a number of studies using oral or IV </w:t>
      </w:r>
      <w:proofErr w:type="spellStart"/>
      <w:r w:rsidRPr="00306F1B">
        <w:t>retigabine</w:t>
      </w:r>
      <w:proofErr w:type="spellEnd"/>
      <w:r w:rsidRPr="00306F1B">
        <w:t>. After IV dosing (1, 2.5, 5, 10, 25 or 50 mg) as a 15 minute IV infusion, dose proportionality was demonstrated within the ra</w:t>
      </w:r>
      <w:r w:rsidR="00ED3CD6">
        <w:t>n</w:t>
      </w:r>
      <w:r w:rsidRPr="00306F1B">
        <w:t xml:space="preserve">ge of 2.5-50 mg (Study 3065A1-117). </w:t>
      </w:r>
    </w:p>
    <w:p w:rsidR="00E01C05" w:rsidRPr="00306F1B" w:rsidRDefault="00E01C05" w:rsidP="00042913">
      <w:r w:rsidRPr="00306F1B">
        <w:t xml:space="preserve">In Study (Study 3065A1-100), the single oral-dose PK of </w:t>
      </w:r>
      <w:proofErr w:type="spellStart"/>
      <w:r w:rsidRPr="00306F1B">
        <w:t>retigabine</w:t>
      </w:r>
      <w:proofErr w:type="spellEnd"/>
      <w:r w:rsidRPr="00306F1B">
        <w:t xml:space="preserve"> was dose-proportional over the dose range 25 mg to 600 mg. </w:t>
      </w:r>
      <w:proofErr w:type="spellStart"/>
      <w:r w:rsidRPr="00306F1B">
        <w:t>Retigabine</w:t>
      </w:r>
      <w:proofErr w:type="spellEnd"/>
      <w:r w:rsidRPr="00306F1B">
        <w:t xml:space="preserve"> was rapidly absorbed with a </w:t>
      </w:r>
      <w:proofErr w:type="spellStart"/>
      <w:r w:rsidRPr="00306F1B">
        <w:t>tmax</w:t>
      </w:r>
      <w:proofErr w:type="spellEnd"/>
      <w:r w:rsidRPr="00306F1B">
        <w:t xml:space="preserve"> of 2-3 hours and elimination was unaffected by dose, typically with a t½ around 10 hours.</w:t>
      </w:r>
    </w:p>
    <w:p w:rsidR="00E01C05" w:rsidRPr="00306F1B" w:rsidRDefault="00E01C05" w:rsidP="00042913">
      <w:r w:rsidRPr="00306F1B">
        <w:t xml:space="preserve">A population pharmacokinetic analysis also showed that the systemic exposure to </w:t>
      </w:r>
      <w:proofErr w:type="spellStart"/>
      <w:r w:rsidRPr="00306F1B">
        <w:t>retigabine</w:t>
      </w:r>
      <w:proofErr w:type="spellEnd"/>
      <w:r w:rsidRPr="00306F1B">
        <w:t xml:space="preserve"> was linear over the therapeutic dose range of 600 to 1200 mg /day.</w:t>
      </w:r>
    </w:p>
    <w:p w:rsidR="00E01C05" w:rsidRPr="00306F1B" w:rsidRDefault="00E01C05" w:rsidP="00042913">
      <w:r w:rsidRPr="00306F1B">
        <w:t xml:space="preserve">Overall, there is good evidence that </w:t>
      </w:r>
      <w:proofErr w:type="spellStart"/>
      <w:r w:rsidRPr="00306F1B">
        <w:t>retigabine</w:t>
      </w:r>
      <w:proofErr w:type="spellEnd"/>
      <w:r w:rsidRPr="00306F1B">
        <w:t xml:space="preserve"> produces a dose-proportional pharmacokinetic profile.</w:t>
      </w:r>
    </w:p>
    <w:p w:rsidR="00E01C05" w:rsidRPr="00DE312A" w:rsidRDefault="00E01C05" w:rsidP="00042913">
      <w:pPr>
        <w:pStyle w:val="Heading6"/>
      </w:pPr>
      <w:r w:rsidRPr="00DE312A">
        <w:t>Bioavailability during multiple-dosing</w:t>
      </w:r>
    </w:p>
    <w:p w:rsidR="00E01C05" w:rsidRPr="00DE312A" w:rsidRDefault="00E01C05" w:rsidP="00042913">
      <w:r w:rsidRPr="00DE312A">
        <w:t xml:space="preserve">Comparisons between single doses of </w:t>
      </w:r>
      <w:proofErr w:type="spellStart"/>
      <w:r w:rsidRPr="00DE312A">
        <w:t>retigabine</w:t>
      </w:r>
      <w:proofErr w:type="spellEnd"/>
      <w:r w:rsidRPr="00DE312A">
        <w:t xml:space="preserve"> and multiple doses were made in Study 3065A1-101. There was no evidence of varying bioavailability with continued use. Long-term studies have shown that, after long-term use of therapeutic doses, the PK of </w:t>
      </w:r>
      <w:proofErr w:type="spellStart"/>
      <w:r w:rsidRPr="00DE312A">
        <w:t>retigabine</w:t>
      </w:r>
      <w:proofErr w:type="spellEnd"/>
      <w:r w:rsidRPr="00DE312A">
        <w:t xml:space="preserve"> resembles that seen after single doses.</w:t>
      </w:r>
    </w:p>
    <w:p w:rsidR="00E01C05" w:rsidRPr="00792F9B" w:rsidRDefault="00E01C05" w:rsidP="00042913">
      <w:pPr>
        <w:pStyle w:val="Heading6"/>
      </w:pPr>
      <w:r w:rsidRPr="00792F9B">
        <w:t xml:space="preserve">Effect of administration </w:t>
      </w:r>
      <w:r w:rsidRPr="00042913">
        <w:t>timing</w:t>
      </w:r>
    </w:p>
    <w:p w:rsidR="00E01C05" w:rsidRPr="00DE312A" w:rsidRDefault="00E01C05" w:rsidP="00042913">
      <w:r w:rsidRPr="00DE312A">
        <w:t>Apart from the food effects discussed above, there are no known PK changes with different times of administration.</w:t>
      </w:r>
    </w:p>
    <w:p w:rsidR="00E01C05" w:rsidRPr="00792F9B" w:rsidRDefault="00E01C05" w:rsidP="00042913">
      <w:pPr>
        <w:pStyle w:val="Heading5"/>
      </w:pPr>
      <w:bookmarkStart w:id="46" w:name="_Toc241374288"/>
      <w:bookmarkStart w:id="47" w:name="_Toc272414621"/>
      <w:bookmarkStart w:id="48" w:name="_Toc290846244"/>
      <w:bookmarkStart w:id="49" w:name="_Toc330196327"/>
      <w:r w:rsidRPr="00042913">
        <w:t>Distribution</w:t>
      </w:r>
      <w:bookmarkEnd w:id="46"/>
      <w:bookmarkEnd w:id="47"/>
      <w:bookmarkEnd w:id="48"/>
      <w:bookmarkEnd w:id="49"/>
    </w:p>
    <w:p w:rsidR="00E01C05" w:rsidRPr="00792F9B" w:rsidRDefault="00E01C05" w:rsidP="00042913">
      <w:pPr>
        <w:pStyle w:val="Heading6"/>
      </w:pPr>
      <w:r w:rsidRPr="00792F9B">
        <w:t xml:space="preserve">Volume of </w:t>
      </w:r>
      <w:r w:rsidRPr="00042913">
        <w:t>distribution</w:t>
      </w:r>
    </w:p>
    <w:p w:rsidR="00E01C05" w:rsidRPr="00A0082A" w:rsidRDefault="00E01C05" w:rsidP="00042913">
      <w:r w:rsidRPr="00A0082A">
        <w:t>The steady-state volume of distribution (</w:t>
      </w:r>
      <w:proofErr w:type="spellStart"/>
      <w:r w:rsidRPr="00A0082A">
        <w:t>Vss</w:t>
      </w:r>
      <w:proofErr w:type="spellEnd"/>
      <w:r w:rsidRPr="00A0082A">
        <w:t xml:space="preserve">) of </w:t>
      </w:r>
      <w:proofErr w:type="spellStart"/>
      <w:r w:rsidRPr="00A0082A">
        <w:t>retigabine</w:t>
      </w:r>
      <w:proofErr w:type="spellEnd"/>
      <w:r w:rsidRPr="00A0082A">
        <w:t xml:space="preserve"> was assessed in Study 3065A1-117, and found to be 2-3 L/Kg after IV administration (dose range: 1-50 mg).</w:t>
      </w:r>
    </w:p>
    <w:p w:rsidR="00E01C05" w:rsidRPr="00792F9B" w:rsidRDefault="00E01C05" w:rsidP="00042913">
      <w:pPr>
        <w:pStyle w:val="Heading6"/>
      </w:pPr>
      <w:r w:rsidRPr="00792F9B">
        <w:t>Plasma protein binding</w:t>
      </w:r>
    </w:p>
    <w:p w:rsidR="00E01C05" w:rsidRPr="00A0082A" w:rsidRDefault="00E01C05" w:rsidP="00042913">
      <w:r w:rsidRPr="00A0082A">
        <w:t xml:space="preserve">From </w:t>
      </w:r>
      <w:r w:rsidRPr="00A0082A">
        <w:rPr>
          <w:i/>
        </w:rPr>
        <w:t>in vitro</w:t>
      </w:r>
      <w:r w:rsidRPr="00A0082A">
        <w:t xml:space="preserve"> studies, it has been estimated that </w:t>
      </w:r>
      <w:proofErr w:type="spellStart"/>
      <w:r w:rsidRPr="00A0082A">
        <w:t>retigabine</w:t>
      </w:r>
      <w:proofErr w:type="spellEnd"/>
      <w:r w:rsidRPr="00A0082A">
        <w:t xml:space="preserve"> is ~80% bound to plasma protein over th</w:t>
      </w:r>
      <w:r w:rsidR="00ED3CD6">
        <w:t>e concentration range of 0.1-</w:t>
      </w:r>
      <w:r w:rsidRPr="00A0082A">
        <w:t xml:space="preserve">2 </w:t>
      </w:r>
      <w:proofErr w:type="spellStart"/>
      <w:r w:rsidRPr="00A0082A">
        <w:t>μg</w:t>
      </w:r>
      <w:proofErr w:type="spellEnd"/>
      <w:r w:rsidRPr="00A0082A">
        <w:t xml:space="preserve">/ml. </w:t>
      </w:r>
      <w:proofErr w:type="spellStart"/>
      <w:r w:rsidRPr="00A0082A">
        <w:t>Retigabine</w:t>
      </w:r>
      <w:proofErr w:type="spellEnd"/>
      <w:r w:rsidRPr="00A0082A">
        <w:t xml:space="preserve"> binding to human plasma proteins and to human serum albumin was similar, indicating that the drug is primarily bound to albumin. Binding was not concentrat</w:t>
      </w:r>
      <w:r w:rsidR="00ED3CD6">
        <w:t>ion-dependent over a range 0.1-</w:t>
      </w:r>
      <w:r w:rsidRPr="00A0082A">
        <w:t xml:space="preserve">8 </w:t>
      </w:r>
      <w:proofErr w:type="spellStart"/>
      <w:r w:rsidRPr="00A0082A">
        <w:t>μg</w:t>
      </w:r>
      <w:proofErr w:type="spellEnd"/>
      <w:r w:rsidRPr="00A0082A">
        <w:t>/</w:t>
      </w:r>
      <w:proofErr w:type="spellStart"/>
      <w:r w:rsidRPr="00A0082A">
        <w:t>mL</w:t>
      </w:r>
      <w:proofErr w:type="spellEnd"/>
      <w:r w:rsidRPr="00A0082A">
        <w:t xml:space="preserve"> for HSA and 0.1-2 </w:t>
      </w:r>
      <w:proofErr w:type="spellStart"/>
      <w:r w:rsidRPr="00A0082A">
        <w:t>μg</w:t>
      </w:r>
      <w:proofErr w:type="spellEnd"/>
      <w:r w:rsidRPr="00A0082A">
        <w:t>/</w:t>
      </w:r>
      <w:proofErr w:type="spellStart"/>
      <w:r w:rsidRPr="00A0082A">
        <w:t>mL</w:t>
      </w:r>
      <w:proofErr w:type="spellEnd"/>
      <w:r w:rsidRPr="00A0082A">
        <w:t xml:space="preserve"> for human plasma proteins.</w:t>
      </w:r>
    </w:p>
    <w:p w:rsidR="00E01C05" w:rsidRPr="00792F9B" w:rsidRDefault="00E01C05" w:rsidP="00042913">
      <w:pPr>
        <w:pStyle w:val="Heading6"/>
      </w:pPr>
      <w:r w:rsidRPr="00792F9B">
        <w:lastRenderedPageBreak/>
        <w:t>Erythrocyte distribution</w:t>
      </w:r>
    </w:p>
    <w:p w:rsidR="00E01C05" w:rsidRPr="00EC76B2" w:rsidRDefault="00E01C05" w:rsidP="00042913">
      <w:r w:rsidRPr="00EC76B2">
        <w:t xml:space="preserve">No direct information was provided on the potential for erythrocyte distribution of </w:t>
      </w:r>
      <w:proofErr w:type="spellStart"/>
      <w:r w:rsidRPr="00EC76B2">
        <w:t>retigabine</w:t>
      </w:r>
      <w:proofErr w:type="spellEnd"/>
      <w:r w:rsidRPr="00EC76B2">
        <w:t xml:space="preserve">. In Study 3065A1-108, whole-blood-to-plasma radioactivity ratios were 0.55 to 0.68, indicating that </w:t>
      </w:r>
      <w:proofErr w:type="spellStart"/>
      <w:r w:rsidRPr="00EC76B2">
        <w:t>retigabine</w:t>
      </w:r>
      <w:proofErr w:type="spellEnd"/>
      <w:r w:rsidRPr="00EC76B2">
        <w:t xml:space="preserve"> does not partition strongly into cellular components of blood. </w:t>
      </w:r>
    </w:p>
    <w:p w:rsidR="00E01C05" w:rsidRPr="00792F9B" w:rsidRDefault="00E01C05" w:rsidP="00042913">
      <w:pPr>
        <w:pStyle w:val="Heading6"/>
      </w:pPr>
      <w:r w:rsidRPr="00792F9B">
        <w:t xml:space="preserve">Tissue </w:t>
      </w:r>
      <w:r w:rsidRPr="00042913">
        <w:t>distribution</w:t>
      </w:r>
    </w:p>
    <w:p w:rsidR="00E01C05" w:rsidRPr="00A0082A" w:rsidRDefault="00E01C05" w:rsidP="00042913">
      <w:r w:rsidRPr="00A0082A">
        <w:t>In pre-clinical studies, the tissue distribution of radio-labelled [14C]-RTG was investigated in rats following a single oral dose. Most of the radioactivity was recovered in the gastrointestinal (GI) tract and liver, but also in most other tissues, e.g., adrenal, kidney, heart and spleen, suggesting widespread distribution to most tissues.</w:t>
      </w:r>
    </w:p>
    <w:p w:rsidR="00E01C05" w:rsidRPr="00A0082A" w:rsidRDefault="00E01C05" w:rsidP="00042913">
      <w:r w:rsidRPr="00A0082A">
        <w:t xml:space="preserve">In humans, the apparent volume of distribution at steady state is much higher than body volume (2-3L/kg), consistent with moderate binding to tissues, including plasma proteins (mostly albumin). Specific details about where the drug is distributed in humans are lacking. </w:t>
      </w:r>
    </w:p>
    <w:p w:rsidR="00E01C05" w:rsidRPr="00982064" w:rsidRDefault="00E01C05" w:rsidP="00042913">
      <w:pPr>
        <w:pStyle w:val="Heading5"/>
      </w:pPr>
      <w:bookmarkStart w:id="50" w:name="_Toc272414622"/>
      <w:bookmarkStart w:id="51" w:name="_Toc290846245"/>
      <w:bookmarkStart w:id="52" w:name="_Toc330196328"/>
      <w:r w:rsidRPr="00042913">
        <w:t>Metabolism</w:t>
      </w:r>
      <w:bookmarkEnd w:id="50"/>
      <w:bookmarkEnd w:id="51"/>
      <w:bookmarkEnd w:id="52"/>
    </w:p>
    <w:p w:rsidR="00E01C05" w:rsidRPr="00686DE5" w:rsidRDefault="00E01C05" w:rsidP="00042913">
      <w:pPr>
        <w:pStyle w:val="Heading6"/>
      </w:pPr>
      <w:r w:rsidRPr="00686DE5">
        <w:t xml:space="preserve">Metabolic pathways involved in the </w:t>
      </w:r>
      <w:r w:rsidRPr="00042913">
        <w:t>elimination</w:t>
      </w:r>
      <w:r w:rsidRPr="00686DE5">
        <w:t xml:space="preserve"> of </w:t>
      </w:r>
      <w:proofErr w:type="spellStart"/>
      <w:r w:rsidRPr="00686DE5">
        <w:t>retigabine</w:t>
      </w:r>
      <w:proofErr w:type="spellEnd"/>
      <w:r w:rsidRPr="00686DE5">
        <w:t xml:space="preserve"> </w:t>
      </w:r>
    </w:p>
    <w:p w:rsidR="00E01C05" w:rsidRDefault="00E01C05" w:rsidP="00042913">
      <w:r w:rsidRPr="00E01C05">
        <w:t xml:space="preserve">Metabolism of </w:t>
      </w:r>
      <w:proofErr w:type="spellStart"/>
      <w:r w:rsidRPr="00E01C05">
        <w:t>retigabine</w:t>
      </w:r>
      <w:proofErr w:type="spellEnd"/>
      <w:r w:rsidRPr="00E01C05">
        <w:t xml:space="preserve"> was assessed in Study 3065A1-108. </w:t>
      </w:r>
      <w:proofErr w:type="spellStart"/>
      <w:r w:rsidRPr="00E01C05">
        <w:t>Retigabine</w:t>
      </w:r>
      <w:proofErr w:type="spellEnd"/>
      <w:r w:rsidRPr="00E01C05">
        <w:t xml:space="preserve"> is metabolised by formation of the N-acetyl metabolite of </w:t>
      </w:r>
      <w:proofErr w:type="spellStart"/>
      <w:r w:rsidRPr="00E01C05">
        <w:t>retigabine</w:t>
      </w:r>
      <w:proofErr w:type="spellEnd"/>
      <w:r w:rsidRPr="00E01C05">
        <w:t xml:space="preserve"> (NAMR) and through N-</w:t>
      </w:r>
      <w:proofErr w:type="spellStart"/>
      <w:r w:rsidRPr="00E01C05">
        <w:t>glucuronidation</w:t>
      </w:r>
      <w:proofErr w:type="spellEnd"/>
      <w:r w:rsidRPr="00E01C05">
        <w:t xml:space="preserve"> of both </w:t>
      </w:r>
      <w:proofErr w:type="spellStart"/>
      <w:r w:rsidRPr="00E01C05">
        <w:t>retigabine</w:t>
      </w:r>
      <w:proofErr w:type="spellEnd"/>
      <w:r w:rsidRPr="00E01C05">
        <w:t xml:space="preserve"> and NAMR</w:t>
      </w:r>
      <w:r w:rsidR="00A0082A">
        <w:t xml:space="preserve"> (Figure 2)</w:t>
      </w:r>
      <w:r w:rsidRPr="00E01C05">
        <w:t>.</w:t>
      </w:r>
      <w:r w:rsidR="00460F24">
        <w:t xml:space="preserve"> </w:t>
      </w:r>
      <w:r w:rsidRPr="00A0082A">
        <w:rPr>
          <w:i/>
        </w:rPr>
        <w:t>In vitro</w:t>
      </w:r>
      <w:r w:rsidRPr="00E01C05">
        <w:t xml:space="preserve"> studies have shown that the </w:t>
      </w:r>
      <w:proofErr w:type="spellStart"/>
      <w:r w:rsidRPr="00E01C05">
        <w:t>glucuronidation</w:t>
      </w:r>
      <w:proofErr w:type="spellEnd"/>
      <w:r w:rsidRPr="00E01C05">
        <w:t xml:space="preserve"> is performed by a variety of </w:t>
      </w:r>
      <w:proofErr w:type="spellStart"/>
      <w:r w:rsidRPr="00E01C05">
        <w:t>uridine</w:t>
      </w:r>
      <w:proofErr w:type="spellEnd"/>
      <w:r w:rsidRPr="00E01C05">
        <w:t xml:space="preserve"> </w:t>
      </w:r>
      <w:proofErr w:type="spellStart"/>
      <w:r w:rsidRPr="00E01C05">
        <w:t>diphosphate</w:t>
      </w:r>
      <w:proofErr w:type="spellEnd"/>
      <w:r w:rsidRPr="00E01C05">
        <w:t xml:space="preserve"> </w:t>
      </w:r>
      <w:proofErr w:type="spellStart"/>
      <w:r w:rsidRPr="00E01C05">
        <w:t>glucuronyl</w:t>
      </w:r>
      <w:proofErr w:type="spellEnd"/>
      <w:r w:rsidRPr="00E01C05">
        <w:t xml:space="preserve"> </w:t>
      </w:r>
      <w:proofErr w:type="spellStart"/>
      <w:r w:rsidRPr="00E01C05">
        <w:t>transferase</w:t>
      </w:r>
      <w:proofErr w:type="spellEnd"/>
      <w:r w:rsidRPr="00E01C05">
        <w:t xml:space="preserve"> (UGT) </w:t>
      </w:r>
      <w:proofErr w:type="spellStart"/>
      <w:r w:rsidRPr="00E01C05">
        <w:t>isozymes</w:t>
      </w:r>
      <w:proofErr w:type="spellEnd"/>
      <w:r w:rsidRPr="00E01C05">
        <w:t xml:space="preserve"> (D-23129/FB23000).</w:t>
      </w:r>
    </w:p>
    <w:p w:rsidR="00EC2D9D" w:rsidRPr="00042913" w:rsidRDefault="00EC2D9D" w:rsidP="00042913">
      <w:pPr>
        <w:pStyle w:val="FigureTitle"/>
      </w:pPr>
      <w:r w:rsidRPr="00042913">
        <w:t xml:space="preserve">Figure 2: </w:t>
      </w:r>
      <w:r w:rsidR="00306F1B" w:rsidRPr="00042913">
        <w:t>Metabolic pathways of [14C]</w:t>
      </w:r>
      <w:proofErr w:type="spellStart"/>
      <w:r w:rsidR="00306F1B" w:rsidRPr="00042913">
        <w:t>retigabine</w:t>
      </w:r>
      <w:proofErr w:type="spellEnd"/>
      <w:r w:rsidR="00306F1B" w:rsidRPr="00042913">
        <w:t xml:space="preserve"> in healthy males after oral dosing of 200 mg </w:t>
      </w:r>
      <w:proofErr w:type="spellStart"/>
      <w:r w:rsidR="00306F1B" w:rsidRPr="00042913">
        <w:t>retigabine</w:t>
      </w:r>
      <w:proofErr w:type="spellEnd"/>
      <w:r w:rsidR="00306F1B" w:rsidRPr="00042913">
        <w:t xml:space="preserve"> as a capsule (excreted amounts in urine [0-72 h] and faeces [0-96 h] as % of dose administered)</w:t>
      </w:r>
      <w:r w:rsidRPr="00042913">
        <w:t xml:space="preserve"> (</w:t>
      </w:r>
      <w:r w:rsidR="005614A3">
        <w:t>s</w:t>
      </w:r>
      <w:r w:rsidRPr="00042913">
        <w:t>tudy 3065A1-</w:t>
      </w:r>
      <w:r w:rsidR="00306F1B" w:rsidRPr="00042913">
        <w:t>108</w:t>
      </w:r>
      <w:r w:rsidRPr="00042913">
        <w:t>).</w:t>
      </w:r>
    </w:p>
    <w:p w:rsidR="00E01C05" w:rsidRDefault="00DA36AD" w:rsidP="009954AD">
      <w:pPr>
        <w:autoSpaceDE w:val="0"/>
        <w:autoSpaceDN w:val="0"/>
        <w:adjustRightInd w:val="0"/>
        <w:jc w:val="center"/>
        <w:rPr>
          <w:sz w:val="20"/>
          <w:szCs w:val="20"/>
        </w:rPr>
      </w:pPr>
      <w:r>
        <w:rPr>
          <w:noProof/>
          <w:sz w:val="20"/>
          <w:szCs w:val="20"/>
          <w:lang w:eastAsia="en-AU"/>
        </w:rPr>
        <w:drawing>
          <wp:inline distT="0" distB="0" distL="0" distR="0">
            <wp:extent cx="4842510" cy="3277235"/>
            <wp:effectExtent l="19050" t="0" r="0" b="0"/>
            <wp:docPr id="1" name="Picture 3" descr="Figure showing metabolic pathways of [14C]retigabine in healthy males after oral dosing of 200 mg retigabine as a capsule (excreted amounts in urine [0-72 h] and faeces [0-96 h] as % of dose administered) (Study 3065A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
                    <pic:cNvPicPr>
                      <a:picLocks noChangeAspect="1" noChangeArrowheads="1"/>
                    </pic:cNvPicPr>
                  </pic:nvPicPr>
                  <pic:blipFill>
                    <a:blip r:embed="rId16" cstate="print"/>
                    <a:srcRect/>
                    <a:stretch>
                      <a:fillRect/>
                    </a:stretch>
                  </pic:blipFill>
                  <pic:spPr bwMode="auto">
                    <a:xfrm>
                      <a:off x="0" y="0"/>
                      <a:ext cx="4842510" cy="3277235"/>
                    </a:xfrm>
                    <a:prstGeom prst="rect">
                      <a:avLst/>
                    </a:prstGeom>
                    <a:noFill/>
                    <a:ln w="9525">
                      <a:noFill/>
                      <a:miter lim="800000"/>
                      <a:headEnd/>
                      <a:tailEnd/>
                    </a:ln>
                  </pic:spPr>
                </pic:pic>
              </a:graphicData>
            </a:graphic>
          </wp:inline>
        </w:drawing>
      </w:r>
    </w:p>
    <w:p w:rsidR="00EC2D9D" w:rsidRPr="009954AD" w:rsidRDefault="00EC2D9D" w:rsidP="00042913">
      <w:r w:rsidRPr="009954AD">
        <w:t xml:space="preserve">Additional metabolites of </w:t>
      </w:r>
      <w:proofErr w:type="spellStart"/>
      <w:r w:rsidRPr="009954AD">
        <w:t>retigabine</w:t>
      </w:r>
      <w:proofErr w:type="spellEnd"/>
      <w:r w:rsidRPr="009954AD">
        <w:t xml:space="preserve"> are an N-</w:t>
      </w:r>
      <w:proofErr w:type="spellStart"/>
      <w:r w:rsidRPr="009954AD">
        <w:t>glucoside</w:t>
      </w:r>
      <w:proofErr w:type="spellEnd"/>
      <w:r w:rsidRPr="009954AD">
        <w:t xml:space="preserve"> of </w:t>
      </w:r>
      <w:proofErr w:type="spellStart"/>
      <w:r w:rsidRPr="009954AD">
        <w:t>retigabine</w:t>
      </w:r>
      <w:proofErr w:type="spellEnd"/>
      <w:r w:rsidRPr="009954AD">
        <w:t xml:space="preserve"> and a cyclised metabolite of NAMR. There is no evidence for oxidative metabolism of </w:t>
      </w:r>
      <w:proofErr w:type="spellStart"/>
      <w:r w:rsidRPr="009954AD">
        <w:t>retigabine</w:t>
      </w:r>
      <w:proofErr w:type="spellEnd"/>
      <w:r w:rsidRPr="009954AD">
        <w:t xml:space="preserve"> via P450 enzymes. </w:t>
      </w:r>
    </w:p>
    <w:p w:rsidR="00EC2D9D" w:rsidRPr="009954AD" w:rsidRDefault="00EC2D9D" w:rsidP="00042913">
      <w:r w:rsidRPr="009954AD">
        <w:t xml:space="preserve">In human plasma, the N2-glucuronide of </w:t>
      </w:r>
      <w:proofErr w:type="spellStart"/>
      <w:r w:rsidRPr="009954AD">
        <w:t>retigabine</w:t>
      </w:r>
      <w:proofErr w:type="spellEnd"/>
      <w:r w:rsidRPr="009954AD">
        <w:t xml:space="preserve"> is the predominant metabolite. </w:t>
      </w:r>
    </w:p>
    <w:p w:rsidR="00E01C05" w:rsidRPr="00982064" w:rsidRDefault="00E01C05" w:rsidP="00042913">
      <w:pPr>
        <w:pStyle w:val="Heading6"/>
      </w:pPr>
      <w:r w:rsidRPr="00982064">
        <w:lastRenderedPageBreak/>
        <w:t>Non-</w:t>
      </w:r>
      <w:r w:rsidRPr="00042913">
        <w:t>renal</w:t>
      </w:r>
      <w:r w:rsidRPr="00982064">
        <w:t xml:space="preserve"> clearance</w:t>
      </w:r>
    </w:p>
    <w:p w:rsidR="00E01C05" w:rsidRPr="009954AD" w:rsidRDefault="00E01C05" w:rsidP="00042913">
      <w:r w:rsidRPr="009954AD">
        <w:t xml:space="preserve">The hepatic metabolism of </w:t>
      </w:r>
      <w:proofErr w:type="spellStart"/>
      <w:r w:rsidRPr="009954AD">
        <w:t>retigabine</w:t>
      </w:r>
      <w:proofErr w:type="spellEnd"/>
      <w:r w:rsidRPr="009954AD">
        <w:t xml:space="preserve"> is described above. Following metabolic conversion to NAMR or </w:t>
      </w:r>
      <w:proofErr w:type="spellStart"/>
      <w:r w:rsidRPr="009954AD">
        <w:t>glucuronides</w:t>
      </w:r>
      <w:proofErr w:type="spellEnd"/>
      <w:r w:rsidRPr="009954AD">
        <w:t xml:space="preserve">, subsequent clearance is predominantly renal, with only a small proportion of an administered radioactive dose recoverable from faeces. </w:t>
      </w:r>
    </w:p>
    <w:p w:rsidR="00E01C05" w:rsidRPr="00982064" w:rsidRDefault="00E01C05" w:rsidP="00042913">
      <w:pPr>
        <w:pStyle w:val="Heading6"/>
      </w:pPr>
      <w:r w:rsidRPr="00982064">
        <w:t xml:space="preserve">Metabolites </w:t>
      </w:r>
      <w:r w:rsidRPr="00042913">
        <w:t>identified</w:t>
      </w:r>
      <w:r w:rsidRPr="00982064">
        <w:t xml:space="preserve"> in humans</w:t>
      </w:r>
    </w:p>
    <w:p w:rsidR="00E01C05" w:rsidRPr="00982064" w:rsidRDefault="00E01C05" w:rsidP="00042913">
      <w:pPr>
        <w:pStyle w:val="Heading7"/>
      </w:pPr>
      <w:r w:rsidRPr="00042913">
        <w:t>Active</w:t>
      </w:r>
      <w:r w:rsidRPr="00982064">
        <w:t xml:space="preserve"> metabolites</w:t>
      </w:r>
    </w:p>
    <w:p w:rsidR="00E01C05" w:rsidRPr="00EC2D9D" w:rsidRDefault="00E01C05" w:rsidP="00042913">
      <w:r w:rsidRPr="00EC2D9D">
        <w:t xml:space="preserve">The major active metabolite of </w:t>
      </w:r>
      <w:proofErr w:type="spellStart"/>
      <w:r w:rsidRPr="00EC2D9D">
        <w:t>retigabine</w:t>
      </w:r>
      <w:proofErr w:type="spellEnd"/>
      <w:r w:rsidRPr="00EC2D9D">
        <w:t xml:space="preserve"> is NAMR, which is much less active than the parent compound as demonstrated during in vitro studies. No clinical data was submitted that illustrates the effect of NAMR on humans.</w:t>
      </w:r>
    </w:p>
    <w:p w:rsidR="00E01C05" w:rsidRPr="00982064" w:rsidRDefault="00E01C05" w:rsidP="00042913">
      <w:pPr>
        <w:pStyle w:val="Heading7"/>
      </w:pPr>
      <w:r w:rsidRPr="00982064">
        <w:t xml:space="preserve">Other </w:t>
      </w:r>
      <w:r w:rsidRPr="00042913">
        <w:t>metabolites</w:t>
      </w:r>
    </w:p>
    <w:p w:rsidR="00E01C05" w:rsidRPr="00EC2D9D" w:rsidRDefault="00E01C05" w:rsidP="00042913">
      <w:proofErr w:type="spellStart"/>
      <w:r w:rsidRPr="00EC2D9D">
        <w:t>Glucuronides</w:t>
      </w:r>
      <w:proofErr w:type="spellEnd"/>
      <w:r w:rsidRPr="00EC2D9D">
        <w:t xml:space="preserve"> are the most prevalent metabolites of </w:t>
      </w:r>
      <w:proofErr w:type="spellStart"/>
      <w:r w:rsidRPr="00EC2D9D">
        <w:t>retigabine</w:t>
      </w:r>
      <w:proofErr w:type="spellEnd"/>
      <w:r w:rsidRPr="00EC2D9D">
        <w:t xml:space="preserve">. In the healthy volunteer study, Study 3065A1-108, retigabine-N2-glucuronide was responsible for the dominant radioactive peak in plasma, followed by </w:t>
      </w:r>
      <w:proofErr w:type="spellStart"/>
      <w:r w:rsidRPr="00EC2D9D">
        <w:t>retigabine</w:t>
      </w:r>
      <w:proofErr w:type="spellEnd"/>
      <w:r w:rsidRPr="00EC2D9D">
        <w:t xml:space="preserve"> and NAMR. </w:t>
      </w:r>
      <w:proofErr w:type="spellStart"/>
      <w:r w:rsidRPr="00EC2D9D">
        <w:t>Glucuronide</w:t>
      </w:r>
      <w:proofErr w:type="spellEnd"/>
      <w:r w:rsidRPr="00EC2D9D">
        <w:t xml:space="preserve"> conjugates generally have low pharmacological activity and the sponsor states that N-</w:t>
      </w:r>
      <w:proofErr w:type="spellStart"/>
      <w:r w:rsidRPr="00EC2D9D">
        <w:t>glucuronides</w:t>
      </w:r>
      <w:proofErr w:type="spellEnd"/>
      <w:r w:rsidRPr="00EC2D9D">
        <w:t xml:space="preserve"> of </w:t>
      </w:r>
      <w:proofErr w:type="spellStart"/>
      <w:r w:rsidRPr="00EC2D9D">
        <w:t>retigabine</w:t>
      </w:r>
      <w:proofErr w:type="spellEnd"/>
      <w:r w:rsidRPr="00EC2D9D">
        <w:t xml:space="preserve"> are not expected to contribute to the overall safety or activity profile of </w:t>
      </w:r>
      <w:proofErr w:type="spellStart"/>
      <w:r w:rsidRPr="00EC2D9D">
        <w:t>retigabine</w:t>
      </w:r>
      <w:proofErr w:type="spellEnd"/>
      <w:r w:rsidRPr="00EC2D9D">
        <w:t xml:space="preserve">, but this claim was not directly assessed. </w:t>
      </w:r>
    </w:p>
    <w:p w:rsidR="00E01C05" w:rsidRPr="00591F14" w:rsidRDefault="00E01C05" w:rsidP="00042913">
      <w:pPr>
        <w:pStyle w:val="Heading6"/>
      </w:pPr>
      <w:r w:rsidRPr="00042913">
        <w:t>Pharmacokinetics</w:t>
      </w:r>
      <w:r w:rsidRPr="00591F14">
        <w:t xml:space="preserve"> of metabolites</w:t>
      </w:r>
    </w:p>
    <w:p w:rsidR="00E01C05" w:rsidRDefault="00E01C05" w:rsidP="00042913">
      <w:r w:rsidRPr="00BB2796">
        <w:t xml:space="preserve">The PK of </w:t>
      </w:r>
      <w:proofErr w:type="spellStart"/>
      <w:r w:rsidRPr="00BB2796">
        <w:t>retigabine</w:t>
      </w:r>
      <w:proofErr w:type="spellEnd"/>
      <w:r w:rsidRPr="00BB2796">
        <w:t xml:space="preserve"> and NAMR are broadly similar. The </w:t>
      </w:r>
      <w:proofErr w:type="spellStart"/>
      <w:r w:rsidRPr="00BB2796">
        <w:t>tmax</w:t>
      </w:r>
      <w:proofErr w:type="spellEnd"/>
      <w:r w:rsidRPr="00BB2796">
        <w:t xml:space="preserve"> of NAMR is slightly delayed relative to </w:t>
      </w:r>
      <w:proofErr w:type="spellStart"/>
      <w:r w:rsidRPr="00BB2796">
        <w:t>retigabine</w:t>
      </w:r>
      <w:proofErr w:type="spellEnd"/>
      <w:r w:rsidRPr="00BB2796">
        <w:t xml:space="preserve">, as expected for a metabolite, and was reached about an hour later than the parent compound (Study 3065A1-108). The t½ for each compound typically ranged from about 6-10 hours, and the two compounds had a similar t½ within studies. </w:t>
      </w:r>
      <w:proofErr w:type="spellStart"/>
      <w:r w:rsidRPr="00BB2796">
        <w:t>Cmax</w:t>
      </w:r>
      <w:proofErr w:type="spellEnd"/>
      <w:r w:rsidRPr="00BB2796">
        <w:t xml:space="preserve"> for the metabolite was less than half that of </w:t>
      </w:r>
      <w:proofErr w:type="spellStart"/>
      <w:r w:rsidRPr="00BB2796">
        <w:t>retigabine</w:t>
      </w:r>
      <w:proofErr w:type="spellEnd"/>
      <w:r w:rsidRPr="00BB2796">
        <w:t xml:space="preserve">. Comparative results are shown </w:t>
      </w:r>
      <w:r w:rsidR="00BB2796">
        <w:t>in Table 2</w:t>
      </w:r>
      <w:r w:rsidRPr="00BB2796">
        <w:t xml:space="preserve"> in response to a single dose of radio-labelled </w:t>
      </w:r>
      <w:proofErr w:type="spellStart"/>
      <w:r w:rsidRPr="00BB2796">
        <w:t>retigabine</w:t>
      </w:r>
      <w:proofErr w:type="spellEnd"/>
      <w:r w:rsidRPr="00BB2796">
        <w:t xml:space="preserve"> (200</w:t>
      </w:r>
      <w:r w:rsidR="00BB2796">
        <w:t xml:space="preserve"> </w:t>
      </w:r>
      <w:r w:rsidRPr="00BB2796">
        <w:t>mg orally).</w:t>
      </w:r>
    </w:p>
    <w:p w:rsidR="00BB2796" w:rsidRPr="000471E1" w:rsidRDefault="00BB2796" w:rsidP="00042913">
      <w:pPr>
        <w:pStyle w:val="TableTitle"/>
        <w:rPr>
          <w:lang w:val="en-GB"/>
        </w:rPr>
      </w:pPr>
      <w:r>
        <w:t xml:space="preserve">Table </w:t>
      </w:r>
      <w:r w:rsidR="00D56F12">
        <w:t>2</w:t>
      </w:r>
      <w:r w:rsidRPr="000471E1">
        <w:t xml:space="preserve">: </w:t>
      </w:r>
      <w:r>
        <w:t>Pharmacokinetic parameters of [14C]</w:t>
      </w:r>
      <w:proofErr w:type="spellStart"/>
      <w:r>
        <w:t>retigabine</w:t>
      </w:r>
      <w:proofErr w:type="spellEnd"/>
      <w:r>
        <w:t xml:space="preserve"> in healthy subjects (mean ± SD, n = 6) (</w:t>
      </w:r>
      <w:r w:rsidR="005614A3">
        <w:t>s</w:t>
      </w:r>
      <w:r>
        <w:t>tudy 3065A1-108).</w:t>
      </w:r>
    </w:p>
    <w:p w:rsidR="00E01C05" w:rsidRDefault="00DA36AD" w:rsidP="00E01C05">
      <w:pPr>
        <w:autoSpaceDE w:val="0"/>
        <w:autoSpaceDN w:val="0"/>
        <w:adjustRightInd w:val="0"/>
        <w:jc w:val="both"/>
      </w:pPr>
      <w:r>
        <w:rPr>
          <w:noProof/>
          <w:lang w:eastAsia="en-AU"/>
        </w:rPr>
        <w:drawing>
          <wp:inline distT="0" distB="0" distL="0" distR="0">
            <wp:extent cx="5727700" cy="862965"/>
            <wp:effectExtent l="19050" t="0" r="6350" b="0"/>
            <wp:docPr id="4" name="Picture 4" descr="Table showing pharmacokinetic parameters of [14C]retigabine in healthy subjects (mean ± SD, n = 6) (Study 3065A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
                    <pic:cNvPicPr>
                      <a:picLocks noChangeAspect="1" noChangeArrowheads="1"/>
                    </pic:cNvPicPr>
                  </pic:nvPicPr>
                  <pic:blipFill>
                    <a:blip r:embed="rId17" cstate="print"/>
                    <a:srcRect/>
                    <a:stretch>
                      <a:fillRect/>
                    </a:stretch>
                  </pic:blipFill>
                  <pic:spPr bwMode="auto">
                    <a:xfrm>
                      <a:off x="0" y="0"/>
                      <a:ext cx="5727700" cy="862965"/>
                    </a:xfrm>
                    <a:prstGeom prst="rect">
                      <a:avLst/>
                    </a:prstGeom>
                    <a:noFill/>
                    <a:ln w="9525">
                      <a:noFill/>
                      <a:miter lim="800000"/>
                      <a:headEnd/>
                      <a:tailEnd/>
                    </a:ln>
                  </pic:spPr>
                </pic:pic>
              </a:graphicData>
            </a:graphic>
          </wp:inline>
        </w:drawing>
      </w:r>
    </w:p>
    <w:p w:rsidR="00E01C05" w:rsidRPr="00792F9B" w:rsidRDefault="00E01C05" w:rsidP="00042913">
      <w:pPr>
        <w:pStyle w:val="Heading6"/>
      </w:pPr>
      <w:bookmarkStart w:id="53" w:name="_Ref327705718"/>
      <w:r w:rsidRPr="00042913">
        <w:t>Consequences</w:t>
      </w:r>
      <w:r w:rsidRPr="00792F9B">
        <w:t xml:space="preserve"> of genetic polymorphism</w:t>
      </w:r>
      <w:bookmarkEnd w:id="53"/>
    </w:p>
    <w:p w:rsidR="00E01C05" w:rsidRPr="00D56F12" w:rsidRDefault="00E01C05" w:rsidP="00042913">
      <w:r w:rsidRPr="00D56F12">
        <w:t>The effects of genetic polymorphism of different genotypes for UGT1A1 (subjects with and without Gilbert’s syndrome) and N-</w:t>
      </w:r>
      <w:proofErr w:type="spellStart"/>
      <w:r w:rsidRPr="00D56F12">
        <w:t>acetyltransferase</w:t>
      </w:r>
      <w:proofErr w:type="spellEnd"/>
      <w:r w:rsidRPr="00D56F12">
        <w:t xml:space="preserve"> (NAT2, fast and slow </w:t>
      </w:r>
      <w:proofErr w:type="spellStart"/>
      <w:r w:rsidRPr="00D56F12">
        <w:t>acetylators</w:t>
      </w:r>
      <w:proofErr w:type="spellEnd"/>
      <w:r w:rsidRPr="00D56F12">
        <w:t>) were assessed in Study 3065A1-115</w:t>
      </w:r>
      <w:r w:rsidR="00D56F12">
        <w:t>.</w:t>
      </w:r>
      <w:r w:rsidRPr="00D56F12">
        <w:t xml:space="preserve"> NAMR concentrations were slightly elevated in subjects with both Gilbert’s syndrome and fast NAT2 </w:t>
      </w:r>
      <w:proofErr w:type="spellStart"/>
      <w:r w:rsidRPr="00D56F12">
        <w:t>acetylator</w:t>
      </w:r>
      <w:proofErr w:type="spellEnd"/>
      <w:r w:rsidRPr="00D56F12">
        <w:t xml:space="preserve"> genotype The effects were minor compared to the normal </w:t>
      </w:r>
      <w:proofErr w:type="spellStart"/>
      <w:r w:rsidRPr="00D56F12">
        <w:t>interindividual</w:t>
      </w:r>
      <w:proofErr w:type="spellEnd"/>
      <w:r w:rsidRPr="00D56F12">
        <w:t xml:space="preserve"> variability, and no </w:t>
      </w:r>
      <w:proofErr w:type="spellStart"/>
      <w:r w:rsidRPr="00D56F12">
        <w:t>retigabine</w:t>
      </w:r>
      <w:proofErr w:type="spellEnd"/>
      <w:r w:rsidRPr="00D56F12">
        <w:t xml:space="preserve"> dose adjustments are required on the basis of UGT1A1 or NAT2 genotype.</w:t>
      </w:r>
    </w:p>
    <w:p w:rsidR="00E01C05" w:rsidRPr="00792F9B" w:rsidRDefault="00E01C05" w:rsidP="00042913">
      <w:pPr>
        <w:pStyle w:val="Heading5"/>
      </w:pPr>
      <w:bookmarkStart w:id="54" w:name="_Toc241374289"/>
      <w:bookmarkStart w:id="55" w:name="_Toc272414623"/>
      <w:bookmarkStart w:id="56" w:name="_Toc290846246"/>
      <w:bookmarkStart w:id="57" w:name="_Toc330196329"/>
      <w:r w:rsidRPr="00042913">
        <w:t>E</w:t>
      </w:r>
      <w:bookmarkEnd w:id="54"/>
      <w:r w:rsidRPr="00042913">
        <w:t>xcretion</w:t>
      </w:r>
      <w:bookmarkEnd w:id="55"/>
      <w:bookmarkEnd w:id="56"/>
      <w:bookmarkEnd w:id="57"/>
    </w:p>
    <w:p w:rsidR="00E01C05" w:rsidRPr="00792F9B" w:rsidRDefault="00E01C05" w:rsidP="00042913">
      <w:pPr>
        <w:pStyle w:val="Heading6"/>
      </w:pPr>
      <w:r w:rsidRPr="00792F9B">
        <w:t xml:space="preserve">Routes </w:t>
      </w:r>
      <w:r w:rsidRPr="00042913">
        <w:t>and</w:t>
      </w:r>
      <w:r w:rsidRPr="00792F9B">
        <w:t xml:space="preserve"> mechanisms of excretion</w:t>
      </w:r>
    </w:p>
    <w:p w:rsidR="00E01C05" w:rsidRPr="00D56F12" w:rsidRDefault="00E01C05" w:rsidP="00042913">
      <w:proofErr w:type="spellStart"/>
      <w:r w:rsidRPr="00D56F12">
        <w:t>Retigabine</w:t>
      </w:r>
      <w:proofErr w:type="spellEnd"/>
      <w:r w:rsidRPr="00D56F12">
        <w:t xml:space="preserve"> is metabolised in the liver to a number of metabolites including NAMR and </w:t>
      </w:r>
      <w:proofErr w:type="spellStart"/>
      <w:r w:rsidRPr="00D56F12">
        <w:t>glucuronide</w:t>
      </w:r>
      <w:proofErr w:type="spellEnd"/>
      <w:r w:rsidRPr="00D56F12">
        <w:t xml:space="preserve"> conjugates. These metabolites are primarily eliminated by the kidney (84%), along with the parent compound</w:t>
      </w:r>
      <w:r w:rsidR="00B4450C">
        <w:t xml:space="preserve"> (Figure 3)</w:t>
      </w:r>
      <w:r w:rsidRPr="00D56F12">
        <w:t>. A small proportion (14%) is eliminated in faeces.</w:t>
      </w:r>
    </w:p>
    <w:p w:rsidR="00E01C05" w:rsidRPr="00AF463C" w:rsidRDefault="00ED3CD6" w:rsidP="00AF463C">
      <w:pPr>
        <w:pStyle w:val="FigureTitle"/>
      </w:pPr>
      <w:r>
        <w:br w:type="page"/>
      </w:r>
      <w:r w:rsidR="00B4450C" w:rsidRPr="00AF463C">
        <w:lastRenderedPageBreak/>
        <w:t>Figure 3: Mean cumulative recovery of [14C]</w:t>
      </w:r>
      <w:proofErr w:type="spellStart"/>
      <w:r w:rsidR="00B4450C" w:rsidRPr="00AF463C">
        <w:t>retigabine</w:t>
      </w:r>
      <w:proofErr w:type="spellEnd"/>
      <w:r w:rsidR="00B4450C" w:rsidRPr="00AF463C">
        <w:t xml:space="preserve"> derived radioactivity in urine and faeces following administration of a single oral dose of 200 mg (200 µ</w:t>
      </w:r>
      <w:proofErr w:type="spellStart"/>
      <w:r w:rsidR="00B4450C" w:rsidRPr="00AF463C">
        <w:t>Ci</w:t>
      </w:r>
      <w:proofErr w:type="spellEnd"/>
      <w:r w:rsidR="00B4450C" w:rsidRPr="00AF463C">
        <w:t>) of [14C]</w:t>
      </w:r>
      <w:proofErr w:type="spellStart"/>
      <w:r w:rsidR="00B4450C" w:rsidRPr="00AF463C">
        <w:t>retigabine</w:t>
      </w:r>
      <w:proofErr w:type="spellEnd"/>
      <w:r w:rsidR="00B4450C" w:rsidRPr="00AF463C">
        <w:t xml:space="preserve"> to healthy male subjects (n = 6) (</w:t>
      </w:r>
      <w:r w:rsidR="005614A3">
        <w:t>s</w:t>
      </w:r>
      <w:r w:rsidR="00B4450C" w:rsidRPr="00AF463C">
        <w:t>tudy 3065A1-108).</w:t>
      </w:r>
    </w:p>
    <w:p w:rsidR="00E01C05" w:rsidRDefault="00DA36AD" w:rsidP="003D38EA">
      <w:pPr>
        <w:jc w:val="center"/>
      </w:pPr>
      <w:r>
        <w:rPr>
          <w:noProof/>
          <w:lang w:eastAsia="en-AU"/>
        </w:rPr>
        <w:drawing>
          <wp:inline distT="0" distB="0" distL="0" distR="0">
            <wp:extent cx="4638040" cy="2757805"/>
            <wp:effectExtent l="19050" t="0" r="0" b="0"/>
            <wp:docPr id="5" name="Picture 5" descr="Graph showing mean cumulative recovery of [14C]retigabine derived radioactivity in urine and faeces following administration of a single oral dose of 200 mg (200 µCi) of [14C]retigabine to healthy male subjects (n = 6) (Study 3065A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
                    <pic:cNvPicPr>
                      <a:picLocks noChangeAspect="1" noChangeArrowheads="1"/>
                    </pic:cNvPicPr>
                  </pic:nvPicPr>
                  <pic:blipFill>
                    <a:blip r:embed="rId18" cstate="print"/>
                    <a:srcRect/>
                    <a:stretch>
                      <a:fillRect/>
                    </a:stretch>
                  </pic:blipFill>
                  <pic:spPr bwMode="auto">
                    <a:xfrm>
                      <a:off x="0" y="0"/>
                      <a:ext cx="4638040" cy="2757805"/>
                    </a:xfrm>
                    <a:prstGeom prst="rect">
                      <a:avLst/>
                    </a:prstGeom>
                    <a:noFill/>
                    <a:ln w="9525">
                      <a:noFill/>
                      <a:miter lim="800000"/>
                      <a:headEnd/>
                      <a:tailEnd/>
                    </a:ln>
                  </pic:spPr>
                </pic:pic>
              </a:graphicData>
            </a:graphic>
          </wp:inline>
        </w:drawing>
      </w:r>
    </w:p>
    <w:p w:rsidR="00E01C05" w:rsidRDefault="00E01C05" w:rsidP="00AF463C">
      <w:pPr>
        <w:pStyle w:val="Heading6"/>
      </w:pPr>
      <w:r w:rsidRPr="002367D2">
        <w:t xml:space="preserve">Mass balance </w:t>
      </w:r>
      <w:r w:rsidRPr="00AF463C">
        <w:t>studies</w:t>
      </w:r>
    </w:p>
    <w:p w:rsidR="003D38EA" w:rsidRDefault="00C15D6D" w:rsidP="00AF463C">
      <w:r>
        <w:t xml:space="preserve">Figure 4 shows the </w:t>
      </w:r>
      <w:proofErr w:type="spellStart"/>
      <w:r>
        <w:t>retigabine</w:t>
      </w:r>
      <w:proofErr w:type="spellEnd"/>
      <w:r>
        <w:t>, NAMR (AWD21-360) and [14C]</w:t>
      </w:r>
      <w:proofErr w:type="spellStart"/>
      <w:r>
        <w:t>retigabine</w:t>
      </w:r>
      <w:proofErr w:type="spellEnd"/>
      <w:r>
        <w:t xml:space="preserve"> derived radioactivity concentration-time profiles after administration of a single 200 mg dose of [14C]</w:t>
      </w:r>
      <w:proofErr w:type="spellStart"/>
      <w:r>
        <w:t>retigabine</w:t>
      </w:r>
      <w:proofErr w:type="spellEnd"/>
      <w:r>
        <w:t xml:space="preserve"> in healthy male volunteers.</w:t>
      </w:r>
    </w:p>
    <w:p w:rsidR="003D38EA" w:rsidRPr="00AF463C" w:rsidRDefault="003D38EA" w:rsidP="00017DD1">
      <w:pPr>
        <w:pStyle w:val="FigureTitle"/>
        <w:keepNext/>
      </w:pPr>
      <w:r w:rsidRPr="00AF463C">
        <w:t xml:space="preserve">Figure 4: </w:t>
      </w:r>
      <w:proofErr w:type="spellStart"/>
      <w:r w:rsidR="00C31A27" w:rsidRPr="00AF463C">
        <w:t>Retigabine</w:t>
      </w:r>
      <w:proofErr w:type="spellEnd"/>
      <w:r w:rsidR="00C31A27" w:rsidRPr="00AF463C">
        <w:t>, NAMR (AWD21-360) and [14C]</w:t>
      </w:r>
      <w:proofErr w:type="spellStart"/>
      <w:r w:rsidR="00C31A27" w:rsidRPr="00AF463C">
        <w:t>retigabine</w:t>
      </w:r>
      <w:proofErr w:type="spellEnd"/>
      <w:r w:rsidR="00C31A27" w:rsidRPr="00AF463C">
        <w:t xml:space="preserve"> derived radioactivity concentration-time profiles after administration of a single 200 mg dose of [14C]</w:t>
      </w:r>
      <w:proofErr w:type="spellStart"/>
      <w:r w:rsidR="00C31A27" w:rsidRPr="00AF463C">
        <w:t>retigabine</w:t>
      </w:r>
      <w:proofErr w:type="spellEnd"/>
      <w:r w:rsidR="00C31A27" w:rsidRPr="00AF463C">
        <w:t xml:space="preserve"> in healthy male volunteers</w:t>
      </w:r>
      <w:r w:rsidRPr="00AF463C">
        <w:t xml:space="preserve"> (</w:t>
      </w:r>
      <w:r w:rsidR="00C31A27" w:rsidRPr="00AF463C">
        <w:t>mean ± SD, n = 6</w:t>
      </w:r>
      <w:r w:rsidRPr="00AF463C">
        <w:t>) (</w:t>
      </w:r>
      <w:r w:rsidR="005614A3">
        <w:t>s</w:t>
      </w:r>
      <w:r w:rsidRPr="00AF463C">
        <w:t>tudy 3065A1-108).</w:t>
      </w:r>
    </w:p>
    <w:p w:rsidR="00E01C05" w:rsidRDefault="00DA36AD" w:rsidP="00C31A27">
      <w:pPr>
        <w:autoSpaceDE w:val="0"/>
        <w:autoSpaceDN w:val="0"/>
        <w:adjustRightInd w:val="0"/>
        <w:jc w:val="center"/>
      </w:pPr>
      <w:r>
        <w:rPr>
          <w:noProof/>
          <w:sz w:val="20"/>
          <w:szCs w:val="20"/>
          <w:lang w:eastAsia="en-AU"/>
        </w:rPr>
        <w:drawing>
          <wp:inline distT="0" distB="0" distL="0" distR="0">
            <wp:extent cx="4067175" cy="2984500"/>
            <wp:effectExtent l="19050" t="0" r="9525" b="0"/>
            <wp:docPr id="6" name="Picture 6" descr="Graph showing retigabine, NAMR (AWD21-360) and [14C]retigabine derived radioactivity concentration-time profiles after administration of a single 200 mg dose of [14C]retigabine in healthy male volunteers (mean ± SD, n = 6) (Study 3065A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
                    <pic:cNvPicPr>
                      <a:picLocks noChangeAspect="1" noChangeArrowheads="1"/>
                    </pic:cNvPicPr>
                  </pic:nvPicPr>
                  <pic:blipFill>
                    <a:blip r:embed="rId19" cstate="print"/>
                    <a:srcRect/>
                    <a:stretch>
                      <a:fillRect/>
                    </a:stretch>
                  </pic:blipFill>
                  <pic:spPr bwMode="auto">
                    <a:xfrm>
                      <a:off x="0" y="0"/>
                      <a:ext cx="4067175" cy="2984500"/>
                    </a:xfrm>
                    <a:prstGeom prst="rect">
                      <a:avLst/>
                    </a:prstGeom>
                    <a:noFill/>
                    <a:ln w="9525">
                      <a:noFill/>
                      <a:miter lim="800000"/>
                      <a:headEnd/>
                      <a:tailEnd/>
                    </a:ln>
                  </pic:spPr>
                </pic:pic>
              </a:graphicData>
            </a:graphic>
          </wp:inline>
        </w:drawing>
      </w:r>
    </w:p>
    <w:p w:rsidR="00E01C05" w:rsidRPr="00E447BA" w:rsidRDefault="00E01C05" w:rsidP="00AF463C">
      <w:pPr>
        <w:pStyle w:val="Heading6"/>
      </w:pPr>
      <w:r w:rsidRPr="00E447BA">
        <w:t xml:space="preserve">Renal </w:t>
      </w:r>
      <w:r w:rsidRPr="00AF463C">
        <w:t>clearance</w:t>
      </w:r>
    </w:p>
    <w:p w:rsidR="00E01C05" w:rsidRPr="003D38EA" w:rsidRDefault="00E01C05" w:rsidP="00AF463C">
      <w:proofErr w:type="spellStart"/>
      <w:r w:rsidRPr="003D38EA">
        <w:t>Retigabine</w:t>
      </w:r>
      <w:proofErr w:type="spellEnd"/>
      <w:r w:rsidRPr="003D38EA">
        <w:t xml:space="preserve"> and its metabolites are mainly eli</w:t>
      </w:r>
      <w:r w:rsidR="0035137A">
        <w:t>minated through the renal route:</w:t>
      </w:r>
      <w:r w:rsidRPr="003D38EA">
        <w:t xml:space="preserve"> ~84% of a </w:t>
      </w:r>
      <w:proofErr w:type="spellStart"/>
      <w:r w:rsidRPr="003D38EA">
        <w:t>radiolabelled</w:t>
      </w:r>
      <w:proofErr w:type="spellEnd"/>
      <w:r w:rsidRPr="003D38EA">
        <w:t xml:space="preserve"> dose is recovered in the urine, with unchanged parent compound in urine accounting for 36% of the administered dose. The clearance of </w:t>
      </w:r>
      <w:proofErr w:type="spellStart"/>
      <w:r w:rsidRPr="003D38EA">
        <w:t>retigabine</w:t>
      </w:r>
      <w:proofErr w:type="spellEnd"/>
      <w:r w:rsidRPr="003D38EA">
        <w:t xml:space="preserve"> following IV dosing is ~0.4-0.6 L/h/kg. </w:t>
      </w:r>
    </w:p>
    <w:p w:rsidR="00E01C05" w:rsidRPr="003D38EA" w:rsidRDefault="00E01C05" w:rsidP="00AF463C">
      <w:r w:rsidRPr="003D38EA">
        <w:lastRenderedPageBreak/>
        <w:t>A PK study in subjects with renal impairment (VRX-RET-E22-101) and the population PK analysis indicate that</w:t>
      </w:r>
      <w:r w:rsidR="00460F24">
        <w:t xml:space="preserve"> </w:t>
      </w:r>
      <w:proofErr w:type="spellStart"/>
      <w:r w:rsidRPr="003D38EA">
        <w:t>retigabine</w:t>
      </w:r>
      <w:proofErr w:type="spellEnd"/>
      <w:r w:rsidRPr="003D38EA">
        <w:t xml:space="preserve"> clearance is predominantly affected by renal function and body size (body surface area, BSA), with decreased </w:t>
      </w:r>
      <w:proofErr w:type="spellStart"/>
      <w:r w:rsidRPr="003D38EA">
        <w:t>retigabine</w:t>
      </w:r>
      <w:proofErr w:type="spellEnd"/>
      <w:r w:rsidRPr="003D38EA">
        <w:t xml:space="preserve"> clearance observed when </w:t>
      </w:r>
      <w:proofErr w:type="spellStart"/>
      <w:r w:rsidRPr="003D38EA">
        <w:t>creatinine</w:t>
      </w:r>
      <w:proofErr w:type="spellEnd"/>
      <w:r w:rsidRPr="003D38EA">
        <w:t xml:space="preserve"> clearance is also decreased and increased clearance observed with increasing BSA.</w:t>
      </w:r>
    </w:p>
    <w:p w:rsidR="00E01C05" w:rsidRPr="00E255F6" w:rsidRDefault="00E01C05" w:rsidP="00AF463C">
      <w:pPr>
        <w:pStyle w:val="Heading5"/>
      </w:pPr>
      <w:bookmarkStart w:id="58" w:name="_Toc241374291"/>
      <w:bookmarkStart w:id="59" w:name="_Toc272414624"/>
      <w:bookmarkStart w:id="60" w:name="_Toc290846247"/>
      <w:bookmarkStart w:id="61" w:name="_Ref329244237"/>
      <w:bookmarkStart w:id="62" w:name="_Ref329244240"/>
      <w:bookmarkStart w:id="63" w:name="_Toc330196330"/>
      <w:r w:rsidRPr="00E255F6">
        <w:t>Intra- and inter-individual variability</w:t>
      </w:r>
      <w:bookmarkEnd w:id="58"/>
      <w:r w:rsidRPr="00E255F6">
        <w:t xml:space="preserve"> </w:t>
      </w:r>
      <w:r w:rsidRPr="00AF463C">
        <w:t>of</w:t>
      </w:r>
      <w:r w:rsidRPr="00E255F6">
        <w:t xml:space="preserve"> pharmacokinetics</w:t>
      </w:r>
      <w:bookmarkEnd w:id="59"/>
      <w:bookmarkEnd w:id="60"/>
      <w:bookmarkEnd w:id="61"/>
      <w:bookmarkEnd w:id="62"/>
      <w:bookmarkEnd w:id="63"/>
    </w:p>
    <w:p w:rsidR="00E01C05" w:rsidRPr="003D38EA" w:rsidRDefault="00E01C05" w:rsidP="00AF463C">
      <w:proofErr w:type="spellStart"/>
      <w:r w:rsidRPr="003D38EA">
        <w:t>Interindividual</w:t>
      </w:r>
      <w:proofErr w:type="spellEnd"/>
      <w:r w:rsidRPr="003D38EA">
        <w:t xml:space="preserve"> variability as assessed in the PK studies was moderate at recommended doses, but more substantial at lower doses. For instance, in a multi-dose study of 12 healthy male volunteers (Study 3065A1-101)</w:t>
      </w:r>
      <w:r w:rsidR="0027229C">
        <w:t xml:space="preserve"> (Table 3)</w:t>
      </w:r>
      <w:r w:rsidRPr="003D38EA">
        <w:t>, the t½ on Day 29 ranged approximately ten-fold across the group at a d</w:t>
      </w:r>
      <w:r w:rsidR="0035137A">
        <w:t xml:space="preserve">ose of 50mg BID (min 2.97 hr </w:t>
      </w:r>
      <w:r w:rsidR="0035137A" w:rsidRPr="003D38EA">
        <w:t>–</w:t>
      </w:r>
      <w:r w:rsidR="0035137A">
        <w:t xml:space="preserve"> </w:t>
      </w:r>
      <w:r w:rsidRPr="003D38EA">
        <w:t xml:space="preserve">max 27.66 hrs); at 200mg BID, the t½ was more consistent across the group (min 7.57 hr – max 11.01 hrs). In the same study, the coefficient of variation (CV) for </w:t>
      </w:r>
      <w:proofErr w:type="spellStart"/>
      <w:r w:rsidRPr="003D38EA">
        <w:t>Cmax</w:t>
      </w:r>
      <w:proofErr w:type="spellEnd"/>
      <w:r w:rsidRPr="003D38EA">
        <w:t xml:space="preserve"> was high (~40-70%), particularly at low doses. The CV for AUC was moderate (~30-35%).</w:t>
      </w:r>
    </w:p>
    <w:p w:rsidR="0027229C" w:rsidRPr="000471E1" w:rsidRDefault="0027229C" w:rsidP="00AF463C">
      <w:pPr>
        <w:pStyle w:val="TableTitle"/>
        <w:rPr>
          <w:lang w:val="en-GB"/>
        </w:rPr>
      </w:pPr>
      <w:r>
        <w:t>Table 3</w:t>
      </w:r>
      <w:r w:rsidRPr="000471E1">
        <w:t xml:space="preserve">: </w:t>
      </w:r>
      <w:r>
        <w:t>Pharmaco</w:t>
      </w:r>
      <w:r w:rsidR="00204D78">
        <w:t xml:space="preserve">kinetic parameters of </w:t>
      </w:r>
      <w:proofErr w:type="spellStart"/>
      <w:r>
        <w:t>retigabine</w:t>
      </w:r>
      <w:proofErr w:type="spellEnd"/>
      <w:r>
        <w:t xml:space="preserve"> </w:t>
      </w:r>
      <w:r w:rsidR="00204D78">
        <w:t>a</w:t>
      </w:r>
      <w:r w:rsidR="00AF463C">
        <w:t>fter administration of single (d</w:t>
      </w:r>
      <w:r w:rsidR="00204D78">
        <w:t>ay 1) or multiple (</w:t>
      </w:r>
      <w:r w:rsidR="00AF463C">
        <w:t>d</w:t>
      </w:r>
      <w:r w:rsidR="00204D78">
        <w:t xml:space="preserve">ay 29) oral doses of </w:t>
      </w:r>
      <w:proofErr w:type="spellStart"/>
      <w:r w:rsidR="00204D78">
        <w:t>retigabine</w:t>
      </w:r>
      <w:proofErr w:type="spellEnd"/>
      <w:r w:rsidR="00204D78">
        <w:t xml:space="preserve"> in healthy male subjects</w:t>
      </w:r>
      <w:r>
        <w:t xml:space="preserve"> (n = </w:t>
      </w:r>
      <w:r w:rsidR="00204D78">
        <w:t>12</w:t>
      </w:r>
      <w:r>
        <w:t>) (</w:t>
      </w:r>
      <w:r w:rsidR="005614A3">
        <w:t>s</w:t>
      </w:r>
      <w:r>
        <w:t>t</w:t>
      </w:r>
      <w:r w:rsidR="00204D78">
        <w:t>udy 3065A1-101</w:t>
      </w:r>
      <w:r>
        <w:t>).</w:t>
      </w:r>
    </w:p>
    <w:p w:rsidR="00E01C05" w:rsidRDefault="00DA36AD" w:rsidP="00865079">
      <w:pPr>
        <w:autoSpaceDE w:val="0"/>
        <w:autoSpaceDN w:val="0"/>
        <w:adjustRightInd w:val="0"/>
        <w:jc w:val="center"/>
      </w:pPr>
      <w:r>
        <w:rPr>
          <w:noProof/>
          <w:lang w:eastAsia="en-AU"/>
        </w:rPr>
        <w:drawing>
          <wp:inline distT="0" distB="0" distL="0" distR="0">
            <wp:extent cx="4966970" cy="2179955"/>
            <wp:effectExtent l="19050" t="0" r="5080" b="0"/>
            <wp:docPr id="7" name="Picture 7" descr="Table showwing pharmacokinetic parameters of retigabine after administration of single (day 1) or multiple (day 29) oral doses of retigabine in healthy male subjects (n = 12) (Study 3065A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
                    <pic:cNvPicPr>
                      <a:picLocks noChangeAspect="1" noChangeArrowheads="1"/>
                    </pic:cNvPicPr>
                  </pic:nvPicPr>
                  <pic:blipFill>
                    <a:blip r:embed="rId20" cstate="print"/>
                    <a:srcRect/>
                    <a:stretch>
                      <a:fillRect/>
                    </a:stretch>
                  </pic:blipFill>
                  <pic:spPr bwMode="auto">
                    <a:xfrm>
                      <a:off x="0" y="0"/>
                      <a:ext cx="4966970" cy="2179955"/>
                    </a:xfrm>
                    <a:prstGeom prst="rect">
                      <a:avLst/>
                    </a:prstGeom>
                    <a:noFill/>
                    <a:ln w="9525">
                      <a:noFill/>
                      <a:miter lim="800000"/>
                      <a:headEnd/>
                      <a:tailEnd/>
                    </a:ln>
                  </pic:spPr>
                </pic:pic>
              </a:graphicData>
            </a:graphic>
          </wp:inline>
        </w:drawing>
      </w:r>
    </w:p>
    <w:p w:rsidR="00017DD1" w:rsidRDefault="00E01C05" w:rsidP="00017DD1">
      <w:proofErr w:type="spellStart"/>
      <w:r w:rsidRPr="003D38EA">
        <w:t>Interindividual</w:t>
      </w:r>
      <w:proofErr w:type="spellEnd"/>
      <w:r w:rsidRPr="003D38EA">
        <w:t xml:space="preserve"> variability was also assessed in the population PK analysis. In the final PK model (Model 6215), variability as expressed by the coefficient of variation (CV) was moderate for most parameters, but quite marked (&gt;100%) for the central volume of distribution (V2) and the absorption rate constant (KA</w:t>
      </w:r>
      <w:r w:rsidR="003D38EA">
        <w:t xml:space="preserve">), as shown in </w:t>
      </w:r>
      <w:r w:rsidR="00204D78">
        <w:t>Table 4</w:t>
      </w:r>
      <w:r w:rsidR="003D38EA">
        <w:t>.</w:t>
      </w:r>
    </w:p>
    <w:p w:rsidR="00204D78" w:rsidRPr="000471E1" w:rsidRDefault="00204D78" w:rsidP="00017DD1">
      <w:pPr>
        <w:pStyle w:val="TableTitle"/>
        <w:rPr>
          <w:lang w:val="en-GB"/>
        </w:rPr>
      </w:pPr>
      <w:r>
        <w:lastRenderedPageBreak/>
        <w:t xml:space="preserve">Table </w:t>
      </w:r>
      <w:r w:rsidR="003174C0">
        <w:t>4</w:t>
      </w:r>
      <w:r w:rsidRPr="000471E1">
        <w:t xml:space="preserve">: </w:t>
      </w:r>
      <w:r>
        <w:t xml:space="preserve">Parameter estimates of </w:t>
      </w:r>
      <w:r w:rsidR="005614A3">
        <w:t>m</w:t>
      </w:r>
      <w:r>
        <w:t>odel 6215.</w:t>
      </w:r>
    </w:p>
    <w:p w:rsidR="00E01C05" w:rsidRDefault="00DA36AD" w:rsidP="00204D78">
      <w:pPr>
        <w:autoSpaceDE w:val="0"/>
        <w:autoSpaceDN w:val="0"/>
        <w:adjustRightInd w:val="0"/>
        <w:jc w:val="center"/>
      </w:pPr>
      <w:r>
        <w:rPr>
          <w:noProof/>
          <w:lang w:eastAsia="en-AU"/>
        </w:rPr>
        <w:drawing>
          <wp:inline distT="0" distB="0" distL="0" distR="0">
            <wp:extent cx="4886325" cy="5003800"/>
            <wp:effectExtent l="19050" t="0" r="9525" b="0"/>
            <wp:docPr id="8" name="Picture 8" descr="Table showing parameter estimates of Model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
                    <pic:cNvPicPr>
                      <a:picLocks noChangeAspect="1" noChangeArrowheads="1"/>
                    </pic:cNvPicPr>
                  </pic:nvPicPr>
                  <pic:blipFill>
                    <a:blip r:embed="rId21" cstate="print"/>
                    <a:srcRect/>
                    <a:stretch>
                      <a:fillRect/>
                    </a:stretch>
                  </pic:blipFill>
                  <pic:spPr bwMode="auto">
                    <a:xfrm>
                      <a:off x="0" y="0"/>
                      <a:ext cx="4886325" cy="5003800"/>
                    </a:xfrm>
                    <a:prstGeom prst="rect">
                      <a:avLst/>
                    </a:prstGeom>
                    <a:noFill/>
                    <a:ln w="9525">
                      <a:noFill/>
                      <a:miter lim="800000"/>
                      <a:headEnd/>
                      <a:tailEnd/>
                    </a:ln>
                  </pic:spPr>
                </pic:pic>
              </a:graphicData>
            </a:graphic>
          </wp:inline>
        </w:drawing>
      </w:r>
    </w:p>
    <w:p w:rsidR="00E01C05" w:rsidRPr="003D38EA" w:rsidRDefault="00E01C05" w:rsidP="00AF463C">
      <w:r w:rsidRPr="003D38EA">
        <w:t xml:space="preserve">Between subject variability was also assessed in the PK analysis of the pivotal studies, and was shown to be 32-45% for </w:t>
      </w:r>
      <w:proofErr w:type="spellStart"/>
      <w:r w:rsidRPr="003D38EA">
        <w:t>Cmax</w:t>
      </w:r>
      <w:proofErr w:type="spellEnd"/>
      <w:r w:rsidRPr="003D38EA">
        <w:t>, and 35-48% for AUC.</w:t>
      </w:r>
    </w:p>
    <w:p w:rsidR="00E01C05" w:rsidRPr="003D38EA" w:rsidRDefault="00E01C05" w:rsidP="00AF463C">
      <w:r w:rsidRPr="003D38EA">
        <w:t xml:space="preserve">Within-subject variability has not been directly addressed by any PK study but is at least as great as that demonstrated in the food-effect studies (38% increase in </w:t>
      </w:r>
      <w:proofErr w:type="spellStart"/>
      <w:r w:rsidRPr="003D38EA">
        <w:t>Cmax</w:t>
      </w:r>
      <w:proofErr w:type="spellEnd"/>
      <w:r w:rsidRPr="003D38EA">
        <w:t xml:space="preserve"> with a fatty meal).</w:t>
      </w:r>
    </w:p>
    <w:p w:rsidR="00E01C05" w:rsidRPr="003D38EA" w:rsidRDefault="00E01C05" w:rsidP="00AF463C">
      <w:r w:rsidRPr="003D38EA">
        <w:t xml:space="preserve">The variability in </w:t>
      </w:r>
      <w:proofErr w:type="spellStart"/>
      <w:r w:rsidRPr="003D38EA">
        <w:t>Cmax</w:t>
      </w:r>
      <w:proofErr w:type="spellEnd"/>
      <w:r w:rsidRPr="003D38EA">
        <w:t xml:space="preserve"> is of particular concern given the narrow therapeutic index of this drug, and the likelihood that </w:t>
      </w:r>
      <w:proofErr w:type="spellStart"/>
      <w:r w:rsidRPr="003D38EA">
        <w:t>proarrhythmic</w:t>
      </w:r>
      <w:proofErr w:type="spellEnd"/>
      <w:r w:rsidRPr="003D38EA">
        <w:t xml:space="preserve"> effects are related to peak concentration.</w:t>
      </w:r>
    </w:p>
    <w:p w:rsidR="00E01C05" w:rsidRPr="004C19B7" w:rsidRDefault="00E01C05" w:rsidP="00AF463C">
      <w:pPr>
        <w:pStyle w:val="Heading4"/>
      </w:pPr>
      <w:bookmarkStart w:id="64" w:name="_Toc241374292"/>
      <w:bookmarkStart w:id="65" w:name="_Ref271189131"/>
      <w:bookmarkStart w:id="66" w:name="_Ref271189136"/>
      <w:bookmarkStart w:id="67" w:name="_Toc272414625"/>
      <w:bookmarkStart w:id="68" w:name="_Toc290846248"/>
      <w:bookmarkStart w:id="69" w:name="_Ref329271564"/>
      <w:bookmarkStart w:id="70" w:name="_Ref329271571"/>
      <w:bookmarkStart w:id="71" w:name="_Toc330196331"/>
      <w:r w:rsidRPr="004C19B7">
        <w:t xml:space="preserve">Pharmacokinetics in the </w:t>
      </w:r>
      <w:r w:rsidRPr="00AF463C">
        <w:t>target</w:t>
      </w:r>
      <w:r w:rsidRPr="004C19B7">
        <w:t xml:space="preserve"> population</w:t>
      </w:r>
      <w:bookmarkEnd w:id="64"/>
      <w:bookmarkEnd w:id="65"/>
      <w:bookmarkEnd w:id="66"/>
      <w:bookmarkEnd w:id="67"/>
      <w:bookmarkEnd w:id="68"/>
      <w:bookmarkEnd w:id="69"/>
      <w:bookmarkEnd w:id="70"/>
      <w:bookmarkEnd w:id="71"/>
    </w:p>
    <w:p w:rsidR="00017DD1" w:rsidRDefault="00E01C05" w:rsidP="00017DD1">
      <w:r w:rsidRPr="003D38EA">
        <w:t>Blood samples for PK analysis were collected in each of the three pivotal studies, and the data was pooled for each dose group</w:t>
      </w:r>
      <w:r w:rsidR="004551E7">
        <w:t xml:space="preserve"> (Table 5)</w:t>
      </w:r>
      <w:r w:rsidRPr="003D38EA">
        <w:t xml:space="preserve">. This analysis, reported in the Summary of Clinical Pharmacology, suggested that the PK of </w:t>
      </w:r>
      <w:proofErr w:type="spellStart"/>
      <w:r w:rsidRPr="003D38EA">
        <w:t>retigabine</w:t>
      </w:r>
      <w:proofErr w:type="spellEnd"/>
      <w:r w:rsidRPr="003D38EA">
        <w:t xml:space="preserve"> is broadly dose-proportional. The PK appears similar in a population of epilepsy patients as had been demonstrated in healthy volunteers who were studied in the initial PK program.</w:t>
      </w:r>
    </w:p>
    <w:p w:rsidR="004551E7" w:rsidRDefault="004551E7" w:rsidP="00017DD1">
      <w:pPr>
        <w:pStyle w:val="TableTitle"/>
      </w:pPr>
      <w:r>
        <w:lastRenderedPageBreak/>
        <w:t>Table 5</w:t>
      </w:r>
      <w:r w:rsidRPr="000471E1">
        <w:t xml:space="preserve">: </w:t>
      </w:r>
      <w:r>
        <w:t xml:space="preserve">Summary of the </w:t>
      </w:r>
      <w:proofErr w:type="spellStart"/>
      <w:r>
        <w:t>retigab</w:t>
      </w:r>
      <w:r w:rsidR="005614A3">
        <w:t>ine</w:t>
      </w:r>
      <w:proofErr w:type="spellEnd"/>
      <w:r w:rsidR="005614A3">
        <w:t xml:space="preserve"> PK parameters by dose from s</w:t>
      </w:r>
      <w:r>
        <w:t>tudies 205, 301 and 302 (mean ± SD [</w:t>
      </w:r>
      <w:proofErr w:type="spellStart"/>
      <w:r>
        <w:t>CVb</w:t>
      </w:r>
      <w:proofErr w:type="spellEnd"/>
      <w:r>
        <w:t>%]).</w:t>
      </w:r>
    </w:p>
    <w:p w:rsidR="004551E7" w:rsidRPr="000471E1" w:rsidRDefault="00DA36AD" w:rsidP="006064DA">
      <w:pPr>
        <w:pStyle w:val="FigureTitle"/>
        <w:jc w:val="center"/>
        <w:rPr>
          <w:lang w:val="en-GB"/>
        </w:rPr>
      </w:pPr>
      <w:r>
        <w:rPr>
          <w:noProof/>
          <w:lang w:eastAsia="en-AU"/>
        </w:rPr>
        <w:drawing>
          <wp:inline distT="0" distB="0" distL="0" distR="0">
            <wp:extent cx="5076825" cy="1038860"/>
            <wp:effectExtent l="19050" t="0" r="9525" b="0"/>
            <wp:docPr id="9" name="Picture 9" descr="Table showing summary of the retigabine PK parameters by dose from Studies 205, 301 and 302 (mean ± SD [C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1"/>
                    <pic:cNvPicPr>
                      <a:picLocks noChangeAspect="1" noChangeArrowheads="1"/>
                    </pic:cNvPicPr>
                  </pic:nvPicPr>
                  <pic:blipFill>
                    <a:blip r:embed="rId22" cstate="print"/>
                    <a:srcRect/>
                    <a:stretch>
                      <a:fillRect/>
                    </a:stretch>
                  </pic:blipFill>
                  <pic:spPr bwMode="auto">
                    <a:xfrm>
                      <a:off x="0" y="0"/>
                      <a:ext cx="5076825" cy="1038860"/>
                    </a:xfrm>
                    <a:prstGeom prst="rect">
                      <a:avLst/>
                    </a:prstGeom>
                    <a:noFill/>
                    <a:ln w="9525">
                      <a:noFill/>
                      <a:miter lim="800000"/>
                      <a:headEnd/>
                      <a:tailEnd/>
                    </a:ln>
                  </pic:spPr>
                </pic:pic>
              </a:graphicData>
            </a:graphic>
          </wp:inline>
        </w:drawing>
      </w:r>
    </w:p>
    <w:p w:rsidR="00E01C05" w:rsidRPr="003E6AAD" w:rsidRDefault="00E01C05" w:rsidP="00AF463C">
      <w:pPr>
        <w:pStyle w:val="Heading4"/>
      </w:pPr>
      <w:bookmarkStart w:id="72" w:name="_Toc241374293"/>
      <w:bookmarkStart w:id="73" w:name="_Toc272414626"/>
      <w:bookmarkStart w:id="74" w:name="_Toc290846249"/>
      <w:bookmarkStart w:id="75" w:name="_Toc330196332"/>
      <w:r w:rsidRPr="00AF463C">
        <w:t>Pharmacokinetics</w:t>
      </w:r>
      <w:r w:rsidRPr="003E6AAD">
        <w:t xml:space="preserve"> in other special populations</w:t>
      </w:r>
      <w:bookmarkEnd w:id="72"/>
      <w:bookmarkEnd w:id="73"/>
      <w:bookmarkEnd w:id="74"/>
      <w:bookmarkEnd w:id="75"/>
    </w:p>
    <w:p w:rsidR="00E01C05" w:rsidRPr="003E6AAD" w:rsidRDefault="00E01C05" w:rsidP="00AF463C">
      <w:pPr>
        <w:pStyle w:val="Heading5"/>
      </w:pPr>
      <w:bookmarkStart w:id="76" w:name="_Toc272414627"/>
      <w:bookmarkStart w:id="77" w:name="_Toc290846250"/>
      <w:bookmarkStart w:id="78" w:name="_Toc330196333"/>
      <w:r w:rsidRPr="003E6AAD">
        <w:t xml:space="preserve">Pharmacokinetics in subjects with </w:t>
      </w:r>
      <w:r w:rsidRPr="00AF463C">
        <w:t>impaired</w:t>
      </w:r>
      <w:r w:rsidRPr="003E6AAD">
        <w:t xml:space="preserve"> hepatic function</w:t>
      </w:r>
      <w:bookmarkEnd w:id="76"/>
      <w:bookmarkEnd w:id="77"/>
      <w:bookmarkEnd w:id="78"/>
    </w:p>
    <w:p w:rsidR="00E01C05" w:rsidRPr="003D38EA" w:rsidRDefault="00E01C05" w:rsidP="00AF463C">
      <w:r w:rsidRPr="003D38EA">
        <w:t xml:space="preserve">In a single-dose PK study in subjects with varying degrees of hepatic impairment (VRX-RET-E22-102), mild hepatic impairment produced no clinically relevant effects on </w:t>
      </w:r>
      <w:proofErr w:type="spellStart"/>
      <w:r w:rsidRPr="003D38EA">
        <w:t>retigabine</w:t>
      </w:r>
      <w:proofErr w:type="spellEnd"/>
      <w:r w:rsidRPr="003D38EA">
        <w:t xml:space="preserve"> AUC, but AUC was increased 52% or 109% in subjects with moderate or severe hepatic dysfunction, respectively, relative to subjects with normal hepatic function.</w:t>
      </w:r>
    </w:p>
    <w:p w:rsidR="00E01C05" w:rsidRPr="003D38EA" w:rsidRDefault="00E01C05" w:rsidP="00AF463C">
      <w:r w:rsidRPr="003D38EA">
        <w:t xml:space="preserve">No </w:t>
      </w:r>
      <w:proofErr w:type="spellStart"/>
      <w:r w:rsidRPr="003D38EA">
        <w:t>retigabine</w:t>
      </w:r>
      <w:proofErr w:type="spellEnd"/>
      <w:r w:rsidRPr="003D38EA">
        <w:t xml:space="preserve"> dose adjustment is recommended in patients with mild hepatic impairment (Child-Pugh score 5 to 6), but in patients with moderate to severe hepatic impairment (Child Pugh score ≥ 7), a 50% decrease in the initial doses of </w:t>
      </w:r>
      <w:proofErr w:type="spellStart"/>
      <w:r w:rsidRPr="003D38EA">
        <w:t>retigabine</w:t>
      </w:r>
      <w:proofErr w:type="spellEnd"/>
      <w:r w:rsidRPr="003D38EA">
        <w:t xml:space="preserve"> is recommended, along with a 50% reduction in the maximum daily dose to 600mg/d.</w:t>
      </w:r>
    </w:p>
    <w:p w:rsidR="00E01C05" w:rsidRPr="003D38EA" w:rsidRDefault="00E01C05" w:rsidP="00AF463C">
      <w:r w:rsidRPr="003D38EA">
        <w:t xml:space="preserve">This is especially important given the narrow therapeutic index of </w:t>
      </w:r>
      <w:proofErr w:type="spellStart"/>
      <w:r w:rsidRPr="003D38EA">
        <w:t>retigabine</w:t>
      </w:r>
      <w:proofErr w:type="spellEnd"/>
      <w:r w:rsidRPr="003D38EA">
        <w:t>.</w:t>
      </w:r>
    </w:p>
    <w:p w:rsidR="00E01C05" w:rsidRPr="002A507A" w:rsidRDefault="00E01C05" w:rsidP="00AF463C">
      <w:pPr>
        <w:pStyle w:val="Heading5"/>
      </w:pPr>
      <w:bookmarkStart w:id="79" w:name="_Toc272414628"/>
      <w:bookmarkStart w:id="80" w:name="_Toc290846251"/>
      <w:bookmarkStart w:id="81" w:name="_Toc330196334"/>
      <w:r w:rsidRPr="002A507A">
        <w:t xml:space="preserve">Pharmacokinetics in subjects with </w:t>
      </w:r>
      <w:r w:rsidRPr="00AF463C">
        <w:t>impaired</w:t>
      </w:r>
      <w:r w:rsidRPr="002A507A">
        <w:t xml:space="preserve"> renal function</w:t>
      </w:r>
      <w:bookmarkEnd w:id="79"/>
      <w:bookmarkEnd w:id="80"/>
      <w:bookmarkEnd w:id="81"/>
    </w:p>
    <w:p w:rsidR="00E01C05" w:rsidRPr="00EC2D9D" w:rsidRDefault="00E01C05" w:rsidP="00AF463C">
      <w:r w:rsidRPr="00EC2D9D">
        <w:t xml:space="preserve">The population PK analyses suggested that clearance of </w:t>
      </w:r>
      <w:proofErr w:type="spellStart"/>
      <w:r w:rsidRPr="00EC2D9D">
        <w:t>retigabine</w:t>
      </w:r>
      <w:proofErr w:type="spellEnd"/>
      <w:r w:rsidRPr="00EC2D9D">
        <w:t xml:space="preserve"> and NAMR decreases with decreasing </w:t>
      </w:r>
      <w:proofErr w:type="spellStart"/>
      <w:r w:rsidRPr="00EC2D9D">
        <w:t>creatinine</w:t>
      </w:r>
      <w:proofErr w:type="spellEnd"/>
      <w:r w:rsidRPr="00EC2D9D">
        <w:t xml:space="preserve"> clearance. A PK study in subjects with varying degrees of renal dysfunction (VRX-RET-E22-101) also indicated that </w:t>
      </w:r>
      <w:proofErr w:type="spellStart"/>
      <w:r w:rsidRPr="00EC2D9D">
        <w:t>retigabine</w:t>
      </w:r>
      <w:proofErr w:type="spellEnd"/>
      <w:r w:rsidRPr="00EC2D9D">
        <w:t xml:space="preserve"> clearance decreased with decreasing </w:t>
      </w:r>
      <w:proofErr w:type="spellStart"/>
      <w:r w:rsidRPr="00EC2D9D">
        <w:t>creatinine</w:t>
      </w:r>
      <w:proofErr w:type="spellEnd"/>
      <w:r w:rsidRPr="00EC2D9D">
        <w:t xml:space="preserve"> clearance (</w:t>
      </w:r>
      <w:proofErr w:type="spellStart"/>
      <w:r w:rsidRPr="00EC2D9D">
        <w:t>CrCL</w:t>
      </w:r>
      <w:proofErr w:type="spellEnd"/>
      <w:r w:rsidRPr="00EC2D9D">
        <w:t xml:space="preserve">): </w:t>
      </w:r>
      <w:proofErr w:type="spellStart"/>
      <w:r w:rsidRPr="00EC2D9D">
        <w:t>retigabine</w:t>
      </w:r>
      <w:proofErr w:type="spellEnd"/>
      <w:r w:rsidRPr="00EC2D9D">
        <w:t xml:space="preserve"> AUC was increased by ~30% in subjects with mild renal impairment (</w:t>
      </w:r>
      <w:proofErr w:type="spellStart"/>
      <w:r w:rsidRPr="00EC2D9D">
        <w:t>CrCL</w:t>
      </w:r>
      <w:proofErr w:type="spellEnd"/>
      <w:r w:rsidRPr="00EC2D9D">
        <w:t xml:space="preserve"> 50 to 80 </w:t>
      </w:r>
      <w:proofErr w:type="spellStart"/>
      <w:r w:rsidRPr="00EC2D9D">
        <w:t>mL</w:t>
      </w:r>
      <w:proofErr w:type="spellEnd"/>
      <w:r w:rsidRPr="00EC2D9D">
        <w:t>/min) and by ~ 100% in subjects with moderate or severe renal impairment (</w:t>
      </w:r>
      <w:proofErr w:type="spellStart"/>
      <w:r w:rsidRPr="00EC2D9D">
        <w:t>CrCL</w:t>
      </w:r>
      <w:proofErr w:type="spellEnd"/>
      <w:r w:rsidRPr="00EC2D9D">
        <w:t xml:space="preserve"> &lt;50 </w:t>
      </w:r>
      <w:proofErr w:type="spellStart"/>
      <w:r w:rsidRPr="00EC2D9D">
        <w:t>mL</w:t>
      </w:r>
      <w:proofErr w:type="spellEnd"/>
      <w:r w:rsidRPr="00EC2D9D">
        <w:t xml:space="preserve">/min), relative to healthy subjects. Subjects with ESRD had ~100% increase in </w:t>
      </w:r>
      <w:proofErr w:type="spellStart"/>
      <w:r w:rsidRPr="00EC2D9D">
        <w:t>retigabine</w:t>
      </w:r>
      <w:proofErr w:type="spellEnd"/>
      <w:r w:rsidRPr="00EC2D9D">
        <w:t xml:space="preserve"> AUC relative to healthy subjects.</w:t>
      </w:r>
    </w:p>
    <w:p w:rsidR="00E01C05" w:rsidRPr="00EC2D9D" w:rsidRDefault="00E01C05" w:rsidP="00AF463C">
      <w:r w:rsidRPr="00EC2D9D">
        <w:t>The increase in AUC of 30% in mild renal impairment is of minor importance in a drug that is intended to be titrated according to tolerability and efficacy, so no dose adjustment is recommended in patients with mild renal impairment. For patients with moderate renal impairment (</w:t>
      </w:r>
      <w:proofErr w:type="spellStart"/>
      <w:r w:rsidRPr="00EC2D9D">
        <w:t>CrCL</w:t>
      </w:r>
      <w:proofErr w:type="spellEnd"/>
      <w:r w:rsidRPr="00EC2D9D">
        <w:t xml:space="preserve">&lt;50 </w:t>
      </w:r>
      <w:proofErr w:type="spellStart"/>
      <w:r w:rsidRPr="00EC2D9D">
        <w:t>mL</w:t>
      </w:r>
      <w:proofErr w:type="spellEnd"/>
      <w:r w:rsidRPr="00EC2D9D">
        <w:t xml:space="preserve">/min) a 50% reduction in the initial and maintenance dose is recommended. </w:t>
      </w:r>
    </w:p>
    <w:p w:rsidR="00E01C05" w:rsidRPr="00EC2D9D" w:rsidRDefault="00E01C05" w:rsidP="00AF463C">
      <w:r w:rsidRPr="00EC2D9D">
        <w:t xml:space="preserve">The effect of haemodialysis on </w:t>
      </w:r>
      <w:proofErr w:type="spellStart"/>
      <w:r w:rsidRPr="00EC2D9D">
        <w:t>retigabine</w:t>
      </w:r>
      <w:proofErr w:type="spellEnd"/>
      <w:r w:rsidRPr="00EC2D9D">
        <w:t xml:space="preserve"> clearance has not been adequately evaluated. For patients with ESRD receiving dialysis, a 50% reduction in dose is currently recommended. Given the pharmacokinetic uncertainties in this population and the narrow therapeutic index of </w:t>
      </w:r>
      <w:proofErr w:type="spellStart"/>
      <w:r w:rsidRPr="00EC2D9D">
        <w:t>retigabine</w:t>
      </w:r>
      <w:proofErr w:type="spellEnd"/>
      <w:r w:rsidRPr="00EC2D9D">
        <w:t>, it would be appropriate to avoid the drug completely in patients with ESRD.</w:t>
      </w:r>
    </w:p>
    <w:p w:rsidR="00E01C05" w:rsidRPr="00FD7141" w:rsidRDefault="00E01C05" w:rsidP="00AF463C">
      <w:pPr>
        <w:pStyle w:val="Heading5"/>
      </w:pPr>
      <w:bookmarkStart w:id="82" w:name="_Toc272414629"/>
      <w:bookmarkStart w:id="83" w:name="_Toc290846252"/>
      <w:bookmarkStart w:id="84" w:name="_Toc330196335"/>
      <w:r w:rsidRPr="00FD7141">
        <w:t xml:space="preserve">Pharmacokinetics </w:t>
      </w:r>
      <w:r w:rsidRPr="00AF463C">
        <w:t>according</w:t>
      </w:r>
      <w:r w:rsidRPr="00FD7141">
        <w:t xml:space="preserve"> to age</w:t>
      </w:r>
      <w:bookmarkEnd w:id="82"/>
      <w:bookmarkEnd w:id="83"/>
      <w:bookmarkEnd w:id="84"/>
    </w:p>
    <w:p w:rsidR="00E01C05" w:rsidRPr="00EC2D9D" w:rsidRDefault="00E01C05" w:rsidP="00AF463C">
      <w:r w:rsidRPr="00EC2D9D">
        <w:t xml:space="preserve">Study 3065A1-105 assessed the PK of </w:t>
      </w:r>
      <w:proofErr w:type="spellStart"/>
      <w:r w:rsidRPr="00EC2D9D">
        <w:t>retigabine</w:t>
      </w:r>
      <w:proofErr w:type="spellEnd"/>
      <w:r w:rsidRPr="00EC2D9D">
        <w:t xml:space="preserve"> in elderly subjects. </w:t>
      </w:r>
      <w:proofErr w:type="spellStart"/>
      <w:r w:rsidRPr="00EC2D9D">
        <w:t>Cmax</w:t>
      </w:r>
      <w:proofErr w:type="spellEnd"/>
      <w:r w:rsidRPr="00EC2D9D">
        <w:t xml:space="preserve"> in elderly subjects was similar to the </w:t>
      </w:r>
      <w:proofErr w:type="spellStart"/>
      <w:r w:rsidRPr="00EC2D9D">
        <w:t>Cmax</w:t>
      </w:r>
      <w:proofErr w:type="spellEnd"/>
      <w:r w:rsidRPr="00EC2D9D">
        <w:t xml:space="preserve"> observed i</w:t>
      </w:r>
      <w:r w:rsidR="000158BD">
        <w:t>n younger control subjects, but</w:t>
      </w:r>
      <w:r w:rsidRPr="00EC2D9D">
        <w:t xml:space="preserve"> AUC was ~40-50% higher in elderly subjects and t½ was ~30% longer. The weight-normalized clearance of </w:t>
      </w:r>
      <w:proofErr w:type="spellStart"/>
      <w:r w:rsidRPr="00EC2D9D">
        <w:t>retigabine</w:t>
      </w:r>
      <w:proofErr w:type="spellEnd"/>
      <w:r w:rsidRPr="00EC2D9D">
        <w:t xml:space="preserve"> was lower in elderly subjects than in young subjects; this is likely to be largely due to poorer renal function in the elderly.</w:t>
      </w:r>
    </w:p>
    <w:p w:rsidR="00E01C05" w:rsidRPr="00EC2D9D" w:rsidRDefault="00E01C05" w:rsidP="00AF463C">
      <w:r w:rsidRPr="00EC2D9D">
        <w:t xml:space="preserve">Age was also identified as a significant covariate on </w:t>
      </w:r>
      <w:proofErr w:type="spellStart"/>
      <w:r w:rsidRPr="00EC2D9D">
        <w:t>retigabine</w:t>
      </w:r>
      <w:proofErr w:type="spellEnd"/>
      <w:r w:rsidRPr="00EC2D9D">
        <w:t xml:space="preserve"> V2 in the population PK analysis, which determined that </w:t>
      </w:r>
      <w:proofErr w:type="spellStart"/>
      <w:r w:rsidRPr="00EC2D9D">
        <w:t>retigabine</w:t>
      </w:r>
      <w:proofErr w:type="spellEnd"/>
      <w:r w:rsidRPr="00EC2D9D">
        <w:t xml:space="preserve"> </w:t>
      </w:r>
      <w:proofErr w:type="spellStart"/>
      <w:r w:rsidRPr="00EC2D9D">
        <w:t>Vd</w:t>
      </w:r>
      <w:proofErr w:type="spellEnd"/>
      <w:r w:rsidRPr="00EC2D9D">
        <w:t xml:space="preserve"> increased with increasing age. </w:t>
      </w:r>
    </w:p>
    <w:p w:rsidR="00E01C05" w:rsidRPr="00EC2D9D" w:rsidRDefault="00E01C05" w:rsidP="00AF463C">
      <w:r w:rsidRPr="00EC2D9D">
        <w:t xml:space="preserve">The factors that cause declining clearance with age are themselves variable: some older subjects have relatively preserved renal and hepatic function, but many do not. The sponsor </w:t>
      </w:r>
      <w:r w:rsidRPr="00EC2D9D">
        <w:lastRenderedPageBreak/>
        <w:t>recommends a reduction by 50% of the starting dose in older subjects (≥ 65 years), with a reduction in the maximum total daily doses to 900mg. This seems reasonable.</w:t>
      </w:r>
    </w:p>
    <w:p w:rsidR="00E01C05" w:rsidRPr="00EC2D9D" w:rsidRDefault="00E01C05" w:rsidP="00AF463C">
      <w:pPr>
        <w:pStyle w:val="Heading5"/>
      </w:pPr>
      <w:bookmarkStart w:id="85" w:name="_Toc330196336"/>
      <w:r w:rsidRPr="00EC2D9D">
        <w:t xml:space="preserve">Pharmacokinetics </w:t>
      </w:r>
      <w:r w:rsidRPr="00AF463C">
        <w:t>according</w:t>
      </w:r>
      <w:r w:rsidRPr="00EC2D9D">
        <w:t xml:space="preserve"> to gender</w:t>
      </w:r>
      <w:bookmarkEnd w:id="85"/>
    </w:p>
    <w:p w:rsidR="00E01C05" w:rsidRPr="00EC2D9D" w:rsidRDefault="00E01C05" w:rsidP="00AF463C">
      <w:r w:rsidRPr="00EC2D9D">
        <w:t xml:space="preserve">Gender was not a major factor in determining the PK of </w:t>
      </w:r>
      <w:proofErr w:type="spellStart"/>
      <w:r w:rsidRPr="00EC2D9D">
        <w:t>retigabine</w:t>
      </w:r>
      <w:proofErr w:type="spellEnd"/>
      <w:r w:rsidRPr="00EC2D9D">
        <w:t xml:space="preserve">, once weight was taken into account. In Study 3065A1-105, </w:t>
      </w:r>
      <w:proofErr w:type="spellStart"/>
      <w:r w:rsidRPr="00EC2D9D">
        <w:t>Cmax</w:t>
      </w:r>
      <w:proofErr w:type="spellEnd"/>
      <w:r w:rsidRPr="00EC2D9D">
        <w:t xml:space="preserve"> was ~50% higher in young females compared to young males and ~100% higher in elderly females compared to elderly males. Female subjects also had slightly higher AUC values (~20 to 30%) than in male subjects. Weight-normalised clearance did not differ between genders. The population PK analysis revealed a correlation between BSA and </w:t>
      </w:r>
      <w:proofErr w:type="spellStart"/>
      <w:r w:rsidRPr="00EC2D9D">
        <w:t>retigabine</w:t>
      </w:r>
      <w:proofErr w:type="spellEnd"/>
      <w:r w:rsidRPr="00EC2D9D">
        <w:t xml:space="preserve"> clearance, so reduced clearance and higher AUC in females could reflect the smaller median body size in fe</w:t>
      </w:r>
      <w:r w:rsidR="00865079">
        <w:t>males</w:t>
      </w:r>
      <w:r w:rsidRPr="00EC2D9D">
        <w:t>; this is supported by the finding of no gender difference in weight-normalised clearance in Study 3065A1-105.</w:t>
      </w:r>
    </w:p>
    <w:p w:rsidR="00E01C05" w:rsidRPr="00EC2D9D" w:rsidRDefault="00E01C05" w:rsidP="00AF463C">
      <w:r w:rsidRPr="00EC2D9D">
        <w:t>The sponsor does not recommend that dosage adjustment is made on the basis of gender, which seems reasonable.</w:t>
      </w:r>
    </w:p>
    <w:p w:rsidR="00E01C05" w:rsidRPr="00FD7141" w:rsidRDefault="00E01C05" w:rsidP="00AF463C">
      <w:pPr>
        <w:pStyle w:val="Heading5"/>
      </w:pPr>
      <w:bookmarkStart w:id="86" w:name="_Toc330196337"/>
      <w:r>
        <w:t xml:space="preserve">Pharmacokinetics </w:t>
      </w:r>
      <w:r w:rsidRPr="00AF463C">
        <w:t>according</w:t>
      </w:r>
      <w:r>
        <w:t xml:space="preserve"> to body size</w:t>
      </w:r>
      <w:bookmarkEnd w:id="86"/>
    </w:p>
    <w:p w:rsidR="00E01C05" w:rsidRPr="000158BD" w:rsidRDefault="00E01C05" w:rsidP="00AF463C">
      <w:pPr>
        <w:rPr>
          <w:i/>
        </w:rPr>
      </w:pPr>
      <w:r w:rsidRPr="00EC2D9D">
        <w:t xml:space="preserve">As discussed above, the population PK analysis determined that </w:t>
      </w:r>
      <w:proofErr w:type="spellStart"/>
      <w:r w:rsidRPr="00EC2D9D">
        <w:t>retigabine</w:t>
      </w:r>
      <w:proofErr w:type="spellEnd"/>
      <w:r w:rsidRPr="00EC2D9D">
        <w:t xml:space="preserve"> clearance increases with the increasing BSA, and gender differences in </w:t>
      </w:r>
      <w:proofErr w:type="spellStart"/>
      <w:r w:rsidRPr="00EC2D9D">
        <w:t>retigabine</w:t>
      </w:r>
      <w:proofErr w:type="spellEnd"/>
      <w:r w:rsidRPr="00EC2D9D">
        <w:t xml:space="preserve"> exposure could be resolved through</w:t>
      </w:r>
      <w:r w:rsidR="000158BD">
        <w:t xml:space="preserve"> </w:t>
      </w:r>
      <w:r w:rsidRPr="00EC2D9D">
        <w:t xml:space="preserve">weight normalisation in Study 3065A1-105. Over the range of body sizes assessed in the population PK analysis (1.5 to 3.0 m2), there was ~2-fold increase in clearance (~ 20 L/h to 40 L/h). </w:t>
      </w:r>
      <w:proofErr w:type="spellStart"/>
      <w:r w:rsidRPr="00EC2D9D">
        <w:t>Retigabine</w:t>
      </w:r>
      <w:proofErr w:type="spellEnd"/>
      <w:r w:rsidRPr="00EC2D9D">
        <w:t xml:space="preserve"> exposure will be increased in individuals of smaller body size, and clinicians would be wise to factor this in when choosing a dose for small patients. </w:t>
      </w:r>
      <w:r w:rsidRPr="000158BD">
        <w:rPr>
          <w:i/>
        </w:rPr>
        <w:t>An explicit recommendation to adjust dose for body weight is not contained in the PI, but would be worthwhile given the narrow therapeutic index of this drug.</w:t>
      </w:r>
    </w:p>
    <w:p w:rsidR="00E01C05" w:rsidRPr="006F03C2" w:rsidRDefault="00E01C05" w:rsidP="00AF463C">
      <w:pPr>
        <w:pStyle w:val="Heading5"/>
      </w:pPr>
      <w:bookmarkStart w:id="87" w:name="_Toc330196338"/>
      <w:r w:rsidRPr="006F03C2">
        <w:t xml:space="preserve">Pharmacokinetics </w:t>
      </w:r>
      <w:r w:rsidRPr="00AF463C">
        <w:t>according</w:t>
      </w:r>
      <w:r w:rsidRPr="006F03C2">
        <w:t xml:space="preserve"> to race</w:t>
      </w:r>
      <w:bookmarkEnd w:id="87"/>
    </w:p>
    <w:p w:rsidR="00E01C05" w:rsidRPr="00EC2D9D" w:rsidRDefault="00E01C05" w:rsidP="00AF463C">
      <w:r w:rsidRPr="00EC2D9D">
        <w:t xml:space="preserve">In a post-hoc analysis of pooled data from multiple Phase I studies, the geometric mean of </w:t>
      </w:r>
      <w:proofErr w:type="spellStart"/>
      <w:r w:rsidRPr="00EC2D9D">
        <w:t>retigabine</w:t>
      </w:r>
      <w:proofErr w:type="spellEnd"/>
      <w:r w:rsidRPr="00EC2D9D">
        <w:t xml:space="preserve"> clearance (CL/F) was ~20% lower in Black subjects than in Caucasian subjects. The population PK analyses, however, indicated that the PK of </w:t>
      </w:r>
      <w:proofErr w:type="spellStart"/>
      <w:r w:rsidRPr="00EC2D9D">
        <w:t>retigabine</w:t>
      </w:r>
      <w:proofErr w:type="spellEnd"/>
      <w:r w:rsidRPr="00EC2D9D">
        <w:t xml:space="preserve"> are not significantly different between Caucasians and non-Caucasians. Given that the Phase I studies suggested only minor racial differences that were not supported by the population PK analysis, dose adjustment on the basis of race is not warranted.</w:t>
      </w:r>
    </w:p>
    <w:p w:rsidR="00E01C05" w:rsidRPr="006F03C2" w:rsidRDefault="00E01C05" w:rsidP="00AF463C">
      <w:pPr>
        <w:pStyle w:val="Heading5"/>
      </w:pPr>
      <w:bookmarkStart w:id="88" w:name="_Toc272414630"/>
      <w:bookmarkStart w:id="89" w:name="_Toc290846253"/>
      <w:bookmarkStart w:id="90" w:name="_Toc330196339"/>
      <w:r w:rsidRPr="006F03C2">
        <w:t xml:space="preserve">Pharmacokinetics related to </w:t>
      </w:r>
      <w:r w:rsidRPr="00AF463C">
        <w:t>genetic</w:t>
      </w:r>
      <w:r w:rsidRPr="006F03C2">
        <w:t xml:space="preserve"> factors</w:t>
      </w:r>
      <w:bookmarkEnd w:id="88"/>
      <w:bookmarkEnd w:id="89"/>
      <w:bookmarkEnd w:id="90"/>
    </w:p>
    <w:p w:rsidR="00E01C05" w:rsidRPr="00EC2D9D" w:rsidRDefault="00E01C05" w:rsidP="00AF463C">
      <w:r w:rsidRPr="00EC2D9D">
        <w:t>The effects of genetic polymorphism have been discussed abo</w:t>
      </w:r>
      <w:r w:rsidR="00EC2D9D">
        <w:t>ve</w:t>
      </w:r>
      <w:r w:rsidRPr="00EC2D9D">
        <w:t xml:space="preserve">. No other relevant genetic information was provided, and there are no genetic groups expected to have significantly altered PK for </w:t>
      </w:r>
      <w:proofErr w:type="spellStart"/>
      <w:r w:rsidRPr="00EC2D9D">
        <w:t>retigabine</w:t>
      </w:r>
      <w:proofErr w:type="spellEnd"/>
      <w:r w:rsidRPr="00EC2D9D">
        <w:t>.</w:t>
      </w:r>
    </w:p>
    <w:p w:rsidR="00E01C05" w:rsidRPr="006F03C2" w:rsidRDefault="00E01C05" w:rsidP="00AF463C">
      <w:pPr>
        <w:pStyle w:val="Heading4"/>
      </w:pPr>
      <w:bookmarkStart w:id="91" w:name="_Toc241374294"/>
      <w:bookmarkStart w:id="92" w:name="_Toc272414632"/>
      <w:bookmarkStart w:id="93" w:name="_Toc290846255"/>
      <w:bookmarkStart w:id="94" w:name="_Toc330196340"/>
      <w:r w:rsidRPr="006F03C2">
        <w:t xml:space="preserve">Pharmacokinetic </w:t>
      </w:r>
      <w:r w:rsidRPr="00AF463C">
        <w:t>interactions</w:t>
      </w:r>
      <w:bookmarkEnd w:id="91"/>
      <w:bookmarkEnd w:id="92"/>
      <w:bookmarkEnd w:id="93"/>
      <w:bookmarkEnd w:id="94"/>
    </w:p>
    <w:p w:rsidR="00E01C05" w:rsidRDefault="00E01C05" w:rsidP="00AF463C">
      <w:pPr>
        <w:pStyle w:val="Heading5"/>
      </w:pPr>
      <w:bookmarkStart w:id="95" w:name="_Toc272414633"/>
      <w:bookmarkStart w:id="96" w:name="_Toc290846256"/>
      <w:bookmarkStart w:id="97" w:name="_Toc330196341"/>
      <w:r w:rsidRPr="006F03C2">
        <w:t xml:space="preserve">Pharmacokinetic </w:t>
      </w:r>
      <w:r w:rsidRPr="00AF463C">
        <w:t>interactions</w:t>
      </w:r>
      <w:r w:rsidRPr="006F03C2">
        <w:t xml:space="preserve"> demonstrated in human studies</w:t>
      </w:r>
      <w:bookmarkEnd w:id="95"/>
      <w:bookmarkEnd w:id="96"/>
      <w:bookmarkEnd w:id="97"/>
    </w:p>
    <w:p w:rsidR="00E01C05" w:rsidRPr="0036648C" w:rsidRDefault="00E01C05" w:rsidP="00AF463C">
      <w:pPr>
        <w:pStyle w:val="Heading6"/>
      </w:pPr>
      <w:r w:rsidRPr="0036648C">
        <w:t xml:space="preserve">Effects of </w:t>
      </w:r>
      <w:proofErr w:type="spellStart"/>
      <w:r w:rsidRPr="0036648C">
        <w:t>retigabine</w:t>
      </w:r>
      <w:proofErr w:type="spellEnd"/>
      <w:r w:rsidRPr="0036648C">
        <w:t xml:space="preserve"> </w:t>
      </w:r>
      <w:r>
        <w:t xml:space="preserve">on the </w:t>
      </w:r>
      <w:r w:rsidRPr="00AF463C">
        <w:t>pharmacokinetics</w:t>
      </w:r>
      <w:r>
        <w:t xml:space="preserve"> of other drugs</w:t>
      </w:r>
    </w:p>
    <w:p w:rsidR="00E01C05" w:rsidRPr="006F03C2" w:rsidRDefault="00E01C05" w:rsidP="00AF463C">
      <w:pPr>
        <w:pStyle w:val="Heading7"/>
      </w:pPr>
      <w:r w:rsidRPr="006F03C2">
        <w:t>Phase III data</w:t>
      </w:r>
    </w:p>
    <w:p w:rsidR="00017DD1" w:rsidRDefault="00E01C05" w:rsidP="00017DD1">
      <w:r w:rsidRPr="00126AAC">
        <w:t xml:space="preserve">The effect of </w:t>
      </w:r>
      <w:proofErr w:type="spellStart"/>
      <w:r w:rsidRPr="00126AAC">
        <w:t>retigabine</w:t>
      </w:r>
      <w:proofErr w:type="spellEnd"/>
      <w:r w:rsidRPr="00126AAC">
        <w:t xml:space="preserve"> on clearance of other AEDs was assessed in the pivotal studies by measuring the trough AED concentrations prior to and during </w:t>
      </w:r>
      <w:proofErr w:type="spellStart"/>
      <w:r w:rsidRPr="00126AAC">
        <w:t>retigabine</w:t>
      </w:r>
      <w:proofErr w:type="spellEnd"/>
      <w:r w:rsidRPr="00126AAC">
        <w:t xml:space="preserve"> administration. For most AEDs, the 90% CI for the geometric mean ratios of AED concentrations with and without concomitant </w:t>
      </w:r>
      <w:proofErr w:type="spellStart"/>
      <w:r w:rsidRPr="00126AAC">
        <w:t>retigabine</w:t>
      </w:r>
      <w:proofErr w:type="spellEnd"/>
      <w:r w:rsidRPr="00126AAC">
        <w:t xml:space="preserve"> fell entirely within the standard 80% to 125% bioequivalence limits (</w:t>
      </w:r>
      <w:r w:rsidR="004A1C07" w:rsidRPr="00126AAC">
        <w:t>Figure 5</w:t>
      </w:r>
      <w:r w:rsidRPr="00126AAC">
        <w:t xml:space="preserve">). For </w:t>
      </w:r>
      <w:proofErr w:type="spellStart"/>
      <w:r w:rsidRPr="00126AAC">
        <w:t>lamotrigine</w:t>
      </w:r>
      <w:proofErr w:type="spellEnd"/>
      <w:r w:rsidRPr="00126AAC">
        <w:t xml:space="preserve">, however, </w:t>
      </w:r>
      <w:proofErr w:type="spellStart"/>
      <w:r w:rsidRPr="00126AAC">
        <w:t>retigabine</w:t>
      </w:r>
      <w:proofErr w:type="spellEnd"/>
      <w:r w:rsidRPr="00126AAC">
        <w:t xml:space="preserve"> co-administration was associated with a 20% decrease in </w:t>
      </w:r>
      <w:proofErr w:type="spellStart"/>
      <w:r w:rsidRPr="00126AAC">
        <w:t>lamotrigine</w:t>
      </w:r>
      <w:proofErr w:type="spellEnd"/>
      <w:r w:rsidRPr="00126AAC">
        <w:t xml:space="preserve"> trough concentrations. </w:t>
      </w:r>
    </w:p>
    <w:p w:rsidR="004551E7" w:rsidRPr="00AF463C" w:rsidRDefault="004551E7" w:rsidP="00017DD1">
      <w:pPr>
        <w:pStyle w:val="FigureTitle"/>
        <w:keepNext/>
      </w:pPr>
      <w:r w:rsidRPr="00AF463C">
        <w:lastRenderedPageBreak/>
        <w:t xml:space="preserve">Figure 5: Effects of </w:t>
      </w:r>
      <w:proofErr w:type="spellStart"/>
      <w:r w:rsidRPr="00AF463C">
        <w:t>retigabine</w:t>
      </w:r>
      <w:proofErr w:type="spellEnd"/>
      <w:r w:rsidRPr="00AF463C">
        <w:t xml:space="preserve"> on trough AED concentrations in epileptic subjects.</w:t>
      </w:r>
    </w:p>
    <w:p w:rsidR="00E01C05" w:rsidRDefault="00DA36AD" w:rsidP="00126AAC">
      <w:pPr>
        <w:jc w:val="center"/>
      </w:pPr>
      <w:r>
        <w:rPr>
          <w:noProof/>
          <w:color w:val="FF6600"/>
          <w:lang w:eastAsia="en-AU"/>
        </w:rPr>
        <w:drawing>
          <wp:inline distT="0" distB="0" distL="0" distR="0">
            <wp:extent cx="4366895" cy="2458085"/>
            <wp:effectExtent l="19050" t="0" r="0" b="0"/>
            <wp:docPr id="10" name="Picture 10" descr="Figure showing effects of retigabine on trough AED concentrations in epileptic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
                    <pic:cNvPicPr>
                      <a:picLocks noChangeAspect="1" noChangeArrowheads="1"/>
                    </pic:cNvPicPr>
                  </pic:nvPicPr>
                  <pic:blipFill>
                    <a:blip r:embed="rId23" cstate="print"/>
                    <a:srcRect/>
                    <a:stretch>
                      <a:fillRect/>
                    </a:stretch>
                  </pic:blipFill>
                  <pic:spPr bwMode="auto">
                    <a:xfrm>
                      <a:off x="0" y="0"/>
                      <a:ext cx="4366895" cy="2458085"/>
                    </a:xfrm>
                    <a:prstGeom prst="rect">
                      <a:avLst/>
                    </a:prstGeom>
                    <a:noFill/>
                    <a:ln w="9525">
                      <a:noFill/>
                      <a:miter lim="800000"/>
                      <a:headEnd/>
                      <a:tailEnd/>
                    </a:ln>
                  </pic:spPr>
                </pic:pic>
              </a:graphicData>
            </a:graphic>
          </wp:inline>
        </w:drawing>
      </w:r>
    </w:p>
    <w:p w:rsidR="00E01C05" w:rsidRPr="00E720A5" w:rsidRDefault="00E01C05" w:rsidP="00AF463C">
      <w:pPr>
        <w:pStyle w:val="Heading7"/>
      </w:pPr>
      <w:r w:rsidRPr="00E720A5">
        <w:t xml:space="preserve">Study </w:t>
      </w:r>
      <w:r w:rsidRPr="00AF463C">
        <w:t>3065A1</w:t>
      </w:r>
      <w:r w:rsidRPr="00E720A5">
        <w:t>-109</w:t>
      </w:r>
    </w:p>
    <w:p w:rsidR="00E01C05" w:rsidRPr="00EC2D9D" w:rsidRDefault="00E01C05" w:rsidP="00AF463C">
      <w:r w:rsidRPr="00EC2D9D">
        <w:t xml:space="preserve">In a separate Phase I study (3065A1-109) in healthy subjects, </w:t>
      </w:r>
      <w:proofErr w:type="spellStart"/>
      <w:r w:rsidRPr="00EC2D9D">
        <w:t>retigabine</w:t>
      </w:r>
      <w:proofErr w:type="spellEnd"/>
      <w:r w:rsidRPr="00EC2D9D">
        <w:t xml:space="preserve"> 300 mg BID resulted in an 18% decrease in exposure to </w:t>
      </w:r>
      <w:proofErr w:type="spellStart"/>
      <w:r w:rsidRPr="00EC2D9D">
        <w:t>lamotrigine</w:t>
      </w:r>
      <w:proofErr w:type="spellEnd"/>
      <w:r w:rsidRPr="00EC2D9D">
        <w:t xml:space="preserve">, in line with the Phase III observations. This minor pharmacokinetic effect would be expected to be swamped by additive or synergistic </w:t>
      </w:r>
      <w:proofErr w:type="spellStart"/>
      <w:r w:rsidRPr="00EC2D9D">
        <w:t>pharmacodynamic</w:t>
      </w:r>
      <w:proofErr w:type="spellEnd"/>
      <w:r w:rsidRPr="00EC2D9D">
        <w:t xml:space="preserve"> effects, which might lead to increased efficacy of the combination or increased side effects, or both. These </w:t>
      </w:r>
      <w:proofErr w:type="spellStart"/>
      <w:r w:rsidRPr="00EC2D9D">
        <w:t>pharmacodynamic</w:t>
      </w:r>
      <w:proofErr w:type="spellEnd"/>
      <w:r w:rsidRPr="00EC2D9D">
        <w:t xml:space="preserve"> interactions would require careful titration of both drugs even in the absence of any PK interaction, as is the case for all AED combinations, so the minor reduction in </w:t>
      </w:r>
      <w:proofErr w:type="spellStart"/>
      <w:r w:rsidRPr="00EC2D9D">
        <w:t>lamotrigine</w:t>
      </w:r>
      <w:proofErr w:type="spellEnd"/>
      <w:r w:rsidRPr="00EC2D9D">
        <w:t xml:space="preserve"> exposure does not require specific dose adjustment.</w:t>
      </w:r>
    </w:p>
    <w:p w:rsidR="00E01C05" w:rsidRPr="00EE75A7" w:rsidRDefault="00E01C05" w:rsidP="00AF463C">
      <w:pPr>
        <w:pStyle w:val="Heading7"/>
      </w:pPr>
      <w:r w:rsidRPr="00EE75A7">
        <w:t xml:space="preserve">Oral </w:t>
      </w:r>
      <w:r w:rsidRPr="00AF463C">
        <w:t>contraceptives</w:t>
      </w:r>
    </w:p>
    <w:p w:rsidR="00E01C05" w:rsidRPr="00EC2D9D" w:rsidRDefault="00E01C05" w:rsidP="00AF463C">
      <w:r w:rsidRPr="00EC2D9D">
        <w:t xml:space="preserve">In Study 3065A1-112, interactions between </w:t>
      </w:r>
      <w:proofErr w:type="spellStart"/>
      <w:r w:rsidRPr="00EC2D9D">
        <w:t>retigabine</w:t>
      </w:r>
      <w:proofErr w:type="spellEnd"/>
      <w:r w:rsidRPr="00EC2D9D">
        <w:t xml:space="preserve"> and the PK of </w:t>
      </w:r>
      <w:proofErr w:type="spellStart"/>
      <w:r w:rsidRPr="00EC2D9D">
        <w:t>norgestrel</w:t>
      </w:r>
      <w:proofErr w:type="spellEnd"/>
      <w:r w:rsidRPr="00EC2D9D">
        <w:t xml:space="preserve"> and </w:t>
      </w:r>
      <w:proofErr w:type="spellStart"/>
      <w:r w:rsidRPr="00EC2D9D">
        <w:t>ethinyl</w:t>
      </w:r>
      <w:proofErr w:type="spellEnd"/>
      <w:r w:rsidRPr="00EC2D9D">
        <w:t xml:space="preserve"> oestradiol were assessed. No significant differences were observed during </w:t>
      </w:r>
      <w:proofErr w:type="spellStart"/>
      <w:r w:rsidRPr="00EC2D9D">
        <w:t>coadministration</w:t>
      </w:r>
      <w:proofErr w:type="spellEnd"/>
      <w:r w:rsidRPr="00EC2D9D">
        <w:t xml:space="preserve">, but the doses of </w:t>
      </w:r>
      <w:proofErr w:type="spellStart"/>
      <w:r w:rsidRPr="00EC2D9D">
        <w:t>retigabine</w:t>
      </w:r>
      <w:proofErr w:type="spellEnd"/>
      <w:r w:rsidRPr="00EC2D9D">
        <w:t xml:space="preserve"> assessed in this study (450</w:t>
      </w:r>
      <w:r w:rsidR="00A2189B">
        <w:t xml:space="preserve"> </w:t>
      </w:r>
      <w:r w:rsidRPr="00EC2D9D">
        <w:t xml:space="preserve">mg/d) were lower than those proposed in the PI (600-1200mg/d) and the period </w:t>
      </w:r>
      <w:proofErr w:type="spellStart"/>
      <w:r w:rsidRPr="00EC2D9D">
        <w:t>retigabine</w:t>
      </w:r>
      <w:proofErr w:type="spellEnd"/>
      <w:r w:rsidRPr="00EC2D9D">
        <w:t xml:space="preserve"> dosing (4 days) was far too short to assess the possibility of delayed effects including enzyme induction. Persistence of efficacy of oral contraceptives during </w:t>
      </w:r>
      <w:proofErr w:type="spellStart"/>
      <w:r w:rsidRPr="00EC2D9D">
        <w:t>retigabine</w:t>
      </w:r>
      <w:proofErr w:type="spellEnd"/>
      <w:r w:rsidRPr="00EC2D9D">
        <w:t xml:space="preserve"> treatment seems likely, but has not been satisfactorily proven.</w:t>
      </w:r>
      <w:r w:rsidR="00715A2B">
        <w:rPr>
          <w:rStyle w:val="FootnoteReference"/>
        </w:rPr>
        <w:footnoteReference w:id="3"/>
      </w:r>
    </w:p>
    <w:p w:rsidR="00E01C05" w:rsidRPr="0036648C" w:rsidRDefault="00E01C05" w:rsidP="00AF463C">
      <w:pPr>
        <w:pStyle w:val="Heading6"/>
      </w:pPr>
      <w:r w:rsidRPr="0036648C">
        <w:t xml:space="preserve">Effects of other drugs on </w:t>
      </w:r>
      <w:proofErr w:type="spellStart"/>
      <w:r w:rsidRPr="00AF463C">
        <w:t>retigabine</w:t>
      </w:r>
      <w:proofErr w:type="spellEnd"/>
      <w:r>
        <w:t xml:space="preserve"> pharmacokinetics</w:t>
      </w:r>
    </w:p>
    <w:p w:rsidR="00E01C05" w:rsidRPr="00C358DD" w:rsidRDefault="00E01C05" w:rsidP="00AF463C">
      <w:pPr>
        <w:pStyle w:val="Heading7"/>
      </w:pPr>
      <w:r w:rsidRPr="00C358DD">
        <w:t xml:space="preserve">Inducers of </w:t>
      </w:r>
      <w:proofErr w:type="spellStart"/>
      <w:r w:rsidRPr="00AF463C">
        <w:t>Glucuronidation</w:t>
      </w:r>
      <w:proofErr w:type="spellEnd"/>
    </w:p>
    <w:p w:rsidR="00E01C05" w:rsidRPr="00EC2D9D" w:rsidRDefault="00E01C05" w:rsidP="00AF463C">
      <w:r w:rsidRPr="00EC2D9D">
        <w:t xml:space="preserve">Study 3065A1-113, conducted in healthy volunteers (n=15), showed no effect of </w:t>
      </w:r>
      <w:proofErr w:type="spellStart"/>
      <w:r w:rsidRPr="00EC2D9D">
        <w:t>phenobarbital</w:t>
      </w:r>
      <w:proofErr w:type="spellEnd"/>
      <w:r w:rsidRPr="00EC2D9D">
        <w:t xml:space="preserve"> (90 mg once daily) on the PK of </w:t>
      </w:r>
      <w:proofErr w:type="spellStart"/>
      <w:r w:rsidRPr="00EC2D9D">
        <w:t>retigabine</w:t>
      </w:r>
      <w:proofErr w:type="spellEnd"/>
      <w:r w:rsidRPr="00EC2D9D">
        <w:t xml:space="preserve"> (200mg TID), but the </w:t>
      </w:r>
      <w:proofErr w:type="spellStart"/>
      <w:r w:rsidRPr="00EC2D9D">
        <w:t>phenobarbital</w:t>
      </w:r>
      <w:proofErr w:type="spellEnd"/>
      <w:r w:rsidRPr="00EC2D9D">
        <w:t xml:space="preserve"> dose was near the lower end of recommended dose range.</w:t>
      </w:r>
    </w:p>
    <w:p w:rsidR="00E01C05" w:rsidRPr="00EC2D9D" w:rsidRDefault="00E01C05" w:rsidP="00AF463C">
      <w:r w:rsidRPr="00EC2D9D">
        <w:t xml:space="preserve">Study 3065A1-202 assessed the impact of the enzyme-inducing AEDs, </w:t>
      </w:r>
      <w:proofErr w:type="spellStart"/>
      <w:r w:rsidRPr="00EC2D9D">
        <w:t>phenytoin</w:t>
      </w:r>
      <w:proofErr w:type="spellEnd"/>
      <w:r w:rsidRPr="00EC2D9D">
        <w:t xml:space="preserve"> and </w:t>
      </w:r>
      <w:proofErr w:type="spellStart"/>
      <w:r w:rsidRPr="00EC2D9D">
        <w:t>carbamezepine</w:t>
      </w:r>
      <w:proofErr w:type="spellEnd"/>
      <w:r w:rsidRPr="00EC2D9D">
        <w:t xml:space="preserve">, on the clearance of </w:t>
      </w:r>
      <w:proofErr w:type="spellStart"/>
      <w:r w:rsidRPr="00EC2D9D">
        <w:t>retigabine</w:t>
      </w:r>
      <w:proofErr w:type="spellEnd"/>
      <w:r w:rsidRPr="00EC2D9D">
        <w:t xml:space="preserve"> (n=8 for </w:t>
      </w:r>
      <w:proofErr w:type="spellStart"/>
      <w:r w:rsidRPr="00EC2D9D">
        <w:t>carbamazepine</w:t>
      </w:r>
      <w:proofErr w:type="spellEnd"/>
      <w:r w:rsidRPr="00EC2D9D">
        <w:t xml:space="preserve"> and n=9 for </w:t>
      </w:r>
      <w:proofErr w:type="spellStart"/>
      <w:r w:rsidRPr="00EC2D9D">
        <w:t>phenytoin</w:t>
      </w:r>
      <w:proofErr w:type="spellEnd"/>
      <w:r w:rsidRPr="00EC2D9D">
        <w:t xml:space="preserve">). Co-administration of </w:t>
      </w:r>
      <w:proofErr w:type="spellStart"/>
      <w:r w:rsidRPr="00EC2D9D">
        <w:t>carbamezepine</w:t>
      </w:r>
      <w:proofErr w:type="spellEnd"/>
      <w:r w:rsidRPr="00EC2D9D">
        <w:t xml:space="preserve"> (600-2400 mg/d) and </w:t>
      </w:r>
      <w:proofErr w:type="spellStart"/>
      <w:r w:rsidRPr="00EC2D9D">
        <w:t>phenytoin</w:t>
      </w:r>
      <w:proofErr w:type="spellEnd"/>
      <w:r w:rsidRPr="00EC2D9D">
        <w:t xml:space="preserve"> (120 - 600 mg/d) with </w:t>
      </w:r>
      <w:proofErr w:type="spellStart"/>
      <w:r w:rsidRPr="00EC2D9D">
        <w:t>retigabine</w:t>
      </w:r>
      <w:proofErr w:type="spellEnd"/>
      <w:r w:rsidRPr="00EC2D9D">
        <w:t xml:space="preserve"> increased clearance of oral </w:t>
      </w:r>
      <w:proofErr w:type="spellStart"/>
      <w:r w:rsidRPr="00EC2D9D">
        <w:t>retigabine</w:t>
      </w:r>
      <w:proofErr w:type="spellEnd"/>
      <w:r w:rsidRPr="00EC2D9D">
        <w:t xml:space="preserve"> by approximately 27% and 36%, respectively. The sponsor calculates that this implies a mean reduction of systemic exposure to </w:t>
      </w:r>
      <w:proofErr w:type="spellStart"/>
      <w:r w:rsidRPr="00EC2D9D">
        <w:t>retigabine</w:t>
      </w:r>
      <w:proofErr w:type="spellEnd"/>
      <w:r w:rsidRPr="00EC2D9D">
        <w:t xml:space="preserve"> by </w:t>
      </w:r>
      <w:r w:rsidRPr="00EC2D9D">
        <w:lastRenderedPageBreak/>
        <w:t xml:space="preserve">approximately 21% and 26% for </w:t>
      </w:r>
      <w:proofErr w:type="spellStart"/>
      <w:r w:rsidRPr="00EC2D9D">
        <w:t>carbamazepine</w:t>
      </w:r>
      <w:proofErr w:type="spellEnd"/>
      <w:r w:rsidRPr="00EC2D9D">
        <w:t xml:space="preserve"> and </w:t>
      </w:r>
      <w:proofErr w:type="spellStart"/>
      <w:r w:rsidRPr="00EC2D9D">
        <w:t>phenytoin</w:t>
      </w:r>
      <w:proofErr w:type="spellEnd"/>
      <w:r w:rsidRPr="00EC2D9D">
        <w:t xml:space="preserve"> respectively. These findings were significant by ANOVA, despite the small sample size.</w:t>
      </w:r>
    </w:p>
    <w:p w:rsidR="00E01C05" w:rsidRPr="00EC2D9D" w:rsidRDefault="00E01C05" w:rsidP="00AF463C">
      <w:r w:rsidRPr="00EC2D9D">
        <w:t xml:space="preserve">For the population pharmacokinetic analysis, all available data from the Phase I, II and III clinical studies were pooled. The impact of individual enzyme-inducing AEDs (EIAEDs) on the PK or </w:t>
      </w:r>
      <w:proofErr w:type="spellStart"/>
      <w:r w:rsidRPr="00EC2D9D">
        <w:t>retigabine</w:t>
      </w:r>
      <w:proofErr w:type="spellEnd"/>
      <w:r w:rsidRPr="00EC2D9D">
        <w:t xml:space="preserve"> was evaluated as part of the covariate analysis. This analysis had a much larger sample size than the Phase I interaction studies described above (</w:t>
      </w:r>
      <w:proofErr w:type="spellStart"/>
      <w:r w:rsidRPr="00EC2D9D">
        <w:t>carbamazepine</w:t>
      </w:r>
      <w:proofErr w:type="spellEnd"/>
      <w:r w:rsidRPr="00EC2D9D">
        <w:t xml:space="preserve">, n=496; </w:t>
      </w:r>
      <w:proofErr w:type="spellStart"/>
      <w:r w:rsidRPr="00EC2D9D">
        <w:t>phenytoin</w:t>
      </w:r>
      <w:proofErr w:type="spellEnd"/>
      <w:r w:rsidRPr="00EC2D9D">
        <w:t xml:space="preserve">, n=177; </w:t>
      </w:r>
      <w:proofErr w:type="spellStart"/>
      <w:r w:rsidRPr="00EC2D9D">
        <w:t>phenobarbital</w:t>
      </w:r>
      <w:proofErr w:type="spellEnd"/>
      <w:r w:rsidRPr="00EC2D9D">
        <w:t xml:space="preserve">, n=109), but the analysis was indirect and subjects were on multiple drugs. In this analysis, there was no evidence that subjects already taking the enzyme-inducing AEDs </w:t>
      </w:r>
      <w:proofErr w:type="spellStart"/>
      <w:r w:rsidRPr="00EC2D9D">
        <w:t>carbamezepine</w:t>
      </w:r>
      <w:proofErr w:type="spellEnd"/>
      <w:r w:rsidRPr="00EC2D9D">
        <w:t xml:space="preserve">, </w:t>
      </w:r>
      <w:proofErr w:type="spellStart"/>
      <w:r w:rsidRPr="00EC2D9D">
        <w:t>phenytoin</w:t>
      </w:r>
      <w:proofErr w:type="spellEnd"/>
      <w:r w:rsidRPr="00EC2D9D">
        <w:t xml:space="preserve"> or </w:t>
      </w:r>
      <w:proofErr w:type="spellStart"/>
      <w:r w:rsidRPr="00EC2D9D">
        <w:t>phenobarbital</w:t>
      </w:r>
      <w:proofErr w:type="spellEnd"/>
      <w:r w:rsidRPr="00EC2D9D">
        <w:t xml:space="preserve"> had significantly altered clearance of </w:t>
      </w:r>
      <w:proofErr w:type="spellStart"/>
      <w:r w:rsidRPr="00EC2D9D">
        <w:t>retigabine</w:t>
      </w:r>
      <w:proofErr w:type="spellEnd"/>
      <w:r w:rsidRPr="00EC2D9D">
        <w:t xml:space="preserve"> compared to subjects not taking the respective EIAED, but the effect could have been diluted by </w:t>
      </w:r>
      <w:proofErr w:type="spellStart"/>
      <w:r w:rsidRPr="00EC2D9D">
        <w:t>intersubject</w:t>
      </w:r>
      <w:proofErr w:type="spellEnd"/>
      <w:r w:rsidRPr="00EC2D9D">
        <w:t xml:space="preserve"> variability. A post-hoc covariate analysis showed that subjects who were taking an “enzyme-inducing combination” of EIAEDs did not have significantly different clearance of </w:t>
      </w:r>
      <w:proofErr w:type="spellStart"/>
      <w:r w:rsidRPr="00EC2D9D">
        <w:t>retigabine</w:t>
      </w:r>
      <w:proofErr w:type="spellEnd"/>
      <w:r w:rsidRPr="00EC2D9D">
        <w:t xml:space="preserve">. The limitations of this indirect analysis do not overturn the findings of Study 3065A1-202, which did show a significant reduction in </w:t>
      </w:r>
      <w:proofErr w:type="spellStart"/>
      <w:r w:rsidRPr="00EC2D9D">
        <w:t>retigabine</w:t>
      </w:r>
      <w:proofErr w:type="spellEnd"/>
      <w:r w:rsidRPr="00EC2D9D">
        <w:t xml:space="preserve"> exposure when combined with enzyme-inducers, but the effect of enzyme-inducing agents seems to be minor. Patients on multiple agents with potentially synergistic </w:t>
      </w:r>
      <w:proofErr w:type="spellStart"/>
      <w:r w:rsidRPr="00EC2D9D">
        <w:t>pharmacodynamic</w:t>
      </w:r>
      <w:proofErr w:type="spellEnd"/>
      <w:r w:rsidRPr="00EC2D9D">
        <w:t xml:space="preserve"> effects will need their doses individually titrated anyway.</w:t>
      </w:r>
    </w:p>
    <w:p w:rsidR="00E01C05" w:rsidRPr="00C358DD" w:rsidRDefault="00E01C05" w:rsidP="00AF463C">
      <w:pPr>
        <w:pStyle w:val="Heading7"/>
      </w:pPr>
      <w:r w:rsidRPr="00C358DD">
        <w:t xml:space="preserve">Inhibitors of </w:t>
      </w:r>
      <w:proofErr w:type="spellStart"/>
      <w:r w:rsidRPr="00AF463C">
        <w:t>Glucuronidation</w:t>
      </w:r>
      <w:proofErr w:type="spellEnd"/>
    </w:p>
    <w:p w:rsidR="00E01C05" w:rsidRPr="00865079" w:rsidRDefault="00E01C05" w:rsidP="00AF463C">
      <w:r w:rsidRPr="00865079">
        <w:t xml:space="preserve">In the population PK analysis there was no significant effects of </w:t>
      </w:r>
      <w:proofErr w:type="spellStart"/>
      <w:r w:rsidRPr="00865079">
        <w:t>valproate</w:t>
      </w:r>
      <w:proofErr w:type="spellEnd"/>
      <w:r w:rsidRPr="00865079">
        <w:t xml:space="preserve"> (n=252) on the pharmacokinetics of </w:t>
      </w:r>
      <w:proofErr w:type="spellStart"/>
      <w:r w:rsidRPr="00865079">
        <w:t>retigabine</w:t>
      </w:r>
      <w:proofErr w:type="spellEnd"/>
      <w:r w:rsidRPr="00865079">
        <w:t xml:space="preserve">, as studied with covariate analysis, but patients were taking multiple AEDs that could have confounded the analysis. No Phase I study adequately assessed the impact of </w:t>
      </w:r>
      <w:proofErr w:type="spellStart"/>
      <w:r w:rsidRPr="00865079">
        <w:t>valproate</w:t>
      </w:r>
      <w:proofErr w:type="spellEnd"/>
      <w:r w:rsidRPr="00865079">
        <w:t>.</w:t>
      </w:r>
    </w:p>
    <w:p w:rsidR="00E01C05" w:rsidRPr="0036648C" w:rsidRDefault="00E01C05" w:rsidP="00AF463C">
      <w:pPr>
        <w:pStyle w:val="Heading7"/>
      </w:pPr>
      <w:r w:rsidRPr="0036648C">
        <w:t xml:space="preserve">Substrates of </w:t>
      </w:r>
      <w:proofErr w:type="spellStart"/>
      <w:r w:rsidRPr="00AF463C">
        <w:t>Glucuronidation</w:t>
      </w:r>
      <w:proofErr w:type="spellEnd"/>
    </w:p>
    <w:p w:rsidR="00E01C05" w:rsidRPr="00EC2D9D" w:rsidRDefault="00E01C05" w:rsidP="00AF463C">
      <w:r w:rsidRPr="00EC2D9D">
        <w:t xml:space="preserve">In Study 3065A1-109, co-administration of </w:t>
      </w:r>
      <w:proofErr w:type="spellStart"/>
      <w:r w:rsidRPr="00EC2D9D">
        <w:t>lamotrigine</w:t>
      </w:r>
      <w:proofErr w:type="spellEnd"/>
      <w:r w:rsidRPr="00EC2D9D">
        <w:t xml:space="preserve"> (25 mg once daily) with </w:t>
      </w:r>
      <w:proofErr w:type="spellStart"/>
      <w:r w:rsidRPr="00EC2D9D">
        <w:t>retigabine</w:t>
      </w:r>
      <w:proofErr w:type="spellEnd"/>
      <w:r w:rsidRPr="00EC2D9D">
        <w:t xml:space="preserve"> (200 mg single dose) to healthy subjects resulted in a 15% increase in </w:t>
      </w:r>
      <w:proofErr w:type="spellStart"/>
      <w:r w:rsidRPr="00EC2D9D">
        <w:t>retigabine</w:t>
      </w:r>
      <w:proofErr w:type="spellEnd"/>
      <w:r w:rsidRPr="00EC2D9D">
        <w:t xml:space="preserve"> AUC, which is of minor clinical significance. This dose of </w:t>
      </w:r>
      <w:proofErr w:type="spellStart"/>
      <w:r w:rsidRPr="00EC2D9D">
        <w:t>lamotrigine</w:t>
      </w:r>
      <w:proofErr w:type="spellEnd"/>
      <w:r w:rsidRPr="00EC2D9D">
        <w:t xml:space="preserve"> is much lower than that used in clinical practice (50mg BID to 200mg BID), so no conclusions can be drawn about the potential for standard </w:t>
      </w:r>
      <w:proofErr w:type="spellStart"/>
      <w:r w:rsidRPr="00EC2D9D">
        <w:t>lamotrigine</w:t>
      </w:r>
      <w:proofErr w:type="spellEnd"/>
      <w:r w:rsidRPr="00EC2D9D">
        <w:t xml:space="preserve"> doses to modify </w:t>
      </w:r>
      <w:proofErr w:type="spellStart"/>
      <w:r w:rsidRPr="00EC2D9D">
        <w:t>retigabine</w:t>
      </w:r>
      <w:proofErr w:type="spellEnd"/>
      <w:r w:rsidRPr="00EC2D9D">
        <w:t xml:space="preserve"> PK.</w:t>
      </w:r>
    </w:p>
    <w:p w:rsidR="00E01C05" w:rsidRPr="00EC2D9D" w:rsidRDefault="00E01C05" w:rsidP="00AF463C">
      <w:r w:rsidRPr="00EC2D9D">
        <w:t xml:space="preserve">In the population PK analysis, </w:t>
      </w:r>
      <w:proofErr w:type="spellStart"/>
      <w:r w:rsidRPr="00EC2D9D">
        <w:t>lamotrigine</w:t>
      </w:r>
      <w:proofErr w:type="spellEnd"/>
      <w:r w:rsidRPr="00EC2D9D">
        <w:t xml:space="preserve"> administration was associated with a 7% reduction in </w:t>
      </w:r>
      <w:proofErr w:type="spellStart"/>
      <w:r w:rsidRPr="00EC2D9D">
        <w:t>retigabine</w:t>
      </w:r>
      <w:proofErr w:type="spellEnd"/>
      <w:r w:rsidRPr="00EC2D9D">
        <w:t xml:space="preserve"> clearance (which would be expected to increase AUC in line with the Phase I study), but this is of minor clinical significance. Because patients were on multiple drugs, this evidence is indirect and the true potential for an interaction with </w:t>
      </w:r>
      <w:proofErr w:type="spellStart"/>
      <w:r w:rsidRPr="00EC2D9D">
        <w:t>lamotrigine</w:t>
      </w:r>
      <w:proofErr w:type="spellEnd"/>
      <w:r w:rsidRPr="00EC2D9D">
        <w:t xml:space="preserve"> remains unclear.</w:t>
      </w:r>
    </w:p>
    <w:p w:rsidR="00E01C05" w:rsidRPr="009300AD" w:rsidRDefault="00E01C05" w:rsidP="00AF463C">
      <w:pPr>
        <w:pStyle w:val="Heading5"/>
      </w:pPr>
      <w:bookmarkStart w:id="98" w:name="_Toc272414634"/>
      <w:bookmarkStart w:id="99" w:name="_Toc290846257"/>
      <w:bookmarkStart w:id="100" w:name="_Toc330196342"/>
      <w:r w:rsidRPr="009300AD">
        <w:t xml:space="preserve">Clinical </w:t>
      </w:r>
      <w:r w:rsidRPr="00AF463C">
        <w:t>implications</w:t>
      </w:r>
      <w:r w:rsidRPr="009300AD">
        <w:t xml:space="preserve"> of in vitro findings</w:t>
      </w:r>
      <w:bookmarkEnd w:id="98"/>
      <w:bookmarkEnd w:id="99"/>
      <w:bookmarkEnd w:id="100"/>
    </w:p>
    <w:p w:rsidR="00E01C05" w:rsidRPr="00E01C05" w:rsidRDefault="00E01C05" w:rsidP="00AF463C">
      <w:r w:rsidRPr="00E01C05">
        <w:t xml:space="preserve">According to the sponsor, </w:t>
      </w:r>
      <w:r w:rsidRPr="00126AAC">
        <w:rPr>
          <w:i/>
        </w:rPr>
        <w:t>in vitro</w:t>
      </w:r>
      <w:r w:rsidRPr="00E01C05">
        <w:t xml:space="preserve"> studies with human biomaterials have not indicated that </w:t>
      </w:r>
      <w:proofErr w:type="spellStart"/>
      <w:r w:rsidRPr="00E01C05">
        <w:t>retigabine</w:t>
      </w:r>
      <w:proofErr w:type="spellEnd"/>
      <w:r w:rsidRPr="00E01C05">
        <w:t xml:space="preserve"> is likely to have any significant interactions with other AEDs. Known hepatic enzyme inhibitors such as </w:t>
      </w:r>
      <w:proofErr w:type="spellStart"/>
      <w:r w:rsidRPr="00E01C05">
        <w:t>valproic</w:t>
      </w:r>
      <w:proofErr w:type="spellEnd"/>
      <w:r w:rsidRPr="00E01C05">
        <w:t xml:space="preserve"> acid did not inhibit </w:t>
      </w:r>
      <w:proofErr w:type="spellStart"/>
      <w:r w:rsidRPr="00E01C05">
        <w:t>retigabine</w:t>
      </w:r>
      <w:proofErr w:type="spellEnd"/>
      <w:r w:rsidRPr="00E01C05">
        <w:t xml:space="preserve"> </w:t>
      </w:r>
      <w:proofErr w:type="spellStart"/>
      <w:r w:rsidRPr="00E01C05">
        <w:t>glucuronidation</w:t>
      </w:r>
      <w:proofErr w:type="spellEnd"/>
      <w:r w:rsidRPr="00E01C05">
        <w:t xml:space="preserve"> at clinically-relevant concentrations. A review of this evidence is outside the scope of this report.</w:t>
      </w:r>
    </w:p>
    <w:p w:rsidR="00E01C05" w:rsidRPr="00E01C05" w:rsidRDefault="00E01C05" w:rsidP="00AF463C">
      <w:r w:rsidRPr="00E01C05">
        <w:t xml:space="preserve">The sponsor also reports that there is in vitro evidence that the N-acetyl metabolite of </w:t>
      </w:r>
      <w:proofErr w:type="spellStart"/>
      <w:r w:rsidRPr="00E01C05">
        <w:t>retigabine</w:t>
      </w:r>
      <w:proofErr w:type="spellEnd"/>
      <w:r w:rsidRPr="00E01C05">
        <w:t xml:space="preserve"> (NAMR) inhibits P-glycoprotein-mediated transport of </w:t>
      </w:r>
      <w:proofErr w:type="spellStart"/>
      <w:r w:rsidRPr="00E01C05">
        <w:t>digoxin</w:t>
      </w:r>
      <w:proofErr w:type="spellEnd"/>
      <w:r w:rsidRPr="00E01C05">
        <w:t xml:space="preserve">, so </w:t>
      </w:r>
      <w:proofErr w:type="spellStart"/>
      <w:r w:rsidRPr="00E01C05">
        <w:t>retigabine</w:t>
      </w:r>
      <w:proofErr w:type="spellEnd"/>
      <w:r w:rsidRPr="00E01C05">
        <w:t xml:space="preserve"> at therapeutic doses might increase </w:t>
      </w:r>
      <w:proofErr w:type="spellStart"/>
      <w:r w:rsidRPr="00E01C05">
        <w:t>digoxin</w:t>
      </w:r>
      <w:proofErr w:type="spellEnd"/>
      <w:r w:rsidRPr="00E01C05">
        <w:t xml:space="preserve"> serum concentrations. If </w:t>
      </w:r>
      <w:proofErr w:type="spellStart"/>
      <w:r w:rsidRPr="00E01C05">
        <w:t>retigabine</w:t>
      </w:r>
      <w:proofErr w:type="spellEnd"/>
      <w:r w:rsidRPr="00E01C05">
        <w:t xml:space="preserve"> were to be given to a subject taking </w:t>
      </w:r>
      <w:proofErr w:type="spellStart"/>
      <w:r w:rsidRPr="00E01C05">
        <w:t>digoxin</w:t>
      </w:r>
      <w:proofErr w:type="spellEnd"/>
      <w:r w:rsidRPr="00E01C05">
        <w:t xml:space="preserve">, it would be appropriate to monitor the </w:t>
      </w:r>
      <w:proofErr w:type="spellStart"/>
      <w:r w:rsidRPr="00E01C05">
        <w:t>digoxin</w:t>
      </w:r>
      <w:proofErr w:type="spellEnd"/>
      <w:r w:rsidRPr="00E01C05">
        <w:t xml:space="preserve"> levels and adjust the dose accordingly. Given the safety concerns raised in this evaluation, however, subjects on </w:t>
      </w:r>
      <w:proofErr w:type="spellStart"/>
      <w:r w:rsidRPr="00E01C05">
        <w:t>digoxin</w:t>
      </w:r>
      <w:proofErr w:type="spellEnd"/>
      <w:r w:rsidRPr="00E01C05">
        <w:t xml:space="preserve"> should not be given </w:t>
      </w:r>
      <w:proofErr w:type="spellStart"/>
      <w:r w:rsidRPr="00E01C05">
        <w:t>retigabine</w:t>
      </w:r>
      <w:proofErr w:type="spellEnd"/>
      <w:r w:rsidRPr="00E01C05">
        <w:t xml:space="preserve"> anyway, because the drug should be avoided in patients with heart disease.</w:t>
      </w:r>
    </w:p>
    <w:p w:rsidR="00E01C05" w:rsidRPr="00EC2D9D" w:rsidRDefault="00E01C05" w:rsidP="00AF463C">
      <w:pPr>
        <w:pStyle w:val="Heading3"/>
      </w:pPr>
      <w:bookmarkStart w:id="101" w:name="_Toc241374296"/>
      <w:bookmarkStart w:id="102" w:name="_Ref269982040"/>
      <w:bookmarkStart w:id="103" w:name="_Ref271018704"/>
      <w:bookmarkStart w:id="104" w:name="_Ref271018755"/>
      <w:bookmarkStart w:id="105" w:name="_Toc272414635"/>
      <w:bookmarkStart w:id="106" w:name="_Toc290846258"/>
      <w:bookmarkStart w:id="107" w:name="_Toc330196343"/>
      <w:bookmarkStart w:id="108" w:name="_Toc365636790"/>
      <w:r w:rsidRPr="00EC2D9D">
        <w:t xml:space="preserve">Evaluator’s overall </w:t>
      </w:r>
      <w:r w:rsidRPr="00AF463C">
        <w:t>conclusions</w:t>
      </w:r>
      <w:r w:rsidRPr="00EC2D9D">
        <w:t xml:space="preserve"> on pharmacokinetics</w:t>
      </w:r>
      <w:bookmarkEnd w:id="101"/>
      <w:bookmarkEnd w:id="102"/>
      <w:bookmarkEnd w:id="103"/>
      <w:bookmarkEnd w:id="104"/>
      <w:bookmarkEnd w:id="105"/>
      <w:bookmarkEnd w:id="106"/>
      <w:bookmarkEnd w:id="107"/>
      <w:bookmarkEnd w:id="108"/>
    </w:p>
    <w:p w:rsidR="00E01C05" w:rsidRPr="00E01C05" w:rsidRDefault="00E01C05" w:rsidP="00AF463C">
      <w:r w:rsidRPr="00E01C05">
        <w:t xml:space="preserve">The pharmacokinetics of </w:t>
      </w:r>
      <w:proofErr w:type="spellStart"/>
      <w:r w:rsidRPr="00E01C05">
        <w:t>retigabine</w:t>
      </w:r>
      <w:proofErr w:type="spellEnd"/>
      <w:r w:rsidRPr="00E01C05">
        <w:t xml:space="preserve"> have been satisfactorily characterised, and are well described in the proposed Product Information sheet. It has an oral bioavailability of ~60%, is </w:t>
      </w:r>
      <w:r w:rsidRPr="00E01C05">
        <w:lastRenderedPageBreak/>
        <w:t xml:space="preserve">metabolised to range of partially active metabolites in the liver, and is ultimately eliminated by the kidneys with a half life of 6-10 hours, making it necessary to administer in three divided doses per day. </w:t>
      </w:r>
    </w:p>
    <w:p w:rsidR="00E01C05" w:rsidRPr="00E01C05" w:rsidRDefault="00E01C05" w:rsidP="00AF463C">
      <w:r w:rsidRPr="00E01C05">
        <w:t xml:space="preserve">Consumption with food delays absorption and increases </w:t>
      </w:r>
      <w:proofErr w:type="spellStart"/>
      <w:r w:rsidRPr="00E01C05">
        <w:t>Cmax</w:t>
      </w:r>
      <w:proofErr w:type="spellEnd"/>
      <w:r w:rsidRPr="00E01C05">
        <w:t xml:space="preserve"> by ~38%. Clearance is significantly compromised in the setting of moderate to severe hepatic or renal impairment. Clearance is also proportional to body surface area. There is moderate variability between subjects, but gender, race and age do not make a significant difference to the PK of </w:t>
      </w:r>
      <w:proofErr w:type="spellStart"/>
      <w:r w:rsidRPr="00E01C05">
        <w:t>retigabine</w:t>
      </w:r>
      <w:proofErr w:type="spellEnd"/>
      <w:r w:rsidRPr="00E01C05">
        <w:t xml:space="preserve"> after accounting for body size. Pharmacokinetic interactions with other anticonvulsant drugs and the oral contraceptive pill appear minimal, but existing interaction studies are only partially adequate and did not use full therapeutic doses. </w:t>
      </w:r>
    </w:p>
    <w:p w:rsidR="00E01C05" w:rsidRPr="00E01C05" w:rsidRDefault="00E01C05" w:rsidP="00AF463C">
      <w:r w:rsidRPr="00E01C05">
        <w:t xml:space="preserve">There is </w:t>
      </w:r>
      <w:r w:rsidRPr="00E01C05">
        <w:rPr>
          <w:i/>
        </w:rPr>
        <w:t>in vitro</w:t>
      </w:r>
      <w:r w:rsidRPr="00E01C05">
        <w:t xml:space="preserve"> evidence that the N-acetyl metabolite of </w:t>
      </w:r>
      <w:proofErr w:type="spellStart"/>
      <w:r w:rsidRPr="00E01C05">
        <w:t>retigabine</w:t>
      </w:r>
      <w:proofErr w:type="spellEnd"/>
      <w:r w:rsidRPr="00E01C05">
        <w:t xml:space="preserve"> (NAMR) inhibits P-glycoprotein-mediated transport of </w:t>
      </w:r>
      <w:proofErr w:type="spellStart"/>
      <w:r w:rsidRPr="00E01C05">
        <w:t>digoxin</w:t>
      </w:r>
      <w:proofErr w:type="spellEnd"/>
      <w:r w:rsidRPr="00E01C05">
        <w:t xml:space="preserve">, so </w:t>
      </w:r>
      <w:proofErr w:type="spellStart"/>
      <w:r w:rsidRPr="00E01C05">
        <w:t>retigabine</w:t>
      </w:r>
      <w:proofErr w:type="spellEnd"/>
      <w:r w:rsidRPr="00E01C05">
        <w:t xml:space="preserve"> at therapeutic doses might increase </w:t>
      </w:r>
      <w:proofErr w:type="spellStart"/>
      <w:r w:rsidRPr="00E01C05">
        <w:t>digoxin</w:t>
      </w:r>
      <w:proofErr w:type="spellEnd"/>
      <w:r w:rsidRPr="00E01C05">
        <w:t xml:space="preserve"> serum concentrations. No clinical study has been performed to investigate this</w:t>
      </w:r>
      <w:r w:rsidR="00C37DD7">
        <w:t xml:space="preserve"> question</w:t>
      </w:r>
      <w:r w:rsidRPr="00E01C05">
        <w:t>.</w:t>
      </w:r>
    </w:p>
    <w:p w:rsidR="00586F98" w:rsidRDefault="00586F98" w:rsidP="00AF463C">
      <w:pPr>
        <w:pStyle w:val="Heading2"/>
      </w:pPr>
      <w:bookmarkStart w:id="109" w:name="_Toc365636791"/>
      <w:proofErr w:type="spellStart"/>
      <w:r w:rsidRPr="00AF463C">
        <w:t>Pharmacodynamics</w:t>
      </w:r>
      <w:bookmarkEnd w:id="109"/>
      <w:proofErr w:type="spellEnd"/>
    </w:p>
    <w:p w:rsidR="00F938A1" w:rsidRDefault="00F938A1" w:rsidP="00AF463C">
      <w:pPr>
        <w:pStyle w:val="Heading3"/>
      </w:pPr>
      <w:bookmarkStart w:id="110" w:name="_Ref269119989"/>
      <w:bookmarkStart w:id="111" w:name="_Toc272414639"/>
      <w:bookmarkStart w:id="112" w:name="_Toc290846261"/>
      <w:bookmarkStart w:id="113" w:name="_Toc330196347"/>
      <w:bookmarkStart w:id="114" w:name="_Toc365636792"/>
      <w:r>
        <w:t xml:space="preserve">Summary of </w:t>
      </w:r>
      <w:proofErr w:type="spellStart"/>
      <w:r w:rsidRPr="00AF463C">
        <w:t>pharmacodynamics</w:t>
      </w:r>
      <w:bookmarkEnd w:id="110"/>
      <w:bookmarkEnd w:id="111"/>
      <w:bookmarkEnd w:id="112"/>
      <w:bookmarkEnd w:id="113"/>
      <w:bookmarkEnd w:id="114"/>
      <w:proofErr w:type="spellEnd"/>
    </w:p>
    <w:p w:rsidR="00F938A1" w:rsidRPr="00F938A1" w:rsidRDefault="00F938A1" w:rsidP="00AF463C">
      <w:r w:rsidRPr="00F938A1">
        <w:t xml:space="preserve">No clinical studies were submitted that explored the primary pharmacology of </w:t>
      </w:r>
      <w:proofErr w:type="spellStart"/>
      <w:r w:rsidRPr="00F938A1">
        <w:t>retigabine</w:t>
      </w:r>
      <w:proofErr w:type="spellEnd"/>
      <w:r w:rsidRPr="00F938A1">
        <w:t xml:space="preserve">, because of the lack of any suitable (ethical) human seizure model. The anticonvulsant effects of </w:t>
      </w:r>
      <w:proofErr w:type="spellStart"/>
      <w:r w:rsidRPr="00F938A1">
        <w:t>retigabine</w:t>
      </w:r>
      <w:proofErr w:type="spellEnd"/>
      <w:r w:rsidRPr="00F938A1">
        <w:t xml:space="preserve"> can only be inferred from the seizure frequency observed in efficacy studies.</w:t>
      </w:r>
    </w:p>
    <w:p w:rsidR="00F938A1" w:rsidRPr="00F938A1" w:rsidRDefault="00F938A1" w:rsidP="00AF463C">
      <w:pPr>
        <w:pStyle w:val="Heading4"/>
      </w:pPr>
      <w:bookmarkStart w:id="115" w:name="_Toc241374299"/>
      <w:bookmarkStart w:id="116" w:name="_Toc272414640"/>
      <w:bookmarkStart w:id="117" w:name="_Toc290846262"/>
      <w:bookmarkStart w:id="118" w:name="_Toc330196348"/>
      <w:r w:rsidRPr="00F938A1">
        <w:t xml:space="preserve">Mechanism of </w:t>
      </w:r>
      <w:r w:rsidRPr="00AF463C">
        <w:t>action</w:t>
      </w:r>
      <w:bookmarkEnd w:id="115"/>
      <w:bookmarkEnd w:id="116"/>
      <w:bookmarkEnd w:id="117"/>
      <w:bookmarkEnd w:id="118"/>
    </w:p>
    <w:p w:rsidR="00F938A1" w:rsidRPr="00F938A1" w:rsidRDefault="00F938A1" w:rsidP="00AF463C">
      <w:proofErr w:type="spellStart"/>
      <w:r w:rsidRPr="00F938A1">
        <w:t>Retigabine</w:t>
      </w:r>
      <w:proofErr w:type="spellEnd"/>
      <w:r w:rsidRPr="00F938A1">
        <w:t xml:space="preserve"> enhances the potassium (K+) current mediated by the Kv7 subfamily of voltage-gated potassium (KCNQ) channels, predominantly KCNQ2 and KCNQ3, but also KCNQ4 and KCNQ5. This is expected to reduce the excitability of neurons.</w:t>
      </w:r>
    </w:p>
    <w:p w:rsidR="00F938A1" w:rsidRPr="007E17C3" w:rsidRDefault="00F938A1" w:rsidP="00AF463C">
      <w:pPr>
        <w:pStyle w:val="Heading4"/>
      </w:pPr>
      <w:bookmarkStart w:id="119" w:name="_Toc241374300"/>
      <w:bookmarkStart w:id="120" w:name="_Toc272414641"/>
      <w:bookmarkStart w:id="121" w:name="_Toc290846263"/>
      <w:bookmarkStart w:id="122" w:name="_Toc330196349"/>
      <w:proofErr w:type="spellStart"/>
      <w:r w:rsidRPr="00AF463C">
        <w:t>Pharmacodynamic</w:t>
      </w:r>
      <w:proofErr w:type="spellEnd"/>
      <w:r w:rsidRPr="007E17C3">
        <w:t xml:space="preserve"> effects</w:t>
      </w:r>
      <w:bookmarkEnd w:id="119"/>
      <w:bookmarkEnd w:id="120"/>
      <w:bookmarkEnd w:id="121"/>
      <w:bookmarkEnd w:id="122"/>
    </w:p>
    <w:p w:rsidR="00F938A1" w:rsidRPr="007E17C3" w:rsidRDefault="00F938A1" w:rsidP="00AF463C">
      <w:pPr>
        <w:pStyle w:val="Heading5"/>
      </w:pPr>
      <w:bookmarkStart w:id="123" w:name="_Toc272414642"/>
      <w:bookmarkStart w:id="124" w:name="_Toc290846264"/>
      <w:bookmarkStart w:id="125" w:name="_Toc330196350"/>
      <w:r w:rsidRPr="007E17C3">
        <w:t xml:space="preserve">Primary </w:t>
      </w:r>
      <w:proofErr w:type="spellStart"/>
      <w:r w:rsidRPr="00AF463C">
        <w:t>pharmacodynamic</w:t>
      </w:r>
      <w:proofErr w:type="spellEnd"/>
      <w:r w:rsidRPr="007E17C3">
        <w:t xml:space="preserve"> effects</w:t>
      </w:r>
      <w:bookmarkEnd w:id="123"/>
      <w:bookmarkEnd w:id="124"/>
      <w:bookmarkEnd w:id="125"/>
    </w:p>
    <w:p w:rsidR="00F938A1" w:rsidRPr="007E17C3" w:rsidRDefault="00F938A1" w:rsidP="00AF463C">
      <w:r w:rsidRPr="007E17C3">
        <w:t>No relevant data were submitted.</w:t>
      </w:r>
    </w:p>
    <w:p w:rsidR="00F938A1" w:rsidRPr="007E17C3" w:rsidRDefault="00F938A1" w:rsidP="00AF463C">
      <w:pPr>
        <w:pStyle w:val="Heading5"/>
      </w:pPr>
      <w:bookmarkStart w:id="126" w:name="_Toc272414643"/>
      <w:bookmarkStart w:id="127" w:name="_Toc290846265"/>
      <w:bookmarkStart w:id="128" w:name="_Toc330196351"/>
      <w:r w:rsidRPr="007E17C3">
        <w:t xml:space="preserve">Secondary </w:t>
      </w:r>
      <w:proofErr w:type="spellStart"/>
      <w:r w:rsidRPr="00AF463C">
        <w:t>pharmacodynamic</w:t>
      </w:r>
      <w:proofErr w:type="spellEnd"/>
      <w:r w:rsidRPr="007E17C3">
        <w:t xml:space="preserve"> effects</w:t>
      </w:r>
      <w:bookmarkEnd w:id="126"/>
      <w:bookmarkEnd w:id="127"/>
      <w:bookmarkEnd w:id="128"/>
    </w:p>
    <w:p w:rsidR="00F938A1" w:rsidRPr="00F938A1" w:rsidRDefault="00F938A1" w:rsidP="00AF463C">
      <w:proofErr w:type="spellStart"/>
      <w:r w:rsidRPr="00F938A1">
        <w:t>Pharmacodynamic</w:t>
      </w:r>
      <w:proofErr w:type="spellEnd"/>
      <w:r w:rsidRPr="00F938A1">
        <w:t xml:space="preserve"> studies were restricted to exp</w:t>
      </w:r>
      <w:r>
        <w:t xml:space="preserve">loring safety-related secondary </w:t>
      </w:r>
      <w:proofErr w:type="spellStart"/>
      <w:r w:rsidRPr="00F938A1">
        <w:t>pharmacodynamic</w:t>
      </w:r>
      <w:proofErr w:type="spellEnd"/>
      <w:r w:rsidRPr="00F938A1">
        <w:t xml:space="preserve"> effects: Study VRX-RET-E22-103 explored the effect of </w:t>
      </w:r>
      <w:proofErr w:type="spellStart"/>
      <w:r w:rsidRPr="00F938A1">
        <w:t>retigabine</w:t>
      </w:r>
      <w:proofErr w:type="spellEnd"/>
      <w:r w:rsidRPr="00F938A1">
        <w:t xml:space="preserve"> on the QT interval of the </w:t>
      </w:r>
      <w:r>
        <w:t>ECG</w:t>
      </w:r>
      <w:r w:rsidRPr="00F938A1">
        <w:t xml:space="preserve">, and Study VRX-RET-E22-108 explored the abuse potential of </w:t>
      </w:r>
      <w:proofErr w:type="spellStart"/>
      <w:r w:rsidRPr="00F938A1">
        <w:t>retigabine</w:t>
      </w:r>
      <w:proofErr w:type="spellEnd"/>
      <w:r w:rsidRPr="00F938A1">
        <w:t xml:space="preserve">. A third study listed as a </w:t>
      </w:r>
      <w:proofErr w:type="spellStart"/>
      <w:r w:rsidRPr="00F938A1">
        <w:t>pharmacodynamic</w:t>
      </w:r>
      <w:proofErr w:type="spellEnd"/>
      <w:r w:rsidRPr="00F938A1">
        <w:t xml:space="preserve"> study (RTG114137, not discussed in this report) was merely a quality-control study confirming that handling of urine specimens had not interfered with urinalysis.</w:t>
      </w:r>
      <w:r w:rsidR="005A247E">
        <w:rPr>
          <w:rStyle w:val="FootnoteReference"/>
        </w:rPr>
        <w:footnoteReference w:id="4"/>
      </w:r>
    </w:p>
    <w:p w:rsidR="00F938A1" w:rsidRPr="00F938A1" w:rsidRDefault="00F938A1" w:rsidP="00AF463C">
      <w:r w:rsidRPr="00F938A1">
        <w:t xml:space="preserve">The ECG study VRX-RET-E22-103 confirmed that </w:t>
      </w:r>
      <w:proofErr w:type="spellStart"/>
      <w:r w:rsidRPr="00F938A1">
        <w:t>retigabine</w:t>
      </w:r>
      <w:proofErr w:type="spellEnd"/>
      <w:r w:rsidRPr="00F938A1">
        <w:t xml:space="preserve"> has a very mild effect on the QT interval at doses up to 400mg TID. </w:t>
      </w:r>
    </w:p>
    <w:p w:rsidR="00F938A1" w:rsidRDefault="00F938A1" w:rsidP="00F938A1">
      <w:r w:rsidRPr="00F938A1">
        <w:t xml:space="preserve">The abuse potential study VRX-RET-E22-108 was inconclusive. It showed that recreational drug users, who were selected on the basis that they liked sedative drugs, identified some likeable sedation when treated with </w:t>
      </w:r>
      <w:proofErr w:type="spellStart"/>
      <w:r w:rsidRPr="00F938A1">
        <w:t>retigabine</w:t>
      </w:r>
      <w:proofErr w:type="spellEnd"/>
      <w:r w:rsidRPr="00F938A1">
        <w:t>. This is not surprising.</w:t>
      </w:r>
    </w:p>
    <w:p w:rsidR="00F938A1" w:rsidRDefault="00F938A1" w:rsidP="00AF463C">
      <w:pPr>
        <w:pStyle w:val="Heading3"/>
      </w:pPr>
      <w:bookmarkStart w:id="129" w:name="_Ref269983272"/>
      <w:bookmarkStart w:id="130" w:name="_Toc272414648"/>
      <w:bookmarkStart w:id="131" w:name="_Toc290846270"/>
      <w:bookmarkStart w:id="132" w:name="_Toc330196352"/>
      <w:bookmarkStart w:id="133" w:name="_Toc365636793"/>
      <w:r>
        <w:lastRenderedPageBreak/>
        <w:t xml:space="preserve">Evaluator’s </w:t>
      </w:r>
      <w:r w:rsidRPr="00AF463C">
        <w:t>overall</w:t>
      </w:r>
      <w:r>
        <w:t xml:space="preserve"> conclusions on </w:t>
      </w:r>
      <w:proofErr w:type="spellStart"/>
      <w:r>
        <w:t>pharmacodynamics</w:t>
      </w:r>
      <w:bookmarkEnd w:id="129"/>
      <w:bookmarkEnd w:id="130"/>
      <w:bookmarkEnd w:id="131"/>
      <w:bookmarkEnd w:id="132"/>
      <w:bookmarkEnd w:id="133"/>
      <w:proofErr w:type="spellEnd"/>
    </w:p>
    <w:p w:rsidR="00F938A1" w:rsidRPr="00F938A1" w:rsidRDefault="00F938A1" w:rsidP="00AF463C">
      <w:r w:rsidRPr="00F938A1">
        <w:t xml:space="preserve">No primary </w:t>
      </w:r>
      <w:proofErr w:type="spellStart"/>
      <w:r w:rsidRPr="00F938A1">
        <w:t>pharmacodynamic</w:t>
      </w:r>
      <w:proofErr w:type="spellEnd"/>
      <w:r w:rsidRPr="00F938A1">
        <w:t xml:space="preserve"> studies have been performed. The sponsor has provided some evidence that </w:t>
      </w:r>
      <w:proofErr w:type="spellStart"/>
      <w:r w:rsidRPr="00F938A1">
        <w:t>retigabine</w:t>
      </w:r>
      <w:proofErr w:type="spellEnd"/>
      <w:r w:rsidRPr="00F938A1">
        <w:t xml:space="preserve"> has limited abuse potential, but only in the sense that recreational drug users found some of its sedative effects likeable. The sponsor has also assessed the effect of </w:t>
      </w:r>
      <w:proofErr w:type="spellStart"/>
      <w:r w:rsidRPr="00F938A1">
        <w:t>retigabine</w:t>
      </w:r>
      <w:proofErr w:type="spellEnd"/>
      <w:r w:rsidRPr="00F938A1">
        <w:t xml:space="preserve"> on the QT interval, finding a mild prolonging effect discussed in more detail in the Safety section.</w:t>
      </w:r>
    </w:p>
    <w:p w:rsidR="00586F98" w:rsidRDefault="00C22678" w:rsidP="00AF463C">
      <w:pPr>
        <w:pStyle w:val="Heading2"/>
      </w:pPr>
      <w:bookmarkStart w:id="134" w:name="_Toc365636794"/>
      <w:r>
        <w:t xml:space="preserve">Dosage </w:t>
      </w:r>
      <w:r w:rsidRPr="00AF463C">
        <w:t>selection</w:t>
      </w:r>
      <w:r>
        <w:t xml:space="preserve"> for the pivotal studies</w:t>
      </w:r>
      <w:bookmarkEnd w:id="134"/>
    </w:p>
    <w:p w:rsidR="00F938A1" w:rsidRPr="00F938A1" w:rsidRDefault="00F938A1" w:rsidP="00AF463C">
      <w:r w:rsidRPr="00F938A1">
        <w:t>The dose range selected for further exploration in Study 205 was primarily based on the tolerability of the drug in clinical pharmacology studies. The oral PK Study 3065A1-100 had suggested that the maximum single dose likely to be tolerated was 400mg, because some subjects reported fatigue with this dose. The abuse-potential study (VRX-RET-E22-108) showed that single doses of 900mg were unsafe, leading to serious cardiac arrhythmias in two of six subjects (</w:t>
      </w:r>
      <w:proofErr w:type="spellStart"/>
      <w:r w:rsidRPr="00F938A1">
        <w:t>asystole</w:t>
      </w:r>
      <w:proofErr w:type="spellEnd"/>
      <w:r w:rsidRPr="00F938A1">
        <w:t xml:space="preserve"> and ventricular tachycardia). The half life suggested that a TID dosing schedule was appropriate, leading to a maximum feasible target dose of 400mg TID.</w:t>
      </w:r>
    </w:p>
    <w:p w:rsidR="00F938A1" w:rsidRPr="00F938A1" w:rsidRDefault="00F938A1" w:rsidP="00AF463C">
      <w:r w:rsidRPr="00F938A1">
        <w:t xml:space="preserve">The Phase </w:t>
      </w:r>
      <w:proofErr w:type="spellStart"/>
      <w:r w:rsidRPr="00F938A1">
        <w:t>IIa</w:t>
      </w:r>
      <w:proofErr w:type="spellEnd"/>
      <w:r w:rsidRPr="00F938A1">
        <w:t xml:space="preserve"> studies (Studies 200 and 201) suggested a therapeutic window between 400mg/d and 1200mg/d.</w:t>
      </w:r>
    </w:p>
    <w:p w:rsidR="00F938A1" w:rsidRPr="00F938A1" w:rsidRDefault="00F938A1" w:rsidP="00AF463C">
      <w:r w:rsidRPr="00F938A1">
        <w:t xml:space="preserve">The Phase </w:t>
      </w:r>
      <w:proofErr w:type="spellStart"/>
      <w:r w:rsidRPr="00F938A1">
        <w:t>IIb</w:t>
      </w:r>
      <w:proofErr w:type="spellEnd"/>
      <w:r w:rsidRPr="00F938A1">
        <w:t xml:space="preserve"> Study 205 therefore explored TID doses in this range (200mg TID to 400mg TID). </w:t>
      </w:r>
    </w:p>
    <w:p w:rsidR="00F938A1" w:rsidRPr="00F938A1" w:rsidRDefault="00F938A1" w:rsidP="00AF463C">
      <w:r w:rsidRPr="00F938A1">
        <w:t>Together, the two Phase III studies explored the same dose range: Study 301 assessed 400mg TID ad Study 302 assessed 200mg TID and 300mg TID.</w:t>
      </w:r>
    </w:p>
    <w:p w:rsidR="00C22678" w:rsidRDefault="00C22678" w:rsidP="003058F5">
      <w:pPr>
        <w:pStyle w:val="Heading2"/>
      </w:pPr>
      <w:bookmarkStart w:id="135" w:name="_Toc365636795"/>
      <w:r>
        <w:t xml:space="preserve">Clinical </w:t>
      </w:r>
      <w:r w:rsidRPr="003058F5">
        <w:t>efficacy</w:t>
      </w:r>
      <w:bookmarkEnd w:id="135"/>
    </w:p>
    <w:p w:rsidR="001B7556" w:rsidRDefault="001B7556" w:rsidP="003058F5">
      <w:pPr>
        <w:pStyle w:val="Heading3"/>
      </w:pPr>
      <w:bookmarkStart w:id="136" w:name="_Ref271037274"/>
      <w:bookmarkStart w:id="137" w:name="_Toc272414652"/>
      <w:bookmarkStart w:id="138" w:name="_Toc290846274"/>
      <w:bookmarkStart w:id="139" w:name="_Toc330196355"/>
      <w:bookmarkStart w:id="140" w:name="_Toc365636796"/>
      <w:r>
        <w:t xml:space="preserve">Pivotal efficacy </w:t>
      </w:r>
      <w:r w:rsidRPr="003058F5">
        <w:t>studies</w:t>
      </w:r>
      <w:bookmarkEnd w:id="136"/>
      <w:bookmarkEnd w:id="137"/>
      <w:bookmarkEnd w:id="138"/>
      <w:bookmarkEnd w:id="139"/>
      <w:bookmarkEnd w:id="140"/>
    </w:p>
    <w:p w:rsidR="001B7556" w:rsidRPr="001B7556" w:rsidRDefault="001B7556" w:rsidP="003058F5">
      <w:r w:rsidRPr="001B7556">
        <w:t xml:space="preserve">The sponsor designated three studies as pivotal: a Phase </w:t>
      </w:r>
      <w:proofErr w:type="spellStart"/>
      <w:r w:rsidRPr="001B7556">
        <w:t>IIb</w:t>
      </w:r>
      <w:proofErr w:type="spellEnd"/>
      <w:r w:rsidRPr="001B7556">
        <w:t xml:space="preserve"> study (Study 205) and two similar Phase III studies (Studies 301 and 302). All were randomised, double-blind, placebo-controlled studies of the efficacy of </w:t>
      </w:r>
      <w:proofErr w:type="spellStart"/>
      <w:r w:rsidRPr="001B7556">
        <w:t>retigabine</w:t>
      </w:r>
      <w:proofErr w:type="spellEnd"/>
      <w:r w:rsidRPr="001B7556">
        <w:t xml:space="preserve"> as adjunctive therapy in refractory partial epilepsy. Study 205 assessed 3 active doses (600mg/d, 900mg/d, and 1200mg/d); Study 301 assessed </w:t>
      </w:r>
      <w:proofErr w:type="spellStart"/>
      <w:r w:rsidRPr="001B7556">
        <w:t>retigabine</w:t>
      </w:r>
      <w:proofErr w:type="spellEnd"/>
      <w:r w:rsidRPr="001B7556">
        <w:t xml:space="preserve"> at 1200mg/d, and Study 302 assessed </w:t>
      </w:r>
      <w:proofErr w:type="spellStart"/>
      <w:r w:rsidRPr="001B7556">
        <w:t>retigabine</w:t>
      </w:r>
      <w:proofErr w:type="spellEnd"/>
      <w:r w:rsidRPr="001B7556">
        <w:t xml:space="preserve"> at 600mg/d and 900mg/d. All studies used a forced titration schedule, and the double-blind treatment phase was divided into a titration phase and a maintenance phase. </w:t>
      </w:r>
    </w:p>
    <w:p w:rsidR="001B7556" w:rsidRPr="001B7556" w:rsidRDefault="001B7556" w:rsidP="003058F5">
      <w:r w:rsidRPr="001B7556">
        <w:t>Two outcome variables were evaluated in all three studies, based on differing recommendations in the US and EU regulatory settings:</w:t>
      </w:r>
    </w:p>
    <w:p w:rsidR="001B7556" w:rsidRPr="001B7556" w:rsidRDefault="001B7556" w:rsidP="003058F5">
      <w:pPr>
        <w:pStyle w:val="Numberbullet3"/>
      </w:pPr>
      <w:r w:rsidRPr="001B7556">
        <w:t>percent change in seizure frequency (in line with US requirements)</w:t>
      </w:r>
    </w:p>
    <w:p w:rsidR="001B7556" w:rsidRPr="001B7556" w:rsidRDefault="001B7556" w:rsidP="003058F5">
      <w:pPr>
        <w:pStyle w:val="Numberbullet3"/>
      </w:pPr>
      <w:r w:rsidRPr="001B7556">
        <w:t>responder rate, or percentage of patients with a ≥ 50% reduction in seizure frequency (in line with EU requirements).</w:t>
      </w:r>
    </w:p>
    <w:p w:rsidR="001B7556" w:rsidRPr="001B7556" w:rsidRDefault="001B7556" w:rsidP="003058F5">
      <w:r w:rsidRPr="001B7556">
        <w:t>Studies 301 and 302 employed similar methodologies, apart from the different doses and the longer titration period required to reach 1200mg/d, and they are appropriately considered toget</w:t>
      </w:r>
      <w:r w:rsidR="002B505B">
        <w:t xml:space="preserve">her. They both used the same two </w:t>
      </w:r>
      <w:r w:rsidRPr="001B7556">
        <w:t>primary endpoints: percent change in seizure frequency, and responder rate.</w:t>
      </w:r>
    </w:p>
    <w:p w:rsidR="001B7556" w:rsidRDefault="001B7556" w:rsidP="003058F5">
      <w:r w:rsidRPr="001B7556">
        <w:t>Study 205 had slightly different entry criteria to the Phase III studies, a single primary endpoint (percentage change in seizure frequency), and a shorter maintenance phase. It therefore nee</w:t>
      </w:r>
      <w:r w:rsidR="005D7373">
        <w:t>ds to be considered separately.</w:t>
      </w:r>
    </w:p>
    <w:p w:rsidR="00626738" w:rsidRDefault="00626738" w:rsidP="003058F5">
      <w:r>
        <w:t xml:space="preserve">The sponsor pooled all three studies in an integrated analysis, but this required some post hoc revision of the analysis methods for Study 205 and can only be considered supportive in nature. </w:t>
      </w:r>
      <w:r>
        <w:lastRenderedPageBreak/>
        <w:t xml:space="preserve">The pooled analysis was consistent with the analysis of the two main Phase III studies, and does not modify the overall conclusions about the efficacy of </w:t>
      </w:r>
      <w:proofErr w:type="spellStart"/>
      <w:r>
        <w:t>retigabine</w:t>
      </w:r>
      <w:proofErr w:type="spellEnd"/>
      <w:r>
        <w:t>.</w:t>
      </w:r>
    </w:p>
    <w:p w:rsidR="00126FF9" w:rsidRPr="003C0A48" w:rsidRDefault="00126FF9" w:rsidP="003058F5">
      <w:pPr>
        <w:pStyle w:val="Heading4"/>
      </w:pPr>
      <w:bookmarkStart w:id="141" w:name="_Ref329614284"/>
      <w:bookmarkStart w:id="142" w:name="_Toc330196356"/>
      <w:bookmarkStart w:id="143" w:name="_Ref243301615"/>
      <w:bookmarkStart w:id="144" w:name="_Ref271040927"/>
      <w:bookmarkStart w:id="145" w:name="_Ref271040932"/>
      <w:bookmarkStart w:id="146" w:name="_Toc272414653"/>
      <w:bookmarkStart w:id="147" w:name="_Toc290846275"/>
      <w:r w:rsidRPr="003C0A48">
        <w:t>S</w:t>
      </w:r>
      <w:r>
        <w:t xml:space="preserve">tudies </w:t>
      </w:r>
      <w:r w:rsidRPr="003058F5">
        <w:t>301</w:t>
      </w:r>
      <w:r>
        <w:t xml:space="preserve"> and 302</w:t>
      </w:r>
      <w:bookmarkEnd w:id="141"/>
      <w:bookmarkEnd w:id="142"/>
      <w:r>
        <w:t xml:space="preserve"> </w:t>
      </w:r>
      <w:bookmarkEnd w:id="143"/>
      <w:bookmarkEnd w:id="144"/>
      <w:bookmarkEnd w:id="145"/>
      <w:bookmarkEnd w:id="146"/>
      <w:bookmarkEnd w:id="147"/>
    </w:p>
    <w:p w:rsidR="00126FF9" w:rsidRDefault="00126FF9" w:rsidP="003058F5">
      <w:pPr>
        <w:pStyle w:val="Heading5"/>
      </w:pPr>
      <w:bookmarkStart w:id="148" w:name="_Toc330196357"/>
      <w:r w:rsidRPr="003058F5">
        <w:t>Design</w:t>
      </w:r>
      <w:bookmarkEnd w:id="148"/>
    </w:p>
    <w:p w:rsidR="00126FF9" w:rsidRPr="00126FF9" w:rsidRDefault="00126FF9" w:rsidP="003058F5">
      <w:r w:rsidRPr="00126FF9">
        <w:t>Studies 301 and 302 were international studies. Study 301 was performed in 53 centres in the USA, Canada, Mexico, Argentina, and Brazil. Study 302 was performed in 71 centres in Australia, Belgium, France, Germany, Hungary, Israel, Poland, Russia, South Africa, Spain, UK, Ukraine, and USA. Both studies employed a randomised, double-blind, placebo-controlled design, a forced titration schedule (over 4 weeks in Study 302 and 6 weeks in Study 301), and a 12-week maint</w:t>
      </w:r>
      <w:r w:rsidR="008707A6">
        <w:t xml:space="preserve">enance phase. They both used two </w:t>
      </w:r>
      <w:r w:rsidRPr="00126FF9">
        <w:t xml:space="preserve">primary efficacy endpoints consisting of percent change in 28-day partial seizure frequency for the US regulatory setting, and responder rate for the EU setting. The main difference between them was the dose of </w:t>
      </w:r>
      <w:proofErr w:type="spellStart"/>
      <w:r w:rsidRPr="00126FF9">
        <w:t>retigabine</w:t>
      </w:r>
      <w:proofErr w:type="spellEnd"/>
      <w:r w:rsidRPr="00126FF9">
        <w:t xml:space="preserve"> tested: 1200mg/d in Study 301, and 600mg/d or 900mg/d in Study 302.</w:t>
      </w:r>
    </w:p>
    <w:p w:rsidR="00126FF9" w:rsidRDefault="00126FF9" w:rsidP="003058F5">
      <w:pPr>
        <w:pStyle w:val="Heading6"/>
      </w:pPr>
      <w:r w:rsidRPr="004B259C">
        <w:t xml:space="preserve">Inclusion and </w:t>
      </w:r>
      <w:r w:rsidRPr="003058F5">
        <w:t>exclusion</w:t>
      </w:r>
      <w:r w:rsidRPr="004B259C">
        <w:t xml:space="preserve"> criteria</w:t>
      </w:r>
    </w:p>
    <w:p w:rsidR="00126FF9" w:rsidRPr="00126FF9" w:rsidRDefault="00126FF9" w:rsidP="003058F5">
      <w:r w:rsidRPr="00126FF9">
        <w:t xml:space="preserve">Both pivotal Phase III studies recruited patients with partial (focal) epilepsy, with or without secondarily generalised seizures. They needed to be refractory to standard treatment and show evidence of on-going seizures at baseline. </w:t>
      </w:r>
    </w:p>
    <w:p w:rsidR="00126FF9" w:rsidRPr="00126FF9" w:rsidRDefault="00126FF9" w:rsidP="003058F5">
      <w:r w:rsidRPr="00126FF9">
        <w:t>In particular, eligible patients:</w:t>
      </w:r>
    </w:p>
    <w:p w:rsidR="00126FF9" w:rsidRPr="003058F5" w:rsidRDefault="00126FF9" w:rsidP="003058F5">
      <w:pPr>
        <w:pStyle w:val="ListBullet"/>
      </w:pPr>
      <w:r w:rsidRPr="003058F5">
        <w:t>were age 18-75;</w:t>
      </w:r>
    </w:p>
    <w:p w:rsidR="00126FF9" w:rsidRPr="003058F5" w:rsidRDefault="00126FF9" w:rsidP="003058F5">
      <w:pPr>
        <w:pStyle w:val="ListBullet"/>
      </w:pPr>
      <w:r w:rsidRPr="003058F5">
        <w:t xml:space="preserve">had a diagnosis of epilepsy for </w:t>
      </w:r>
      <w:r w:rsidR="00A00612" w:rsidRPr="003058F5">
        <w:t>≥</w:t>
      </w:r>
      <w:r w:rsidRPr="003058F5">
        <w:t>2 years;</w:t>
      </w:r>
    </w:p>
    <w:p w:rsidR="00126FF9" w:rsidRPr="003058F5" w:rsidRDefault="00126FF9" w:rsidP="003058F5">
      <w:pPr>
        <w:pStyle w:val="ListBullet"/>
      </w:pPr>
      <w:r w:rsidRPr="003058F5">
        <w:t>had previously received treatment with at least two AEDs, concurrently or sequentially, without significant clinical benefit in the opinion of the investigator;</w:t>
      </w:r>
    </w:p>
    <w:p w:rsidR="00126FF9" w:rsidRPr="003058F5" w:rsidRDefault="00126FF9" w:rsidP="003058F5">
      <w:pPr>
        <w:pStyle w:val="ListBullet"/>
      </w:pPr>
      <w:r w:rsidRPr="003058F5">
        <w:t>could be receiving up to three AEDs at stable doses (+/-VNS). at least 1 month prior to screening and throughout the study treatment period;</w:t>
      </w:r>
    </w:p>
    <w:p w:rsidR="00126FF9" w:rsidRPr="003058F5" w:rsidRDefault="00126FF9" w:rsidP="003058F5">
      <w:pPr>
        <w:pStyle w:val="ListBullet"/>
      </w:pPr>
      <w:r w:rsidRPr="003058F5">
        <w:t>had at least four seizures per 28 days during the 8-week prospective baseline period;</w:t>
      </w:r>
    </w:p>
    <w:p w:rsidR="00126FF9" w:rsidRPr="003058F5" w:rsidRDefault="00126FF9" w:rsidP="003058F5">
      <w:pPr>
        <w:pStyle w:val="ListBullet"/>
      </w:pPr>
      <w:r w:rsidRPr="003058F5">
        <w:t>were not seizure-free for more than 21 days during the baseline period.</w:t>
      </w:r>
    </w:p>
    <w:p w:rsidR="00224EC7" w:rsidRPr="00224EC7" w:rsidRDefault="00224EC7" w:rsidP="003058F5">
      <w:r w:rsidRPr="00224EC7">
        <w:t xml:space="preserve">Patients were excluded if they had other significant medical conditions, a history of status </w:t>
      </w:r>
      <w:proofErr w:type="spellStart"/>
      <w:r w:rsidRPr="00224EC7">
        <w:t>epilepticus</w:t>
      </w:r>
      <w:proofErr w:type="spellEnd"/>
      <w:r w:rsidRPr="00224EC7">
        <w:t>, seizure clusters or flurries where the individual seizures could not be counted within the 12 months prior to study entry, pseudo-seizures, or progressive central nervous system (CNS) disease such as CNS lupus, tumours, multiple sclerosis, or Alzheimer's disease.</w:t>
      </w:r>
    </w:p>
    <w:p w:rsidR="00126FF9" w:rsidRDefault="00126FF9" w:rsidP="003058F5">
      <w:pPr>
        <w:pStyle w:val="Heading6"/>
      </w:pPr>
      <w:r w:rsidRPr="004B259C">
        <w:t xml:space="preserve">Study </w:t>
      </w:r>
      <w:r w:rsidRPr="003058F5">
        <w:t>treatments</w:t>
      </w:r>
    </w:p>
    <w:p w:rsidR="00017DD1" w:rsidRDefault="00126FF9" w:rsidP="00017DD1">
      <w:r>
        <w:t xml:space="preserve">Patients received </w:t>
      </w:r>
      <w:proofErr w:type="spellStart"/>
      <w:r>
        <w:t>retigabine</w:t>
      </w:r>
      <w:proofErr w:type="spellEnd"/>
      <w:r>
        <w:t xml:space="preserve"> or placebo in a forced titration schedule lasting 4 or 6 weeks, as shown in </w:t>
      </w:r>
      <w:r w:rsidR="00B446A9">
        <w:t xml:space="preserve">Figure 6 </w:t>
      </w:r>
      <w:r>
        <w:t>(</w:t>
      </w:r>
      <w:r w:rsidR="00B446A9">
        <w:t xml:space="preserve">Study 301) and </w:t>
      </w:r>
      <w:r w:rsidR="005D33A4">
        <w:t xml:space="preserve">Figure </w:t>
      </w:r>
      <w:r w:rsidR="00B446A9">
        <w:t>7 (</w:t>
      </w:r>
      <w:r>
        <w:t xml:space="preserve">Study 302). Study 301 permitted a single down-titration step from 1200mg/d to 1050 mg/d for patients not tolerating the highest </w:t>
      </w:r>
      <w:proofErr w:type="spellStart"/>
      <w:r>
        <w:t>retigabine</w:t>
      </w:r>
      <w:proofErr w:type="spellEnd"/>
      <w:r>
        <w:t xml:space="preserve"> dose. All medication was given in equally divided doses three times per day; most of the sponsor’s tables and figure refer to the total daily dose.</w:t>
      </w:r>
    </w:p>
    <w:p w:rsidR="00B446A9" w:rsidRPr="003058F5" w:rsidRDefault="00B446A9" w:rsidP="00017DD1">
      <w:pPr>
        <w:pStyle w:val="FigureTitle"/>
        <w:keepNext/>
      </w:pPr>
      <w:r w:rsidRPr="003058F5">
        <w:lastRenderedPageBreak/>
        <w:t xml:space="preserve">Figure 6: </w:t>
      </w:r>
      <w:r w:rsidR="00CE687A" w:rsidRPr="003058F5">
        <w:t>Study 301 design</w:t>
      </w:r>
      <w:r w:rsidRPr="003058F5">
        <w:t>.</w:t>
      </w:r>
    </w:p>
    <w:p w:rsidR="00126FF9" w:rsidRDefault="00DA36AD" w:rsidP="0043310F">
      <w:pPr>
        <w:jc w:val="center"/>
      </w:pPr>
      <w:r>
        <w:rPr>
          <w:noProof/>
          <w:lang w:eastAsia="en-AU"/>
        </w:rPr>
        <w:drawing>
          <wp:inline distT="0" distB="0" distL="0" distR="0">
            <wp:extent cx="4198620" cy="2735580"/>
            <wp:effectExtent l="19050" t="0" r="0" b="0"/>
            <wp:docPr id="11" name="Picture 11" descr="Figure showing study 301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
                    <pic:cNvPicPr>
                      <a:picLocks noChangeAspect="1" noChangeArrowheads="1"/>
                    </pic:cNvPicPr>
                  </pic:nvPicPr>
                  <pic:blipFill>
                    <a:blip r:embed="rId24" cstate="print"/>
                    <a:srcRect/>
                    <a:stretch>
                      <a:fillRect/>
                    </a:stretch>
                  </pic:blipFill>
                  <pic:spPr bwMode="auto">
                    <a:xfrm>
                      <a:off x="0" y="0"/>
                      <a:ext cx="4198620" cy="2735580"/>
                    </a:xfrm>
                    <a:prstGeom prst="rect">
                      <a:avLst/>
                    </a:prstGeom>
                    <a:noFill/>
                    <a:ln w="9525">
                      <a:noFill/>
                      <a:miter lim="800000"/>
                      <a:headEnd/>
                      <a:tailEnd/>
                    </a:ln>
                  </pic:spPr>
                </pic:pic>
              </a:graphicData>
            </a:graphic>
          </wp:inline>
        </w:drawing>
      </w:r>
    </w:p>
    <w:p w:rsidR="00B446A9" w:rsidRPr="003058F5" w:rsidRDefault="00B446A9" w:rsidP="00017DD1">
      <w:pPr>
        <w:pStyle w:val="FigureTitle"/>
        <w:keepNext/>
      </w:pPr>
      <w:r w:rsidRPr="003058F5">
        <w:t xml:space="preserve">Figure 7: </w:t>
      </w:r>
      <w:r w:rsidR="00CE687A" w:rsidRPr="003058F5">
        <w:t>Study 302 design</w:t>
      </w:r>
      <w:r w:rsidRPr="003058F5">
        <w:t>.</w:t>
      </w:r>
    </w:p>
    <w:p w:rsidR="00B446A9" w:rsidRDefault="00DA36AD" w:rsidP="0043310F">
      <w:pPr>
        <w:jc w:val="center"/>
      </w:pPr>
      <w:r>
        <w:rPr>
          <w:noProof/>
          <w:lang w:eastAsia="en-AU"/>
        </w:rPr>
        <w:drawing>
          <wp:inline distT="0" distB="0" distL="0" distR="0">
            <wp:extent cx="4184015" cy="2479675"/>
            <wp:effectExtent l="19050" t="0" r="6985" b="0"/>
            <wp:docPr id="12" name="Picture 12" descr="Figure showing study 302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
                    <pic:cNvPicPr>
                      <a:picLocks noChangeAspect="1" noChangeArrowheads="1"/>
                    </pic:cNvPicPr>
                  </pic:nvPicPr>
                  <pic:blipFill>
                    <a:blip r:embed="rId25" cstate="print"/>
                    <a:srcRect/>
                    <a:stretch>
                      <a:fillRect/>
                    </a:stretch>
                  </pic:blipFill>
                  <pic:spPr bwMode="auto">
                    <a:xfrm>
                      <a:off x="0" y="0"/>
                      <a:ext cx="4184015" cy="2479675"/>
                    </a:xfrm>
                    <a:prstGeom prst="rect">
                      <a:avLst/>
                    </a:prstGeom>
                    <a:noFill/>
                    <a:ln w="9525">
                      <a:noFill/>
                      <a:miter lim="800000"/>
                      <a:headEnd/>
                      <a:tailEnd/>
                    </a:ln>
                  </pic:spPr>
                </pic:pic>
              </a:graphicData>
            </a:graphic>
          </wp:inline>
        </w:drawing>
      </w:r>
    </w:p>
    <w:p w:rsidR="00563927" w:rsidRPr="00563927" w:rsidRDefault="00563927" w:rsidP="001232DE">
      <w:r w:rsidRPr="00563927">
        <w:t>Benzodiazepines were allowed to control seizure clusters (or</w:t>
      </w:r>
      <w:r w:rsidR="00E05123">
        <w:t xml:space="preserve"> </w:t>
      </w:r>
      <w:r w:rsidR="00A4040A">
        <w:t>“flurries”) on up to 2 occasions.</w:t>
      </w:r>
    </w:p>
    <w:p w:rsidR="00563927" w:rsidRPr="00563927" w:rsidRDefault="00563927" w:rsidP="001232DE">
      <w:proofErr w:type="spellStart"/>
      <w:r w:rsidRPr="00563927">
        <w:t>Vigabatrin</w:t>
      </w:r>
      <w:proofErr w:type="spellEnd"/>
      <w:r w:rsidRPr="00563927">
        <w:t xml:space="preserve"> and </w:t>
      </w:r>
      <w:proofErr w:type="spellStart"/>
      <w:r w:rsidRPr="00563927">
        <w:t>felbamate</w:t>
      </w:r>
      <w:proofErr w:type="spellEnd"/>
      <w:r w:rsidRPr="00563927">
        <w:t xml:space="preserve"> were prohibited </w:t>
      </w:r>
      <w:r w:rsidR="008536DC">
        <w:t xml:space="preserve">in the past 6 months </w:t>
      </w:r>
      <w:r w:rsidRPr="00563927">
        <w:t xml:space="preserve">because they can produce significant toxicity that could have clouded assessment of the safety of </w:t>
      </w:r>
      <w:proofErr w:type="spellStart"/>
      <w:r w:rsidRPr="00563927">
        <w:t>retigabine</w:t>
      </w:r>
      <w:proofErr w:type="spellEnd"/>
      <w:r w:rsidRPr="00563927">
        <w:t xml:space="preserve">. Other prohibited medications included agents known to lower seizure threshold, such as </w:t>
      </w:r>
      <w:proofErr w:type="spellStart"/>
      <w:r w:rsidRPr="00563927">
        <w:t>neuroleptics</w:t>
      </w:r>
      <w:proofErr w:type="spellEnd"/>
      <w:r w:rsidRPr="00563927">
        <w:t xml:space="preserve">. Antidepressants at low doses and monoamine </w:t>
      </w:r>
      <w:proofErr w:type="spellStart"/>
      <w:r w:rsidRPr="00563927">
        <w:t>oxidase</w:t>
      </w:r>
      <w:proofErr w:type="spellEnd"/>
      <w:r w:rsidRPr="00563927">
        <w:t xml:space="preserve"> inhibitors were allowed if the dose was kept constant.</w:t>
      </w:r>
    </w:p>
    <w:p w:rsidR="001F435C" w:rsidRPr="004B259C" w:rsidRDefault="001F435C" w:rsidP="001F435C">
      <w:pPr>
        <w:pStyle w:val="Heading6"/>
      </w:pPr>
      <w:r w:rsidRPr="004B259C">
        <w:t xml:space="preserve">Efficacy variables and </w:t>
      </w:r>
      <w:r w:rsidRPr="001232DE">
        <w:t>o</w:t>
      </w:r>
      <w:r w:rsidRPr="004B259C">
        <w:t>utcomes</w:t>
      </w:r>
    </w:p>
    <w:p w:rsidR="001F435C" w:rsidRPr="001F435C" w:rsidRDefault="001F435C" w:rsidP="001232DE">
      <w:r w:rsidRPr="001F435C">
        <w:t>The two Phase III studies were de</w:t>
      </w:r>
      <w:r w:rsidR="00F27A0B">
        <w:t xml:space="preserve">signed with two </w:t>
      </w:r>
      <w:r w:rsidRPr="001F435C">
        <w:t>primary endpoints, change in seizure frequency and response rate, reflecting different recommendations for epilepsy studies in the US and EU. The two endpoints also used a different period for assessing the treatment effect:</w:t>
      </w:r>
    </w:p>
    <w:p w:rsidR="001F435C" w:rsidRPr="001F435C" w:rsidRDefault="001F435C" w:rsidP="001232DE">
      <w:pPr>
        <w:ind w:left="720"/>
      </w:pPr>
      <w:r w:rsidRPr="001F435C">
        <w:t xml:space="preserve">US (FDA) Endpoint: percent change in total partial seizure frequency per 4 weeks from baseline to the double-blind period (titration and maintenance periods combined); </w:t>
      </w:r>
    </w:p>
    <w:p w:rsidR="001F435C" w:rsidRPr="001F435C" w:rsidRDefault="001F435C" w:rsidP="001232DE">
      <w:pPr>
        <w:ind w:left="720"/>
      </w:pPr>
      <w:r w:rsidRPr="001F435C">
        <w:t xml:space="preserve">EU (EMEA) Endpoint: proportion of responders experiencing a </w:t>
      </w:r>
      <w:r w:rsidR="00805888">
        <w:t>≥</w:t>
      </w:r>
      <w:r w:rsidR="00B35F9A">
        <w:t xml:space="preserve"> </w:t>
      </w:r>
      <w:r w:rsidRPr="001F435C">
        <w:t>50% reduction from baseline to the maintenance phase, in total partial seizure frequency per 4 weeks.</w:t>
      </w:r>
    </w:p>
    <w:p w:rsidR="001F435C" w:rsidRPr="001F435C" w:rsidRDefault="001F435C" w:rsidP="001232DE">
      <w:r w:rsidRPr="001F435C">
        <w:lastRenderedPageBreak/>
        <w:t>Both endpoints were evaluated as independent primary endpoints in both Phase III studies, without corrections for multiple endpoints. The sponsor argued that “Because the sequence of the tests was pre-ordered and fixed for each review, the overall type I error was controlled at 0.05 level.” Presumably this means the study had to meet whichever primary endpoint was considered most important in each regulatory domain (FDA</w:t>
      </w:r>
      <w:r w:rsidR="00F27A0B">
        <w:t xml:space="preserve"> in the US, or EMEA in the EU).</w:t>
      </w:r>
      <w:r w:rsidR="00F27A0B">
        <w:rPr>
          <w:rStyle w:val="FootnoteReference"/>
        </w:rPr>
        <w:footnoteReference w:id="5"/>
      </w:r>
    </w:p>
    <w:p w:rsidR="001F435C" w:rsidRPr="001F435C" w:rsidRDefault="001F435C" w:rsidP="001232DE">
      <w:r w:rsidRPr="001F435C">
        <w:t>In the Australian context, this reasoning does not apply, but significance was achieved on both primary endpoints in both studies.</w:t>
      </w:r>
    </w:p>
    <w:p w:rsidR="001F435C" w:rsidRPr="001F435C" w:rsidRDefault="001F435C" w:rsidP="001232DE">
      <w:r w:rsidRPr="001F435C">
        <w:t>Other secondary efficacy outcomes included:</w:t>
      </w:r>
    </w:p>
    <w:p w:rsidR="001F435C" w:rsidRPr="001232DE" w:rsidRDefault="001F435C" w:rsidP="001232DE">
      <w:pPr>
        <w:pStyle w:val="ListBullet"/>
      </w:pPr>
      <w:r w:rsidRPr="001232DE">
        <w:t>Percent change in seizure frequency from baseline to the maintenance period.</w:t>
      </w:r>
    </w:p>
    <w:p w:rsidR="001F435C" w:rsidRPr="001232DE" w:rsidRDefault="001F435C" w:rsidP="001232DE">
      <w:pPr>
        <w:pStyle w:val="ListBullet"/>
      </w:pPr>
      <w:r w:rsidRPr="001232DE">
        <w:t>Proportion of responders in the combined double-blind period.</w:t>
      </w:r>
    </w:p>
    <w:p w:rsidR="001F435C" w:rsidRPr="001232DE" w:rsidRDefault="001F435C" w:rsidP="001232DE">
      <w:pPr>
        <w:pStyle w:val="ListBullet"/>
      </w:pPr>
      <w:r w:rsidRPr="001232DE">
        <w:t>Incidence of new seizure types.</w:t>
      </w:r>
    </w:p>
    <w:p w:rsidR="001F435C" w:rsidRPr="001232DE" w:rsidRDefault="001F435C" w:rsidP="001232DE">
      <w:pPr>
        <w:pStyle w:val="ListBullet"/>
      </w:pPr>
      <w:r w:rsidRPr="001232DE">
        <w:t>Proportion of patients experiencing an exacerbation of seizures (0-25% increase or &gt;25% increase)</w:t>
      </w:r>
    </w:p>
    <w:p w:rsidR="001F435C" w:rsidRPr="001232DE" w:rsidRDefault="001F435C" w:rsidP="001232DE">
      <w:pPr>
        <w:pStyle w:val="ListBullet"/>
      </w:pPr>
      <w:r w:rsidRPr="001232DE">
        <w:t xml:space="preserve">Change in Clinical Global Impression of Improvement (CGI-I), measured on a 7-point </w:t>
      </w:r>
      <w:proofErr w:type="spellStart"/>
      <w:r w:rsidRPr="001232DE">
        <w:t>Likert</w:t>
      </w:r>
      <w:proofErr w:type="spellEnd"/>
      <w:r w:rsidRPr="001232DE">
        <w:t xml:space="preserve"> scale.</w:t>
      </w:r>
    </w:p>
    <w:p w:rsidR="001F435C" w:rsidRPr="001232DE" w:rsidRDefault="001F435C" w:rsidP="001232DE">
      <w:pPr>
        <w:pStyle w:val="ListBullet"/>
      </w:pPr>
      <w:r w:rsidRPr="001232DE">
        <w:t>Quality of Life</w:t>
      </w:r>
      <w:r w:rsidR="00460F24" w:rsidRPr="001232DE">
        <w:t xml:space="preserve"> </w:t>
      </w:r>
      <w:r w:rsidRPr="001232DE">
        <w:t>in Epilepsy (QOLIE-31P)</w:t>
      </w:r>
    </w:p>
    <w:p w:rsidR="001F435C" w:rsidRDefault="001F435C" w:rsidP="001232DE">
      <w:r>
        <w:t>The sponsor also reported:</w:t>
      </w:r>
    </w:p>
    <w:p w:rsidR="001F435C" w:rsidRPr="001232DE" w:rsidRDefault="001F435C" w:rsidP="001232DE">
      <w:pPr>
        <w:pStyle w:val="ListBullet"/>
      </w:pPr>
      <w:r w:rsidRPr="001232DE">
        <w:t>Proportion of patients seizure-free.</w:t>
      </w:r>
    </w:p>
    <w:p w:rsidR="001F435C" w:rsidRPr="001232DE" w:rsidRDefault="001F435C" w:rsidP="001232DE">
      <w:pPr>
        <w:pStyle w:val="ListBullet"/>
      </w:pPr>
      <w:r w:rsidRPr="001232DE">
        <w:t>Proportion of seizure-free days.</w:t>
      </w:r>
    </w:p>
    <w:p w:rsidR="001F435C" w:rsidRPr="004B259C" w:rsidRDefault="001F435C" w:rsidP="001232DE">
      <w:pPr>
        <w:pStyle w:val="Heading6"/>
      </w:pPr>
      <w:r w:rsidRPr="004B259C">
        <w:t xml:space="preserve">Randomisation </w:t>
      </w:r>
      <w:r w:rsidRPr="001232DE">
        <w:t>and</w:t>
      </w:r>
      <w:r w:rsidRPr="004B259C">
        <w:t xml:space="preserve"> blinding methods</w:t>
      </w:r>
    </w:p>
    <w:p w:rsidR="001F435C" w:rsidRPr="001F435C" w:rsidRDefault="001F435C" w:rsidP="001232DE">
      <w:r w:rsidRPr="001F435C">
        <w:t>Patients were randomised equally in both Phase III studies. Blinding was maintained with matching placebos, a double-dummy technique, and matching titration schedules.</w:t>
      </w:r>
    </w:p>
    <w:p w:rsidR="001F435C" w:rsidRDefault="001F435C" w:rsidP="001232DE">
      <w:pPr>
        <w:pStyle w:val="Heading6"/>
      </w:pPr>
      <w:r>
        <w:t xml:space="preserve">Analysis </w:t>
      </w:r>
      <w:r w:rsidRPr="001232DE">
        <w:t>populations</w:t>
      </w:r>
    </w:p>
    <w:p w:rsidR="001F435C" w:rsidRPr="001F435C" w:rsidRDefault="001F435C" w:rsidP="001232DE">
      <w:r w:rsidRPr="001F435C">
        <w:t xml:space="preserve">The primary analysis was performed on an intent-to-treat (ITT) basis, but the definition of the ITT population differed according to the requirements of the FDA and the EU. </w:t>
      </w:r>
    </w:p>
    <w:p w:rsidR="001F435C" w:rsidRDefault="001F435C" w:rsidP="001232DE">
      <w:r w:rsidRPr="001F435C">
        <w:t xml:space="preserve">The ITT (EMA or ‘maintenance’ ITT) population was defined as all randomised patients who received at least one dose of study drug in the maintenance phase and had at least one seizure assessment recorded in the maintenance phase. </w:t>
      </w:r>
    </w:p>
    <w:p w:rsidR="001F435C" w:rsidRPr="001F435C" w:rsidRDefault="001F435C" w:rsidP="001232DE">
      <w:r w:rsidRPr="001F435C">
        <w:t xml:space="preserve">The ITT (FDA ‘double-blind’ ITT) population was defined as all randomised patients who received at least one dose of study drug. </w:t>
      </w:r>
    </w:p>
    <w:p w:rsidR="001F435C" w:rsidRPr="001F435C" w:rsidRDefault="001F435C" w:rsidP="001232DE">
      <w:r w:rsidRPr="001F435C">
        <w:t>For each endpoint, one of these two populations is a more natural population to consider (the maintenance ITT for maintenance-phase endpoints, the double-blind ITT for double-blind-phase endpoints), and has been used in the sponsor’s results tables. Importantly, the maintenance ITT analyses slightly inflate the potential benefit of treatment when considered from the perspective of a clinician who is deciding whether to start treatment, because these analyses censor the early failures leading to withdrawal during titration.</w:t>
      </w:r>
    </w:p>
    <w:p w:rsidR="001F435C" w:rsidRPr="004B259C" w:rsidDel="0081373E" w:rsidRDefault="001F435C" w:rsidP="001232DE">
      <w:pPr>
        <w:pStyle w:val="Heading6"/>
      </w:pPr>
      <w:r w:rsidRPr="004B259C" w:rsidDel="0081373E">
        <w:t>Sample size</w:t>
      </w:r>
    </w:p>
    <w:p w:rsidR="001F435C" w:rsidRPr="001F435C" w:rsidRDefault="001F435C" w:rsidP="001232DE">
      <w:r w:rsidRPr="001F435C">
        <w:t xml:space="preserve">The sponsor defended its sample size calculations as follows: </w:t>
      </w:r>
    </w:p>
    <w:p w:rsidR="001F435C" w:rsidRPr="001232DE" w:rsidRDefault="001F435C" w:rsidP="001232DE">
      <w:pPr>
        <w:ind w:left="720"/>
        <w:rPr>
          <w:i/>
        </w:rPr>
      </w:pPr>
      <w:r w:rsidRPr="001232DE">
        <w:rPr>
          <w:i/>
        </w:rPr>
        <w:lastRenderedPageBreak/>
        <w:t xml:space="preserve">“In Study 301, a total of 250 patients (125 per arm, 1:1 randomization) were required to detect a 17% difference in responder rates between </w:t>
      </w:r>
      <w:proofErr w:type="spellStart"/>
      <w:r w:rsidRPr="001232DE">
        <w:rPr>
          <w:i/>
        </w:rPr>
        <w:t>retigabine</w:t>
      </w:r>
      <w:proofErr w:type="spellEnd"/>
      <w:r w:rsidRPr="001232DE">
        <w:rPr>
          <w:i/>
        </w:rPr>
        <w:t xml:space="preserve"> 1200 mg/d and placebo with 85% power and a type 1 error rate of 5%. Assuming a 10% attrition rate between randomization and the first post-dose evaluation assessment, a total of 280 patients (140 per treatment arm) were required to be randomized in order to satisfy the evaluable sample size requirements.</w:t>
      </w:r>
    </w:p>
    <w:p w:rsidR="001F435C" w:rsidRPr="001232DE" w:rsidDel="0081373E" w:rsidRDefault="001F435C" w:rsidP="001232DE">
      <w:pPr>
        <w:ind w:left="720"/>
        <w:rPr>
          <w:i/>
        </w:rPr>
      </w:pPr>
      <w:r w:rsidRPr="001232DE">
        <w:rPr>
          <w:i/>
        </w:rPr>
        <w:t xml:space="preserve">In Study 302, a total of 453 patients (151 per treatment arm, 1:1:1 randomization) were required to detect a 16% difference in responder rates between </w:t>
      </w:r>
      <w:proofErr w:type="spellStart"/>
      <w:r w:rsidRPr="001232DE">
        <w:rPr>
          <w:i/>
        </w:rPr>
        <w:t>retigabine</w:t>
      </w:r>
      <w:proofErr w:type="spellEnd"/>
      <w:r w:rsidRPr="001232DE">
        <w:rPr>
          <w:i/>
        </w:rPr>
        <w:t xml:space="preserve"> 900 mg/d and placebo with 85% power and a type 1 error rate of 5%. Assuming 10% attrition rate between randomization and the first post-dose evaluation assessment, a total of 510 patients (170 per treatment arm) were required to be randomized in order to satisfy the evaluable sample size requirements.”</w:t>
      </w:r>
    </w:p>
    <w:p w:rsidR="001F435C" w:rsidRPr="001F435C" w:rsidRDefault="001F435C" w:rsidP="001232DE">
      <w:r w:rsidRPr="001F435C">
        <w:t xml:space="preserve">Recruitment reached target in Study 301 (placebo n=152, </w:t>
      </w:r>
      <w:proofErr w:type="spellStart"/>
      <w:r w:rsidRPr="001F435C">
        <w:t>retigabine</w:t>
      </w:r>
      <w:proofErr w:type="spellEnd"/>
      <w:r w:rsidRPr="001F435C">
        <w:t xml:space="preserve"> n= 153) and Study 302 (placebo n=179, </w:t>
      </w:r>
      <w:proofErr w:type="spellStart"/>
      <w:r w:rsidRPr="001F435C">
        <w:t>retigabine</w:t>
      </w:r>
      <w:proofErr w:type="spellEnd"/>
      <w:r w:rsidRPr="001F435C">
        <w:t xml:space="preserve"> 600mg/d n=181, </w:t>
      </w:r>
      <w:proofErr w:type="spellStart"/>
      <w:r w:rsidRPr="001F435C">
        <w:t>retigabine</w:t>
      </w:r>
      <w:proofErr w:type="spellEnd"/>
      <w:r w:rsidRPr="001F435C">
        <w:t xml:space="preserve"> 900mg/d = 17</w:t>
      </w:r>
      <w:r w:rsidR="00F605B5">
        <w:t>8</w:t>
      </w:r>
      <w:r w:rsidRPr="001F435C">
        <w:t>), and attrition was within expected limits, so the studies were adequately powered for their primary endpoints.</w:t>
      </w:r>
    </w:p>
    <w:p w:rsidR="001F435C" w:rsidRPr="003069B4" w:rsidRDefault="001F435C" w:rsidP="001232DE">
      <w:pPr>
        <w:pStyle w:val="Heading6"/>
      </w:pPr>
      <w:r w:rsidRPr="004B259C">
        <w:t xml:space="preserve">Statistical </w:t>
      </w:r>
      <w:r w:rsidRPr="001232DE">
        <w:t>methods</w:t>
      </w:r>
    </w:p>
    <w:p w:rsidR="001F435C" w:rsidRDefault="00F605B5" w:rsidP="001232DE">
      <w:r>
        <w:t xml:space="preserve">For one of the </w:t>
      </w:r>
      <w:r w:rsidR="001F435C" w:rsidRPr="001F435C">
        <w:t>primary endpoints, the change in 28-day seizure frequency, a stratified non-parametric rank analysis of covariance (ANCOVA) was applied.</w:t>
      </w:r>
      <w:r w:rsidR="00460F24">
        <w:t xml:space="preserve"> </w:t>
      </w:r>
      <w:r w:rsidR="001F435C" w:rsidRPr="001F435C">
        <w:t xml:space="preserve">Stratification was based on geographic region (Canada/United States versus Mexico/South America) and on categorized 28-day baseline seizure rate (≤8 versus &gt;8), and the standardized rank of continuous baseline seizure rate was nested within the strata as covariate. For the other primary endpoint, responder rates, the proportions of responders in the </w:t>
      </w:r>
      <w:proofErr w:type="spellStart"/>
      <w:r w:rsidR="001F435C" w:rsidRPr="001F435C">
        <w:t>retigabine</w:t>
      </w:r>
      <w:proofErr w:type="spellEnd"/>
      <w:r w:rsidR="001F435C" w:rsidRPr="001F435C">
        <w:t xml:space="preserve"> groups and the placebo group were comp</w:t>
      </w:r>
      <w:r w:rsidR="001F435C">
        <w:t>ared using Fisher’s Exact test.</w:t>
      </w:r>
    </w:p>
    <w:p w:rsidR="001F435C" w:rsidRPr="001F435C" w:rsidRDefault="001F435C" w:rsidP="001232DE">
      <w:r w:rsidRPr="001F435C">
        <w:t xml:space="preserve">The percent change in 28-day total partial seizure frequency was further analysed using stratified ANCOVA, first by geographic region only, and then by baseline seizure rate category only. </w:t>
      </w:r>
    </w:p>
    <w:p w:rsidR="001F435C" w:rsidRPr="001F435C" w:rsidRDefault="001F435C" w:rsidP="001232DE">
      <w:r w:rsidRPr="001F435C">
        <w:t xml:space="preserve">The sponsor also performed a secondary analysis of responder rates, stratified by region and baseline seizure rate category, based on the CMH test with the </w:t>
      </w:r>
      <w:proofErr w:type="spellStart"/>
      <w:r w:rsidRPr="001F435C">
        <w:t>Breslow</w:t>
      </w:r>
      <w:proofErr w:type="spellEnd"/>
      <w:r w:rsidRPr="001F435C">
        <w:t xml:space="preserve">-Day test of homogeneity. </w:t>
      </w:r>
    </w:p>
    <w:p w:rsidR="001F435C" w:rsidRPr="001F435C" w:rsidRDefault="001F435C" w:rsidP="001232DE">
      <w:r w:rsidRPr="001F435C">
        <w:t>Analysis of the continuous secondary endpoints used ANCOVA.</w:t>
      </w:r>
    </w:p>
    <w:p w:rsidR="00A273BA" w:rsidRPr="004B259C" w:rsidRDefault="00A273BA" w:rsidP="001232DE">
      <w:pPr>
        <w:pStyle w:val="Heading5"/>
      </w:pPr>
      <w:bookmarkStart w:id="149" w:name="_Toc330196358"/>
      <w:r w:rsidRPr="001232DE">
        <w:t>Results</w:t>
      </w:r>
      <w:bookmarkEnd w:id="149"/>
    </w:p>
    <w:p w:rsidR="00A273BA" w:rsidRDefault="00A273BA" w:rsidP="001232DE">
      <w:pPr>
        <w:pStyle w:val="Heading6"/>
      </w:pPr>
      <w:r w:rsidRPr="001232DE">
        <w:t>Participant</w:t>
      </w:r>
      <w:r w:rsidRPr="004B259C">
        <w:t xml:space="preserve"> flow</w:t>
      </w:r>
    </w:p>
    <w:p w:rsidR="00017DD1" w:rsidRDefault="00A273BA" w:rsidP="00017DD1">
      <w:r w:rsidRPr="00A273BA">
        <w:t xml:space="preserve">Participant flow is illustrated for Study 301 in </w:t>
      </w:r>
      <w:r>
        <w:t>Figure 8</w:t>
      </w:r>
      <w:r w:rsidRPr="00A273BA">
        <w:t xml:space="preserve">, and for 302 in </w:t>
      </w:r>
      <w:r>
        <w:t>Figure 9</w:t>
      </w:r>
      <w:r w:rsidRPr="00A273BA">
        <w:t xml:space="preserve">. The populations in each pool are also tabulated in </w:t>
      </w:r>
      <w:r>
        <w:t xml:space="preserve">Table </w:t>
      </w:r>
      <w:r w:rsidR="006064DA">
        <w:t>6</w:t>
      </w:r>
      <w:r w:rsidRPr="00A273BA">
        <w:t xml:space="preserve">, along with similar data for the pivotal Phase </w:t>
      </w:r>
      <w:proofErr w:type="spellStart"/>
      <w:r w:rsidRPr="00A273BA">
        <w:t>IIb</w:t>
      </w:r>
      <w:proofErr w:type="spellEnd"/>
      <w:r w:rsidRPr="00A273BA">
        <w:t xml:space="preserve"> trial, Study 20</w:t>
      </w:r>
      <w:r>
        <w:t>5.</w:t>
      </w:r>
    </w:p>
    <w:p w:rsidR="00A273BA" w:rsidRPr="001232DE" w:rsidRDefault="00A273BA" w:rsidP="00017DD1">
      <w:pPr>
        <w:pStyle w:val="FigureTitle"/>
        <w:keepNext/>
      </w:pPr>
      <w:r w:rsidRPr="001232DE">
        <w:lastRenderedPageBreak/>
        <w:t xml:space="preserve">Figure 8: </w:t>
      </w:r>
      <w:r w:rsidR="0001675F" w:rsidRPr="001232DE">
        <w:t>Number (%) of patients in analysis populations</w:t>
      </w:r>
      <w:r w:rsidRPr="001232DE">
        <w:t>.</w:t>
      </w:r>
    </w:p>
    <w:p w:rsidR="00A273BA" w:rsidRDefault="00DA36AD" w:rsidP="00196907">
      <w:pPr>
        <w:jc w:val="center"/>
      </w:pPr>
      <w:r>
        <w:rPr>
          <w:noProof/>
          <w:lang w:eastAsia="en-AU"/>
        </w:rPr>
        <w:drawing>
          <wp:inline distT="0" distB="0" distL="0" distR="0">
            <wp:extent cx="5062220" cy="2326005"/>
            <wp:effectExtent l="19050" t="0" r="5080" b="0"/>
            <wp:docPr id="13" name="Picture 13" descr="Figure showing the number of patients (in %) in analysis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
                    <pic:cNvPicPr>
                      <a:picLocks noChangeAspect="1" noChangeArrowheads="1"/>
                    </pic:cNvPicPr>
                  </pic:nvPicPr>
                  <pic:blipFill>
                    <a:blip r:embed="rId26" cstate="print"/>
                    <a:srcRect/>
                    <a:stretch>
                      <a:fillRect/>
                    </a:stretch>
                  </pic:blipFill>
                  <pic:spPr bwMode="auto">
                    <a:xfrm>
                      <a:off x="0" y="0"/>
                      <a:ext cx="5062220" cy="2326005"/>
                    </a:xfrm>
                    <a:prstGeom prst="rect">
                      <a:avLst/>
                    </a:prstGeom>
                    <a:noFill/>
                    <a:ln w="9525">
                      <a:noFill/>
                      <a:miter lim="800000"/>
                      <a:headEnd/>
                      <a:tailEnd/>
                    </a:ln>
                  </pic:spPr>
                </pic:pic>
              </a:graphicData>
            </a:graphic>
          </wp:inline>
        </w:drawing>
      </w:r>
    </w:p>
    <w:p w:rsidR="00A273BA" w:rsidRPr="0056081D" w:rsidRDefault="00A273BA" w:rsidP="00017DD1">
      <w:pPr>
        <w:pStyle w:val="FigureTitle"/>
        <w:keepNext/>
      </w:pPr>
      <w:r w:rsidRPr="0056081D">
        <w:t xml:space="preserve">Figure 9: </w:t>
      </w:r>
      <w:r w:rsidR="00034B78" w:rsidRPr="0056081D">
        <w:t>Diagram of number (%) of patients in analysis populations</w:t>
      </w:r>
      <w:r w:rsidRPr="0056081D">
        <w:t>.</w:t>
      </w:r>
    </w:p>
    <w:p w:rsidR="00A273BA" w:rsidRDefault="00DA36AD" w:rsidP="00196907">
      <w:pPr>
        <w:jc w:val="center"/>
      </w:pPr>
      <w:r>
        <w:rPr>
          <w:noProof/>
          <w:lang w:eastAsia="en-AU"/>
        </w:rPr>
        <w:drawing>
          <wp:inline distT="0" distB="0" distL="0" distR="0">
            <wp:extent cx="5025390" cy="2458085"/>
            <wp:effectExtent l="19050" t="0" r="3810" b="0"/>
            <wp:docPr id="14" name="Picture 14" descr="Figure showing the number of patients (in %) in analysis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pic:cNvPicPr>
                      <a:picLocks noChangeAspect="1" noChangeArrowheads="1"/>
                    </pic:cNvPicPr>
                  </pic:nvPicPr>
                  <pic:blipFill>
                    <a:blip r:embed="rId27" cstate="print"/>
                    <a:srcRect/>
                    <a:stretch>
                      <a:fillRect/>
                    </a:stretch>
                  </pic:blipFill>
                  <pic:spPr bwMode="auto">
                    <a:xfrm>
                      <a:off x="0" y="0"/>
                      <a:ext cx="5025390" cy="2458085"/>
                    </a:xfrm>
                    <a:prstGeom prst="rect">
                      <a:avLst/>
                    </a:prstGeom>
                    <a:noFill/>
                    <a:ln w="9525">
                      <a:noFill/>
                      <a:miter lim="800000"/>
                      <a:headEnd/>
                      <a:tailEnd/>
                    </a:ln>
                  </pic:spPr>
                </pic:pic>
              </a:graphicData>
            </a:graphic>
          </wp:inline>
        </w:drawing>
      </w:r>
    </w:p>
    <w:p w:rsidR="006064DA" w:rsidRDefault="006064DA" w:rsidP="0056081D">
      <w:pPr>
        <w:pStyle w:val="TableTitle"/>
      </w:pPr>
      <w:r>
        <w:t>Table 6</w:t>
      </w:r>
      <w:r w:rsidRPr="000471E1">
        <w:t xml:space="preserve">: </w:t>
      </w:r>
      <w:r w:rsidR="008A6F29">
        <w:t xml:space="preserve">Summary of patient disposition during the </w:t>
      </w:r>
      <w:r w:rsidR="005614A3">
        <w:t>d</w:t>
      </w:r>
      <w:r w:rsidR="00040BAE">
        <w:t xml:space="preserve">ouble </w:t>
      </w:r>
      <w:r w:rsidR="005614A3">
        <w:t>b</w:t>
      </w:r>
      <w:r w:rsidR="00040BAE">
        <w:t xml:space="preserve">lind </w:t>
      </w:r>
      <w:r w:rsidR="008A6F29">
        <w:t>phase in randomised</w:t>
      </w:r>
      <w:r w:rsidR="00E32FCA">
        <w:t>,</w:t>
      </w:r>
      <w:r w:rsidR="008A6F29">
        <w:t xml:space="preserve"> controlled trials (</w:t>
      </w:r>
      <w:r w:rsidR="005614A3">
        <w:t>s</w:t>
      </w:r>
      <w:r w:rsidR="008A6F29">
        <w:t>tudies 205, 301 and 302)</w:t>
      </w:r>
      <w:r>
        <w:t>.</w:t>
      </w:r>
    </w:p>
    <w:p w:rsidR="006064DA" w:rsidRPr="00A273BA" w:rsidRDefault="00DA36AD" w:rsidP="00017DD1">
      <w:pPr>
        <w:jc w:val="center"/>
      </w:pPr>
      <w:r>
        <w:rPr>
          <w:noProof/>
          <w:lang w:eastAsia="en-AU"/>
        </w:rPr>
        <w:drawing>
          <wp:inline distT="0" distB="0" distL="0" distR="0">
            <wp:extent cx="5361940" cy="2896870"/>
            <wp:effectExtent l="19050" t="0" r="0" b="0"/>
            <wp:docPr id="15" name="Picture 15" descr="Table showing a summary of patient disposition during the Double Blind phase in randomised, controlled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3"/>
                    <pic:cNvPicPr>
                      <a:picLocks noChangeAspect="1" noChangeArrowheads="1"/>
                    </pic:cNvPicPr>
                  </pic:nvPicPr>
                  <pic:blipFill>
                    <a:blip r:embed="rId28" cstate="print"/>
                    <a:srcRect/>
                    <a:stretch>
                      <a:fillRect/>
                    </a:stretch>
                  </pic:blipFill>
                  <pic:spPr bwMode="auto">
                    <a:xfrm>
                      <a:off x="0" y="0"/>
                      <a:ext cx="5361940" cy="2896870"/>
                    </a:xfrm>
                    <a:prstGeom prst="rect">
                      <a:avLst/>
                    </a:prstGeom>
                    <a:noFill/>
                    <a:ln w="9525">
                      <a:noFill/>
                      <a:miter lim="800000"/>
                      <a:headEnd/>
                      <a:tailEnd/>
                    </a:ln>
                  </pic:spPr>
                </pic:pic>
              </a:graphicData>
            </a:graphic>
          </wp:inline>
        </w:drawing>
      </w:r>
    </w:p>
    <w:p w:rsidR="00A273BA" w:rsidRPr="006064DA" w:rsidRDefault="00A273BA" w:rsidP="0056081D">
      <w:r w:rsidRPr="006064DA">
        <w:lastRenderedPageBreak/>
        <w:t>It should be noted that completion rates were satisfactory in the placebo groups: 84% for Study 301 and 86% for Study 302, but were fairly poor in the active groups: 63% for 1200mg/d, 68% for 900mg/d, and 75% for 600mg/d. This creates a risk of withdrawal bias, given that patients experiencing poor efficacy are more likely to drop out of a study in the face of drug-induced side effects, whereas patients with similar poor efficacy may tolerate placebo and continue. This bias was addressed to some extent by pessimistic imputation methods, such as treating withdrawn patients as non-responders.</w:t>
      </w:r>
    </w:p>
    <w:p w:rsidR="00FF0BD0" w:rsidRPr="00FF0BD0" w:rsidRDefault="00FF0BD0" w:rsidP="0056081D">
      <w:pPr>
        <w:pStyle w:val="Heading6"/>
      </w:pPr>
      <w:r w:rsidRPr="00FF0BD0">
        <w:t xml:space="preserve">Major protocol </w:t>
      </w:r>
      <w:r w:rsidRPr="0056081D">
        <w:t>violations</w:t>
      </w:r>
      <w:r w:rsidRPr="00FF0BD0">
        <w:t>/deviations</w:t>
      </w:r>
    </w:p>
    <w:p w:rsidR="00FF0BD0" w:rsidRPr="00FF0BD0" w:rsidRDefault="00FF0BD0" w:rsidP="0056081D">
      <w:r w:rsidRPr="00FF0BD0">
        <w:t>Protocol violations were relatively infrequent, and are unlikely to have had any substantial impact on the study’s findings. They are tabulated below for Study 301 (</w:t>
      </w:r>
      <w:r>
        <w:t>Table 7</w:t>
      </w:r>
      <w:r w:rsidRPr="00FF0BD0">
        <w:t>) and 302 (</w:t>
      </w:r>
      <w:r>
        <w:t>Table 8</w:t>
      </w:r>
      <w:r w:rsidRPr="00FF0BD0">
        <w:t>).</w:t>
      </w:r>
    </w:p>
    <w:p w:rsidR="002077D9" w:rsidRDefault="002077D9" w:rsidP="0056081D">
      <w:pPr>
        <w:pStyle w:val="TableTitle"/>
      </w:pPr>
      <w:r>
        <w:t>Table 7</w:t>
      </w:r>
      <w:r w:rsidRPr="000471E1">
        <w:t xml:space="preserve">: </w:t>
      </w:r>
      <w:r w:rsidR="00E0769A">
        <w:t>Study 301, protocol variations</w:t>
      </w:r>
      <w:r>
        <w:t>.</w:t>
      </w:r>
    </w:p>
    <w:p w:rsidR="00563927" w:rsidRDefault="00DA36AD" w:rsidP="00017DD1">
      <w:pPr>
        <w:jc w:val="center"/>
      </w:pPr>
      <w:r>
        <w:rPr>
          <w:noProof/>
          <w:lang w:eastAsia="en-AU"/>
        </w:rPr>
        <w:drawing>
          <wp:inline distT="0" distB="0" distL="0" distR="0">
            <wp:extent cx="4228465" cy="1309370"/>
            <wp:effectExtent l="19050" t="0" r="635" b="0"/>
            <wp:docPr id="16" name="Picture 16" descr="Table showing study 301 protocol var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
                    <pic:cNvPicPr>
                      <a:picLocks noChangeAspect="1" noChangeArrowheads="1"/>
                    </pic:cNvPicPr>
                  </pic:nvPicPr>
                  <pic:blipFill>
                    <a:blip r:embed="rId29" cstate="print"/>
                    <a:srcRect/>
                    <a:stretch>
                      <a:fillRect/>
                    </a:stretch>
                  </pic:blipFill>
                  <pic:spPr bwMode="auto">
                    <a:xfrm>
                      <a:off x="0" y="0"/>
                      <a:ext cx="4228465" cy="1309370"/>
                    </a:xfrm>
                    <a:prstGeom prst="rect">
                      <a:avLst/>
                    </a:prstGeom>
                    <a:noFill/>
                    <a:ln w="9525">
                      <a:noFill/>
                      <a:miter lim="800000"/>
                      <a:headEnd/>
                      <a:tailEnd/>
                    </a:ln>
                  </pic:spPr>
                </pic:pic>
              </a:graphicData>
            </a:graphic>
          </wp:inline>
        </w:drawing>
      </w:r>
    </w:p>
    <w:p w:rsidR="002077D9" w:rsidRDefault="002077D9" w:rsidP="0056081D">
      <w:pPr>
        <w:pStyle w:val="TableTitle"/>
      </w:pPr>
      <w:r>
        <w:t>Table 8</w:t>
      </w:r>
      <w:r w:rsidRPr="000471E1">
        <w:t xml:space="preserve">: </w:t>
      </w:r>
      <w:r w:rsidR="00E0769A">
        <w:t>Study 302, protocol variations</w:t>
      </w:r>
      <w:r>
        <w:t>.</w:t>
      </w:r>
    </w:p>
    <w:p w:rsidR="002077D9" w:rsidRDefault="00DA36AD" w:rsidP="00017DD1">
      <w:pPr>
        <w:jc w:val="center"/>
      </w:pPr>
      <w:r>
        <w:rPr>
          <w:noProof/>
          <w:lang w:eastAsia="en-AU"/>
        </w:rPr>
        <w:drawing>
          <wp:inline distT="0" distB="0" distL="0" distR="0">
            <wp:extent cx="4235450" cy="1331595"/>
            <wp:effectExtent l="19050" t="0" r="0" b="0"/>
            <wp:docPr id="17" name="Picture 17" descr="Table showing study 302 protocol var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
                    <pic:cNvPicPr>
                      <a:picLocks noChangeAspect="1" noChangeArrowheads="1"/>
                    </pic:cNvPicPr>
                  </pic:nvPicPr>
                  <pic:blipFill>
                    <a:blip r:embed="rId30" cstate="print"/>
                    <a:srcRect/>
                    <a:stretch>
                      <a:fillRect/>
                    </a:stretch>
                  </pic:blipFill>
                  <pic:spPr bwMode="auto">
                    <a:xfrm>
                      <a:off x="0" y="0"/>
                      <a:ext cx="4235450" cy="1331595"/>
                    </a:xfrm>
                    <a:prstGeom prst="rect">
                      <a:avLst/>
                    </a:prstGeom>
                    <a:noFill/>
                    <a:ln w="9525">
                      <a:noFill/>
                      <a:miter lim="800000"/>
                      <a:headEnd/>
                      <a:tailEnd/>
                    </a:ln>
                  </pic:spPr>
                </pic:pic>
              </a:graphicData>
            </a:graphic>
          </wp:inline>
        </w:drawing>
      </w:r>
    </w:p>
    <w:p w:rsidR="00F21210" w:rsidRPr="00F21210" w:rsidRDefault="00F21210" w:rsidP="0056081D">
      <w:pPr>
        <w:pStyle w:val="Heading6"/>
      </w:pPr>
      <w:r w:rsidRPr="0056081D">
        <w:t>Baseline</w:t>
      </w:r>
      <w:r w:rsidRPr="00F21210">
        <w:t xml:space="preserve"> data</w:t>
      </w:r>
    </w:p>
    <w:p w:rsidR="00017DD1" w:rsidRDefault="00F21210" w:rsidP="00017DD1">
      <w:r w:rsidRPr="00F21210">
        <w:t>In both of the Phase III studies (Study 301 and 302), the treatment groups were generally balanced in terms of baseline demographics and disease characteristics</w:t>
      </w:r>
      <w:r w:rsidR="00552E02">
        <w:t xml:space="preserve"> (Table 9)</w:t>
      </w:r>
      <w:r w:rsidRPr="00F21210">
        <w:t>. The exception was number of subjects receiving 3 AEDs at baseline, which was substantially higher in the placebo group (40.1%) than the 1200mg/d group (27.5%) in Study 301. There was a milder imbalance for the same variable in Study 302, where the placebo group (29.1%) and the 600mg/d group (30.9%) had a higher proportion of subjects on 3 AEDs than the 900mg/d group (24.7%).</w:t>
      </w:r>
    </w:p>
    <w:p w:rsidR="00C0578E" w:rsidRDefault="00C0578E" w:rsidP="00017DD1">
      <w:pPr>
        <w:pStyle w:val="TableTitle"/>
      </w:pPr>
      <w:r>
        <w:lastRenderedPageBreak/>
        <w:t>Table 9</w:t>
      </w:r>
      <w:r w:rsidRPr="000471E1">
        <w:t xml:space="preserve">: </w:t>
      </w:r>
      <w:r w:rsidR="00E32FCA">
        <w:t>Summary of demographic and baseline characteristics: randomi</w:t>
      </w:r>
      <w:r w:rsidR="0056081D">
        <w:t>sed, controlled trials (</w:t>
      </w:r>
      <w:r w:rsidR="005614A3">
        <w:t>s</w:t>
      </w:r>
      <w:r w:rsidR="0056081D">
        <w:t>afety p</w:t>
      </w:r>
      <w:r w:rsidR="00E32FCA">
        <w:t xml:space="preserve">opulation: </w:t>
      </w:r>
      <w:r w:rsidR="005614A3">
        <w:t>s</w:t>
      </w:r>
      <w:r w:rsidR="00E32FCA">
        <w:t>tudies 205, 301 and 302)</w:t>
      </w:r>
      <w:r>
        <w:t>.</w:t>
      </w:r>
    </w:p>
    <w:p w:rsidR="002C6AB5" w:rsidRDefault="00DA36AD" w:rsidP="00017DD1">
      <w:pPr>
        <w:jc w:val="center"/>
      </w:pPr>
      <w:r>
        <w:rPr>
          <w:noProof/>
          <w:lang w:eastAsia="en-AU"/>
        </w:rPr>
        <w:drawing>
          <wp:inline distT="0" distB="0" distL="0" distR="0">
            <wp:extent cx="5727700" cy="2677160"/>
            <wp:effectExtent l="19050" t="0" r="6350" b="0"/>
            <wp:docPr id="18" name="Picture 18" descr="Table showing summary of demographic and baseline characteristics: randomised, controlled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
                    <pic:cNvPicPr>
                      <a:picLocks noChangeAspect="1" noChangeArrowheads="1"/>
                    </pic:cNvPicPr>
                  </pic:nvPicPr>
                  <pic:blipFill>
                    <a:blip r:embed="rId31" cstate="print"/>
                    <a:srcRect/>
                    <a:stretch>
                      <a:fillRect/>
                    </a:stretch>
                  </pic:blipFill>
                  <pic:spPr bwMode="auto">
                    <a:xfrm>
                      <a:off x="0" y="0"/>
                      <a:ext cx="5727700" cy="2677160"/>
                    </a:xfrm>
                    <a:prstGeom prst="rect">
                      <a:avLst/>
                    </a:prstGeom>
                    <a:noFill/>
                    <a:ln w="9525">
                      <a:noFill/>
                      <a:miter lim="800000"/>
                      <a:headEnd/>
                      <a:tailEnd/>
                    </a:ln>
                  </pic:spPr>
                </pic:pic>
              </a:graphicData>
            </a:graphic>
          </wp:inline>
        </w:drawing>
      </w:r>
      <w:r>
        <w:rPr>
          <w:noProof/>
          <w:lang w:eastAsia="en-AU"/>
        </w:rPr>
        <w:drawing>
          <wp:inline distT="0" distB="0" distL="0" distR="0">
            <wp:extent cx="5727700" cy="2165350"/>
            <wp:effectExtent l="19050" t="0" r="6350" b="0"/>
            <wp:docPr id="19" name="Picture 19" descr="Table showing the continued results of summary of demographic and baseline characteristics: randomised, controlled t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2"/>
                    <pic:cNvPicPr>
                      <a:picLocks noChangeAspect="1" noChangeArrowheads="1"/>
                    </pic:cNvPicPr>
                  </pic:nvPicPr>
                  <pic:blipFill>
                    <a:blip r:embed="rId32" cstate="print"/>
                    <a:srcRect/>
                    <a:stretch>
                      <a:fillRect/>
                    </a:stretch>
                  </pic:blipFill>
                  <pic:spPr bwMode="auto">
                    <a:xfrm>
                      <a:off x="0" y="0"/>
                      <a:ext cx="5727700" cy="2165350"/>
                    </a:xfrm>
                    <a:prstGeom prst="rect">
                      <a:avLst/>
                    </a:prstGeom>
                    <a:noFill/>
                    <a:ln w="9525">
                      <a:noFill/>
                      <a:miter lim="800000"/>
                      <a:headEnd/>
                      <a:tailEnd/>
                    </a:ln>
                  </pic:spPr>
                </pic:pic>
              </a:graphicData>
            </a:graphic>
          </wp:inline>
        </w:drawing>
      </w:r>
    </w:p>
    <w:p w:rsidR="00E32FCA" w:rsidRPr="00F21210" w:rsidRDefault="00E32FCA" w:rsidP="0056081D">
      <w:r w:rsidRPr="00F21210">
        <w:t xml:space="preserve">Given that the number of AEDs is an indirect marker of epilepsy severity and treatment-refractoriness, this may have biased the studies in favour of the two highest dose groups, as these had the lowest proportion of triple-therapy patients. (A sub-group analysis across the pooled </w:t>
      </w:r>
      <w:proofErr w:type="spellStart"/>
      <w:r w:rsidRPr="00F21210">
        <w:t>retigabine</w:t>
      </w:r>
      <w:proofErr w:type="spellEnd"/>
      <w:r w:rsidRPr="00F21210">
        <w:t xml:space="preserve"> population subsequently showed that the effect was robust, however, with subgroups based on number of AEDs showing similar treatment effects.)</w:t>
      </w:r>
    </w:p>
    <w:p w:rsidR="00E32FCA" w:rsidRDefault="00E32FCA" w:rsidP="0056081D">
      <w:r w:rsidRPr="00F21210">
        <w:t>In other respects, the studies were well balanced.</w:t>
      </w:r>
    </w:p>
    <w:p w:rsidR="002C6AB5" w:rsidRPr="002C6AB5" w:rsidRDefault="001861BA" w:rsidP="0056081D">
      <w:pPr>
        <w:pStyle w:val="Heading6"/>
      </w:pPr>
      <w:bookmarkStart w:id="150" w:name="_Ref329599710"/>
      <w:r>
        <w:t xml:space="preserve">Results for the </w:t>
      </w:r>
      <w:r w:rsidR="002C6AB5" w:rsidRPr="002C6AB5">
        <w:t xml:space="preserve">primary efficacy </w:t>
      </w:r>
      <w:r w:rsidR="002C6AB5" w:rsidRPr="0056081D">
        <w:t>outcomes</w:t>
      </w:r>
      <w:bookmarkEnd w:id="150"/>
    </w:p>
    <w:p w:rsidR="00017DD1" w:rsidRDefault="002C6AB5" w:rsidP="00017DD1">
      <w:r w:rsidRPr="002C6AB5">
        <w:t>Percent change in seizure frequenc</w:t>
      </w:r>
      <w:r w:rsidR="001861BA">
        <w:t xml:space="preserve">y relative to baseline was a </w:t>
      </w:r>
      <w:r w:rsidRPr="002C6AB5">
        <w:t xml:space="preserve">primary endpoint for Studies 301 and 302. This endpoint was positive in both Phase III studies, as shown in </w:t>
      </w:r>
      <w:r w:rsidR="00A465E6">
        <w:t>Figure 10 and Table 10</w:t>
      </w:r>
      <w:r w:rsidRPr="002C6AB5">
        <w:t>. The median percent reduction in seizure frequency was 44% for the 1200mg/d group, in Study 301, compared to 18% in the corresponding placebo group (an attributable reduction in seizures of 26% over and above the placebo response).</w:t>
      </w:r>
      <w:r w:rsidR="00460F24">
        <w:t xml:space="preserve"> </w:t>
      </w:r>
      <w:r w:rsidRPr="002C6AB5">
        <w:t>For the 900mg/d and 600mg/d groups, in Study 302, the reductions were somewhat less, 40% and 28% respectively, which was nonetheless superior to the 16% reduction observed with placebo. All comparisons with placebo were statistically significant (p&lt;0.001 for 1200mg/d and 900mg/d, p=0.00</w:t>
      </w:r>
      <w:r w:rsidR="001861BA">
        <w:t>7</w:t>
      </w:r>
      <w:r w:rsidRPr="002C6AB5">
        <w:t xml:space="preserve"> for 600mg/d). </w:t>
      </w:r>
    </w:p>
    <w:p w:rsidR="00310A05" w:rsidRPr="004A1C07" w:rsidRDefault="00310A05" w:rsidP="00017DD1">
      <w:pPr>
        <w:pStyle w:val="FigureTitle"/>
        <w:keepNext/>
        <w:rPr>
          <w:lang w:val="en-GB"/>
        </w:rPr>
      </w:pPr>
      <w:r w:rsidRPr="0056081D">
        <w:lastRenderedPageBreak/>
        <w:t>Figure</w:t>
      </w:r>
      <w:r>
        <w:t xml:space="preserve"> 10</w:t>
      </w:r>
      <w:r w:rsidRPr="000471E1">
        <w:t xml:space="preserve">: </w:t>
      </w:r>
      <w:r w:rsidR="00B23E4D">
        <w:t>R</w:t>
      </w:r>
      <w:r w:rsidR="0056081D">
        <w:t xml:space="preserve">esponder rate: </w:t>
      </w:r>
      <w:r w:rsidR="005614A3">
        <w:t>m</w:t>
      </w:r>
      <w:r w:rsidR="0056081D">
        <w:t>aintenance phase (ITT m</w:t>
      </w:r>
      <w:r w:rsidR="00981234">
        <w:t xml:space="preserve">aintenance </w:t>
      </w:r>
      <w:r w:rsidR="0056081D">
        <w:t>p</w:t>
      </w:r>
      <w:r w:rsidR="00981234">
        <w:t xml:space="preserve">opulation: </w:t>
      </w:r>
      <w:r w:rsidR="005614A3">
        <w:t>s</w:t>
      </w:r>
      <w:r w:rsidR="00B23E4D">
        <w:t>tudies 205, 301 and 302)</w:t>
      </w:r>
      <w:r>
        <w:t>.</w:t>
      </w:r>
    </w:p>
    <w:p w:rsidR="00470FE1" w:rsidRDefault="00DA36AD" w:rsidP="006A06B0">
      <w:pPr>
        <w:jc w:val="center"/>
      </w:pPr>
      <w:r>
        <w:rPr>
          <w:noProof/>
          <w:lang w:eastAsia="en-AU"/>
        </w:rPr>
        <w:drawing>
          <wp:inline distT="0" distB="0" distL="0" distR="0">
            <wp:extent cx="3986530" cy="2903855"/>
            <wp:effectExtent l="19050" t="0" r="0" b="0"/>
            <wp:docPr id="20" name="Picture 20" descr="Figure showing responder rate: Maintenance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
                    <pic:cNvPicPr>
                      <a:picLocks noChangeAspect="1" noChangeArrowheads="1"/>
                    </pic:cNvPicPr>
                  </pic:nvPicPr>
                  <pic:blipFill>
                    <a:blip r:embed="rId33" cstate="print"/>
                    <a:srcRect/>
                    <a:stretch>
                      <a:fillRect/>
                    </a:stretch>
                  </pic:blipFill>
                  <pic:spPr bwMode="auto">
                    <a:xfrm>
                      <a:off x="0" y="0"/>
                      <a:ext cx="3986530" cy="2903855"/>
                    </a:xfrm>
                    <a:prstGeom prst="rect">
                      <a:avLst/>
                    </a:prstGeom>
                    <a:noFill/>
                    <a:ln w="9525">
                      <a:noFill/>
                      <a:miter lim="800000"/>
                      <a:headEnd/>
                      <a:tailEnd/>
                    </a:ln>
                  </pic:spPr>
                </pic:pic>
              </a:graphicData>
            </a:graphic>
          </wp:inline>
        </w:drawing>
      </w:r>
    </w:p>
    <w:p w:rsidR="00470FE1" w:rsidRDefault="00470FE1" w:rsidP="0056081D">
      <w:pPr>
        <w:pStyle w:val="TableTitle"/>
      </w:pPr>
      <w:r>
        <w:t>Table 10</w:t>
      </w:r>
      <w:r w:rsidRPr="000471E1">
        <w:t xml:space="preserve">: </w:t>
      </w:r>
      <w:r w:rsidR="0056081D">
        <w:t xml:space="preserve">Responder rates: </w:t>
      </w:r>
      <w:r w:rsidR="005614A3">
        <w:t>m</w:t>
      </w:r>
      <w:r w:rsidR="0056081D">
        <w:t>aintenance p</w:t>
      </w:r>
      <w:r w:rsidR="005B1170">
        <w:t xml:space="preserve">hase (ITT </w:t>
      </w:r>
      <w:r w:rsidR="0056081D">
        <w:t>m</w:t>
      </w:r>
      <w:r w:rsidR="005B1170">
        <w:t xml:space="preserve">aintenance </w:t>
      </w:r>
      <w:r w:rsidR="0056081D">
        <w:t>p</w:t>
      </w:r>
      <w:r w:rsidR="005B1170">
        <w:t xml:space="preserve">opulation: </w:t>
      </w:r>
      <w:r w:rsidR="005614A3">
        <w:t>s</w:t>
      </w:r>
      <w:r w:rsidR="005B1170">
        <w:t>tudies 205, 301 and 302)</w:t>
      </w:r>
      <w:r>
        <w:t>.</w:t>
      </w:r>
    </w:p>
    <w:p w:rsidR="00470FE1" w:rsidRDefault="00DA36AD" w:rsidP="00017DD1">
      <w:pPr>
        <w:jc w:val="center"/>
      </w:pPr>
      <w:r>
        <w:rPr>
          <w:noProof/>
          <w:lang w:eastAsia="en-AU"/>
        </w:rPr>
        <w:drawing>
          <wp:inline distT="0" distB="0" distL="0" distR="0">
            <wp:extent cx="3767455" cy="3167380"/>
            <wp:effectExtent l="19050" t="0" r="4445" b="0"/>
            <wp:docPr id="21" name="Picture 21" descr="Table showing responder rates: Maintenance ph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
                    <pic:cNvPicPr>
                      <a:picLocks noChangeAspect="1" noChangeArrowheads="1"/>
                    </pic:cNvPicPr>
                  </pic:nvPicPr>
                  <pic:blipFill>
                    <a:blip r:embed="rId34" cstate="print"/>
                    <a:srcRect/>
                    <a:stretch>
                      <a:fillRect/>
                    </a:stretch>
                  </pic:blipFill>
                  <pic:spPr bwMode="auto">
                    <a:xfrm>
                      <a:off x="0" y="0"/>
                      <a:ext cx="3767455" cy="3167380"/>
                    </a:xfrm>
                    <a:prstGeom prst="rect">
                      <a:avLst/>
                    </a:prstGeom>
                    <a:noFill/>
                    <a:ln w="9525">
                      <a:noFill/>
                      <a:miter lim="800000"/>
                      <a:headEnd/>
                      <a:tailEnd/>
                    </a:ln>
                  </pic:spPr>
                </pic:pic>
              </a:graphicData>
            </a:graphic>
          </wp:inline>
        </w:drawing>
      </w:r>
    </w:p>
    <w:p w:rsidR="00AF2500" w:rsidRPr="002C6AB5" w:rsidRDefault="00AF2500" w:rsidP="0056081D">
      <w:r w:rsidRPr="002C6AB5">
        <w:t>This seizure reduction represents a modest but worthwhile clinical gain, especially considering that these subjects had already shown treatment refractoriness when treated with established AEDs.</w:t>
      </w:r>
    </w:p>
    <w:p w:rsidR="00AF2500" w:rsidRPr="002C6AB5" w:rsidRDefault="00AF2500" w:rsidP="0056081D">
      <w:r w:rsidRPr="002C6AB5">
        <w:t>Although Study 205 will be discussed later, the results of that study are also included in the figure and table b</w:t>
      </w:r>
      <w:r w:rsidR="00124C94">
        <w:t>elow. Considered together, all three</w:t>
      </w:r>
      <w:r w:rsidRPr="002C6AB5">
        <w:t xml:space="preserve"> studies indicate a broadly consistent dose-response relationship, with some efficacy at 600mg/d and better efficacy at increasing doses to 1200mg/d.</w:t>
      </w:r>
    </w:p>
    <w:p w:rsidR="000328CD" w:rsidRPr="000328CD" w:rsidRDefault="00AF7598" w:rsidP="0056081D">
      <w:r>
        <w:t xml:space="preserve">The second </w:t>
      </w:r>
      <w:r w:rsidR="000328CD" w:rsidRPr="000328CD">
        <w:t xml:space="preserve">primary endpoint was the responder rate, with responders defined as those exhibiting a ≥ 50% reduction in the maintenance phase relative to the </w:t>
      </w:r>
      <w:r>
        <w:t>baseline</w:t>
      </w:r>
      <w:r w:rsidR="000328CD" w:rsidRPr="000328CD">
        <w:t xml:space="preserve"> phase. (Subjects </w:t>
      </w:r>
      <w:r w:rsidR="000328CD" w:rsidRPr="000328CD">
        <w:lastRenderedPageBreak/>
        <w:t xml:space="preserve">not reaching the maintenance phase were censored from this analysis – for a sensitivity analysis with pessimistic imputation, see Table </w:t>
      </w:r>
      <w:r w:rsidR="00817424">
        <w:t>11</w:t>
      </w:r>
      <w:r w:rsidR="00176EED">
        <w:t>.)</w:t>
      </w:r>
      <w:r w:rsidR="000328CD" w:rsidRPr="000328CD">
        <w:t xml:space="preserve"> </w:t>
      </w:r>
    </w:p>
    <w:p w:rsidR="005D2A66" w:rsidRDefault="005D2A66" w:rsidP="0056081D">
      <w:pPr>
        <w:pStyle w:val="TableTitle"/>
      </w:pPr>
      <w:r>
        <w:t>Table 11</w:t>
      </w:r>
      <w:r w:rsidRPr="000471E1">
        <w:t xml:space="preserve">: </w:t>
      </w:r>
      <w:r w:rsidR="001D58B4">
        <w:t xml:space="preserve">Post hoc sensitivity analysis of responder </w:t>
      </w:r>
      <w:r w:rsidR="0056081D">
        <w:t>rates in the maintenance p</w:t>
      </w:r>
      <w:r w:rsidR="00040BAE">
        <w:t>hase (</w:t>
      </w:r>
      <w:r w:rsidR="001D58B4">
        <w:t xml:space="preserve">ITT </w:t>
      </w:r>
      <w:r w:rsidR="00817424">
        <w:t>p</w:t>
      </w:r>
      <w:r w:rsidR="001D58B4">
        <w:t xml:space="preserve">opulation for </w:t>
      </w:r>
      <w:r w:rsidR="0056081D">
        <w:t>s</w:t>
      </w:r>
      <w:r w:rsidR="001D58B4">
        <w:t xml:space="preserve">tudy 205 and ITT </w:t>
      </w:r>
      <w:r w:rsidR="005614A3">
        <w:t>d</w:t>
      </w:r>
      <w:r w:rsidR="00040BAE">
        <w:t xml:space="preserve">ouble </w:t>
      </w:r>
      <w:r w:rsidR="005614A3">
        <w:t>b</w:t>
      </w:r>
      <w:r w:rsidR="00040BAE">
        <w:t xml:space="preserve">lind </w:t>
      </w:r>
      <w:r w:rsidR="001D58B4">
        <w:t xml:space="preserve">population for </w:t>
      </w:r>
      <w:r w:rsidR="0056081D">
        <w:t>s</w:t>
      </w:r>
      <w:r w:rsidR="001D58B4">
        <w:t>tudies 301 and 302</w:t>
      </w:r>
      <w:r w:rsidR="00040BAE">
        <w:t>)</w:t>
      </w:r>
      <w:r>
        <w:t>.</w:t>
      </w:r>
    </w:p>
    <w:p w:rsidR="000328CD" w:rsidRDefault="00DA36AD" w:rsidP="00817424">
      <w:pPr>
        <w:jc w:val="center"/>
      </w:pPr>
      <w:r>
        <w:rPr>
          <w:noProof/>
          <w:lang w:eastAsia="en-AU"/>
        </w:rPr>
        <w:drawing>
          <wp:inline distT="0" distB="0" distL="0" distR="0">
            <wp:extent cx="5237480" cy="2838450"/>
            <wp:effectExtent l="19050" t="0" r="1270" b="0"/>
            <wp:docPr id="22" name="Picture 22" descr="Table showing post hoc sensitivity analysis of responder rates in the maintenance ph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1"/>
                    <pic:cNvPicPr>
                      <a:picLocks noChangeAspect="1" noChangeArrowheads="1"/>
                    </pic:cNvPicPr>
                  </pic:nvPicPr>
                  <pic:blipFill>
                    <a:blip r:embed="rId35" cstate="print"/>
                    <a:srcRect/>
                    <a:stretch>
                      <a:fillRect/>
                    </a:stretch>
                  </pic:blipFill>
                  <pic:spPr bwMode="auto">
                    <a:xfrm>
                      <a:off x="0" y="0"/>
                      <a:ext cx="5237480" cy="2838450"/>
                    </a:xfrm>
                    <a:prstGeom prst="rect">
                      <a:avLst/>
                    </a:prstGeom>
                    <a:noFill/>
                    <a:ln w="9525">
                      <a:noFill/>
                      <a:miter lim="800000"/>
                      <a:headEnd/>
                      <a:tailEnd/>
                    </a:ln>
                  </pic:spPr>
                </pic:pic>
              </a:graphicData>
            </a:graphic>
          </wp:inline>
        </w:drawing>
      </w:r>
    </w:p>
    <w:p w:rsidR="00817424" w:rsidRPr="000328CD" w:rsidRDefault="00817424" w:rsidP="0056081D">
      <w:r w:rsidRPr="000328CD">
        <w:t>Results for this endpoint were clearly positive for both of the Phase III studies (p&lt;0.001 for all comparisons with placebo, using Fisher’s exact test). There was a dose-response relationship, with progressively better responses at higher doses, up to 1200mg/d (Study 301). At this dose, 56% of subjects experienced a ≥ 50% seizure reduction, compared to a response rate of 23% in the corresponding placebo group. The response rate at lower doses was also clinically meaningful: 39% and 47% for the 600mg/d and 900mg/d doses, respectively, compared to 19% for the corresponding placebo group (Study 302).</w:t>
      </w:r>
    </w:p>
    <w:p w:rsidR="00817424" w:rsidRPr="005D2A66" w:rsidRDefault="00817424" w:rsidP="0056081D">
      <w:r w:rsidRPr="005D2A66">
        <w:t>Sensitivity analyses confirmed the robustness of this finding. If the entire double-blind phase is considered, and data from the titration phase is used where necessary to determine responder status, as in sensitivity analysis (SA) (</w:t>
      </w:r>
      <w:proofErr w:type="spellStart"/>
      <w:r w:rsidRPr="005D2A66">
        <w:t>i</w:t>
      </w:r>
      <w:proofErr w:type="spellEnd"/>
      <w:r w:rsidRPr="005D2A66">
        <w:t>) below, the response rate in the 1200mg/d group of Study 301 deteriorates to 50% but remains significantly superior to the placebo response rate of 21% (p&lt;0.0</w:t>
      </w:r>
      <w:r w:rsidR="009A2C50">
        <w:t>0</w:t>
      </w:r>
      <w:r w:rsidRPr="005D2A66">
        <w:t xml:space="preserve">1). If those withdrawing during the titration phase are pessimistically classified as non-responders, as in SA (ii), the response rate at this dose is 43% but still significantly superior to the placebo response rate of 20% (p&lt;0.001). If all withdrawing patients are considered non-responders, as in SA </w:t>
      </w:r>
      <w:r w:rsidR="00AD689F">
        <w:t>(</w:t>
      </w:r>
      <w:r w:rsidRPr="005D2A66">
        <w:t>iii), the response rate in the 1200mg/d group is only 38%, but this is substantially better than the corresponding rate in the placebo group (18%, p&lt;0.001). This last method of imputation probably has the best correlation with clinical notions of a useful response. The corresponding response rates in Study 302, where lower doses were used, are numerically inferior to the high-dose response but remain significant for all three sensitivity analyses (</w:t>
      </w:r>
      <w:r>
        <w:t>Table 11</w:t>
      </w:r>
      <w:r w:rsidRPr="005D2A66">
        <w:t>).</w:t>
      </w:r>
    </w:p>
    <w:p w:rsidR="00817424" w:rsidRPr="009D4974" w:rsidRDefault="00817424" w:rsidP="0056081D">
      <w:pPr>
        <w:pStyle w:val="Heading6"/>
      </w:pPr>
      <w:r w:rsidRPr="009D4974">
        <w:t xml:space="preserve">Results for </w:t>
      </w:r>
      <w:r w:rsidRPr="0056081D">
        <w:t>other</w:t>
      </w:r>
      <w:r w:rsidRPr="009D4974">
        <w:t xml:space="preserve"> efficacy outcomes</w:t>
      </w:r>
    </w:p>
    <w:p w:rsidR="00017DD1" w:rsidRDefault="00817424" w:rsidP="00017DD1">
      <w:r w:rsidRPr="009D4974">
        <w:t xml:space="preserve">Results for secondary endpoints were broadly consistent with the primary endpoints, and add little information except to confirm the robustness of the main findings. The percent change in seizure frequency remained significant when analysis was based on the maintenance phase (rather than the entire double-blind phase), as shown in </w:t>
      </w:r>
      <w:r w:rsidR="00602B52" w:rsidRPr="009D4974">
        <w:t>Table 12</w:t>
      </w:r>
      <w:r w:rsidRPr="009D4974">
        <w:t>.</w:t>
      </w:r>
    </w:p>
    <w:p w:rsidR="009D4974" w:rsidRDefault="009D4974" w:rsidP="00017DD1">
      <w:pPr>
        <w:pStyle w:val="TableTitle"/>
      </w:pPr>
      <w:r>
        <w:lastRenderedPageBreak/>
        <w:t>Table 12</w:t>
      </w:r>
      <w:r w:rsidRPr="000471E1">
        <w:t xml:space="preserve">: </w:t>
      </w:r>
      <w:r>
        <w:t xml:space="preserve">Percent change from baseline </w:t>
      </w:r>
      <w:r w:rsidR="000F3EE3">
        <w:t>in total partial seizu</w:t>
      </w:r>
      <w:r w:rsidR="00040BAE">
        <w:t xml:space="preserve">re frequency: </w:t>
      </w:r>
      <w:r w:rsidR="005614A3">
        <w:t>m</w:t>
      </w:r>
      <w:r w:rsidR="0056081D">
        <w:t>aintenance p</w:t>
      </w:r>
      <w:r w:rsidR="000F3EE3">
        <w:t xml:space="preserve">hase (ITT </w:t>
      </w:r>
      <w:r w:rsidR="0056081D">
        <w:t>m</w:t>
      </w:r>
      <w:r w:rsidR="000F3EE3">
        <w:t xml:space="preserve">aintenance </w:t>
      </w:r>
      <w:r w:rsidR="0056081D">
        <w:t>p</w:t>
      </w:r>
      <w:r w:rsidR="000F3EE3">
        <w:t xml:space="preserve">opulation: </w:t>
      </w:r>
      <w:r w:rsidR="005614A3">
        <w:t>s</w:t>
      </w:r>
      <w:r w:rsidR="000F3EE3">
        <w:t>tudies 205, 301 and 302)</w:t>
      </w:r>
      <w:r>
        <w:t>.</w:t>
      </w:r>
    </w:p>
    <w:p w:rsidR="00817424" w:rsidRDefault="00DA36AD" w:rsidP="00017DD1">
      <w:pPr>
        <w:jc w:val="center"/>
      </w:pPr>
      <w:r>
        <w:rPr>
          <w:noProof/>
          <w:lang w:eastAsia="en-AU"/>
        </w:rPr>
        <w:drawing>
          <wp:inline distT="0" distB="0" distL="0" distR="0">
            <wp:extent cx="4052570" cy="3994150"/>
            <wp:effectExtent l="19050" t="0" r="5080" b="0"/>
            <wp:docPr id="23" name="Picture 23" descr="Table showing percent change from baseline in total partial seizure frequency: Maintenance ph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1"/>
                    <pic:cNvPicPr>
                      <a:picLocks noChangeAspect="1" noChangeArrowheads="1"/>
                    </pic:cNvPicPr>
                  </pic:nvPicPr>
                  <pic:blipFill>
                    <a:blip r:embed="rId36" cstate="print"/>
                    <a:srcRect/>
                    <a:stretch>
                      <a:fillRect/>
                    </a:stretch>
                  </pic:blipFill>
                  <pic:spPr bwMode="auto">
                    <a:xfrm>
                      <a:off x="0" y="0"/>
                      <a:ext cx="4052570" cy="3994150"/>
                    </a:xfrm>
                    <a:prstGeom prst="rect">
                      <a:avLst/>
                    </a:prstGeom>
                    <a:noFill/>
                    <a:ln w="9525">
                      <a:noFill/>
                      <a:miter lim="800000"/>
                      <a:headEnd/>
                      <a:tailEnd/>
                    </a:ln>
                  </pic:spPr>
                </pic:pic>
              </a:graphicData>
            </a:graphic>
          </wp:inline>
        </w:drawing>
      </w:r>
    </w:p>
    <w:p w:rsidR="00CF193C" w:rsidRDefault="000F3EE3" w:rsidP="00CF193C">
      <w:r w:rsidRPr="000F3EE3">
        <w:t xml:space="preserve">When the various responses were categorised into 25% brackets, as shown in the tables below, the statistical significance of the treatment effect was similar to that seen with the coarse responder/non-responder analysis. </w:t>
      </w:r>
      <w:r w:rsidR="008E5A7D">
        <w:t xml:space="preserve">Reductions of </w:t>
      </w:r>
      <w:r w:rsidR="00F17B41">
        <w:t>≥</w:t>
      </w:r>
      <w:r w:rsidRPr="000F3EE3">
        <w:t xml:space="preserve"> 75% were relatively rare but were more common with high-dose </w:t>
      </w:r>
      <w:proofErr w:type="spellStart"/>
      <w:r w:rsidRPr="000F3EE3">
        <w:t>retigabine</w:t>
      </w:r>
      <w:proofErr w:type="spellEnd"/>
      <w:r w:rsidRPr="000F3EE3">
        <w:t xml:space="preserve"> than with placebo (18% at 1200mg/d, 4% with placebo, in the double-blind phase of Study 301). At lower doses, in Study 302, the proportions of patients experiencing this level of reduction were more similar to placebo (</w:t>
      </w:r>
      <w:r w:rsidR="00AD0F48">
        <w:t>Table 13</w:t>
      </w:r>
      <w:r w:rsidRPr="000F3EE3">
        <w:t>). Results in the maintenance phase were slightly better (</w:t>
      </w:r>
      <w:r w:rsidR="00AD0F48">
        <w:t>Table 14</w:t>
      </w:r>
      <w:r w:rsidRPr="000F3EE3">
        <w:t>).</w:t>
      </w:r>
    </w:p>
    <w:p w:rsidR="0005025A" w:rsidRDefault="0005025A" w:rsidP="00CF193C">
      <w:pPr>
        <w:pStyle w:val="TableTitle"/>
      </w:pPr>
      <w:r>
        <w:lastRenderedPageBreak/>
        <w:t>Table 1</w:t>
      </w:r>
      <w:r w:rsidR="007D6CD1">
        <w:t>3</w:t>
      </w:r>
      <w:r w:rsidRPr="000471E1">
        <w:t xml:space="preserve">: </w:t>
      </w:r>
      <w:r w:rsidR="000F0787">
        <w:t>Percent reduction in 28-d</w:t>
      </w:r>
      <w:r w:rsidR="007D6CD1">
        <w:t>ay total partial seizure frequency by reduction category (</w:t>
      </w:r>
      <w:r w:rsidR="005614A3">
        <w:t>d</w:t>
      </w:r>
      <w:r w:rsidR="00040BAE">
        <w:t xml:space="preserve">ouble </w:t>
      </w:r>
      <w:r w:rsidR="005614A3">
        <w:t>b</w:t>
      </w:r>
      <w:r w:rsidR="00040BAE">
        <w:t xml:space="preserve">lind </w:t>
      </w:r>
      <w:r w:rsidR="007D6CD1">
        <w:t xml:space="preserve">phase) (ITT </w:t>
      </w:r>
      <w:r w:rsidR="000F0787">
        <w:t>p</w:t>
      </w:r>
      <w:r w:rsidR="007D6CD1">
        <w:t xml:space="preserve">opulation: </w:t>
      </w:r>
      <w:r w:rsidR="005614A3">
        <w:t>s</w:t>
      </w:r>
      <w:r>
        <w:t>tudies 205, 301 and 302).</w:t>
      </w:r>
    </w:p>
    <w:p w:rsidR="00CF193C" w:rsidRDefault="00DA36AD" w:rsidP="00CF193C">
      <w:pPr>
        <w:jc w:val="center"/>
      </w:pPr>
      <w:r>
        <w:rPr>
          <w:noProof/>
          <w:lang w:eastAsia="en-AU"/>
        </w:rPr>
        <w:drawing>
          <wp:inline distT="0" distB="0" distL="0" distR="0">
            <wp:extent cx="4206240" cy="4871720"/>
            <wp:effectExtent l="19050" t="0" r="3810" b="0"/>
            <wp:docPr id="24" name="Picture 24" descr="Table showing percent reduction in 28-day total partial seizure frequency by reduction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1"/>
                    <pic:cNvPicPr>
                      <a:picLocks noChangeAspect="1" noChangeArrowheads="1"/>
                    </pic:cNvPicPr>
                  </pic:nvPicPr>
                  <pic:blipFill>
                    <a:blip r:embed="rId37" cstate="print"/>
                    <a:srcRect/>
                    <a:stretch>
                      <a:fillRect/>
                    </a:stretch>
                  </pic:blipFill>
                  <pic:spPr bwMode="auto">
                    <a:xfrm>
                      <a:off x="0" y="0"/>
                      <a:ext cx="4206240" cy="4871720"/>
                    </a:xfrm>
                    <a:prstGeom prst="rect">
                      <a:avLst/>
                    </a:prstGeom>
                    <a:noFill/>
                    <a:ln w="9525">
                      <a:noFill/>
                      <a:miter lim="800000"/>
                      <a:headEnd/>
                      <a:tailEnd/>
                    </a:ln>
                  </pic:spPr>
                </pic:pic>
              </a:graphicData>
            </a:graphic>
          </wp:inline>
        </w:drawing>
      </w:r>
    </w:p>
    <w:p w:rsidR="0005025A" w:rsidRDefault="0005025A" w:rsidP="00CF193C">
      <w:pPr>
        <w:pStyle w:val="TableTitle"/>
      </w:pPr>
      <w:r>
        <w:lastRenderedPageBreak/>
        <w:t>Table 1</w:t>
      </w:r>
      <w:r w:rsidR="007D6CD1">
        <w:t>4</w:t>
      </w:r>
      <w:r w:rsidRPr="000471E1">
        <w:t xml:space="preserve">: </w:t>
      </w:r>
      <w:r w:rsidR="000F0787">
        <w:t>Percent reduction in 28-d</w:t>
      </w:r>
      <w:r w:rsidR="007D6CD1">
        <w:t>ay total partial seizure frequency by reduction cat</w:t>
      </w:r>
      <w:r w:rsidR="000F0787">
        <w:t>egory (</w:t>
      </w:r>
      <w:r w:rsidR="005614A3">
        <w:t>m</w:t>
      </w:r>
      <w:r w:rsidR="000F0787">
        <w:t>aintenance phase) (ITT m</w:t>
      </w:r>
      <w:r w:rsidR="007D6CD1">
        <w:t xml:space="preserve">aintenance </w:t>
      </w:r>
      <w:r w:rsidR="000F0787">
        <w:t>p</w:t>
      </w:r>
      <w:r w:rsidR="007D6CD1">
        <w:t xml:space="preserve">opulation: </w:t>
      </w:r>
      <w:r w:rsidR="005614A3">
        <w:t>s</w:t>
      </w:r>
      <w:r w:rsidR="007D6CD1">
        <w:t>tudies 205, 301 and 302)</w:t>
      </w:r>
      <w:r>
        <w:t>.</w:t>
      </w:r>
    </w:p>
    <w:p w:rsidR="0005025A" w:rsidRDefault="00DA36AD" w:rsidP="00CF193C">
      <w:pPr>
        <w:jc w:val="center"/>
      </w:pPr>
      <w:r>
        <w:rPr>
          <w:noProof/>
          <w:lang w:eastAsia="en-AU"/>
        </w:rPr>
        <w:drawing>
          <wp:inline distT="0" distB="0" distL="0" distR="0">
            <wp:extent cx="4243070" cy="4498975"/>
            <wp:effectExtent l="19050" t="0" r="5080" b="0"/>
            <wp:docPr id="25" name="Picture 25" descr="Table showing percent reduction in 28-day total partial seizure frequency by reduction categ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1"/>
                    <pic:cNvPicPr>
                      <a:picLocks noChangeAspect="1" noChangeArrowheads="1"/>
                    </pic:cNvPicPr>
                  </pic:nvPicPr>
                  <pic:blipFill>
                    <a:blip r:embed="rId38" cstate="print"/>
                    <a:srcRect/>
                    <a:stretch>
                      <a:fillRect/>
                    </a:stretch>
                  </pic:blipFill>
                  <pic:spPr bwMode="auto">
                    <a:xfrm>
                      <a:off x="0" y="0"/>
                      <a:ext cx="4243070" cy="4498975"/>
                    </a:xfrm>
                    <a:prstGeom prst="rect">
                      <a:avLst/>
                    </a:prstGeom>
                    <a:noFill/>
                    <a:ln w="9525">
                      <a:noFill/>
                      <a:miter lim="800000"/>
                      <a:headEnd/>
                      <a:tailEnd/>
                    </a:ln>
                  </pic:spPr>
                </pic:pic>
              </a:graphicData>
            </a:graphic>
          </wp:inline>
        </w:drawing>
      </w:r>
    </w:p>
    <w:p w:rsidR="00CF193C" w:rsidRDefault="00772FB0" w:rsidP="00CF193C">
      <w:r w:rsidRPr="00772FB0">
        <w:t xml:space="preserve">Seizure-freedom, the endpoint that most patients hope for when embarking on a new treatment, was unfortunately rare but it was more likely with </w:t>
      </w:r>
      <w:proofErr w:type="spellStart"/>
      <w:r w:rsidRPr="00772FB0">
        <w:t>retigabine</w:t>
      </w:r>
      <w:proofErr w:type="spellEnd"/>
      <w:r w:rsidRPr="00772FB0">
        <w:t>.</w:t>
      </w:r>
      <w:r w:rsidR="00460F24">
        <w:t xml:space="preserve"> </w:t>
      </w:r>
      <w:r w:rsidRPr="00772FB0">
        <w:t xml:space="preserve">In the maintenance phase of Study 301, this was achieved in 7.6% of </w:t>
      </w:r>
      <w:proofErr w:type="spellStart"/>
      <w:r w:rsidRPr="00772FB0">
        <w:t>retigabine</w:t>
      </w:r>
      <w:proofErr w:type="spellEnd"/>
      <w:r w:rsidRPr="00772FB0">
        <w:t xml:space="preserve"> 1200mg/d recipients, compared to 1.5% of placebo recipients (p=0.027). In the maintenance phase of Study 302, seizure-freedom was achieved in 3.2% and 4.7% of the 600mg/d and 900mg/d doses, respectively, compared to 1.2% of placebo recip</w:t>
      </w:r>
      <w:r w:rsidR="00D91AD8">
        <w:t>ients (p-value not significant) (Table 15).</w:t>
      </w:r>
    </w:p>
    <w:p w:rsidR="00D91AD8" w:rsidRDefault="00D91AD8" w:rsidP="00CF193C">
      <w:pPr>
        <w:pStyle w:val="TableTitle"/>
      </w:pPr>
      <w:r>
        <w:lastRenderedPageBreak/>
        <w:t>Table 1</w:t>
      </w:r>
      <w:r w:rsidR="00794EBF">
        <w:t>5</w:t>
      </w:r>
      <w:r w:rsidRPr="000471E1">
        <w:t xml:space="preserve">: </w:t>
      </w:r>
      <w:r w:rsidR="00794EBF">
        <w:t>Percent of patients who were seizure free</w:t>
      </w:r>
      <w:r w:rsidR="003D714A">
        <w:t xml:space="preserve"> (</w:t>
      </w:r>
      <w:r w:rsidR="005614A3">
        <w:t>m</w:t>
      </w:r>
      <w:r w:rsidR="003D714A">
        <w:t>aintenance phase) (ITT maintenance p</w:t>
      </w:r>
      <w:r>
        <w:t xml:space="preserve">opulation: </w:t>
      </w:r>
      <w:r w:rsidR="005614A3">
        <w:t>s</w:t>
      </w:r>
      <w:r>
        <w:t>tudies 205, 301 and 302).</w:t>
      </w:r>
    </w:p>
    <w:p w:rsidR="00772FB0" w:rsidRDefault="00DA36AD" w:rsidP="00794EBF">
      <w:pPr>
        <w:jc w:val="center"/>
      </w:pPr>
      <w:r>
        <w:rPr>
          <w:noProof/>
          <w:lang w:eastAsia="en-AU"/>
        </w:rPr>
        <w:drawing>
          <wp:inline distT="0" distB="0" distL="0" distR="0">
            <wp:extent cx="4432935" cy="3189605"/>
            <wp:effectExtent l="19050" t="0" r="5715" b="0"/>
            <wp:docPr id="26" name="Picture 26" descr="Table showing percent of patients who were seizure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1"/>
                    <pic:cNvPicPr>
                      <a:picLocks noChangeAspect="1" noChangeArrowheads="1"/>
                    </pic:cNvPicPr>
                  </pic:nvPicPr>
                  <pic:blipFill>
                    <a:blip r:embed="rId39" cstate="print"/>
                    <a:srcRect/>
                    <a:stretch>
                      <a:fillRect/>
                    </a:stretch>
                  </pic:blipFill>
                  <pic:spPr bwMode="auto">
                    <a:xfrm>
                      <a:off x="0" y="0"/>
                      <a:ext cx="4432935" cy="3189605"/>
                    </a:xfrm>
                    <a:prstGeom prst="rect">
                      <a:avLst/>
                    </a:prstGeom>
                    <a:noFill/>
                    <a:ln w="9525">
                      <a:noFill/>
                      <a:miter lim="800000"/>
                      <a:headEnd/>
                      <a:tailEnd/>
                    </a:ln>
                  </pic:spPr>
                </pic:pic>
              </a:graphicData>
            </a:graphic>
          </wp:inline>
        </w:drawing>
      </w:r>
    </w:p>
    <w:p w:rsidR="00794EBF" w:rsidRPr="00794EBF" w:rsidRDefault="00794EBF" w:rsidP="007D551A">
      <w:r w:rsidRPr="00794EBF">
        <w:t xml:space="preserve">The percentage of seizure-free days (Tables </w:t>
      </w:r>
      <w:r>
        <w:t>16 and 17</w:t>
      </w:r>
      <w:r w:rsidRPr="00794EBF">
        <w:t>) significantly favoured active treatment but the proportion of extra seizure-free days on active treatment was disappointing: just 5% in the double-blind phase for the highest dose group (</w:t>
      </w:r>
      <w:proofErr w:type="spellStart"/>
      <w:r w:rsidRPr="00794EBF">
        <w:t>retigabine</w:t>
      </w:r>
      <w:proofErr w:type="spellEnd"/>
      <w:r w:rsidRPr="00794EBF">
        <w:t xml:space="preserve"> 1200mg/d, </w:t>
      </w:r>
      <w:r w:rsidR="003000C6">
        <w:t>mean 70.1% seizure-free days, versus</w:t>
      </w:r>
      <w:r w:rsidRPr="00794EBF">
        <w:t xml:space="preserve"> placebo 65% seizure-free days), and 7% in the maintenance phase (</w:t>
      </w:r>
      <w:proofErr w:type="spellStart"/>
      <w:r w:rsidRPr="00794EBF">
        <w:t>retigabine</w:t>
      </w:r>
      <w:proofErr w:type="spellEnd"/>
      <w:r w:rsidRPr="00794EBF">
        <w:t xml:space="preserve"> 1200mg/d, </w:t>
      </w:r>
      <w:r w:rsidR="005D116B">
        <w:t>mean 73.6% seizure-free days, versus</w:t>
      </w:r>
      <w:r w:rsidRPr="00794EBF">
        <w:t xml:space="preserve"> placebo 66.3% seizure-free days).</w:t>
      </w:r>
    </w:p>
    <w:p w:rsidR="00794EBF" w:rsidRDefault="00794EBF" w:rsidP="007D551A">
      <w:pPr>
        <w:pStyle w:val="TableTitle"/>
      </w:pPr>
      <w:r>
        <w:t>Table 16</w:t>
      </w:r>
      <w:r w:rsidRPr="000471E1">
        <w:t xml:space="preserve">: </w:t>
      </w:r>
      <w:r>
        <w:t xml:space="preserve">Percent of </w:t>
      </w:r>
      <w:r w:rsidR="00FF23EE">
        <w:t>seizure free days (</w:t>
      </w:r>
      <w:r w:rsidR="005614A3">
        <w:t>d</w:t>
      </w:r>
      <w:r w:rsidR="00FF23EE">
        <w:t xml:space="preserve">ouble </w:t>
      </w:r>
      <w:r w:rsidR="005614A3">
        <w:t>b</w:t>
      </w:r>
      <w:r w:rsidR="00FF23EE">
        <w:t xml:space="preserve">lind phase) </w:t>
      </w:r>
      <w:r>
        <w:t xml:space="preserve">(ITT </w:t>
      </w:r>
      <w:r w:rsidR="005614A3">
        <w:t>d</w:t>
      </w:r>
      <w:r w:rsidR="00040BAE">
        <w:t xml:space="preserve">ouble </w:t>
      </w:r>
      <w:r w:rsidR="005614A3">
        <w:t>b</w:t>
      </w:r>
      <w:r w:rsidR="00040BAE">
        <w:t xml:space="preserve">lind </w:t>
      </w:r>
      <w:r w:rsidR="007D551A">
        <w:t>p</w:t>
      </w:r>
      <w:r>
        <w:t xml:space="preserve">opulation: </w:t>
      </w:r>
      <w:r w:rsidR="005614A3">
        <w:t>s</w:t>
      </w:r>
      <w:r>
        <w:t>tudies 205, 301 and 302).</w:t>
      </w:r>
    </w:p>
    <w:p w:rsidR="00794EBF" w:rsidRDefault="00DA36AD" w:rsidP="00CF193C">
      <w:pPr>
        <w:jc w:val="center"/>
      </w:pPr>
      <w:r>
        <w:rPr>
          <w:noProof/>
          <w:lang w:eastAsia="en-AU"/>
        </w:rPr>
        <w:drawing>
          <wp:inline distT="0" distB="0" distL="0" distR="0">
            <wp:extent cx="4323080" cy="3437890"/>
            <wp:effectExtent l="19050" t="0" r="1270" b="0"/>
            <wp:docPr id="27" name="Picture 27" descr="Table showing percent of seizure free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1"/>
                    <pic:cNvPicPr>
                      <a:picLocks noChangeAspect="1" noChangeArrowheads="1"/>
                    </pic:cNvPicPr>
                  </pic:nvPicPr>
                  <pic:blipFill>
                    <a:blip r:embed="rId40" cstate="print"/>
                    <a:srcRect/>
                    <a:stretch>
                      <a:fillRect/>
                    </a:stretch>
                  </pic:blipFill>
                  <pic:spPr bwMode="auto">
                    <a:xfrm>
                      <a:off x="0" y="0"/>
                      <a:ext cx="4323080" cy="3437890"/>
                    </a:xfrm>
                    <a:prstGeom prst="rect">
                      <a:avLst/>
                    </a:prstGeom>
                    <a:noFill/>
                    <a:ln w="9525">
                      <a:noFill/>
                      <a:miter lim="800000"/>
                      <a:headEnd/>
                      <a:tailEnd/>
                    </a:ln>
                  </pic:spPr>
                </pic:pic>
              </a:graphicData>
            </a:graphic>
          </wp:inline>
        </w:drawing>
      </w:r>
    </w:p>
    <w:p w:rsidR="00794EBF" w:rsidRDefault="00794EBF" w:rsidP="007D551A">
      <w:pPr>
        <w:pStyle w:val="TableTitle"/>
      </w:pPr>
      <w:r>
        <w:lastRenderedPageBreak/>
        <w:t>Table 17</w:t>
      </w:r>
      <w:r w:rsidRPr="000471E1">
        <w:t xml:space="preserve">: </w:t>
      </w:r>
      <w:r w:rsidR="00FF23EE">
        <w:t>Percent of seizure free days (</w:t>
      </w:r>
      <w:r w:rsidR="005614A3">
        <w:t>m</w:t>
      </w:r>
      <w:r w:rsidR="00FF23EE">
        <w:t>aint</w:t>
      </w:r>
      <w:r w:rsidR="007D551A">
        <w:t>enance phase) (ITT maintenance p</w:t>
      </w:r>
      <w:r w:rsidR="00FF23EE">
        <w:t xml:space="preserve">opulation: </w:t>
      </w:r>
      <w:r w:rsidR="005614A3">
        <w:t>s</w:t>
      </w:r>
      <w:r w:rsidR="00FF23EE">
        <w:t>tudies 205, 301 and 302).</w:t>
      </w:r>
    </w:p>
    <w:p w:rsidR="00794EBF" w:rsidRDefault="00DA36AD" w:rsidP="00CF193C">
      <w:pPr>
        <w:jc w:val="center"/>
      </w:pPr>
      <w:r>
        <w:rPr>
          <w:noProof/>
          <w:lang w:eastAsia="en-AU"/>
        </w:rPr>
        <w:drawing>
          <wp:inline distT="0" distB="0" distL="0" distR="0">
            <wp:extent cx="4243070" cy="3387090"/>
            <wp:effectExtent l="19050" t="0" r="5080" b="0"/>
            <wp:docPr id="28" name="Picture 28" descr="Table showing percent of seizure free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1"/>
                    <pic:cNvPicPr>
                      <a:picLocks noChangeAspect="1" noChangeArrowheads="1"/>
                    </pic:cNvPicPr>
                  </pic:nvPicPr>
                  <pic:blipFill>
                    <a:blip r:embed="rId41" cstate="print"/>
                    <a:srcRect/>
                    <a:stretch>
                      <a:fillRect/>
                    </a:stretch>
                  </pic:blipFill>
                  <pic:spPr bwMode="auto">
                    <a:xfrm>
                      <a:off x="0" y="0"/>
                      <a:ext cx="4243070" cy="3387090"/>
                    </a:xfrm>
                    <a:prstGeom prst="rect">
                      <a:avLst/>
                    </a:prstGeom>
                    <a:noFill/>
                    <a:ln w="9525">
                      <a:noFill/>
                      <a:miter lim="800000"/>
                      <a:headEnd/>
                      <a:tailEnd/>
                    </a:ln>
                  </pic:spPr>
                </pic:pic>
              </a:graphicData>
            </a:graphic>
          </wp:inline>
        </w:drawing>
      </w:r>
    </w:p>
    <w:p w:rsidR="00FB4905" w:rsidRPr="00FB4905" w:rsidRDefault="00FB4905" w:rsidP="007D551A">
      <w:pPr>
        <w:pStyle w:val="Heading6"/>
      </w:pPr>
      <w:r w:rsidRPr="00FB4905">
        <w:t xml:space="preserve">Subgroup </w:t>
      </w:r>
      <w:r w:rsidRPr="007D551A">
        <w:t>analyses</w:t>
      </w:r>
    </w:p>
    <w:p w:rsidR="00FB4905" w:rsidRPr="00FB4905" w:rsidRDefault="00FB4905" w:rsidP="007D551A">
      <w:r w:rsidRPr="00FB4905">
        <w:t xml:space="preserve">The tables below show subgroup analyses based on age (Table </w:t>
      </w:r>
      <w:r w:rsidR="00FE5589">
        <w:t>18</w:t>
      </w:r>
      <w:r w:rsidRPr="00FB4905">
        <w:t xml:space="preserve">, all three pivotal studies) and </w:t>
      </w:r>
      <w:r w:rsidR="00FE5589">
        <w:t>race (Table 19</w:t>
      </w:r>
      <w:r w:rsidRPr="00FB4905">
        <w:t>, Stu</w:t>
      </w:r>
      <w:r w:rsidR="00507419">
        <w:t>dy 301 only). The comparisons versus</w:t>
      </w:r>
      <w:r w:rsidRPr="00FB4905">
        <w:t xml:space="preserve"> placebo were underpowered, and did not always achieve statistical significance, but the trends in responder rates were strongly in favour of active treatment irrespective of patient age or race. (The sponsor also presented subgroup analyses for the pooled dose groups across all three pivotal studies, and these had better statistical power.</w:t>
      </w:r>
      <w:r>
        <w:t>)</w:t>
      </w:r>
    </w:p>
    <w:p w:rsidR="00FE5589" w:rsidRDefault="00FE5589" w:rsidP="007D551A">
      <w:pPr>
        <w:pStyle w:val="TableTitle"/>
      </w:pPr>
      <w:r>
        <w:t>Table 1</w:t>
      </w:r>
      <w:r w:rsidR="00356BCB">
        <w:t>8</w:t>
      </w:r>
      <w:r w:rsidRPr="000471E1">
        <w:t xml:space="preserve">: </w:t>
      </w:r>
      <w:r w:rsidR="00A4499C">
        <w:t>Responder rates by age group</w:t>
      </w:r>
      <w:r w:rsidR="007D551A">
        <w:t xml:space="preserve"> (</w:t>
      </w:r>
      <w:r w:rsidR="005614A3">
        <w:t>m</w:t>
      </w:r>
      <w:r w:rsidR="007D551A">
        <w:t>aintenance phase) (ITT maintenance p</w:t>
      </w:r>
      <w:r>
        <w:t xml:space="preserve">opulation: </w:t>
      </w:r>
      <w:r w:rsidR="005614A3">
        <w:t>s</w:t>
      </w:r>
      <w:r>
        <w:t>tudies 205, 301 and 302).</w:t>
      </w:r>
    </w:p>
    <w:p w:rsidR="00FB4905" w:rsidRDefault="00DA36AD" w:rsidP="001728FA">
      <w:pPr>
        <w:jc w:val="center"/>
      </w:pPr>
      <w:r>
        <w:rPr>
          <w:noProof/>
          <w:lang w:eastAsia="en-AU"/>
        </w:rPr>
        <w:drawing>
          <wp:inline distT="0" distB="0" distL="0" distR="0">
            <wp:extent cx="5713095" cy="2070100"/>
            <wp:effectExtent l="19050" t="0" r="1905" b="0"/>
            <wp:docPr id="29" name="Picture 29" descr="Table showing responder rates by age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1"/>
                    <pic:cNvPicPr>
                      <a:picLocks noChangeAspect="1" noChangeArrowheads="1"/>
                    </pic:cNvPicPr>
                  </pic:nvPicPr>
                  <pic:blipFill>
                    <a:blip r:embed="rId42" cstate="print"/>
                    <a:srcRect/>
                    <a:stretch>
                      <a:fillRect/>
                    </a:stretch>
                  </pic:blipFill>
                  <pic:spPr bwMode="auto">
                    <a:xfrm>
                      <a:off x="0" y="0"/>
                      <a:ext cx="5713095" cy="2070100"/>
                    </a:xfrm>
                    <a:prstGeom prst="rect">
                      <a:avLst/>
                    </a:prstGeom>
                    <a:noFill/>
                    <a:ln w="9525">
                      <a:noFill/>
                      <a:miter lim="800000"/>
                      <a:headEnd/>
                      <a:tailEnd/>
                    </a:ln>
                  </pic:spPr>
                </pic:pic>
              </a:graphicData>
            </a:graphic>
          </wp:inline>
        </w:drawing>
      </w:r>
    </w:p>
    <w:p w:rsidR="00356BCB" w:rsidRDefault="00356BCB" w:rsidP="007D551A">
      <w:pPr>
        <w:pStyle w:val="TableTitle"/>
      </w:pPr>
      <w:r>
        <w:lastRenderedPageBreak/>
        <w:t>Table 19</w:t>
      </w:r>
      <w:r w:rsidRPr="000471E1">
        <w:t xml:space="preserve">: </w:t>
      </w:r>
      <w:r w:rsidR="002C2212">
        <w:t>Responder rates by race</w:t>
      </w:r>
      <w:r w:rsidR="005614A3">
        <w:t xml:space="preserve"> (m</w:t>
      </w:r>
      <w:r>
        <w:t xml:space="preserve">aintenance phase) (ITT </w:t>
      </w:r>
      <w:r w:rsidR="007D551A">
        <w:t>maintenance p</w:t>
      </w:r>
      <w:r>
        <w:t xml:space="preserve">opulation: </w:t>
      </w:r>
      <w:r w:rsidR="005614A3">
        <w:t>s</w:t>
      </w:r>
      <w:r w:rsidR="002C2212">
        <w:t>tudy</w:t>
      </w:r>
      <w:r>
        <w:t xml:space="preserve"> 301).</w:t>
      </w:r>
    </w:p>
    <w:p w:rsidR="00356BCB" w:rsidRDefault="00DA36AD" w:rsidP="000E508A">
      <w:pPr>
        <w:jc w:val="center"/>
      </w:pPr>
      <w:r>
        <w:rPr>
          <w:noProof/>
          <w:lang w:eastAsia="en-AU"/>
        </w:rPr>
        <w:drawing>
          <wp:inline distT="0" distB="0" distL="0" distR="0">
            <wp:extent cx="4060190" cy="2757805"/>
            <wp:effectExtent l="19050" t="0" r="0" b="0"/>
            <wp:docPr id="30" name="Picture 30" descr="Table showing responder rates by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1"/>
                    <pic:cNvPicPr>
                      <a:picLocks noChangeAspect="1" noChangeArrowheads="1"/>
                    </pic:cNvPicPr>
                  </pic:nvPicPr>
                  <pic:blipFill>
                    <a:blip r:embed="rId43" cstate="print"/>
                    <a:srcRect/>
                    <a:stretch>
                      <a:fillRect/>
                    </a:stretch>
                  </pic:blipFill>
                  <pic:spPr bwMode="auto">
                    <a:xfrm>
                      <a:off x="0" y="0"/>
                      <a:ext cx="4060190" cy="2757805"/>
                    </a:xfrm>
                    <a:prstGeom prst="rect">
                      <a:avLst/>
                    </a:prstGeom>
                    <a:noFill/>
                    <a:ln w="9525">
                      <a:noFill/>
                      <a:miter lim="800000"/>
                      <a:headEnd/>
                      <a:tailEnd/>
                    </a:ln>
                  </pic:spPr>
                </pic:pic>
              </a:graphicData>
            </a:graphic>
          </wp:inline>
        </w:drawing>
      </w:r>
    </w:p>
    <w:p w:rsidR="005F5B36" w:rsidRPr="00E43CB8" w:rsidRDefault="005F5B36" w:rsidP="00587B40">
      <w:pPr>
        <w:pStyle w:val="Heading4"/>
      </w:pPr>
      <w:bookmarkStart w:id="151" w:name="_Toc290846276"/>
      <w:bookmarkStart w:id="152" w:name="_Toc330196359"/>
      <w:r w:rsidRPr="003C0A48">
        <w:t>S</w:t>
      </w:r>
      <w:r>
        <w:t xml:space="preserve">tudy </w:t>
      </w:r>
      <w:r w:rsidRPr="00587B40">
        <w:t>205</w:t>
      </w:r>
      <w:bookmarkEnd w:id="151"/>
      <w:bookmarkEnd w:id="152"/>
    </w:p>
    <w:p w:rsidR="005F5B36" w:rsidRPr="003C0A48" w:rsidRDefault="005F5B36" w:rsidP="00587B40">
      <w:pPr>
        <w:pStyle w:val="Heading5"/>
      </w:pPr>
      <w:bookmarkStart w:id="153" w:name="_Toc330196360"/>
      <w:r w:rsidRPr="00587B40">
        <w:t>Design</w:t>
      </w:r>
      <w:bookmarkEnd w:id="153"/>
    </w:p>
    <w:p w:rsidR="005F5B36" w:rsidRPr="005F5B36" w:rsidRDefault="005F5B36" w:rsidP="00587B40">
      <w:r w:rsidRPr="005F5B36">
        <w:t xml:space="preserve">Study 205 was a Phase </w:t>
      </w:r>
      <w:proofErr w:type="spellStart"/>
      <w:r w:rsidRPr="005F5B36">
        <w:t>IIb</w:t>
      </w:r>
      <w:proofErr w:type="spellEnd"/>
      <w:r w:rsidRPr="005F5B36">
        <w:t xml:space="preserve"> international study performed in 1999-2001, with centres located in Australia, Belgium, Croatia, Czech Republic, Finland, France, Germany, Israel, Italy, The Netherlands, New Zealand, Norway, Poland, Portugal, Slovakia, Spain, Sweden, UK, and USA. The primary objective was to assess the efficacy and safety of </w:t>
      </w:r>
      <w:proofErr w:type="spellStart"/>
      <w:r w:rsidRPr="005F5B36">
        <w:t>retigabine</w:t>
      </w:r>
      <w:proofErr w:type="spellEnd"/>
      <w:r w:rsidRPr="005F5B36">
        <w:t xml:space="preserve"> as adjunctive therapy in partial epilepsy; this study also serves as the main dose-ranging study in the submission. It employed a randomised, double-blind, placebo-controlled design with four parallel treatment groups: placebo, </w:t>
      </w:r>
      <w:proofErr w:type="spellStart"/>
      <w:r w:rsidRPr="005F5B36">
        <w:t>retigabine</w:t>
      </w:r>
      <w:proofErr w:type="spellEnd"/>
      <w:r w:rsidRPr="005F5B36">
        <w:t xml:space="preserve"> 600mg/d, </w:t>
      </w:r>
      <w:proofErr w:type="spellStart"/>
      <w:r w:rsidRPr="005F5B36">
        <w:t>retigabine</w:t>
      </w:r>
      <w:proofErr w:type="spellEnd"/>
      <w:r w:rsidRPr="005F5B36">
        <w:t xml:space="preserve"> 900mg/d and </w:t>
      </w:r>
      <w:proofErr w:type="spellStart"/>
      <w:r w:rsidRPr="005F5B36">
        <w:t>retigabine</w:t>
      </w:r>
      <w:proofErr w:type="spellEnd"/>
      <w:r w:rsidRPr="005F5B36">
        <w:t xml:space="preserve"> 1200mg/d, given in equally divided doses three times daily (TID). </w:t>
      </w:r>
    </w:p>
    <w:p w:rsidR="005F5B36" w:rsidRPr="005F5B36" w:rsidRDefault="005F5B36" w:rsidP="00587B40">
      <w:r w:rsidRPr="005F5B36">
        <w:t>One flaw in the study is that it was relatively short. Baseline seizure frequency was assessed prospectively over 8 weeks before treatment commenced. Treatment was then titrated for up to 8 weeks, followed by a fixed-dose maintenance phase of at least 8 weeks, to give a potential treatment duration of 16 weeks. The duration of the maintenance phase was therefore quite short, and falls short of international recommendations (The EMEA recommended a minimum maintenance of 12 weeks in their “Guideline on Clinical Investigation of Medicinal Products in the Treatment of Epileptic Disorders”, 2009</w:t>
      </w:r>
      <w:r w:rsidR="00B7754A">
        <w:t>.)</w:t>
      </w:r>
      <w:r w:rsidRPr="005F5B36">
        <w:t xml:space="preserve"> Given that many anticonvulsants exhibit a waning of efficacy with continued use, due to </w:t>
      </w:r>
      <w:proofErr w:type="spellStart"/>
      <w:r w:rsidRPr="005F5B36">
        <w:t>tachyphylaxis</w:t>
      </w:r>
      <w:proofErr w:type="spellEnd"/>
      <w:r w:rsidRPr="005F5B36">
        <w:t>, 8 weeks is insufficient to assess the long term efficacy of an anticonvulsant and this study should therefore be considered merely supportive even though the sponsor has designated it as pivotal. Its primary importance is that it directly compared the doses likely to be adopted in clinical use.</w:t>
      </w:r>
    </w:p>
    <w:p w:rsidR="005F5B36" w:rsidRPr="004B259C" w:rsidRDefault="005F5B36" w:rsidP="00587B40">
      <w:pPr>
        <w:pStyle w:val="Heading6"/>
      </w:pPr>
      <w:r w:rsidRPr="004B259C">
        <w:t xml:space="preserve">Inclusion and </w:t>
      </w:r>
      <w:r w:rsidRPr="00587B40">
        <w:t>exclusion</w:t>
      </w:r>
      <w:r w:rsidRPr="004B259C">
        <w:t xml:space="preserve"> criteria</w:t>
      </w:r>
    </w:p>
    <w:p w:rsidR="005F5B36" w:rsidRPr="005F5B36" w:rsidRDefault="005F5B36" w:rsidP="00587B40">
      <w:r w:rsidRPr="005F5B36">
        <w:t xml:space="preserve">The target population was patients with refractory partial epilepsy, identified on the basis of on-going seizures despite treatment with conventional AEDs. </w:t>
      </w:r>
    </w:p>
    <w:p w:rsidR="005F5B36" w:rsidRPr="005F5B36" w:rsidRDefault="005F5B36" w:rsidP="00587B40">
      <w:r w:rsidRPr="005F5B36">
        <w:t>In particular, eligible patients:</w:t>
      </w:r>
    </w:p>
    <w:p w:rsidR="005F5B36" w:rsidRPr="00587B40" w:rsidRDefault="005F5B36" w:rsidP="00587B40">
      <w:pPr>
        <w:pStyle w:val="ListBullet"/>
      </w:pPr>
      <w:r w:rsidRPr="00587B40">
        <w:t>were men or women aged 16 to 70 years (18 to 70 years for Norway);</w:t>
      </w:r>
    </w:p>
    <w:p w:rsidR="005F5B36" w:rsidRPr="00587B40" w:rsidRDefault="005F5B36" w:rsidP="00587B40">
      <w:pPr>
        <w:pStyle w:val="ListBullet"/>
      </w:pPr>
      <w:r w:rsidRPr="00587B40">
        <w:t>were receiving one or two pre-specified AEDs at stable doses for at least 1 month prior to screening (</w:t>
      </w:r>
      <w:proofErr w:type="spellStart"/>
      <w:r w:rsidRPr="00587B40">
        <w:t>valproic</w:t>
      </w:r>
      <w:proofErr w:type="spellEnd"/>
      <w:r w:rsidRPr="00587B40">
        <w:t xml:space="preserve"> acid, </w:t>
      </w:r>
      <w:proofErr w:type="spellStart"/>
      <w:r w:rsidRPr="00587B40">
        <w:t>carbamazepine</w:t>
      </w:r>
      <w:proofErr w:type="spellEnd"/>
      <w:r w:rsidRPr="00587B40">
        <w:t xml:space="preserve">, </w:t>
      </w:r>
      <w:proofErr w:type="spellStart"/>
      <w:r w:rsidRPr="00587B40">
        <w:t>phenytoin</w:t>
      </w:r>
      <w:proofErr w:type="spellEnd"/>
      <w:r w:rsidRPr="00587B40">
        <w:t xml:space="preserve">, </w:t>
      </w:r>
      <w:proofErr w:type="spellStart"/>
      <w:r w:rsidRPr="00587B40">
        <w:t>topiramate</w:t>
      </w:r>
      <w:proofErr w:type="spellEnd"/>
      <w:r w:rsidRPr="00587B40">
        <w:t xml:space="preserve">, </w:t>
      </w:r>
      <w:proofErr w:type="spellStart"/>
      <w:r w:rsidRPr="00587B40">
        <w:t>lamotrigine</w:t>
      </w:r>
      <w:proofErr w:type="spellEnd"/>
      <w:r w:rsidRPr="00587B40">
        <w:t xml:space="preserve">, </w:t>
      </w:r>
      <w:proofErr w:type="spellStart"/>
      <w:r w:rsidRPr="00587B40">
        <w:t>gabapentin</w:t>
      </w:r>
      <w:proofErr w:type="spellEnd"/>
      <w:r w:rsidRPr="00587B40">
        <w:t xml:space="preserve">, </w:t>
      </w:r>
      <w:proofErr w:type="spellStart"/>
      <w:r w:rsidRPr="00587B40">
        <w:t>oxcarbazepine</w:t>
      </w:r>
      <w:proofErr w:type="spellEnd"/>
      <w:r w:rsidRPr="00587B40">
        <w:t xml:space="preserve">, benzodiazepines, barbiturates, or </w:t>
      </w:r>
      <w:proofErr w:type="spellStart"/>
      <w:r w:rsidRPr="00587B40">
        <w:t>vagal</w:t>
      </w:r>
      <w:proofErr w:type="spellEnd"/>
      <w:r w:rsidRPr="00587B40">
        <w:t xml:space="preserve"> nerve stimulation, which was considered equivalent to an AED therapy);</w:t>
      </w:r>
    </w:p>
    <w:p w:rsidR="005F5B36" w:rsidRPr="00587B40" w:rsidRDefault="005F5B36" w:rsidP="00587B40">
      <w:pPr>
        <w:pStyle w:val="ListBullet"/>
      </w:pPr>
      <w:r w:rsidRPr="00587B40">
        <w:lastRenderedPageBreak/>
        <w:t>had at least four seizures per 28 days during the 8-week prospective baseline period;</w:t>
      </w:r>
    </w:p>
    <w:p w:rsidR="005F5B36" w:rsidRPr="00587B40" w:rsidRDefault="005F5B36" w:rsidP="00587B40">
      <w:pPr>
        <w:pStyle w:val="ListBullet"/>
      </w:pPr>
      <w:r w:rsidRPr="00587B40">
        <w:t>were not seizure-free for more than 30 days during the baseline period.</w:t>
      </w:r>
    </w:p>
    <w:p w:rsidR="005F5B36" w:rsidRPr="004B259C" w:rsidRDefault="005F5B36" w:rsidP="00587B40">
      <w:pPr>
        <w:pStyle w:val="Heading6"/>
      </w:pPr>
      <w:r w:rsidRPr="004B259C">
        <w:t xml:space="preserve">Study </w:t>
      </w:r>
      <w:r w:rsidRPr="00587B40">
        <w:t>treatments</w:t>
      </w:r>
    </w:p>
    <w:p w:rsidR="005F5B36" w:rsidRDefault="005F5B36" w:rsidP="00587B40">
      <w:r w:rsidRPr="005F5B36">
        <w:t xml:space="preserve">Subjects were targeted to receive </w:t>
      </w:r>
      <w:proofErr w:type="spellStart"/>
      <w:r w:rsidRPr="005F5B36">
        <w:t>retigabine</w:t>
      </w:r>
      <w:proofErr w:type="spellEnd"/>
      <w:r w:rsidRPr="005F5B36">
        <w:t xml:space="preserve"> 600mg/d, 900mg/d or 1200mg/d in three equally divided doses, or matching placebo</w:t>
      </w:r>
      <w:r w:rsidR="005F3628">
        <w:t xml:space="preserve"> (Figure 11)</w:t>
      </w:r>
      <w:r w:rsidRPr="005F5B36">
        <w:t>. They titrated up to the target dose at a rate of 150mg/d each week, so that patients assigned to lower doses achieved their target dose earlier; the titration phase was nonetheless considered to be 8 weeks in al</w:t>
      </w:r>
      <w:r w:rsidR="00E92BBD">
        <w:t>l patents for analysis purposes.</w:t>
      </w:r>
    </w:p>
    <w:p w:rsidR="00AD4E40" w:rsidRPr="00587B40" w:rsidRDefault="00AD4E40" w:rsidP="00587B40">
      <w:pPr>
        <w:pStyle w:val="FigureTitle"/>
      </w:pPr>
      <w:r w:rsidRPr="00587B40">
        <w:t xml:space="preserve">Figure 11: </w:t>
      </w:r>
      <w:r w:rsidR="000B7AA4" w:rsidRPr="00587B40">
        <w:t>Study design dosage steps for all phases of the study</w:t>
      </w:r>
      <w:r w:rsidRPr="00587B40">
        <w:t>.</w:t>
      </w:r>
    </w:p>
    <w:p w:rsidR="00AD4E40" w:rsidRDefault="00DA36AD" w:rsidP="000B7AA4">
      <w:pPr>
        <w:jc w:val="center"/>
      </w:pPr>
      <w:r>
        <w:rPr>
          <w:noProof/>
          <w:lang w:eastAsia="en-AU"/>
        </w:rPr>
        <w:drawing>
          <wp:inline distT="0" distB="0" distL="0" distR="0">
            <wp:extent cx="4023360" cy="3979545"/>
            <wp:effectExtent l="19050" t="0" r="0" b="0"/>
            <wp:docPr id="31" name="Picture 31" descr="Figure showing study design dosage steps for all phases of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1"/>
                    <pic:cNvPicPr>
                      <a:picLocks noChangeAspect="1" noChangeArrowheads="1"/>
                    </pic:cNvPicPr>
                  </pic:nvPicPr>
                  <pic:blipFill>
                    <a:blip r:embed="rId44" cstate="print"/>
                    <a:srcRect/>
                    <a:stretch>
                      <a:fillRect/>
                    </a:stretch>
                  </pic:blipFill>
                  <pic:spPr bwMode="auto">
                    <a:xfrm>
                      <a:off x="0" y="0"/>
                      <a:ext cx="4023360" cy="3979545"/>
                    </a:xfrm>
                    <a:prstGeom prst="rect">
                      <a:avLst/>
                    </a:prstGeom>
                    <a:noFill/>
                    <a:ln w="9525">
                      <a:noFill/>
                      <a:miter lim="800000"/>
                      <a:headEnd/>
                      <a:tailEnd/>
                    </a:ln>
                  </pic:spPr>
                </pic:pic>
              </a:graphicData>
            </a:graphic>
          </wp:inline>
        </w:drawing>
      </w:r>
    </w:p>
    <w:p w:rsidR="00CB36CA" w:rsidRPr="00CB36CA" w:rsidRDefault="00CB36CA" w:rsidP="00587B40">
      <w:r w:rsidRPr="00CB36CA">
        <w:t xml:space="preserve">Concomitant treatment with </w:t>
      </w:r>
      <w:proofErr w:type="spellStart"/>
      <w:r w:rsidRPr="00CB36CA">
        <w:t>vigabatrin</w:t>
      </w:r>
      <w:proofErr w:type="spellEnd"/>
      <w:r w:rsidRPr="00CB36CA">
        <w:t xml:space="preserve">, </w:t>
      </w:r>
      <w:proofErr w:type="spellStart"/>
      <w:r w:rsidRPr="00CB36CA">
        <w:t>felbamate</w:t>
      </w:r>
      <w:proofErr w:type="spellEnd"/>
      <w:r w:rsidRPr="00CB36CA">
        <w:t xml:space="preserve"> and </w:t>
      </w:r>
      <w:proofErr w:type="spellStart"/>
      <w:r w:rsidRPr="00CB36CA">
        <w:t>tiagabine</w:t>
      </w:r>
      <w:proofErr w:type="spellEnd"/>
      <w:r w:rsidRPr="00CB36CA">
        <w:t xml:space="preserve"> was prohibited, because of the side effect profile of these three agents. Medications known to lower seizures threshold (such as </w:t>
      </w:r>
      <w:proofErr w:type="spellStart"/>
      <w:r w:rsidRPr="00CB36CA">
        <w:t>neuroleptics</w:t>
      </w:r>
      <w:proofErr w:type="spellEnd"/>
      <w:r w:rsidRPr="00CB36CA">
        <w:t>) were also prohibited. Antidepressants were permitted but doses had to be stable.</w:t>
      </w:r>
    </w:p>
    <w:p w:rsidR="00CB36CA" w:rsidRPr="00CB36CA" w:rsidRDefault="00CB36CA" w:rsidP="00587B40">
      <w:r w:rsidRPr="00CB36CA">
        <w:t xml:space="preserve">Benzodiazepines were permitted for rescue treatment of seizure clusters (“flurries”). </w:t>
      </w:r>
    </w:p>
    <w:p w:rsidR="00CB36CA" w:rsidRPr="004B259C" w:rsidRDefault="00CB36CA" w:rsidP="00587B40">
      <w:pPr>
        <w:pStyle w:val="Heading6"/>
      </w:pPr>
      <w:r w:rsidRPr="004B259C">
        <w:t xml:space="preserve">Efficacy variables and </w:t>
      </w:r>
      <w:r w:rsidRPr="00587B40">
        <w:t>outcomes</w:t>
      </w:r>
    </w:p>
    <w:p w:rsidR="00CB36CA" w:rsidRPr="00CB36CA" w:rsidRDefault="00CB36CA" w:rsidP="00587B40">
      <w:r w:rsidRPr="00CB36CA">
        <w:t>The primary efficacy outcome was the percent change in the total partial seizure frequency per 28 days during the double-blind treatment phase (titration + maintenance), relative to baseline.</w:t>
      </w:r>
    </w:p>
    <w:p w:rsidR="00CB36CA" w:rsidRPr="00CB36CA" w:rsidRDefault="00CB36CA" w:rsidP="00587B40">
      <w:r w:rsidRPr="00CB36CA">
        <w:t>Other efficacy outcomes included:</w:t>
      </w:r>
    </w:p>
    <w:p w:rsidR="00CB36CA" w:rsidRPr="00587B40" w:rsidRDefault="00CB36CA" w:rsidP="00587B40">
      <w:pPr>
        <w:pStyle w:val="ListBullet"/>
      </w:pPr>
      <w:r w:rsidRPr="00587B40">
        <w:t>Percent change in seizure frequency from baseline to the maintenance period.</w:t>
      </w:r>
    </w:p>
    <w:p w:rsidR="00CB36CA" w:rsidRPr="00587B40" w:rsidRDefault="00CB36CA" w:rsidP="00587B40">
      <w:pPr>
        <w:pStyle w:val="ListBullet"/>
      </w:pPr>
      <w:r w:rsidRPr="00587B40">
        <w:t>Responder rate in the combined double-blind period.</w:t>
      </w:r>
    </w:p>
    <w:p w:rsidR="00CB36CA" w:rsidRPr="00587B40" w:rsidRDefault="00CB36CA" w:rsidP="00587B40">
      <w:pPr>
        <w:pStyle w:val="ListBullet"/>
      </w:pPr>
      <w:r w:rsidRPr="00587B40">
        <w:t>Proportion of patients seizure-free.</w:t>
      </w:r>
    </w:p>
    <w:p w:rsidR="00CB36CA" w:rsidRPr="00587B40" w:rsidRDefault="00CB36CA" w:rsidP="00587B40">
      <w:pPr>
        <w:pStyle w:val="ListBullet"/>
      </w:pPr>
      <w:r w:rsidRPr="00587B40">
        <w:t>Proportion of seizure-free days.</w:t>
      </w:r>
    </w:p>
    <w:p w:rsidR="00CB36CA" w:rsidRPr="00587B40" w:rsidRDefault="00CB36CA" w:rsidP="00587B40">
      <w:pPr>
        <w:pStyle w:val="ListBullet"/>
      </w:pPr>
      <w:r w:rsidRPr="00587B40">
        <w:t>Maximum number of consecutive seizure-free days.</w:t>
      </w:r>
    </w:p>
    <w:p w:rsidR="00CB36CA" w:rsidRPr="00587B40" w:rsidRDefault="00CB36CA" w:rsidP="00587B40">
      <w:pPr>
        <w:pStyle w:val="ListBullet"/>
      </w:pPr>
      <w:r w:rsidRPr="00587B40">
        <w:lastRenderedPageBreak/>
        <w:t>Incidence of new seizure types.</w:t>
      </w:r>
    </w:p>
    <w:p w:rsidR="00CB36CA" w:rsidRPr="00587B40" w:rsidRDefault="00CB36CA" w:rsidP="00587B40">
      <w:pPr>
        <w:pStyle w:val="ListBullet"/>
      </w:pPr>
      <w:r w:rsidRPr="00587B40">
        <w:t xml:space="preserve">Change in Clinical Global Impression of Improvement (CGI-I), measured on a 7-point </w:t>
      </w:r>
      <w:proofErr w:type="spellStart"/>
      <w:r w:rsidRPr="00587B40">
        <w:t>Likert</w:t>
      </w:r>
      <w:proofErr w:type="spellEnd"/>
      <w:r w:rsidRPr="00587B40">
        <w:t xml:space="preserve"> scale.</w:t>
      </w:r>
    </w:p>
    <w:p w:rsidR="00CB36CA" w:rsidRPr="00587B40" w:rsidRDefault="00CB36CA" w:rsidP="00587B40">
      <w:pPr>
        <w:pStyle w:val="ListBullet"/>
      </w:pPr>
      <w:r w:rsidRPr="00587B40">
        <w:t>Rate of discontinuation.</w:t>
      </w:r>
    </w:p>
    <w:p w:rsidR="00CB36CA" w:rsidRPr="004B259C" w:rsidRDefault="00CB36CA" w:rsidP="00587B40">
      <w:pPr>
        <w:pStyle w:val="Heading6"/>
      </w:pPr>
      <w:r w:rsidRPr="004B259C">
        <w:t xml:space="preserve">Randomisation </w:t>
      </w:r>
      <w:r w:rsidRPr="00587B40">
        <w:t>and</w:t>
      </w:r>
      <w:r w:rsidRPr="004B259C">
        <w:t xml:space="preserve"> blinding methods</w:t>
      </w:r>
    </w:p>
    <w:p w:rsidR="00CB36CA" w:rsidRPr="0081187D" w:rsidRDefault="00CB36CA" w:rsidP="00587B40">
      <w:r w:rsidRPr="0081187D">
        <w:t>Subjects were randomised equally to the 4 treatment arms by a centralised procedure, without stratification.</w:t>
      </w:r>
    </w:p>
    <w:p w:rsidR="00CB36CA" w:rsidRDefault="00CB36CA" w:rsidP="00587B40">
      <w:pPr>
        <w:pStyle w:val="Heading6"/>
      </w:pPr>
      <w:r>
        <w:t xml:space="preserve">Analysis </w:t>
      </w:r>
      <w:r w:rsidRPr="00587B40">
        <w:t>populations</w:t>
      </w:r>
    </w:p>
    <w:p w:rsidR="00CB36CA" w:rsidRPr="00CB36CA" w:rsidRDefault="00CB36CA" w:rsidP="00587B40">
      <w:r w:rsidRPr="00CB36CA">
        <w:t>The primary population was the intent-to-treat (ITT) population, which included all patients who received at least 1 dose of study drug (</w:t>
      </w:r>
      <w:proofErr w:type="spellStart"/>
      <w:r w:rsidRPr="00CB36CA">
        <w:t>retigabine</w:t>
      </w:r>
      <w:proofErr w:type="spellEnd"/>
      <w:r w:rsidRPr="00CB36CA">
        <w:t xml:space="preserve"> or placebo), had a baseline seizure evaluation and at least one on-therapy seizure evaluation.</w:t>
      </w:r>
    </w:p>
    <w:p w:rsidR="00CB36CA" w:rsidRPr="00CB36CA" w:rsidRDefault="00CB36CA" w:rsidP="00587B40">
      <w:r w:rsidRPr="00CB36CA">
        <w:t>The modified ITT population was a subgroup of the ITT population, and consisted of patients in the ITT population who had taken the study drug for at least 14 days during the maintenance phase.</w:t>
      </w:r>
    </w:p>
    <w:p w:rsidR="00CB36CA" w:rsidRPr="00CB36CA" w:rsidDel="0081373E" w:rsidRDefault="00CB36CA" w:rsidP="00587B40">
      <w:pPr>
        <w:pStyle w:val="Heading6"/>
      </w:pPr>
      <w:r w:rsidRPr="00587B40" w:rsidDel="0081373E">
        <w:t>Sample</w:t>
      </w:r>
      <w:r w:rsidRPr="00CB36CA" w:rsidDel="0081373E">
        <w:t xml:space="preserve"> size</w:t>
      </w:r>
    </w:p>
    <w:p w:rsidR="00CB36CA" w:rsidRPr="00CB36CA" w:rsidDel="0081373E" w:rsidRDefault="00CB36CA" w:rsidP="00587B40">
      <w:r w:rsidRPr="00CB36CA">
        <w:t xml:space="preserve">Sample size estimation was based on the secondary endpoint, response rate, because the sponsor felt that this could be predicted with more confidence. The study was designed to allow the completion of up to 90 patients per treatment group. To achieve 90% power, using a 2-sided test at the 5% significance level, a minimum of 82 patients per treatment group was required to detect a difference of 20% in the </w:t>
      </w:r>
      <w:r w:rsidR="00255C31">
        <w:t>response rate (</w:t>
      </w:r>
      <w:proofErr w:type="spellStart"/>
      <w:r w:rsidR="00255C31">
        <w:t>retigabine</w:t>
      </w:r>
      <w:proofErr w:type="spellEnd"/>
      <w:r w:rsidR="00255C31">
        <w:t xml:space="preserve"> 30% versus</w:t>
      </w:r>
      <w:r w:rsidRPr="00CB36CA">
        <w:t xml:space="preserve"> placebo 10%), and the sponsor sought to exceed this number.</w:t>
      </w:r>
      <w:r w:rsidR="00010F7B">
        <w:rPr>
          <w:rStyle w:val="FootnoteReference"/>
        </w:rPr>
        <w:footnoteReference w:id="6"/>
      </w:r>
    </w:p>
    <w:p w:rsidR="00CB36CA" w:rsidRPr="004B259C" w:rsidRDefault="00CB36CA" w:rsidP="00587B40">
      <w:pPr>
        <w:pStyle w:val="Heading6"/>
      </w:pPr>
      <w:r w:rsidRPr="004B259C">
        <w:t xml:space="preserve">Statistical </w:t>
      </w:r>
      <w:r w:rsidRPr="00587B40">
        <w:t>methods</w:t>
      </w:r>
    </w:p>
    <w:p w:rsidR="00CB36CA" w:rsidRPr="00CB36CA" w:rsidRDefault="00CB36CA" w:rsidP="00587B40">
      <w:r w:rsidRPr="00CB36CA">
        <w:t>Responder rates and percent change in seizures were analysed with logistic regression with centre and treatment as effects.</w:t>
      </w:r>
      <w:r w:rsidR="0075369B">
        <w:rPr>
          <w:rStyle w:val="FootnoteReference"/>
        </w:rPr>
        <w:footnoteReference w:id="7"/>
      </w:r>
      <w:r w:rsidRPr="00CB36CA">
        <w:t xml:space="preserve"> For the other endpoints, </w:t>
      </w:r>
      <w:proofErr w:type="spellStart"/>
      <w:r w:rsidRPr="00CB36CA">
        <w:t>pairwise</w:t>
      </w:r>
      <w:proofErr w:type="spellEnd"/>
      <w:r w:rsidRPr="00CB36CA">
        <w:t xml:space="preserve"> comparisons were done to investigate the dose-response without any adjustments for multiplicity.</w:t>
      </w:r>
    </w:p>
    <w:p w:rsidR="00CB36CA" w:rsidRPr="00CB36CA" w:rsidRDefault="00CB36CA" w:rsidP="00587B40">
      <w:pPr>
        <w:pStyle w:val="Heading5"/>
      </w:pPr>
      <w:bookmarkStart w:id="154" w:name="_Toc330196361"/>
      <w:r w:rsidRPr="00587B40">
        <w:t>Results</w:t>
      </w:r>
      <w:bookmarkEnd w:id="154"/>
    </w:p>
    <w:p w:rsidR="00CB36CA" w:rsidRPr="004B259C" w:rsidRDefault="00CB36CA" w:rsidP="00587B40">
      <w:pPr>
        <w:pStyle w:val="Heading6"/>
      </w:pPr>
      <w:r w:rsidRPr="00587B40">
        <w:t>Participant</w:t>
      </w:r>
      <w:r w:rsidRPr="004B259C">
        <w:t xml:space="preserve"> flow</w:t>
      </w:r>
    </w:p>
    <w:p w:rsidR="00CB36CA" w:rsidRDefault="00CB36CA" w:rsidP="00587B40">
      <w:r w:rsidRPr="00CB36CA">
        <w:t>Of the 537 patients who were screened, 399 were enrolled in the study and randomly assigned to treatment. A total of 126 patients (32%) discontinued, most commonly because of adverse events, reported as the reason for discontinuing in 87 patients (22 %).</w:t>
      </w:r>
    </w:p>
    <w:p w:rsidR="00CB36CA" w:rsidRPr="00CB36CA" w:rsidRDefault="00CB36CA" w:rsidP="00587B40">
      <w:r w:rsidRPr="00CB36CA">
        <w:t xml:space="preserve">Two subjects did not receive any of the test capsules and were excluded from the safety population. One patient (from the </w:t>
      </w:r>
      <w:proofErr w:type="spellStart"/>
      <w:r w:rsidRPr="00CB36CA">
        <w:t>retigabine</w:t>
      </w:r>
      <w:proofErr w:type="spellEnd"/>
      <w:r w:rsidRPr="00CB36CA">
        <w:t xml:space="preserve"> 200 mg TID group) had no record of seizures during therapy and was excluded from the ITT population, so 396 of the original 399 randomised patients were analysed for efficacy. Only 279 patients completed the 8-week maintenance phase and were considered “completers.” </w:t>
      </w:r>
    </w:p>
    <w:p w:rsidR="00CB36CA" w:rsidRDefault="00CB36CA" w:rsidP="00587B40">
      <w:pPr>
        <w:pStyle w:val="Heading6"/>
      </w:pPr>
      <w:r>
        <w:t>Major protocol violations/</w:t>
      </w:r>
      <w:r w:rsidRPr="00587B40">
        <w:t>deviations</w:t>
      </w:r>
    </w:p>
    <w:p w:rsidR="00CB36CA" w:rsidRPr="00CB36CA" w:rsidRDefault="00CB36CA" w:rsidP="00587B40">
      <w:r w:rsidRPr="00CB36CA">
        <w:t xml:space="preserve">Fifteen patients had protocol violations that contributed to withdrawal from the study; 10 were withdrawn from the study with protocol violations reported as the primary reason and 5 as a secondary reason. The most common violation was poor compliance, but some patients were </w:t>
      </w:r>
      <w:r w:rsidRPr="00CB36CA">
        <w:lastRenderedPageBreak/>
        <w:t xml:space="preserve">found to have baseline visual field defects, one patient took tablets from the wrong blister pack, and one changed their concomitant </w:t>
      </w:r>
      <w:proofErr w:type="spellStart"/>
      <w:r w:rsidRPr="00CB36CA">
        <w:t>valproate</w:t>
      </w:r>
      <w:proofErr w:type="spellEnd"/>
      <w:r w:rsidRPr="00CB36CA">
        <w:t xml:space="preserve"> dose. In a study of this nature, this number of violations is acceptable and is unlikely to have altered the findings of the study.</w:t>
      </w:r>
    </w:p>
    <w:p w:rsidR="00CB36CA" w:rsidRDefault="00CB36CA" w:rsidP="00587B40">
      <w:pPr>
        <w:pStyle w:val="Heading6"/>
      </w:pPr>
      <w:r w:rsidRPr="004B259C">
        <w:t xml:space="preserve">Baseline </w:t>
      </w:r>
      <w:r w:rsidRPr="00587B40">
        <w:t>data</w:t>
      </w:r>
    </w:p>
    <w:p w:rsidR="00CB36CA" w:rsidRDefault="00CB36CA" w:rsidP="00587B40">
      <w:r w:rsidRPr="00CB36CA">
        <w:t>The baseline features of the study grou</w:t>
      </w:r>
      <w:r w:rsidR="0081187D">
        <w:t>ps are shown in Tables 20-21</w:t>
      </w:r>
      <w:r w:rsidRPr="00CB36CA">
        <w:t>, including demographic data, concomitant AEDs and seizure types. They were reasonably well matched, except that the placebo group was slightly younger, on average. The placebo group also had slightly more patients receiving just one concomitant AED, compared to the active groups. These minor differences are unlikely to have modified the results significantly.</w:t>
      </w:r>
    </w:p>
    <w:p w:rsidR="0081187D" w:rsidRDefault="0081187D" w:rsidP="00587B40">
      <w:pPr>
        <w:pStyle w:val="TableTitle"/>
      </w:pPr>
      <w:r>
        <w:t>Table 20</w:t>
      </w:r>
      <w:r w:rsidRPr="000471E1">
        <w:t xml:space="preserve">: </w:t>
      </w:r>
      <w:r w:rsidR="00E02D9F">
        <w:t>Demographic and o</w:t>
      </w:r>
      <w:r w:rsidR="00587B40">
        <w:t>ther baseline characteristics (s</w:t>
      </w:r>
      <w:r w:rsidR="00E02D9F">
        <w:t xml:space="preserve">afety </w:t>
      </w:r>
      <w:r w:rsidR="00587B40">
        <w:t>p</w:t>
      </w:r>
      <w:r w:rsidR="00E02D9F">
        <w:t>opulation)</w:t>
      </w:r>
      <w:r>
        <w:t>.</w:t>
      </w:r>
    </w:p>
    <w:p w:rsidR="00CF193C" w:rsidRDefault="00DA36AD" w:rsidP="00CF193C">
      <w:pPr>
        <w:jc w:val="center"/>
      </w:pPr>
      <w:r>
        <w:rPr>
          <w:noProof/>
          <w:lang w:eastAsia="en-AU"/>
        </w:rPr>
        <w:drawing>
          <wp:inline distT="0" distB="0" distL="0" distR="0">
            <wp:extent cx="3803650" cy="4688840"/>
            <wp:effectExtent l="19050" t="0" r="6350" b="0"/>
            <wp:docPr id="32" name="Picture 32" descr="Table showing demographic and other baseline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1"/>
                    <pic:cNvPicPr>
                      <a:picLocks noChangeAspect="1" noChangeArrowheads="1"/>
                    </pic:cNvPicPr>
                  </pic:nvPicPr>
                  <pic:blipFill>
                    <a:blip r:embed="rId45" cstate="print"/>
                    <a:srcRect/>
                    <a:stretch>
                      <a:fillRect/>
                    </a:stretch>
                  </pic:blipFill>
                  <pic:spPr bwMode="auto">
                    <a:xfrm>
                      <a:off x="0" y="0"/>
                      <a:ext cx="3803650" cy="4688840"/>
                    </a:xfrm>
                    <a:prstGeom prst="rect">
                      <a:avLst/>
                    </a:prstGeom>
                    <a:noFill/>
                    <a:ln w="9525">
                      <a:noFill/>
                      <a:miter lim="800000"/>
                      <a:headEnd/>
                      <a:tailEnd/>
                    </a:ln>
                  </pic:spPr>
                </pic:pic>
              </a:graphicData>
            </a:graphic>
          </wp:inline>
        </w:drawing>
      </w:r>
    </w:p>
    <w:p w:rsidR="0063156D" w:rsidRDefault="0063156D" w:rsidP="00CF193C">
      <w:pPr>
        <w:pStyle w:val="TableTitle"/>
      </w:pPr>
      <w:r>
        <w:lastRenderedPageBreak/>
        <w:t>Table 21</w:t>
      </w:r>
      <w:r w:rsidRPr="000471E1">
        <w:t xml:space="preserve">: </w:t>
      </w:r>
      <w:r>
        <w:t xml:space="preserve">Seizure type at baseline (ITT </w:t>
      </w:r>
      <w:r w:rsidR="00587B40">
        <w:t>p</w:t>
      </w:r>
      <w:r>
        <w:t>opulation).</w:t>
      </w:r>
    </w:p>
    <w:p w:rsidR="0063156D" w:rsidRDefault="00DA36AD" w:rsidP="0085642A">
      <w:pPr>
        <w:jc w:val="center"/>
      </w:pPr>
      <w:r>
        <w:rPr>
          <w:noProof/>
          <w:lang w:eastAsia="en-AU"/>
        </w:rPr>
        <w:drawing>
          <wp:inline distT="0" distB="0" distL="0" distR="0">
            <wp:extent cx="4023360" cy="2348230"/>
            <wp:effectExtent l="19050" t="0" r="0" b="0"/>
            <wp:docPr id="33" name="Picture 33" descr="Table showing seizure type at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2"/>
                    <pic:cNvPicPr>
                      <a:picLocks noChangeAspect="1" noChangeArrowheads="1"/>
                    </pic:cNvPicPr>
                  </pic:nvPicPr>
                  <pic:blipFill>
                    <a:blip r:embed="rId46" cstate="print"/>
                    <a:srcRect/>
                    <a:stretch>
                      <a:fillRect/>
                    </a:stretch>
                  </pic:blipFill>
                  <pic:spPr bwMode="auto">
                    <a:xfrm>
                      <a:off x="0" y="0"/>
                      <a:ext cx="4023360" cy="2348230"/>
                    </a:xfrm>
                    <a:prstGeom prst="rect">
                      <a:avLst/>
                    </a:prstGeom>
                    <a:noFill/>
                    <a:ln w="9525">
                      <a:noFill/>
                      <a:miter lim="800000"/>
                      <a:headEnd/>
                      <a:tailEnd/>
                    </a:ln>
                  </pic:spPr>
                </pic:pic>
              </a:graphicData>
            </a:graphic>
          </wp:inline>
        </w:drawing>
      </w:r>
    </w:p>
    <w:p w:rsidR="008148D9" w:rsidRPr="008148D9" w:rsidRDefault="008148D9" w:rsidP="00587B40">
      <w:pPr>
        <w:pStyle w:val="Heading6"/>
      </w:pPr>
      <w:r w:rsidRPr="008148D9">
        <w:t>Results for the primary efficacy outcome</w:t>
      </w:r>
    </w:p>
    <w:p w:rsidR="008148D9" w:rsidRPr="008148D9" w:rsidRDefault="008148D9" w:rsidP="00587B40">
      <w:r w:rsidRPr="008148D9">
        <w:t xml:space="preserve">The results section for the two Phase III studies shows the primary and key secondary endpoints for this study alongside the Phase III results. Results across all three studies were broadly consistent. This study </w:t>
      </w:r>
      <w:r>
        <w:t>s</w:t>
      </w:r>
      <w:r w:rsidRPr="008148D9">
        <w:t>howed significant benefit for the two highest dose groups (900mg/d and 1200mg/d, but not for the lowest dose group (600mg/d).</w:t>
      </w:r>
    </w:p>
    <w:p w:rsidR="008148D9" w:rsidRPr="008148D9" w:rsidRDefault="008148D9" w:rsidP="00587B40">
      <w:r w:rsidRPr="008148D9">
        <w:t xml:space="preserve">During the “double-blind” phase (the protocol-specified phase for the primary efficacy endpoint, which included the titration plus maintenance phases), the median percent change from baseline in monthly seizure frequency was a decrease of 13% with placebo, 23% with </w:t>
      </w:r>
      <w:proofErr w:type="spellStart"/>
      <w:r w:rsidRPr="008148D9">
        <w:t>retigabine</w:t>
      </w:r>
      <w:proofErr w:type="spellEnd"/>
      <w:r w:rsidRPr="008148D9">
        <w:t xml:space="preserve"> 600mg/d, 29% with 900mg/d, and 35% with 1200 mg/d. For the two highest dose groups, the difference relative to placebo was significant (900 mg/d, p=0.043; 1200 mg/d, </w:t>
      </w:r>
      <w:r w:rsidR="00B27F1E">
        <w:t>p&lt;0.001) (Table 22).</w:t>
      </w:r>
    </w:p>
    <w:p w:rsidR="00732318" w:rsidRDefault="00732318" w:rsidP="00587B40">
      <w:pPr>
        <w:pStyle w:val="TableTitle"/>
      </w:pPr>
      <w:r>
        <w:t>Table 22</w:t>
      </w:r>
      <w:r w:rsidRPr="000471E1">
        <w:t xml:space="preserve">: </w:t>
      </w:r>
      <w:r>
        <w:t>Percent change in monthly seizure rate f</w:t>
      </w:r>
      <w:r w:rsidR="00587B40">
        <w:t>or total partial seizures (ITT p</w:t>
      </w:r>
      <w:r>
        <w:t>opulation).</w:t>
      </w:r>
    </w:p>
    <w:p w:rsidR="0063156D" w:rsidRDefault="00DA36AD" w:rsidP="00CF193C">
      <w:pPr>
        <w:jc w:val="center"/>
      </w:pPr>
      <w:r>
        <w:rPr>
          <w:noProof/>
          <w:lang w:eastAsia="en-AU"/>
        </w:rPr>
        <w:drawing>
          <wp:inline distT="0" distB="0" distL="0" distR="0">
            <wp:extent cx="4645025" cy="3606165"/>
            <wp:effectExtent l="19050" t="0" r="3175" b="0"/>
            <wp:docPr id="34" name="Picture 34" descr="Table showing percent change in monthly seizure rate for total partial seiz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1"/>
                    <pic:cNvPicPr>
                      <a:picLocks noChangeAspect="1" noChangeArrowheads="1"/>
                    </pic:cNvPicPr>
                  </pic:nvPicPr>
                  <pic:blipFill>
                    <a:blip r:embed="rId47" cstate="print"/>
                    <a:srcRect/>
                    <a:stretch>
                      <a:fillRect/>
                    </a:stretch>
                  </pic:blipFill>
                  <pic:spPr bwMode="auto">
                    <a:xfrm>
                      <a:off x="0" y="0"/>
                      <a:ext cx="4645025" cy="3606165"/>
                    </a:xfrm>
                    <a:prstGeom prst="rect">
                      <a:avLst/>
                    </a:prstGeom>
                    <a:noFill/>
                    <a:ln w="9525">
                      <a:noFill/>
                      <a:miter lim="800000"/>
                      <a:headEnd/>
                      <a:tailEnd/>
                    </a:ln>
                  </pic:spPr>
                </pic:pic>
              </a:graphicData>
            </a:graphic>
          </wp:inline>
        </w:drawing>
      </w:r>
    </w:p>
    <w:p w:rsidR="00A229DD" w:rsidRPr="00A229DD" w:rsidRDefault="00A229DD" w:rsidP="00587B40">
      <w:pPr>
        <w:pStyle w:val="Heading6"/>
      </w:pPr>
      <w:r w:rsidRPr="00A229DD">
        <w:lastRenderedPageBreak/>
        <w:t xml:space="preserve">Results for </w:t>
      </w:r>
      <w:r w:rsidRPr="00587B40">
        <w:t>other</w:t>
      </w:r>
      <w:r w:rsidRPr="00A229DD">
        <w:t xml:space="preserve"> efficacy outcomes</w:t>
      </w:r>
    </w:p>
    <w:p w:rsidR="00A229DD" w:rsidRPr="00A229DD" w:rsidRDefault="00A229DD" w:rsidP="00587B40">
      <w:r w:rsidRPr="00A229DD">
        <w:t>For the main secondary endpoint, responder rate, a similar dose trend was observed, with 900mg/d and 1200mg/d producing response rates of 32% and 33%, respectively, which was twice that seen with placebo (16%). The response rate for the 600mg/d dose was intermediate, at 23%.</w:t>
      </w:r>
    </w:p>
    <w:p w:rsidR="00A229DD" w:rsidRPr="00A229DD" w:rsidRDefault="00A229DD" w:rsidP="00587B40">
      <w:r w:rsidRPr="00A229DD">
        <w:t xml:space="preserve">The overall dose trend was assessed by logistic regression across all treatment groups, and found to be significant (p=0.001). </w:t>
      </w:r>
      <w:proofErr w:type="spellStart"/>
      <w:r w:rsidRPr="00A229DD">
        <w:t>Pairwise</w:t>
      </w:r>
      <w:proofErr w:type="spellEnd"/>
      <w:r w:rsidRPr="00A229DD">
        <w:t xml:space="preserve"> comparisons indicated significant differences between 1200mg/d versus placebo (p=0.003) and 900mg/d versus placebo (p=0.008), but</w:t>
      </w:r>
      <w:r w:rsidR="001C7FED">
        <w:t xml:space="preserve"> not for 600mg/d versus placebo (Table 23).</w:t>
      </w:r>
    </w:p>
    <w:p w:rsidR="00A229DD" w:rsidRPr="00587B40" w:rsidRDefault="00A229DD" w:rsidP="00587B40">
      <w:pPr>
        <w:pStyle w:val="TableTitle"/>
      </w:pPr>
      <w:r w:rsidRPr="00587B40">
        <w:t xml:space="preserve">Table 23: </w:t>
      </w:r>
      <w:r w:rsidR="005F69F9" w:rsidRPr="00587B40">
        <w:t xml:space="preserve">Responder rate for total partial seizures (ITT </w:t>
      </w:r>
      <w:r w:rsidR="00587B40">
        <w:t>p</w:t>
      </w:r>
      <w:r w:rsidR="005F69F9" w:rsidRPr="00587B40">
        <w:t>opulation)</w:t>
      </w:r>
      <w:r w:rsidRPr="00587B40">
        <w:t>.</w:t>
      </w:r>
    </w:p>
    <w:p w:rsidR="00410E0B" w:rsidRDefault="00DA36AD" w:rsidP="00CA62F7">
      <w:pPr>
        <w:jc w:val="center"/>
      </w:pPr>
      <w:r>
        <w:rPr>
          <w:noProof/>
          <w:lang w:eastAsia="en-AU"/>
        </w:rPr>
        <w:drawing>
          <wp:inline distT="0" distB="0" distL="0" distR="0">
            <wp:extent cx="4615815" cy="1353185"/>
            <wp:effectExtent l="19050" t="0" r="0" b="0"/>
            <wp:docPr id="35" name="Picture 35" descr="Table showing responder rate for total partial seiz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
                    <pic:cNvPicPr>
                      <a:picLocks noChangeAspect="1" noChangeArrowheads="1"/>
                    </pic:cNvPicPr>
                  </pic:nvPicPr>
                  <pic:blipFill>
                    <a:blip r:embed="rId48" cstate="print"/>
                    <a:srcRect/>
                    <a:stretch>
                      <a:fillRect/>
                    </a:stretch>
                  </pic:blipFill>
                  <pic:spPr bwMode="auto">
                    <a:xfrm>
                      <a:off x="0" y="0"/>
                      <a:ext cx="4615815" cy="1353185"/>
                    </a:xfrm>
                    <a:prstGeom prst="rect">
                      <a:avLst/>
                    </a:prstGeom>
                    <a:noFill/>
                    <a:ln w="9525">
                      <a:noFill/>
                      <a:miter lim="800000"/>
                      <a:headEnd/>
                      <a:tailEnd/>
                    </a:ln>
                  </pic:spPr>
                </pic:pic>
              </a:graphicData>
            </a:graphic>
          </wp:inline>
        </w:drawing>
      </w:r>
    </w:p>
    <w:p w:rsidR="00CA62F7" w:rsidRPr="00CA62F7" w:rsidRDefault="00CA62F7" w:rsidP="00587B40">
      <w:r w:rsidRPr="00CA62F7">
        <w:t>Other endpoints were under-powered but showed favourable trends. Median seizure-free days per 28 days in the double-blind period were quite similar regardless of treatment group: placebo 21.81 days, 600mg/d 23.00 days, 900mg/d 23.25 days, and 1200mg/d 22.50 days. This measure was not significant according to 95% CIs around the Hodges-Lehman estimates of group differences in medians, but the highest dose group was different to placebo by ANOVA. Regardless of statistical significance, the differences for this endpoint do not appear to be clinically significant.</w:t>
      </w:r>
    </w:p>
    <w:p w:rsidR="00CA62F7" w:rsidRPr="00CA62F7" w:rsidRDefault="00CA62F7" w:rsidP="00587B40">
      <w:r w:rsidRPr="00CA62F7">
        <w:t>Seizure-free remissions of at least 8 weeks were rare and were not obviously affected by active treatment; they were seen in 3, 2, 3, and 4 patients on placebo, 600mg/d, 900mg/d and 1200mg/d respectively.</w:t>
      </w:r>
    </w:p>
    <w:p w:rsidR="00CA62F7" w:rsidRDefault="00CA62F7" w:rsidP="00587B40">
      <w:pPr>
        <w:pStyle w:val="Heading3"/>
      </w:pPr>
      <w:bookmarkStart w:id="155" w:name="_Ref271037188"/>
      <w:bookmarkStart w:id="156" w:name="_Ref271037210"/>
      <w:bookmarkStart w:id="157" w:name="_Toc272414655"/>
      <w:bookmarkStart w:id="158" w:name="_Toc290846277"/>
      <w:bookmarkStart w:id="159" w:name="_Toc330196362"/>
      <w:bookmarkStart w:id="160" w:name="_Toc365636797"/>
      <w:r>
        <w:t>Other efficacy studies</w:t>
      </w:r>
      <w:bookmarkEnd w:id="155"/>
      <w:bookmarkEnd w:id="156"/>
      <w:bookmarkEnd w:id="157"/>
      <w:bookmarkEnd w:id="158"/>
      <w:bookmarkEnd w:id="159"/>
      <w:bookmarkEnd w:id="160"/>
    </w:p>
    <w:p w:rsidR="00CA62F7" w:rsidRPr="00CA62F7" w:rsidRDefault="00CA62F7" w:rsidP="00587B40">
      <w:r w:rsidRPr="00CA62F7">
        <w:t>The sponsor submitted a number of weakly supportive studies that do not contribute substantially to the overall efficacy assessment. Studies 200, 201 and 202 were open-label, uncontrolled studies that have to be considered merely exploratory in nature because of the lack of a control group. Study 214 was randomised and double-blinded, but had a primary focus on the tolerability of different titration regimens. Efficacy was a secondary focus, and the study was inadequately powered for efficacy endpoints. Finally, Studies 212, 303 and 304 were open-label extension studies, which are difficult to interpret because of the lack of a control group, lack of blinding, and selection bias – only patients wanting to continue the therapy entered the studies. Two of these extension studies, Studies 303 and 304, were ongoing at the time of submission. These studies are described in more detail below.</w:t>
      </w:r>
    </w:p>
    <w:p w:rsidR="00192263" w:rsidRPr="00DB65AB" w:rsidRDefault="00192263" w:rsidP="00587B40">
      <w:pPr>
        <w:pStyle w:val="Heading4"/>
      </w:pPr>
      <w:bookmarkStart w:id="161" w:name="_Ref326493481"/>
      <w:bookmarkStart w:id="162" w:name="_Toc330196363"/>
      <w:r w:rsidRPr="00DB65AB">
        <w:t>Stud</w:t>
      </w:r>
      <w:r>
        <w:t>ies 200</w:t>
      </w:r>
      <w:r w:rsidRPr="00DB65AB">
        <w:t xml:space="preserve"> </w:t>
      </w:r>
      <w:r w:rsidRPr="00587B40">
        <w:t>and</w:t>
      </w:r>
      <w:r>
        <w:t xml:space="preserve"> 201</w:t>
      </w:r>
      <w:bookmarkEnd w:id="161"/>
      <w:bookmarkEnd w:id="162"/>
    </w:p>
    <w:p w:rsidR="00192263" w:rsidRPr="00192263" w:rsidRDefault="00192263" w:rsidP="00587B40">
      <w:r w:rsidRPr="00192263">
        <w:t xml:space="preserve">Studies 200 and 201 were open-label, non-randomised, uncontrolled Phase </w:t>
      </w:r>
      <w:proofErr w:type="spellStart"/>
      <w:r w:rsidRPr="00192263">
        <w:t>IIa</w:t>
      </w:r>
      <w:proofErr w:type="spellEnd"/>
      <w:r w:rsidRPr="00192263">
        <w:t xml:space="preserve"> studies in patients aged 18 to 50 years with partial-onset seizures, with or without secondary generali</w:t>
      </w:r>
      <w:r w:rsidR="009E2E28">
        <w:t>s</w:t>
      </w:r>
      <w:r w:rsidRPr="00192263">
        <w:t>ation. Patients were required to have at least 8 seizures during the preceding 2 months, and were receiving up to three concomitant AEDs. The protocols of these two studies were very similar so the efficacy data were pooled and the results submitted in a single study report; despite this the total number of patients remained very small (n=46).</w:t>
      </w:r>
    </w:p>
    <w:p w:rsidR="0078689B" w:rsidRPr="0078689B" w:rsidRDefault="0078689B" w:rsidP="00587B40">
      <w:r w:rsidRPr="0078689B">
        <w:t xml:space="preserve">The following three </w:t>
      </w:r>
      <w:proofErr w:type="spellStart"/>
      <w:r w:rsidRPr="0078689B">
        <w:t>retigabine</w:t>
      </w:r>
      <w:proofErr w:type="spellEnd"/>
      <w:r w:rsidRPr="0078689B">
        <w:t xml:space="preserve"> regimens were assessed: </w:t>
      </w:r>
    </w:p>
    <w:p w:rsidR="0078689B" w:rsidRPr="00587B40" w:rsidRDefault="0078689B" w:rsidP="00587B40">
      <w:pPr>
        <w:pStyle w:val="ListBullet"/>
      </w:pPr>
      <w:r w:rsidRPr="00587B40">
        <w:lastRenderedPageBreak/>
        <w:t>Starting dose of 25 mg/d; titration step of 25 mg/week; maximum daily dose of 400 mg.</w:t>
      </w:r>
    </w:p>
    <w:p w:rsidR="0078689B" w:rsidRPr="00587B40" w:rsidRDefault="0078689B" w:rsidP="00587B40">
      <w:pPr>
        <w:pStyle w:val="ListBullet"/>
      </w:pPr>
      <w:r w:rsidRPr="00587B40">
        <w:t>Starting dose of 100 mg/d; titration step of 100mg/week; maximum daily dose of 1200 mg.</w:t>
      </w:r>
    </w:p>
    <w:p w:rsidR="0078689B" w:rsidRPr="00587B40" w:rsidRDefault="0078689B" w:rsidP="00587B40">
      <w:pPr>
        <w:pStyle w:val="ListBullet"/>
      </w:pPr>
      <w:r w:rsidRPr="00587B40">
        <w:t>Starting dose of 200 mg/d; titration step of 200mg/week; maximum daily dose of 2400 mg.</w:t>
      </w:r>
    </w:p>
    <w:p w:rsidR="0078689B" w:rsidRPr="0078689B" w:rsidRDefault="0078689B" w:rsidP="00587B40">
      <w:r w:rsidRPr="0078689B">
        <w:t xml:space="preserve">The studies were divided into a baseline phase of 2 months, a titration phase of 3-months and maintenance phase of 3-months. At the end of the study, patients either tapered off </w:t>
      </w:r>
      <w:proofErr w:type="spellStart"/>
      <w:r w:rsidRPr="0078689B">
        <w:t>retigabine</w:t>
      </w:r>
      <w:proofErr w:type="spellEnd"/>
      <w:r w:rsidRPr="0078689B">
        <w:t xml:space="preserve"> over 3 weeks or entered into a long-term follow-up study (Study 8017). During the treatment phase, concomitant AEDs were kept constant.</w:t>
      </w:r>
    </w:p>
    <w:p w:rsidR="0078689B" w:rsidRPr="0078689B" w:rsidRDefault="0078689B" w:rsidP="00587B40">
      <w:r w:rsidRPr="0078689B">
        <w:t xml:space="preserve">Efficacy criteria were percent reduction in total partial seizure frequency and responder rate (&gt; 50% reduction from baseline in seizure frequency) during the 3-month maintenance period or to the last study visit. Only descriptive statistics were produced; no statistical comparisons were performed. </w:t>
      </w:r>
    </w:p>
    <w:p w:rsidR="0078689B" w:rsidRPr="0078689B" w:rsidRDefault="0078689B" w:rsidP="00587B40">
      <w:r w:rsidRPr="0078689B">
        <w:t xml:space="preserve">Over the whole study population, the seizure frequency was reduced by 36% (ITT population, n=46) or 34% (PP population, n=34) relative to baseline. Twelve patients had a reduction in seizure rate of &gt;50% and 7 became seizure free. For the PP population, a response rate by dose is shown </w:t>
      </w:r>
      <w:r>
        <w:t>in Table 24</w:t>
      </w:r>
      <w:r w:rsidRPr="0078689B">
        <w:t xml:space="preserve">. </w:t>
      </w:r>
    </w:p>
    <w:p w:rsidR="0078689B" w:rsidRDefault="0078689B" w:rsidP="00587B40">
      <w:pPr>
        <w:pStyle w:val="TableTitle"/>
      </w:pPr>
      <w:r>
        <w:t>Table 24</w:t>
      </w:r>
      <w:r w:rsidRPr="000471E1">
        <w:t xml:space="preserve">: </w:t>
      </w:r>
      <w:r>
        <w:t>Responder rates (PP).</w:t>
      </w:r>
    </w:p>
    <w:p w:rsidR="0078689B" w:rsidRPr="0078689B" w:rsidRDefault="00DA36AD" w:rsidP="00F611F7">
      <w:pPr>
        <w:jc w:val="center"/>
      </w:pPr>
      <w:r>
        <w:rPr>
          <w:noProof/>
          <w:lang w:eastAsia="en-AU"/>
        </w:rPr>
        <w:drawing>
          <wp:inline distT="0" distB="0" distL="0" distR="0">
            <wp:extent cx="4549775" cy="526415"/>
            <wp:effectExtent l="19050" t="0" r="3175" b="0"/>
            <wp:docPr id="36" name="Picture 36" descr="Table showing responder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1"/>
                    <pic:cNvPicPr>
                      <a:picLocks noChangeAspect="1" noChangeArrowheads="1"/>
                    </pic:cNvPicPr>
                  </pic:nvPicPr>
                  <pic:blipFill>
                    <a:blip r:embed="rId49" cstate="print"/>
                    <a:srcRect/>
                    <a:stretch>
                      <a:fillRect/>
                    </a:stretch>
                  </pic:blipFill>
                  <pic:spPr bwMode="auto">
                    <a:xfrm>
                      <a:off x="0" y="0"/>
                      <a:ext cx="4549775" cy="526415"/>
                    </a:xfrm>
                    <a:prstGeom prst="rect">
                      <a:avLst/>
                    </a:prstGeom>
                    <a:noFill/>
                    <a:ln w="9525">
                      <a:noFill/>
                      <a:miter lim="800000"/>
                      <a:headEnd/>
                      <a:tailEnd/>
                    </a:ln>
                  </pic:spPr>
                </pic:pic>
              </a:graphicData>
            </a:graphic>
          </wp:inline>
        </w:drawing>
      </w:r>
    </w:p>
    <w:p w:rsidR="0078689B" w:rsidRPr="0078689B" w:rsidRDefault="0078689B" w:rsidP="00587B40">
      <w:r w:rsidRPr="0078689B">
        <w:t>In the absence of a control group, these results are impossible to interpret. Most epilepsy studies show a reduction in seizure frequency compared to baseline, even in the placebo group.</w:t>
      </w:r>
    </w:p>
    <w:p w:rsidR="0078689B" w:rsidRPr="0078689B" w:rsidRDefault="0078689B" w:rsidP="00587B40">
      <w:r w:rsidRPr="0078689B">
        <w:t xml:space="preserve">The main value of this study was that it compared the tolerability of the different dosing regimens, guiding dose selection for the Phase </w:t>
      </w:r>
      <w:proofErr w:type="spellStart"/>
      <w:r w:rsidRPr="0078689B">
        <w:t>IIb</w:t>
      </w:r>
      <w:proofErr w:type="spellEnd"/>
      <w:r w:rsidRPr="0078689B">
        <w:t xml:space="preserve"> and Phase III studies. The therapeutic window appeared to be between 400 mg/d and 1200 mg/d, but patient numbers outside this dose range were too low for a meaningful assessment. </w:t>
      </w:r>
    </w:p>
    <w:p w:rsidR="00A053C1" w:rsidRPr="00DB65AB" w:rsidRDefault="00A053C1" w:rsidP="00587B40">
      <w:pPr>
        <w:pStyle w:val="Heading4"/>
      </w:pPr>
      <w:bookmarkStart w:id="163" w:name="_Ref327367767"/>
      <w:bookmarkStart w:id="164" w:name="_Toc330196364"/>
      <w:r w:rsidRPr="00DB65AB">
        <w:t>Stud</w:t>
      </w:r>
      <w:r>
        <w:t>y</w:t>
      </w:r>
      <w:r w:rsidRPr="00DB65AB">
        <w:t xml:space="preserve"> 202</w:t>
      </w:r>
      <w:bookmarkEnd w:id="163"/>
      <w:bookmarkEnd w:id="164"/>
    </w:p>
    <w:p w:rsidR="00A053C1" w:rsidRPr="00A053C1" w:rsidRDefault="00A053C1" w:rsidP="00587B40">
      <w:r w:rsidRPr="00A053C1">
        <w:t xml:space="preserve">Study 202 (3065 A1-202) was an open-label, uncontrolled study with efficacy considered as a secondary objective after assessment of the safety, tolerability and drug- interactions of </w:t>
      </w:r>
      <w:proofErr w:type="spellStart"/>
      <w:r w:rsidRPr="00A053C1">
        <w:t>retigabine</w:t>
      </w:r>
      <w:proofErr w:type="spellEnd"/>
      <w:r w:rsidRPr="00A053C1">
        <w:t xml:space="preserve"> in patients aged 16 to 75 years with </w:t>
      </w:r>
      <w:r w:rsidRPr="00A053C1">
        <w:rPr>
          <w:i/>
        </w:rPr>
        <w:t>partial or generalised</w:t>
      </w:r>
      <w:r w:rsidRPr="00A053C1">
        <w:t xml:space="preserve"> epilepsy. It included 5 patients with primary generalised epilepsy, who do not match the proposed target population for </w:t>
      </w:r>
      <w:proofErr w:type="spellStart"/>
      <w:r w:rsidRPr="00A053C1">
        <w:t>retigabine</w:t>
      </w:r>
      <w:proofErr w:type="spellEnd"/>
      <w:r w:rsidRPr="00A053C1">
        <w:t xml:space="preserve"> in the current submission. </w:t>
      </w:r>
    </w:p>
    <w:p w:rsidR="00A053C1" w:rsidRPr="00A053C1" w:rsidRDefault="00A053C1" w:rsidP="00587B40">
      <w:proofErr w:type="spellStart"/>
      <w:r w:rsidRPr="00A053C1">
        <w:t>Retigabine</w:t>
      </w:r>
      <w:proofErr w:type="spellEnd"/>
      <w:r w:rsidRPr="00A053C1">
        <w:t xml:space="preserve"> at doses up to 1200mg/d was administered first as add-on therapy and then as </w:t>
      </w:r>
      <w:proofErr w:type="spellStart"/>
      <w:r w:rsidRPr="00A053C1">
        <w:t>monotherapy</w:t>
      </w:r>
      <w:proofErr w:type="spellEnd"/>
      <w:r w:rsidRPr="00A053C1">
        <w:t xml:space="preserve">, in two or three divided doses daily. To be eligible, patients had a documented seizure frequency of at least two seizures/month and were receiving </w:t>
      </w:r>
      <w:proofErr w:type="spellStart"/>
      <w:r w:rsidRPr="00A053C1">
        <w:t>monotherapy</w:t>
      </w:r>
      <w:proofErr w:type="spellEnd"/>
      <w:r w:rsidRPr="00A053C1">
        <w:t xml:space="preserve"> with one of four established AEDs (</w:t>
      </w:r>
      <w:proofErr w:type="spellStart"/>
      <w:r w:rsidRPr="00A053C1">
        <w:t>valproic</w:t>
      </w:r>
      <w:proofErr w:type="spellEnd"/>
      <w:r w:rsidRPr="00A053C1">
        <w:t xml:space="preserve"> acid, </w:t>
      </w:r>
      <w:proofErr w:type="spellStart"/>
      <w:r w:rsidRPr="00A053C1">
        <w:t>carbamazepine</w:t>
      </w:r>
      <w:proofErr w:type="spellEnd"/>
      <w:r w:rsidRPr="00A053C1">
        <w:t xml:space="preserve">, </w:t>
      </w:r>
      <w:proofErr w:type="spellStart"/>
      <w:r w:rsidRPr="00A053C1">
        <w:t>phenytoin</w:t>
      </w:r>
      <w:proofErr w:type="spellEnd"/>
      <w:r w:rsidRPr="00A053C1">
        <w:t xml:space="preserve">, or </w:t>
      </w:r>
      <w:proofErr w:type="spellStart"/>
      <w:r w:rsidRPr="00A053C1">
        <w:t>topiramate</w:t>
      </w:r>
      <w:proofErr w:type="spellEnd"/>
      <w:r w:rsidRPr="00A053C1">
        <w:t>) at stable doses.</w:t>
      </w:r>
    </w:p>
    <w:p w:rsidR="00A053C1" w:rsidRPr="00A053C1" w:rsidRDefault="00A053C1" w:rsidP="00587B40">
      <w:r w:rsidRPr="00A053C1">
        <w:t>The study was divided into five phases:</w:t>
      </w:r>
    </w:p>
    <w:p w:rsidR="00A053C1" w:rsidRPr="00587B40" w:rsidRDefault="00A053C1" w:rsidP="00587B40">
      <w:pPr>
        <w:pStyle w:val="ListBullet"/>
      </w:pPr>
      <w:r w:rsidRPr="00587B40">
        <w:t>screening/baseline (2-3 weeks)</w:t>
      </w:r>
    </w:p>
    <w:p w:rsidR="00A053C1" w:rsidRPr="00587B40" w:rsidRDefault="00A053C1" w:rsidP="00587B40">
      <w:pPr>
        <w:pStyle w:val="ListBullet"/>
      </w:pPr>
      <w:proofErr w:type="spellStart"/>
      <w:r w:rsidRPr="00587B40">
        <w:t>retigabine</w:t>
      </w:r>
      <w:proofErr w:type="spellEnd"/>
      <w:r w:rsidRPr="00587B40">
        <w:t xml:space="preserve"> titration (variable, but at least 6 weeks)</w:t>
      </w:r>
    </w:p>
    <w:p w:rsidR="00A053C1" w:rsidRPr="00587B40" w:rsidRDefault="00A053C1" w:rsidP="00587B40">
      <w:pPr>
        <w:pStyle w:val="ListBullet"/>
      </w:pPr>
      <w:r w:rsidRPr="00587B40">
        <w:t>initial AED tapering (variable duration)</w:t>
      </w:r>
    </w:p>
    <w:p w:rsidR="00A053C1" w:rsidRPr="00587B40" w:rsidRDefault="00A053C1" w:rsidP="00587B40">
      <w:pPr>
        <w:pStyle w:val="ListBullet"/>
      </w:pPr>
      <w:proofErr w:type="spellStart"/>
      <w:r w:rsidRPr="00587B40">
        <w:t>retigabine</w:t>
      </w:r>
      <w:proofErr w:type="spellEnd"/>
      <w:r w:rsidRPr="00587B40">
        <w:t xml:space="preserve"> </w:t>
      </w:r>
      <w:proofErr w:type="spellStart"/>
      <w:r w:rsidRPr="00587B40">
        <w:t>monotherapy</w:t>
      </w:r>
      <w:proofErr w:type="spellEnd"/>
      <w:r w:rsidRPr="00587B40">
        <w:t xml:space="preserve"> </w:t>
      </w:r>
      <w:r w:rsidR="00473FEE" w:rsidRPr="00587B40">
        <w:t>maintenance (2 weeks)</w:t>
      </w:r>
    </w:p>
    <w:p w:rsidR="00A053C1" w:rsidRPr="00587B40" w:rsidRDefault="00A053C1" w:rsidP="00587B40">
      <w:pPr>
        <w:pStyle w:val="ListBullet"/>
      </w:pPr>
      <w:r w:rsidRPr="00587B40">
        <w:t>tapering, reintroduction of initial AED, or transfer to long-term follow-up</w:t>
      </w:r>
      <w:r w:rsidR="00460F24" w:rsidRPr="00587B40">
        <w:t xml:space="preserve"> </w:t>
      </w:r>
      <w:r w:rsidRPr="00587B40">
        <w:t>(Study 3065A1-208-US), at the discretion of the investigator.</w:t>
      </w:r>
    </w:p>
    <w:p w:rsidR="00A053C1" w:rsidRPr="00A053C1" w:rsidRDefault="00A053C1" w:rsidP="00587B40">
      <w:proofErr w:type="spellStart"/>
      <w:r w:rsidRPr="00A053C1">
        <w:t>Retigabine</w:t>
      </w:r>
      <w:proofErr w:type="spellEnd"/>
      <w:r w:rsidRPr="00A053C1">
        <w:t xml:space="preserve"> dosing was complex, but it involved titration of </w:t>
      </w:r>
      <w:proofErr w:type="spellStart"/>
      <w:r w:rsidRPr="00A053C1">
        <w:t>retigabine</w:t>
      </w:r>
      <w:proofErr w:type="spellEnd"/>
      <w:r w:rsidRPr="00A053C1">
        <w:t xml:space="preserve"> to a target of 1600mg/d in divided doses. The switch from BD to TID dosing was the result of a protocol amendment.</w:t>
      </w:r>
    </w:p>
    <w:p w:rsidR="00A053C1" w:rsidRPr="00A053C1" w:rsidRDefault="00A053C1" w:rsidP="00587B40">
      <w:r w:rsidRPr="00A053C1">
        <w:lastRenderedPageBreak/>
        <w:t>Efficacy was assessed by percent reduction in total seizure frequency and the responder rate (&gt;50% reduction from pre-study baselines in seizure frequency) during the treatment period.</w:t>
      </w:r>
    </w:p>
    <w:p w:rsidR="00587B40" w:rsidRDefault="00A053C1" w:rsidP="00587B40">
      <w:r w:rsidRPr="00A053C1">
        <w:t xml:space="preserve">A total of 60 patients were enrolled. The addition of </w:t>
      </w:r>
      <w:proofErr w:type="spellStart"/>
      <w:r w:rsidRPr="00A053C1">
        <w:t>retigabine</w:t>
      </w:r>
      <w:proofErr w:type="spellEnd"/>
      <w:r w:rsidRPr="00A053C1">
        <w:t xml:space="preserve"> was associated with an improvement in seizure frequency in some patients, but this is impossible to interpret without an appropriate control group. Withdrawal of concomitant AEDs was sometimes associated with seizure worsening, as shown by positive mean percent changes in seizure frequency relative to baseline, but the median change during this phase was negative. The results were quite different across the four AED subgroups, as shown in </w:t>
      </w:r>
      <w:r w:rsidR="009D6876">
        <w:t>Tables 25 and 26</w:t>
      </w:r>
      <w:r w:rsidRPr="00A053C1">
        <w:t xml:space="preserve">, with the </w:t>
      </w:r>
      <w:proofErr w:type="spellStart"/>
      <w:r w:rsidRPr="00A053C1">
        <w:t>topiramate</w:t>
      </w:r>
      <w:proofErr w:type="spellEnd"/>
      <w:r w:rsidRPr="00A053C1">
        <w:t xml:space="preserve"> group showing increased seizures during </w:t>
      </w:r>
      <w:proofErr w:type="spellStart"/>
      <w:r w:rsidRPr="00A053C1">
        <w:t>retigabine</w:t>
      </w:r>
      <w:proofErr w:type="spellEnd"/>
      <w:r w:rsidRPr="00A053C1">
        <w:t xml:space="preserve"> </w:t>
      </w:r>
      <w:proofErr w:type="spellStart"/>
      <w:r w:rsidRPr="00A053C1">
        <w:t>monotherapy</w:t>
      </w:r>
      <w:proofErr w:type="spellEnd"/>
      <w:r w:rsidRPr="00A053C1">
        <w:t>, but the Summary of Clinical Efficacy described the results with the comment</w:t>
      </w:r>
      <w:r w:rsidR="00F2547D">
        <w:t>:</w:t>
      </w:r>
      <w:r w:rsidRPr="00A053C1">
        <w:t xml:space="preserve"> </w:t>
      </w:r>
      <w:r w:rsidRPr="00A053C1">
        <w:rPr>
          <w:i/>
        </w:rPr>
        <w:t>“The efficacy profiles were generally similar across the four AED subgroups.”</w:t>
      </w:r>
      <w:r w:rsidR="00DA7454">
        <w:t xml:space="preserve"> </w:t>
      </w:r>
      <w:r w:rsidRPr="00A053C1">
        <w:t>Numbers in each group are too small to draw any conclusions.</w:t>
      </w:r>
    </w:p>
    <w:p w:rsidR="009D6876" w:rsidRDefault="009D6876" w:rsidP="00587B40">
      <w:pPr>
        <w:pStyle w:val="TableTitle"/>
      </w:pPr>
      <w:r>
        <w:t>Table 25</w:t>
      </w:r>
      <w:r w:rsidRPr="000471E1">
        <w:t>:</w:t>
      </w:r>
      <w:r w:rsidR="009E6A80">
        <w:t xml:space="preserve"> Percentage change in total seizure rate relative to pre-study baseline (ITT population)</w:t>
      </w:r>
      <w:r>
        <w:t>.</w:t>
      </w:r>
    </w:p>
    <w:p w:rsidR="009D6876" w:rsidRDefault="00DA36AD" w:rsidP="00CF193C">
      <w:pPr>
        <w:jc w:val="center"/>
      </w:pPr>
      <w:r>
        <w:rPr>
          <w:noProof/>
          <w:lang w:eastAsia="en-AU"/>
        </w:rPr>
        <w:drawing>
          <wp:inline distT="0" distB="0" distL="0" distR="0">
            <wp:extent cx="4257675" cy="2948305"/>
            <wp:effectExtent l="19050" t="0" r="9525" b="0"/>
            <wp:docPr id="37" name="Picture 37" descr="Table showing percentage change in total seizure rate relative to pre-study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
                    <pic:cNvPicPr>
                      <a:picLocks noChangeAspect="1" noChangeArrowheads="1"/>
                    </pic:cNvPicPr>
                  </pic:nvPicPr>
                  <pic:blipFill>
                    <a:blip r:embed="rId50" cstate="print"/>
                    <a:srcRect/>
                    <a:stretch>
                      <a:fillRect/>
                    </a:stretch>
                  </pic:blipFill>
                  <pic:spPr bwMode="auto">
                    <a:xfrm>
                      <a:off x="0" y="0"/>
                      <a:ext cx="4257675" cy="2948305"/>
                    </a:xfrm>
                    <a:prstGeom prst="rect">
                      <a:avLst/>
                    </a:prstGeom>
                    <a:noFill/>
                    <a:ln w="9525">
                      <a:noFill/>
                      <a:miter lim="800000"/>
                      <a:headEnd/>
                      <a:tailEnd/>
                    </a:ln>
                  </pic:spPr>
                </pic:pic>
              </a:graphicData>
            </a:graphic>
          </wp:inline>
        </w:drawing>
      </w:r>
    </w:p>
    <w:p w:rsidR="009E6A80" w:rsidRDefault="009E6A80" w:rsidP="00587B40">
      <w:pPr>
        <w:pStyle w:val="TableTitle"/>
      </w:pPr>
      <w:r>
        <w:t>Table 26</w:t>
      </w:r>
      <w:r w:rsidRPr="000471E1">
        <w:t>:</w:t>
      </w:r>
      <w:r>
        <w:t xml:space="preserve"> Number and percentage of responders (total seizures) during the on-therapy phases (ITT population).</w:t>
      </w:r>
    </w:p>
    <w:p w:rsidR="009E6A80" w:rsidRDefault="00DA36AD" w:rsidP="00CF193C">
      <w:pPr>
        <w:jc w:val="center"/>
      </w:pPr>
      <w:r>
        <w:rPr>
          <w:noProof/>
          <w:lang w:eastAsia="en-AU"/>
        </w:rPr>
        <w:drawing>
          <wp:inline distT="0" distB="0" distL="0" distR="0">
            <wp:extent cx="4316095" cy="2874645"/>
            <wp:effectExtent l="19050" t="0" r="8255" b="0"/>
            <wp:docPr id="38" name="Picture 38" descr="Table showing number and percentage of responders (total seizures) during the on-therapy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1"/>
                    <pic:cNvPicPr>
                      <a:picLocks noChangeAspect="1" noChangeArrowheads="1"/>
                    </pic:cNvPicPr>
                  </pic:nvPicPr>
                  <pic:blipFill>
                    <a:blip r:embed="rId51" cstate="print"/>
                    <a:srcRect/>
                    <a:stretch>
                      <a:fillRect/>
                    </a:stretch>
                  </pic:blipFill>
                  <pic:spPr bwMode="auto">
                    <a:xfrm>
                      <a:off x="0" y="0"/>
                      <a:ext cx="4316095" cy="2874645"/>
                    </a:xfrm>
                    <a:prstGeom prst="rect">
                      <a:avLst/>
                    </a:prstGeom>
                    <a:noFill/>
                    <a:ln w="9525">
                      <a:noFill/>
                      <a:miter lim="800000"/>
                      <a:headEnd/>
                      <a:tailEnd/>
                    </a:ln>
                  </pic:spPr>
                </pic:pic>
              </a:graphicData>
            </a:graphic>
          </wp:inline>
        </w:drawing>
      </w:r>
    </w:p>
    <w:p w:rsidR="00A57F36" w:rsidRPr="00555F17" w:rsidRDefault="00A57F36" w:rsidP="00587B40">
      <w:r w:rsidRPr="00555F17">
        <w:lastRenderedPageBreak/>
        <w:t xml:space="preserve">The main relevance of the study was that it seemed to indicate that </w:t>
      </w:r>
      <w:proofErr w:type="spellStart"/>
      <w:r w:rsidRPr="00555F17">
        <w:t>retigabine</w:t>
      </w:r>
      <w:proofErr w:type="spellEnd"/>
      <w:r w:rsidRPr="00555F17">
        <w:t xml:space="preserve"> 1200 mg/d was the maximum tolerated dose, and that efficacy was achievable with doses in this range, but it is impossible to draw any firm conclusions given the confounding influence of tapering other AEDs, the relatively short treatment duration and the lack of appropriate controls.</w:t>
      </w:r>
    </w:p>
    <w:p w:rsidR="00A57F36" w:rsidRPr="00DB65AB" w:rsidRDefault="00A57F36" w:rsidP="00587B40">
      <w:pPr>
        <w:pStyle w:val="Heading4"/>
      </w:pPr>
      <w:bookmarkStart w:id="165" w:name="_Toc330196365"/>
      <w:r w:rsidRPr="00587B40">
        <w:t>Study</w:t>
      </w:r>
      <w:r>
        <w:t xml:space="preserve"> 214</w:t>
      </w:r>
      <w:bookmarkEnd w:id="165"/>
    </w:p>
    <w:p w:rsidR="00A57F36" w:rsidRPr="00A57F36" w:rsidRDefault="00A57F36" w:rsidP="00587B40">
      <w:r w:rsidRPr="00A57F36">
        <w:t xml:space="preserve">Study 214 was a multi-centre, randomised, double-blind, parallel-group study primarily intended to compare the safety and tolerability of three titration rates of </w:t>
      </w:r>
      <w:proofErr w:type="spellStart"/>
      <w:r w:rsidRPr="00A57F36">
        <w:t>retigabine</w:t>
      </w:r>
      <w:proofErr w:type="spellEnd"/>
      <w:r w:rsidRPr="00A57F36">
        <w:t xml:space="preserve"> (300 mg/d TID starting dose, increasing by 150 mg/d every 2, 4, or 7 days, up to a maximum of 1200 mg/d). Assessment of efficacy was a secondary objective, and the study was not suitable for assessment of efficacy because it lacked a placebo group and there was no maintenance phase. Subjects either switched from the titration phase to the tapering phase, or entered a long-term extension.</w:t>
      </w:r>
    </w:p>
    <w:p w:rsidR="00A57F36" w:rsidRPr="00A57F36" w:rsidRDefault="00A57F36" w:rsidP="00587B40">
      <w:r w:rsidRPr="00A57F36">
        <w:t xml:space="preserve">Eligible patients were those aged 16 to 70 years with a diagnosis of partial epilepsy and a documented seizure frequency of ≥ 2 seizures/month during the baseline period. They could be receiving one or two concomitant AEDs at a stable dose for at least 1 month prior to screening. </w:t>
      </w:r>
    </w:p>
    <w:p w:rsidR="00A57F36" w:rsidRPr="00A57F36" w:rsidRDefault="00A57F36" w:rsidP="00587B40">
      <w:r w:rsidRPr="00A57F36">
        <w:t>Efficacy was assessed by percent change in seizure frequency relative to baseline.</w:t>
      </w:r>
    </w:p>
    <w:p w:rsidR="00A57F36" w:rsidRPr="00A57F36" w:rsidRDefault="00A57F36" w:rsidP="00587B40">
      <w:r w:rsidRPr="00A57F36">
        <w:t>The study enrolled 73 patients. Mean percent change in seizure frequency during titration showed a decrease in two of the treatment groups, and an increase in the third group; median percent change showed a reduction in all groups. Without a placebo group, this is impossible to interpret.</w:t>
      </w:r>
    </w:p>
    <w:p w:rsidR="00A57F36" w:rsidRPr="00A57F36" w:rsidRDefault="00A57F36" w:rsidP="00587B40">
      <w:r w:rsidRPr="00A57F36">
        <w:t>The main value of this study was that it showed better tolerability of a titration scheme of 150 mg every 7 days, relative to faster rates. The sponsor’s Summary of Clinical Efficacy concluded</w:t>
      </w:r>
      <w:r>
        <w:t>:</w:t>
      </w:r>
    </w:p>
    <w:p w:rsidR="00A57F36" w:rsidRPr="00587B40" w:rsidRDefault="00A57F36" w:rsidP="00587B40">
      <w:pPr>
        <w:ind w:left="720"/>
        <w:rPr>
          <w:i/>
        </w:rPr>
      </w:pPr>
      <w:r w:rsidRPr="00587B40">
        <w:rPr>
          <w:i/>
        </w:rPr>
        <w:t xml:space="preserve">“While efficacy was demonstrated across the three titration regimens, a titration scheme of 150 mg every 7 days to a maximum tolerated dose of </w:t>
      </w:r>
      <w:proofErr w:type="spellStart"/>
      <w:r w:rsidRPr="00587B40">
        <w:rPr>
          <w:i/>
        </w:rPr>
        <w:t>retigabine</w:t>
      </w:r>
      <w:proofErr w:type="spellEnd"/>
      <w:r w:rsidRPr="00587B40">
        <w:rPr>
          <w:i/>
        </w:rPr>
        <w:t xml:space="preserve"> 1200 mg/d</w:t>
      </w:r>
      <w:r w:rsidR="00BB2BDE" w:rsidRPr="00587B40">
        <w:rPr>
          <w:i/>
        </w:rPr>
        <w:t xml:space="preserve">, </w:t>
      </w:r>
      <w:proofErr w:type="spellStart"/>
      <w:r w:rsidR="00BB2BDE" w:rsidRPr="00587B40">
        <w:rPr>
          <w:i/>
        </w:rPr>
        <w:t>ie</w:t>
      </w:r>
      <w:proofErr w:type="spellEnd"/>
      <w:r w:rsidR="00BB2BDE" w:rsidRPr="00587B40">
        <w:rPr>
          <w:i/>
        </w:rPr>
        <w:t>.</w:t>
      </w:r>
      <w:r w:rsidRPr="00587B40">
        <w:rPr>
          <w:i/>
        </w:rPr>
        <w:t xml:space="preserve"> over a 6-week titration period, was considered optimum with respect to the lowest discontinuation rates due to AEs.” </w:t>
      </w:r>
    </w:p>
    <w:p w:rsidR="00A57F36" w:rsidRPr="00A57F36" w:rsidRDefault="00A57F36" w:rsidP="00A11387">
      <w:r w:rsidRPr="00A57F36">
        <w:t>The sponsor’s assertion that “efficacy was demonstrated across the three titration regimens” is not justifiable given the methodological limitations of this study. In particular, it is not clear that the reduction in seizure frequency differs from the usual phenomenon observed in placebo-controlled studies, where seizures tend to improve even in the placebo group.</w:t>
      </w:r>
    </w:p>
    <w:p w:rsidR="00BB2BDE" w:rsidRPr="00DB65AB" w:rsidRDefault="00BB2BDE" w:rsidP="00A11387">
      <w:pPr>
        <w:pStyle w:val="Heading4"/>
      </w:pPr>
      <w:bookmarkStart w:id="166" w:name="_Toc330196366"/>
      <w:r w:rsidRPr="00DB65AB">
        <w:t>Stud</w:t>
      </w:r>
      <w:r>
        <w:t>y 212</w:t>
      </w:r>
      <w:bookmarkEnd w:id="166"/>
    </w:p>
    <w:p w:rsidR="00BB2BDE" w:rsidRPr="00BB2BDE" w:rsidRDefault="00BB2BDE" w:rsidP="00A11387">
      <w:r w:rsidRPr="00BB2BDE">
        <w:t xml:space="preserve">Patients who completed Study 205 were eligible to enter the long-term extension protocol, Study 212 (also known as Study 3225). This study was not placebo-controlled and was susceptible to selection bias, because patients with poor control on </w:t>
      </w:r>
      <w:proofErr w:type="spellStart"/>
      <w:r w:rsidRPr="00BB2BDE">
        <w:t>retigabine</w:t>
      </w:r>
      <w:proofErr w:type="spellEnd"/>
      <w:r w:rsidRPr="00BB2BDE">
        <w:t xml:space="preserve"> would be unlikely to enter. It therefore provides only weak evidence of persistence of efficacy.</w:t>
      </w:r>
    </w:p>
    <w:p w:rsidR="00BB2BDE" w:rsidRPr="00BB2BDE" w:rsidRDefault="00BB2BDE" w:rsidP="00A11387">
      <w:r w:rsidRPr="00BB2BDE">
        <w:t>At the end of the maintenance phase of Study 205, all patients entering Study 212 had their study drug adjusted to 900 mg/d (300 mg TID) in a double-blind, double-dummy manner. Further dose adjustments up to 1200 mg/d could be made depending on efficacy and tolerability. Patients who did not tolerate further dose adjustments tapered their dose to zero before withdrawal.</w:t>
      </w:r>
    </w:p>
    <w:p w:rsidR="00BB2BDE" w:rsidRPr="00BB2BDE" w:rsidRDefault="00BB2BDE" w:rsidP="00A11387">
      <w:r w:rsidRPr="00BB2BDE">
        <w:t>The background AED therapy could be adjusted according to the clinical balance of efficacy and safety. The primary efficacy variable was the percent change in the monthly seizure frequency from the baseline phase of Study 205 to the open-label treatment phase of Study 212. Additional efficacy endpoints included responder rates and the percentage of seizure-free days in the open-label phase.</w:t>
      </w:r>
    </w:p>
    <w:p w:rsidR="00BB2BDE" w:rsidRPr="00BB2BDE" w:rsidRDefault="00BB2BDE" w:rsidP="00A11387">
      <w:r w:rsidRPr="00BB2BDE">
        <w:t>The sponsor also performed a post-hoc analysis of responder rate and percent change in partial seizure frequency at specified time points up to 18 months.</w:t>
      </w:r>
    </w:p>
    <w:p w:rsidR="00BB2BDE" w:rsidRPr="00BB2BDE" w:rsidRDefault="00BB2BDE" w:rsidP="00A11387">
      <w:r w:rsidRPr="00BB2BDE">
        <w:lastRenderedPageBreak/>
        <w:t>A total of 222 of the 279 (79.5%) patients who completed Study 205 were enrolled into Study 212.</w:t>
      </w:r>
    </w:p>
    <w:p w:rsidR="00BB2BDE" w:rsidRPr="00BB2BDE" w:rsidRDefault="00BB2BDE" w:rsidP="00A11387">
      <w:r w:rsidRPr="00BB2BDE">
        <w:t xml:space="preserve">The median treatment duration was 358 days (mean 352.5 days). About half the patients (105/222, 47.3%) received </w:t>
      </w:r>
      <w:proofErr w:type="spellStart"/>
      <w:r w:rsidRPr="00BB2BDE">
        <w:t>retigabine</w:t>
      </w:r>
      <w:proofErr w:type="spellEnd"/>
      <w:r w:rsidRPr="00BB2BDE">
        <w:t xml:space="preserve"> 900mg/d as their maximum dosage, and a quarter (52/222, 23.4%) received </w:t>
      </w:r>
      <w:proofErr w:type="spellStart"/>
      <w:r w:rsidRPr="00BB2BDE">
        <w:t>retigabine</w:t>
      </w:r>
      <w:proofErr w:type="spellEnd"/>
      <w:r w:rsidRPr="00BB2BDE">
        <w:t xml:space="preserve"> 1200mg/d as their maximum dosage. Twelve patients (5.4%) received &gt;1200mg/d.</w:t>
      </w:r>
    </w:p>
    <w:p w:rsidR="00BB2BDE" w:rsidRPr="00BB2BDE" w:rsidRDefault="00BB2BDE" w:rsidP="00A11387">
      <w:r w:rsidRPr="00BB2BDE">
        <w:t xml:space="preserve">The mean percent change in seizure rates was -30.3% (median –48.3%). Patients initially allocated to placebo or low-dose </w:t>
      </w:r>
      <w:proofErr w:type="spellStart"/>
      <w:r w:rsidRPr="00BB2BDE">
        <w:t>retigabine</w:t>
      </w:r>
      <w:proofErr w:type="spellEnd"/>
      <w:r w:rsidRPr="00BB2BDE">
        <w:t xml:space="preserve"> (600 mg/d) in Study 205 showed improved efficacy during the extension study, relative to the original baseline, with median percent seizure reductions of 54.5% and 48.3%, respectively. This improvement was similar to that observed during double-blind treatment in Study 205 in patients receiving </w:t>
      </w:r>
      <w:proofErr w:type="spellStart"/>
      <w:r w:rsidRPr="00BB2BDE">
        <w:t>retigabine</w:t>
      </w:r>
      <w:proofErr w:type="spellEnd"/>
      <w:r w:rsidRPr="00BB2BDE">
        <w:t xml:space="preserve"> 900 mg/d and 1200 mg/d, relative to the original baseline, but note that this improvement includes the original placebo response plus a selection effect. The improvement on crossing over from placebo in Study 205 to active treatment in Study 212 was more modest: the initial placebo response (improvement in seizure frequency by a median of 32.2%) was augmented by just 22.3% (to 54.5%) with commencement of active treatment, and some of this improvement could be acco</w:t>
      </w:r>
      <w:r w:rsidR="00E0588A">
        <w:t>unted for by a selection effect (Table 27).</w:t>
      </w:r>
    </w:p>
    <w:p w:rsidR="00254E05" w:rsidRDefault="00254E05" w:rsidP="00A11387">
      <w:pPr>
        <w:pStyle w:val="TableTitle"/>
      </w:pPr>
      <w:r>
        <w:t>Table 27</w:t>
      </w:r>
      <w:r w:rsidRPr="000471E1">
        <w:t>:</w:t>
      </w:r>
      <w:r>
        <w:t xml:space="preserve"> </w:t>
      </w:r>
      <w:r w:rsidR="00D61FAF">
        <w:t>Total partial seizure rates: patie</w:t>
      </w:r>
      <w:r w:rsidR="00A11387">
        <w:t>nts enrolled in s</w:t>
      </w:r>
      <w:r w:rsidR="00D61FAF">
        <w:t>tudy 3225</w:t>
      </w:r>
      <w:r>
        <w:t>.</w:t>
      </w:r>
    </w:p>
    <w:p w:rsidR="00A57F36" w:rsidRPr="00DB584D" w:rsidRDefault="00DA36AD" w:rsidP="00CF193C">
      <w:pPr>
        <w:jc w:val="center"/>
      </w:pPr>
      <w:r>
        <w:rPr>
          <w:noProof/>
          <w:color w:val="FF6600"/>
          <w:lang w:eastAsia="en-AU"/>
        </w:rPr>
        <w:drawing>
          <wp:inline distT="0" distB="0" distL="0" distR="0">
            <wp:extent cx="4089400" cy="2933700"/>
            <wp:effectExtent l="19050" t="0" r="6350" b="0"/>
            <wp:docPr id="39" name="Picture 39" descr="Table showing total partial seizure rates: patients enrolled in study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
                    <pic:cNvPicPr>
                      <a:picLocks noChangeAspect="1" noChangeArrowheads="1"/>
                    </pic:cNvPicPr>
                  </pic:nvPicPr>
                  <pic:blipFill>
                    <a:blip r:embed="rId52" cstate="print"/>
                    <a:srcRect/>
                    <a:stretch>
                      <a:fillRect/>
                    </a:stretch>
                  </pic:blipFill>
                  <pic:spPr bwMode="auto">
                    <a:xfrm>
                      <a:off x="0" y="0"/>
                      <a:ext cx="4089400" cy="2933700"/>
                    </a:xfrm>
                    <a:prstGeom prst="rect">
                      <a:avLst/>
                    </a:prstGeom>
                    <a:noFill/>
                    <a:ln w="9525">
                      <a:noFill/>
                      <a:miter lim="800000"/>
                      <a:headEnd/>
                      <a:tailEnd/>
                    </a:ln>
                  </pic:spPr>
                </pic:pic>
              </a:graphicData>
            </a:graphic>
          </wp:inline>
        </w:drawing>
      </w:r>
    </w:p>
    <w:p w:rsidR="00D61FAF" w:rsidRPr="00D61FAF" w:rsidRDefault="00D61FAF" w:rsidP="00A11387">
      <w:r w:rsidRPr="00D61FAF">
        <w:t>The overall responder rate, relative to the baseline of Study 205, was 47%.</w:t>
      </w:r>
    </w:p>
    <w:p w:rsidR="00D61FAF" w:rsidRPr="00D61FAF" w:rsidRDefault="00D61FAF" w:rsidP="00A11387">
      <w:r w:rsidRPr="00D61FAF">
        <w:t xml:space="preserve">In conclusion, </w:t>
      </w:r>
      <w:proofErr w:type="spellStart"/>
      <w:r w:rsidRPr="00D61FAF">
        <w:t>retigabine</w:t>
      </w:r>
      <w:proofErr w:type="spellEnd"/>
      <w:r w:rsidRPr="00D61FAF">
        <w:t xml:space="preserve"> administered during this open-label extension study showed a broadly similar effect to that demonstrated during double-blind treatment. Patients who had already received 900mg/d or 1200mg/d showed persistence of the seizure reduction they had already demonstrated, and patients who had previously received placebo or 600 mg/d showed a modest improvement on switching to therapeutic doses of </w:t>
      </w:r>
      <w:proofErr w:type="spellStart"/>
      <w:r w:rsidRPr="00D61FAF">
        <w:t>retigabine</w:t>
      </w:r>
      <w:proofErr w:type="spellEnd"/>
      <w:r w:rsidRPr="00D61FAF">
        <w:t>, so they eventually resembled the other treatment groups. The lack of a placebo control means that no firm conclusions can be drawn, but there is at least no obvious decline in efficacy with continued treatment.</w:t>
      </w:r>
    </w:p>
    <w:p w:rsidR="0009093D" w:rsidRPr="00DB65AB" w:rsidRDefault="0009093D" w:rsidP="00A11387">
      <w:pPr>
        <w:pStyle w:val="Heading4"/>
      </w:pPr>
      <w:bookmarkStart w:id="167" w:name="_Toc330196367"/>
      <w:r w:rsidRPr="00DB65AB">
        <w:t>Stud</w:t>
      </w:r>
      <w:r>
        <w:t xml:space="preserve">ies 303 </w:t>
      </w:r>
      <w:r w:rsidRPr="00A11387">
        <w:t>and</w:t>
      </w:r>
      <w:r>
        <w:t xml:space="preserve"> 304</w:t>
      </w:r>
      <w:bookmarkEnd w:id="167"/>
    </w:p>
    <w:p w:rsidR="0009093D" w:rsidRPr="0009093D" w:rsidRDefault="0009093D" w:rsidP="00A11387">
      <w:r w:rsidRPr="0009093D">
        <w:t xml:space="preserve">Studies 303 and 304 were uncontrolled, open-label extension studies to the placebo-controlled, double-blind Studies 301 and 302, respectively. A total 181/224 (81%) patients who completed Study 301, and 375/409 (92%) who completed Study 302 were enrolled into open-label extension studies. The target </w:t>
      </w:r>
      <w:proofErr w:type="spellStart"/>
      <w:r w:rsidRPr="0009093D">
        <w:t>retigabine</w:t>
      </w:r>
      <w:proofErr w:type="spellEnd"/>
      <w:r w:rsidRPr="0009093D">
        <w:t xml:space="preserve"> dose was 1200 mg/d for Study 303 and 900 mg/d for </w:t>
      </w:r>
      <w:r w:rsidRPr="0009093D">
        <w:lastRenderedPageBreak/>
        <w:t xml:space="preserve">Study 304, but the investigator could modify the dose of </w:t>
      </w:r>
      <w:proofErr w:type="spellStart"/>
      <w:r w:rsidRPr="0009093D">
        <w:t>retigabine</w:t>
      </w:r>
      <w:proofErr w:type="spellEnd"/>
      <w:r w:rsidRPr="0009093D">
        <w:t xml:space="preserve"> or other AEDs to optimi</w:t>
      </w:r>
      <w:r w:rsidR="006F14FE">
        <w:t>s</w:t>
      </w:r>
      <w:r w:rsidRPr="0009093D">
        <w:t>e patient response and tolerance.</w:t>
      </w:r>
    </w:p>
    <w:p w:rsidR="0009093D" w:rsidRPr="0009093D" w:rsidRDefault="0009093D" w:rsidP="00A11387">
      <w:r w:rsidRPr="0009093D">
        <w:t>The studies were ongoing at the time of submission and only interim results are available, but a reasonable period of follow-up is available. By 30 June 2008, the median time on open-label treatment was 357 days in Study 303, and 275 days in Study 304.</w:t>
      </w:r>
    </w:p>
    <w:p w:rsidR="0009093D" w:rsidRPr="0009093D" w:rsidRDefault="0009093D" w:rsidP="00A11387">
      <w:r w:rsidRPr="0009093D">
        <w:t xml:space="preserve">The percent change in seizure frequency, relative to the baseline of the original studies, is shown in the table below (-56.5% for Study 303, -53.4% for Study 304). For patients with at least 12 months of treatment, slightly better reductions were observed (subsequent table) but this could reflect withdrawal bias. Note that these tables also include results for Study </w:t>
      </w:r>
      <w:r w:rsidR="00E0588A">
        <w:t>212, the extension of Study 205 (Table</w:t>
      </w:r>
      <w:r w:rsidR="006263C0">
        <w:t>s</w:t>
      </w:r>
      <w:r w:rsidR="00E0588A">
        <w:t xml:space="preserve"> 28</w:t>
      </w:r>
      <w:r w:rsidR="006263C0">
        <w:t xml:space="preserve"> and 29</w:t>
      </w:r>
      <w:r w:rsidR="00E0588A">
        <w:t>)</w:t>
      </w:r>
      <w:r w:rsidR="006263C0">
        <w:t>.</w:t>
      </w:r>
    </w:p>
    <w:p w:rsidR="00C1502F" w:rsidRDefault="00C1502F" w:rsidP="00A11387">
      <w:pPr>
        <w:pStyle w:val="TableTitle"/>
      </w:pPr>
      <w:r>
        <w:t>Table 28</w:t>
      </w:r>
      <w:r w:rsidRPr="000471E1">
        <w:t>:</w:t>
      </w:r>
      <w:r>
        <w:t xml:space="preserve"> </w:t>
      </w:r>
      <w:r w:rsidR="002A04CF">
        <w:t xml:space="preserve">Percent change from baseline in monthly total partial seizure frequency for patients treated with </w:t>
      </w:r>
      <w:proofErr w:type="spellStart"/>
      <w:r w:rsidR="002A04CF">
        <w:t>retigabine</w:t>
      </w:r>
      <w:proofErr w:type="spellEnd"/>
      <w:r w:rsidR="002A04CF">
        <w:t xml:space="preserve"> during the open-label extension studies (</w:t>
      </w:r>
      <w:r w:rsidR="005614A3">
        <w:t>s</w:t>
      </w:r>
      <w:r w:rsidR="002A04CF">
        <w:t xml:space="preserve">afety </w:t>
      </w:r>
      <w:r w:rsidR="00A11387">
        <w:t>p</w:t>
      </w:r>
      <w:r w:rsidR="002A04CF">
        <w:t xml:space="preserve">opulation: </w:t>
      </w:r>
      <w:r w:rsidR="005614A3">
        <w:t>s</w:t>
      </w:r>
      <w:r w:rsidR="002A04CF">
        <w:t>tudies 212, 303 and 304)</w:t>
      </w:r>
      <w:r>
        <w:t>.</w:t>
      </w:r>
    </w:p>
    <w:p w:rsidR="00D61FAF" w:rsidRDefault="00DA36AD" w:rsidP="005449FB">
      <w:pPr>
        <w:jc w:val="center"/>
      </w:pPr>
      <w:r>
        <w:rPr>
          <w:noProof/>
          <w:lang w:eastAsia="en-AU"/>
        </w:rPr>
        <w:drawing>
          <wp:inline distT="0" distB="0" distL="0" distR="0">
            <wp:extent cx="4513580" cy="1192530"/>
            <wp:effectExtent l="19050" t="0" r="1270" b="0"/>
            <wp:docPr id="40" name="Picture 40" descr="Table showing percent change from baseline in monthly total partial seizure frequency for patients treated with retigabine during the open-label extension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1"/>
                    <pic:cNvPicPr>
                      <a:picLocks noChangeAspect="1" noChangeArrowheads="1"/>
                    </pic:cNvPicPr>
                  </pic:nvPicPr>
                  <pic:blipFill>
                    <a:blip r:embed="rId53" cstate="print"/>
                    <a:srcRect/>
                    <a:stretch>
                      <a:fillRect/>
                    </a:stretch>
                  </pic:blipFill>
                  <pic:spPr bwMode="auto">
                    <a:xfrm>
                      <a:off x="0" y="0"/>
                      <a:ext cx="4513580" cy="1192530"/>
                    </a:xfrm>
                    <a:prstGeom prst="rect">
                      <a:avLst/>
                    </a:prstGeom>
                    <a:noFill/>
                    <a:ln w="9525">
                      <a:noFill/>
                      <a:miter lim="800000"/>
                      <a:headEnd/>
                      <a:tailEnd/>
                    </a:ln>
                  </pic:spPr>
                </pic:pic>
              </a:graphicData>
            </a:graphic>
          </wp:inline>
        </w:drawing>
      </w:r>
    </w:p>
    <w:p w:rsidR="005449FB" w:rsidRDefault="005449FB" w:rsidP="00A11387">
      <w:pPr>
        <w:pStyle w:val="TableTitle"/>
      </w:pPr>
      <w:r>
        <w:t>Table 29</w:t>
      </w:r>
      <w:r w:rsidRPr="000471E1">
        <w:t>:</w:t>
      </w:r>
      <w:r>
        <w:t xml:space="preserve"> </w:t>
      </w:r>
      <w:r w:rsidR="006B64A6">
        <w:t xml:space="preserve">Percent change from baseline in monthly total partial seizure frequency for patients treated with </w:t>
      </w:r>
      <w:proofErr w:type="spellStart"/>
      <w:r w:rsidR="006B64A6">
        <w:t>retigabine</w:t>
      </w:r>
      <w:proofErr w:type="spellEnd"/>
      <w:r w:rsidR="006B64A6">
        <w:t xml:space="preserve"> for at least 12 months during open-label extensi</w:t>
      </w:r>
      <w:r w:rsidR="00A11387">
        <w:t>on (</w:t>
      </w:r>
      <w:r w:rsidR="005614A3">
        <w:t>s</w:t>
      </w:r>
      <w:r w:rsidR="00A11387">
        <w:t>afety p</w:t>
      </w:r>
      <w:r w:rsidR="006B64A6">
        <w:t xml:space="preserve">opulation: </w:t>
      </w:r>
      <w:r w:rsidR="005614A3">
        <w:t>s</w:t>
      </w:r>
      <w:r w:rsidR="006B64A6">
        <w:t>tudies 212, 303 and 304)</w:t>
      </w:r>
      <w:r>
        <w:t>.</w:t>
      </w:r>
    </w:p>
    <w:p w:rsidR="005449FB" w:rsidRDefault="00DA36AD" w:rsidP="006B64A6">
      <w:pPr>
        <w:jc w:val="center"/>
      </w:pPr>
      <w:r>
        <w:rPr>
          <w:noProof/>
          <w:lang w:eastAsia="en-AU"/>
        </w:rPr>
        <w:drawing>
          <wp:inline distT="0" distB="0" distL="0" distR="0">
            <wp:extent cx="4498975" cy="3796665"/>
            <wp:effectExtent l="19050" t="0" r="0" b="0"/>
            <wp:docPr id="41" name="Picture 41" descr="Table showing percent change from baseline in monthly total partial seizure frequency for patients treated with retigabine for at least 12 months during open-label exten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1"/>
                    <pic:cNvPicPr>
                      <a:picLocks noChangeAspect="1" noChangeArrowheads="1"/>
                    </pic:cNvPicPr>
                  </pic:nvPicPr>
                  <pic:blipFill>
                    <a:blip r:embed="rId54" cstate="print"/>
                    <a:srcRect/>
                    <a:stretch>
                      <a:fillRect/>
                    </a:stretch>
                  </pic:blipFill>
                  <pic:spPr bwMode="auto">
                    <a:xfrm>
                      <a:off x="0" y="0"/>
                      <a:ext cx="4498975" cy="3796665"/>
                    </a:xfrm>
                    <a:prstGeom prst="rect">
                      <a:avLst/>
                    </a:prstGeom>
                    <a:noFill/>
                    <a:ln w="9525">
                      <a:noFill/>
                      <a:miter lim="800000"/>
                      <a:headEnd/>
                      <a:tailEnd/>
                    </a:ln>
                  </pic:spPr>
                </pic:pic>
              </a:graphicData>
            </a:graphic>
          </wp:inline>
        </w:drawing>
      </w:r>
    </w:p>
    <w:p w:rsidR="00CF193C" w:rsidRDefault="00C1502F" w:rsidP="00CF193C">
      <w:r w:rsidRPr="00C1502F">
        <w:t>The response rate in these studies was 57% in Study 303, a</w:t>
      </w:r>
      <w:r w:rsidR="00245951">
        <w:t>nd 54% in Study 304, as shown in Table 30</w:t>
      </w:r>
      <w:r w:rsidRPr="00C1502F">
        <w:t>, and this was maintained for at least 12 months (</w:t>
      </w:r>
      <w:r w:rsidR="00DB3799">
        <w:t>Table 31</w:t>
      </w:r>
      <w:r w:rsidRPr="00C1502F">
        <w:t xml:space="preserve">). In the absence of a placebo control group, these observations provide only weak evidence of </w:t>
      </w:r>
      <w:r w:rsidR="00F021CF">
        <w:t>persistent efficacy</w:t>
      </w:r>
      <w:r w:rsidRPr="00C1502F">
        <w:t>, but at least they do not show a definite decline in efficacy with continued treatment.</w:t>
      </w:r>
    </w:p>
    <w:p w:rsidR="006B64A6" w:rsidRDefault="006B64A6" w:rsidP="00CF193C">
      <w:pPr>
        <w:pStyle w:val="TableTitle"/>
      </w:pPr>
      <w:r>
        <w:lastRenderedPageBreak/>
        <w:t>Table 30</w:t>
      </w:r>
      <w:r w:rsidRPr="000471E1">
        <w:t>:</w:t>
      </w:r>
      <w:r>
        <w:t xml:space="preserve"> Responder rates for patients treated with </w:t>
      </w:r>
      <w:proofErr w:type="spellStart"/>
      <w:r>
        <w:t>retigabine</w:t>
      </w:r>
      <w:proofErr w:type="spellEnd"/>
      <w:r>
        <w:t xml:space="preserve"> during open-label extension (</w:t>
      </w:r>
      <w:r w:rsidR="005614A3">
        <w:t>s</w:t>
      </w:r>
      <w:r>
        <w:t xml:space="preserve">afety </w:t>
      </w:r>
      <w:r w:rsidR="00223171">
        <w:t>p</w:t>
      </w:r>
      <w:r>
        <w:t xml:space="preserve">opulation: </w:t>
      </w:r>
      <w:r w:rsidR="005614A3">
        <w:t>s</w:t>
      </w:r>
      <w:r>
        <w:t>tudies 212, 303 and 304).</w:t>
      </w:r>
    </w:p>
    <w:p w:rsidR="006B64A6" w:rsidRDefault="00DA36AD" w:rsidP="006B64A6">
      <w:pPr>
        <w:jc w:val="center"/>
      </w:pPr>
      <w:r>
        <w:rPr>
          <w:noProof/>
          <w:lang w:eastAsia="en-AU"/>
        </w:rPr>
        <w:drawing>
          <wp:inline distT="0" distB="0" distL="0" distR="0">
            <wp:extent cx="4871720" cy="1257935"/>
            <wp:effectExtent l="19050" t="0" r="5080" b="0"/>
            <wp:docPr id="42" name="Picture 42" descr="Table showing responder rates for patients treated with retigabine during open-label exten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1"/>
                    <pic:cNvPicPr>
                      <a:picLocks noChangeAspect="1" noChangeArrowheads="1"/>
                    </pic:cNvPicPr>
                  </pic:nvPicPr>
                  <pic:blipFill>
                    <a:blip r:embed="rId55" cstate="print"/>
                    <a:srcRect/>
                    <a:stretch>
                      <a:fillRect/>
                    </a:stretch>
                  </pic:blipFill>
                  <pic:spPr bwMode="auto">
                    <a:xfrm>
                      <a:off x="0" y="0"/>
                      <a:ext cx="4871720" cy="1257935"/>
                    </a:xfrm>
                    <a:prstGeom prst="rect">
                      <a:avLst/>
                    </a:prstGeom>
                    <a:noFill/>
                    <a:ln w="9525">
                      <a:noFill/>
                      <a:miter lim="800000"/>
                      <a:headEnd/>
                      <a:tailEnd/>
                    </a:ln>
                  </pic:spPr>
                </pic:pic>
              </a:graphicData>
            </a:graphic>
          </wp:inline>
        </w:drawing>
      </w:r>
    </w:p>
    <w:p w:rsidR="00F021CF" w:rsidRDefault="00F021CF" w:rsidP="00223171">
      <w:pPr>
        <w:pStyle w:val="TableTitle"/>
      </w:pPr>
      <w:r>
        <w:t>Table 3</w:t>
      </w:r>
      <w:r w:rsidR="00C20FAA">
        <w:t>1</w:t>
      </w:r>
      <w:r w:rsidRPr="000471E1">
        <w:t>:</w:t>
      </w:r>
      <w:r>
        <w:t xml:space="preserve"> Responder rates for patients treated with </w:t>
      </w:r>
      <w:proofErr w:type="spellStart"/>
      <w:r>
        <w:t>retigabine</w:t>
      </w:r>
      <w:proofErr w:type="spellEnd"/>
      <w:r>
        <w:t xml:space="preserve"> for at least 12 months durin</w:t>
      </w:r>
      <w:r w:rsidR="00223171">
        <w:t>g open-label extension (</w:t>
      </w:r>
      <w:r w:rsidR="005614A3">
        <w:t>s</w:t>
      </w:r>
      <w:r w:rsidR="00223171">
        <w:t>afety p</w:t>
      </w:r>
      <w:r>
        <w:t xml:space="preserve">opulation: </w:t>
      </w:r>
      <w:r w:rsidR="005614A3">
        <w:t>s</w:t>
      </w:r>
      <w:r>
        <w:t>tudies 212, 303 and 304).</w:t>
      </w:r>
    </w:p>
    <w:p w:rsidR="006B64A6" w:rsidRDefault="00DA36AD" w:rsidP="00F021CF">
      <w:pPr>
        <w:jc w:val="center"/>
      </w:pPr>
      <w:r>
        <w:rPr>
          <w:noProof/>
          <w:lang w:eastAsia="en-AU"/>
        </w:rPr>
        <w:drawing>
          <wp:inline distT="0" distB="0" distL="0" distR="0">
            <wp:extent cx="4952365" cy="3196590"/>
            <wp:effectExtent l="19050" t="0" r="635" b="0"/>
            <wp:docPr id="43" name="Picture 43" descr="Table showing responder rates for patients treated with retigabine for at least 12 months during open-label exten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
                    <pic:cNvPicPr>
                      <a:picLocks noChangeAspect="1" noChangeArrowheads="1"/>
                    </pic:cNvPicPr>
                  </pic:nvPicPr>
                  <pic:blipFill>
                    <a:blip r:embed="rId56" cstate="print"/>
                    <a:srcRect/>
                    <a:stretch>
                      <a:fillRect/>
                    </a:stretch>
                  </pic:blipFill>
                  <pic:spPr bwMode="auto">
                    <a:xfrm>
                      <a:off x="0" y="0"/>
                      <a:ext cx="4952365" cy="3196590"/>
                    </a:xfrm>
                    <a:prstGeom prst="rect">
                      <a:avLst/>
                    </a:prstGeom>
                    <a:noFill/>
                    <a:ln w="9525">
                      <a:noFill/>
                      <a:miter lim="800000"/>
                      <a:headEnd/>
                      <a:tailEnd/>
                    </a:ln>
                  </pic:spPr>
                </pic:pic>
              </a:graphicData>
            </a:graphic>
          </wp:inline>
        </w:drawing>
      </w:r>
    </w:p>
    <w:p w:rsidR="00C20FAA" w:rsidRPr="00DB65AB" w:rsidRDefault="00C20FAA" w:rsidP="00223171">
      <w:pPr>
        <w:pStyle w:val="Heading4"/>
      </w:pPr>
      <w:bookmarkStart w:id="168" w:name="_Toc330196368"/>
      <w:r w:rsidRPr="00223171">
        <w:t>Study</w:t>
      </w:r>
      <w:r>
        <w:t xml:space="preserve"> 208</w:t>
      </w:r>
      <w:bookmarkEnd w:id="168"/>
    </w:p>
    <w:p w:rsidR="00C20FAA" w:rsidRPr="00C20FAA" w:rsidRDefault="00C20FAA" w:rsidP="00223171">
      <w:r w:rsidRPr="00C20FAA">
        <w:t xml:space="preserve">Study 208 (n=47) was an open-label extension of Study 202, which was itself a small open-label study that did not have assessment of efficacy as its primary objective. It provided no reliable efficacy data, and was not included in the Summary of Clinical Efficacy. Median change in seizure frequency in the study population was broadly comparable to other efficacy studies, as shown </w:t>
      </w:r>
      <w:r w:rsidR="006E1251">
        <w:t>in Table 32</w:t>
      </w:r>
      <w:r w:rsidRPr="00C20FAA">
        <w:t>.</w:t>
      </w:r>
    </w:p>
    <w:p w:rsidR="003E1801" w:rsidRDefault="003E1801" w:rsidP="00223171">
      <w:pPr>
        <w:pStyle w:val="TableTitle"/>
      </w:pPr>
      <w:r>
        <w:t>Table 32</w:t>
      </w:r>
      <w:r w:rsidRPr="000471E1">
        <w:t>:</w:t>
      </w:r>
      <w:r w:rsidR="0076559F">
        <w:t xml:space="preserve"> </w:t>
      </w:r>
      <w:r>
        <w:t>Total seizure rates.</w:t>
      </w:r>
    </w:p>
    <w:p w:rsidR="00F021CF" w:rsidRDefault="00DA36AD" w:rsidP="003E1801">
      <w:pPr>
        <w:jc w:val="center"/>
      </w:pPr>
      <w:r>
        <w:rPr>
          <w:noProof/>
          <w:lang w:eastAsia="en-AU"/>
        </w:rPr>
        <w:drawing>
          <wp:inline distT="0" distB="0" distL="0" distR="0">
            <wp:extent cx="4586605" cy="1426210"/>
            <wp:effectExtent l="19050" t="0" r="4445" b="0"/>
            <wp:docPr id="44" name="Picture 44" descr="Table showing total seizur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1"/>
                    <pic:cNvPicPr>
                      <a:picLocks noChangeAspect="1" noChangeArrowheads="1"/>
                    </pic:cNvPicPr>
                  </pic:nvPicPr>
                  <pic:blipFill>
                    <a:blip r:embed="rId57" cstate="print"/>
                    <a:srcRect/>
                    <a:stretch>
                      <a:fillRect/>
                    </a:stretch>
                  </pic:blipFill>
                  <pic:spPr bwMode="auto">
                    <a:xfrm>
                      <a:off x="0" y="0"/>
                      <a:ext cx="4586605" cy="1426210"/>
                    </a:xfrm>
                    <a:prstGeom prst="rect">
                      <a:avLst/>
                    </a:prstGeom>
                    <a:noFill/>
                    <a:ln w="9525">
                      <a:noFill/>
                      <a:miter lim="800000"/>
                      <a:headEnd/>
                      <a:tailEnd/>
                    </a:ln>
                  </pic:spPr>
                </pic:pic>
              </a:graphicData>
            </a:graphic>
          </wp:inline>
        </w:drawing>
      </w:r>
    </w:p>
    <w:p w:rsidR="00D04092" w:rsidRPr="00DB65AB" w:rsidRDefault="00D40B96" w:rsidP="00D40B96">
      <w:pPr>
        <w:pStyle w:val="Heading4"/>
      </w:pPr>
      <w:bookmarkStart w:id="169" w:name="_Toc330196369"/>
      <w:r>
        <w:lastRenderedPageBreak/>
        <w:t xml:space="preserve">Other </w:t>
      </w:r>
      <w:r w:rsidRPr="00D40B96">
        <w:t>s</w:t>
      </w:r>
      <w:r w:rsidR="00D04092" w:rsidRPr="00D40B96">
        <w:t>tudies</w:t>
      </w:r>
      <w:bookmarkEnd w:id="169"/>
    </w:p>
    <w:p w:rsidR="00D04092" w:rsidRPr="00D04092" w:rsidRDefault="00D04092" w:rsidP="00D40B96">
      <w:r w:rsidRPr="00D04092">
        <w:t>Study 216 was an open-label extension study for Study 214. According to the sponsor, an abbreviated report was “prepared for closeout purposes”. This did not include any efficacy analysis, even though one of the original objectives was to assess efficacy. Studies 8017, 8001 and 8005 were very small uncontrolled studies, not submitted in enough detail to allow evaluation. Study 8017 was an extension of 8001 and 8005, and had only 23 patients. The details of Studies 8001 and 8005 are unclear. These studies were clearly exploratory in nature.</w:t>
      </w:r>
    </w:p>
    <w:p w:rsidR="00D04092" w:rsidRDefault="00D04092" w:rsidP="00D40B96">
      <w:pPr>
        <w:pStyle w:val="Heading3"/>
      </w:pPr>
      <w:bookmarkStart w:id="170" w:name="_Toc241374312"/>
      <w:bookmarkStart w:id="171" w:name="_Toc272414656"/>
      <w:bookmarkStart w:id="172" w:name="_Toc290846281"/>
      <w:bookmarkStart w:id="173" w:name="_Ref329597638"/>
      <w:bookmarkStart w:id="174" w:name="_Ref329597643"/>
      <w:bookmarkStart w:id="175" w:name="_Toc330196370"/>
      <w:bookmarkStart w:id="176" w:name="_Toc365636798"/>
      <w:r>
        <w:t>Analyses performe</w:t>
      </w:r>
      <w:r w:rsidR="00F14594">
        <w:t>d across trials (pooled</w:t>
      </w:r>
      <w:r>
        <w:t xml:space="preserve"> and meta-analyses)</w:t>
      </w:r>
      <w:bookmarkEnd w:id="170"/>
      <w:bookmarkEnd w:id="171"/>
      <w:bookmarkEnd w:id="172"/>
      <w:bookmarkEnd w:id="173"/>
      <w:bookmarkEnd w:id="174"/>
      <w:bookmarkEnd w:id="175"/>
      <w:bookmarkEnd w:id="176"/>
    </w:p>
    <w:p w:rsidR="00D04092" w:rsidRPr="00D04092" w:rsidRDefault="00D04092" w:rsidP="00D40B96">
      <w:r w:rsidRPr="00D04092">
        <w:t>The 3 pivotal studies used similar designs, and recruited broadly comparable populations of patients with treatment-resistant partial epilepsy. The sponsor presented a pooled analysis of the three studies, which was consistent with analysis of the individual studies. Given that statistically significant results were obtained in the original studies, this post</w:t>
      </w:r>
      <w:r w:rsidR="0082736B">
        <w:t xml:space="preserve"> </w:t>
      </w:r>
      <w:r w:rsidRPr="00D04092">
        <w:t>hoc analysis did not modify the conclusions reached in a more rigorous manner by considering the studies individually.</w:t>
      </w:r>
    </w:p>
    <w:p w:rsidR="00D04092" w:rsidRPr="00D04092" w:rsidRDefault="00406E26" w:rsidP="00D40B96">
      <w:r>
        <w:t xml:space="preserve">Table 33 shows the pooled </w:t>
      </w:r>
      <w:r w:rsidRPr="00D04092">
        <w:t>results for change in seizure frequency</w:t>
      </w:r>
      <w:r>
        <w:t>.</w:t>
      </w:r>
    </w:p>
    <w:p w:rsidR="00CF193C" w:rsidRDefault="00D04092" w:rsidP="00CF193C">
      <w:r w:rsidRPr="00D04092">
        <w:t xml:space="preserve">One benefit of the pooled analysis is that it was adequately powered for a range of subgroup analyses. As shown in the tables below, a significant benefit was obtained for </w:t>
      </w:r>
      <w:proofErr w:type="spellStart"/>
      <w:r w:rsidRPr="00D04092">
        <w:t>retigabine</w:t>
      </w:r>
      <w:proofErr w:type="spellEnd"/>
      <w:r w:rsidRPr="00D04092">
        <w:t xml:space="preserve"> regardless of the presence or absence of simple partial, complex partial or secondarily generalised seizures (Tables </w:t>
      </w:r>
      <w:r w:rsidR="0082736B">
        <w:t>34-36</w:t>
      </w:r>
      <w:r w:rsidRPr="00D04092">
        <w:t xml:space="preserve">), age (Tables </w:t>
      </w:r>
      <w:r w:rsidR="004361C7">
        <w:t>37 and 38</w:t>
      </w:r>
      <w:r w:rsidR="004975C7">
        <w:t xml:space="preserve">), gender (Tables </w:t>
      </w:r>
      <w:r w:rsidR="004361C7">
        <w:t>39 and 40</w:t>
      </w:r>
      <w:r w:rsidR="004975C7">
        <w:t xml:space="preserve">), </w:t>
      </w:r>
      <w:r w:rsidRPr="00D04092">
        <w:t xml:space="preserve">race (Tables </w:t>
      </w:r>
      <w:r w:rsidR="004361C7">
        <w:t>41 and 42</w:t>
      </w:r>
      <w:r w:rsidRPr="00D04092">
        <w:t xml:space="preserve">), and number of concomitant AEDs (Table </w:t>
      </w:r>
      <w:r w:rsidR="004361C7">
        <w:t>43 and 44</w:t>
      </w:r>
      <w:r w:rsidRPr="00D04092">
        <w:t>).</w:t>
      </w:r>
    </w:p>
    <w:p w:rsidR="00DA6E05" w:rsidRDefault="00DA6E05" w:rsidP="00CF193C">
      <w:pPr>
        <w:pStyle w:val="TableTitle"/>
      </w:pPr>
      <w:r>
        <w:lastRenderedPageBreak/>
        <w:t>Table 33</w:t>
      </w:r>
      <w:r w:rsidRPr="000471E1">
        <w:t>:</w:t>
      </w:r>
      <w:r>
        <w:t xml:space="preserve"> </w:t>
      </w:r>
      <w:r w:rsidR="00406E26">
        <w:t>Perc</w:t>
      </w:r>
      <w:r w:rsidR="00D40B96">
        <w:t>ent change from baseline in 28-d</w:t>
      </w:r>
      <w:r w:rsidR="00406E26">
        <w:t>ay total partial seizure frequency by seizure type (</w:t>
      </w:r>
      <w:r w:rsidR="005614A3">
        <w:t>d</w:t>
      </w:r>
      <w:r w:rsidR="00406E26">
        <w:t>ouble-</w:t>
      </w:r>
      <w:r w:rsidR="005614A3">
        <w:t>b</w:t>
      </w:r>
      <w:r w:rsidR="00D40B96">
        <w:t xml:space="preserve">lind phase) – ITT </w:t>
      </w:r>
      <w:r w:rsidR="005614A3">
        <w:t>d</w:t>
      </w:r>
      <w:r w:rsidR="00D40B96">
        <w:t>ouble-</w:t>
      </w:r>
      <w:r w:rsidR="005614A3">
        <w:t>b</w:t>
      </w:r>
      <w:r w:rsidR="00D40B96">
        <w:t>lind p</w:t>
      </w:r>
      <w:r w:rsidR="00406E26">
        <w:t>opula</w:t>
      </w:r>
      <w:r w:rsidR="00D40B96">
        <w:t>tion (</w:t>
      </w:r>
      <w:r w:rsidR="005614A3">
        <w:t>s</w:t>
      </w:r>
      <w:r w:rsidR="00D40B96">
        <w:t>tudies 205, 301 and 302 i</w:t>
      </w:r>
      <w:r w:rsidR="00406E26">
        <w:t>ntegrated)</w:t>
      </w:r>
      <w:r>
        <w:t>.</w:t>
      </w:r>
    </w:p>
    <w:p w:rsidR="00D40B96" w:rsidRDefault="00DA36AD" w:rsidP="00CF193C">
      <w:pPr>
        <w:jc w:val="center"/>
      </w:pPr>
      <w:r>
        <w:rPr>
          <w:noProof/>
          <w:lang w:eastAsia="en-AU"/>
        </w:rPr>
        <w:drawing>
          <wp:inline distT="0" distB="0" distL="0" distR="0">
            <wp:extent cx="4520565" cy="4681855"/>
            <wp:effectExtent l="19050" t="0" r="0" b="0"/>
            <wp:docPr id="45" name="Picture 45" descr="Table showing percent change from baseline in 28-day total partial seizure frequency by seizure 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
                    <pic:cNvPicPr>
                      <a:picLocks noChangeAspect="1" noChangeArrowheads="1"/>
                    </pic:cNvPicPr>
                  </pic:nvPicPr>
                  <pic:blipFill>
                    <a:blip r:embed="rId58" cstate="print"/>
                    <a:srcRect/>
                    <a:stretch>
                      <a:fillRect/>
                    </a:stretch>
                  </pic:blipFill>
                  <pic:spPr bwMode="auto">
                    <a:xfrm>
                      <a:off x="0" y="0"/>
                      <a:ext cx="4520565" cy="4681855"/>
                    </a:xfrm>
                    <a:prstGeom prst="rect">
                      <a:avLst/>
                    </a:prstGeom>
                    <a:noFill/>
                    <a:ln w="9525">
                      <a:noFill/>
                      <a:miter lim="800000"/>
                      <a:headEnd/>
                      <a:tailEnd/>
                    </a:ln>
                  </pic:spPr>
                </pic:pic>
              </a:graphicData>
            </a:graphic>
          </wp:inline>
        </w:drawing>
      </w:r>
      <w:r>
        <w:rPr>
          <w:noProof/>
          <w:lang w:eastAsia="en-AU"/>
        </w:rPr>
        <w:drawing>
          <wp:inline distT="0" distB="0" distL="0" distR="0">
            <wp:extent cx="4513580" cy="3123565"/>
            <wp:effectExtent l="19050" t="0" r="1270" b="0"/>
            <wp:docPr id="46" name="Picture 46" descr="Continued table showing percent change from baseline in 28-day total partial seizure frequency by seizure 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
                    <pic:cNvPicPr>
                      <a:picLocks noChangeAspect="1" noChangeArrowheads="1"/>
                    </pic:cNvPicPr>
                  </pic:nvPicPr>
                  <pic:blipFill>
                    <a:blip r:embed="rId59" cstate="print"/>
                    <a:srcRect/>
                    <a:stretch>
                      <a:fillRect/>
                    </a:stretch>
                  </pic:blipFill>
                  <pic:spPr bwMode="auto">
                    <a:xfrm>
                      <a:off x="0" y="0"/>
                      <a:ext cx="4513580" cy="3123565"/>
                    </a:xfrm>
                    <a:prstGeom prst="rect">
                      <a:avLst/>
                    </a:prstGeom>
                    <a:noFill/>
                    <a:ln w="9525">
                      <a:noFill/>
                      <a:miter lim="800000"/>
                      <a:headEnd/>
                      <a:tailEnd/>
                    </a:ln>
                  </pic:spPr>
                </pic:pic>
              </a:graphicData>
            </a:graphic>
          </wp:inline>
        </w:drawing>
      </w:r>
    </w:p>
    <w:p w:rsidR="00BB6EDC" w:rsidRPr="00CF193C" w:rsidRDefault="00BB6EDC" w:rsidP="00CF193C">
      <w:pPr>
        <w:pStyle w:val="TableTitle"/>
      </w:pPr>
      <w:r w:rsidRPr="00CF193C">
        <w:lastRenderedPageBreak/>
        <w:t>Table 34: Percent change from baseline in 28-</w:t>
      </w:r>
      <w:r w:rsidR="00D40B96" w:rsidRPr="00CF193C">
        <w:t>d</w:t>
      </w:r>
      <w:r w:rsidRPr="00CF193C">
        <w:t>ay total partial seizure frequency by secondarily generalised seizures subgroup (</w:t>
      </w:r>
      <w:r w:rsidR="005614A3" w:rsidRPr="00CF193C">
        <w:t>m</w:t>
      </w:r>
      <w:r w:rsidRPr="00CF193C">
        <w:t xml:space="preserve">aintenance phase) – ITT </w:t>
      </w:r>
      <w:r w:rsidR="00D40B96" w:rsidRPr="00CF193C">
        <w:t>maintenance p</w:t>
      </w:r>
      <w:r w:rsidRPr="00CF193C">
        <w:t>opulation (</w:t>
      </w:r>
      <w:r w:rsidR="005614A3" w:rsidRPr="00CF193C">
        <w:t>s</w:t>
      </w:r>
      <w:r w:rsidRPr="00CF193C">
        <w:t xml:space="preserve">tudies 205, 301 and 302 </w:t>
      </w:r>
      <w:r w:rsidR="00D40B96" w:rsidRPr="00CF193C">
        <w:t>i</w:t>
      </w:r>
      <w:r w:rsidRPr="00CF193C">
        <w:t>ntegrated).</w:t>
      </w:r>
    </w:p>
    <w:p w:rsidR="00CF193C" w:rsidRDefault="00DA36AD" w:rsidP="00CF193C">
      <w:pPr>
        <w:jc w:val="center"/>
      </w:pPr>
      <w:r>
        <w:rPr>
          <w:noProof/>
          <w:lang w:eastAsia="en-AU"/>
        </w:rPr>
        <w:drawing>
          <wp:inline distT="0" distB="0" distL="0" distR="0">
            <wp:extent cx="4952365" cy="3262630"/>
            <wp:effectExtent l="19050" t="0" r="635" b="0"/>
            <wp:docPr id="47" name="Picture 47" descr="Table showing percent change from baseline in 28-day total partial seizure frequency by secondarily generalised seizures sub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
                    <pic:cNvPicPr>
                      <a:picLocks noChangeAspect="1" noChangeArrowheads="1"/>
                    </pic:cNvPicPr>
                  </pic:nvPicPr>
                  <pic:blipFill>
                    <a:blip r:embed="rId60" cstate="print"/>
                    <a:srcRect/>
                    <a:stretch>
                      <a:fillRect/>
                    </a:stretch>
                  </pic:blipFill>
                  <pic:spPr bwMode="auto">
                    <a:xfrm>
                      <a:off x="0" y="0"/>
                      <a:ext cx="4952365" cy="3262630"/>
                    </a:xfrm>
                    <a:prstGeom prst="rect">
                      <a:avLst/>
                    </a:prstGeom>
                    <a:noFill/>
                    <a:ln w="9525">
                      <a:noFill/>
                      <a:miter lim="800000"/>
                      <a:headEnd/>
                      <a:tailEnd/>
                    </a:ln>
                  </pic:spPr>
                </pic:pic>
              </a:graphicData>
            </a:graphic>
          </wp:inline>
        </w:drawing>
      </w:r>
    </w:p>
    <w:p w:rsidR="00BB6EDC" w:rsidRDefault="00BB6EDC" w:rsidP="00CF193C">
      <w:pPr>
        <w:pStyle w:val="TableTitle"/>
      </w:pPr>
      <w:r>
        <w:lastRenderedPageBreak/>
        <w:t>Table 35</w:t>
      </w:r>
      <w:r w:rsidRPr="000471E1">
        <w:t>:</w:t>
      </w:r>
      <w:r>
        <w:t xml:space="preserve"> </w:t>
      </w:r>
      <w:r w:rsidR="00EE1B0A">
        <w:t>Responder rate by seizure type (</w:t>
      </w:r>
      <w:r w:rsidR="005614A3">
        <w:t>m</w:t>
      </w:r>
      <w:r w:rsidR="00EE1B0A">
        <w:t xml:space="preserve">aintenance phase) – ITT </w:t>
      </w:r>
      <w:r w:rsidR="00D40B96">
        <w:t>m</w:t>
      </w:r>
      <w:r w:rsidR="00EE1B0A">
        <w:t xml:space="preserve">aintenance </w:t>
      </w:r>
      <w:r w:rsidR="00D40B96">
        <w:t>p</w:t>
      </w:r>
      <w:r w:rsidR="00EE1B0A">
        <w:t>opula</w:t>
      </w:r>
      <w:r w:rsidR="00D40B96">
        <w:t>tion (</w:t>
      </w:r>
      <w:r w:rsidR="005614A3">
        <w:t>s</w:t>
      </w:r>
      <w:r w:rsidR="00D40B96">
        <w:t>tudies 205, 301 and 302 i</w:t>
      </w:r>
      <w:r w:rsidR="00EE1B0A">
        <w:t>ntegrated</w:t>
      </w:r>
      <w:r>
        <w:t>).</w:t>
      </w:r>
    </w:p>
    <w:p w:rsidR="00D40B96" w:rsidRDefault="00DA36AD" w:rsidP="00CF193C">
      <w:pPr>
        <w:jc w:val="center"/>
      </w:pPr>
      <w:r>
        <w:rPr>
          <w:noProof/>
          <w:lang w:eastAsia="en-AU"/>
        </w:rPr>
        <w:drawing>
          <wp:inline distT="0" distB="0" distL="0" distR="0">
            <wp:extent cx="4572000" cy="4594225"/>
            <wp:effectExtent l="19050" t="0" r="0" b="0"/>
            <wp:docPr id="48" name="Picture 48" descr="Table showing responder rate by seizure type (Maintenance phase) - ITT maintenanc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1"/>
                    <pic:cNvPicPr>
                      <a:picLocks noChangeAspect="1" noChangeArrowheads="1"/>
                    </pic:cNvPicPr>
                  </pic:nvPicPr>
                  <pic:blipFill>
                    <a:blip r:embed="rId61" cstate="print"/>
                    <a:srcRect/>
                    <a:stretch>
                      <a:fillRect/>
                    </a:stretch>
                  </pic:blipFill>
                  <pic:spPr bwMode="auto">
                    <a:xfrm>
                      <a:off x="0" y="0"/>
                      <a:ext cx="4572000" cy="4594225"/>
                    </a:xfrm>
                    <a:prstGeom prst="rect">
                      <a:avLst/>
                    </a:prstGeom>
                    <a:noFill/>
                    <a:ln w="9525">
                      <a:noFill/>
                      <a:miter lim="800000"/>
                      <a:headEnd/>
                      <a:tailEnd/>
                    </a:ln>
                  </pic:spPr>
                </pic:pic>
              </a:graphicData>
            </a:graphic>
          </wp:inline>
        </w:drawing>
      </w:r>
      <w:r>
        <w:rPr>
          <w:noProof/>
          <w:lang w:eastAsia="en-AU"/>
        </w:rPr>
        <w:drawing>
          <wp:inline distT="0" distB="0" distL="0" distR="0">
            <wp:extent cx="4572000" cy="3343275"/>
            <wp:effectExtent l="19050" t="0" r="0" b="0"/>
            <wp:docPr id="49" name="Picture 49" descr="Continued table showing responder rate by seizure type (Maintenance phase) - ITT maintenanc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2"/>
                    <pic:cNvPicPr>
                      <a:picLocks noChangeAspect="1" noChangeArrowheads="1"/>
                    </pic:cNvPicPr>
                  </pic:nvPicPr>
                  <pic:blipFill>
                    <a:blip r:embed="rId62" cstate="print"/>
                    <a:srcRect/>
                    <a:stretch>
                      <a:fillRect/>
                    </a:stretch>
                  </pic:blipFill>
                  <pic:spPr bwMode="auto">
                    <a:xfrm>
                      <a:off x="0" y="0"/>
                      <a:ext cx="4572000" cy="3343275"/>
                    </a:xfrm>
                    <a:prstGeom prst="rect">
                      <a:avLst/>
                    </a:prstGeom>
                    <a:noFill/>
                    <a:ln w="9525">
                      <a:noFill/>
                      <a:miter lim="800000"/>
                      <a:headEnd/>
                      <a:tailEnd/>
                    </a:ln>
                  </pic:spPr>
                </pic:pic>
              </a:graphicData>
            </a:graphic>
          </wp:inline>
        </w:drawing>
      </w:r>
    </w:p>
    <w:p w:rsidR="00BB6EDC" w:rsidRPr="00CF193C" w:rsidRDefault="00BB6EDC" w:rsidP="00CF193C">
      <w:pPr>
        <w:pStyle w:val="TableTitle"/>
      </w:pPr>
      <w:r w:rsidRPr="00CF193C">
        <w:lastRenderedPageBreak/>
        <w:t xml:space="preserve">Table 36: </w:t>
      </w:r>
      <w:r w:rsidR="00EE1B0A" w:rsidRPr="00CF193C">
        <w:t>Responder rate by secondarily generalised seizures subgroup</w:t>
      </w:r>
      <w:r w:rsidRPr="00CF193C">
        <w:t xml:space="preserve"> (</w:t>
      </w:r>
      <w:r w:rsidR="005614A3" w:rsidRPr="00CF193C">
        <w:t>d</w:t>
      </w:r>
      <w:r w:rsidRPr="00CF193C">
        <w:t>ouble-</w:t>
      </w:r>
      <w:r w:rsidR="005614A3" w:rsidRPr="00CF193C">
        <w:t>b</w:t>
      </w:r>
      <w:r w:rsidR="00D40B96" w:rsidRPr="00CF193C">
        <w:t xml:space="preserve">lind phase) – ITT </w:t>
      </w:r>
      <w:r w:rsidR="005614A3" w:rsidRPr="00CF193C">
        <w:t>d</w:t>
      </w:r>
      <w:r w:rsidR="00D40B96" w:rsidRPr="00CF193C">
        <w:t>ouble-</w:t>
      </w:r>
      <w:r w:rsidR="005614A3" w:rsidRPr="00CF193C">
        <w:t>b</w:t>
      </w:r>
      <w:r w:rsidR="00D40B96" w:rsidRPr="00CF193C">
        <w:t>lind p</w:t>
      </w:r>
      <w:r w:rsidRPr="00CF193C">
        <w:t>opulation (</w:t>
      </w:r>
      <w:r w:rsidR="005614A3" w:rsidRPr="00CF193C">
        <w:t>s</w:t>
      </w:r>
      <w:r w:rsidRPr="00CF193C">
        <w:t xml:space="preserve">tudies 205, 301 and 302 </w:t>
      </w:r>
      <w:r w:rsidR="00D40B96" w:rsidRPr="00CF193C">
        <w:t>i</w:t>
      </w:r>
      <w:r w:rsidRPr="00CF193C">
        <w:t>ntegrated).</w:t>
      </w:r>
    </w:p>
    <w:p w:rsidR="00BB6EDC" w:rsidRDefault="00DA36AD" w:rsidP="00EE1B0A">
      <w:pPr>
        <w:jc w:val="center"/>
      </w:pPr>
      <w:r>
        <w:rPr>
          <w:noProof/>
          <w:lang w:eastAsia="en-AU"/>
        </w:rPr>
        <w:drawing>
          <wp:inline distT="0" distB="0" distL="0" distR="0">
            <wp:extent cx="4330700" cy="3035935"/>
            <wp:effectExtent l="19050" t="0" r="0" b="0"/>
            <wp:docPr id="50" name="Picture 50" descr="Table showing responder rate by secondarily generalised seizures subgroup (Double-Blind phase) - ITT Double-Blin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1"/>
                    <pic:cNvPicPr>
                      <a:picLocks noChangeAspect="1" noChangeArrowheads="1"/>
                    </pic:cNvPicPr>
                  </pic:nvPicPr>
                  <pic:blipFill>
                    <a:blip r:embed="rId63" cstate="print"/>
                    <a:srcRect/>
                    <a:stretch>
                      <a:fillRect/>
                    </a:stretch>
                  </pic:blipFill>
                  <pic:spPr bwMode="auto">
                    <a:xfrm>
                      <a:off x="0" y="0"/>
                      <a:ext cx="4330700" cy="3035935"/>
                    </a:xfrm>
                    <a:prstGeom prst="rect">
                      <a:avLst/>
                    </a:prstGeom>
                    <a:noFill/>
                    <a:ln w="9525">
                      <a:noFill/>
                      <a:miter lim="800000"/>
                      <a:headEnd/>
                      <a:tailEnd/>
                    </a:ln>
                  </pic:spPr>
                </pic:pic>
              </a:graphicData>
            </a:graphic>
          </wp:inline>
        </w:drawing>
      </w:r>
    </w:p>
    <w:p w:rsidR="005A6560" w:rsidRDefault="005A6560" w:rsidP="00D40B96">
      <w:pPr>
        <w:pStyle w:val="TableTitle"/>
      </w:pPr>
      <w:r>
        <w:t>Table 37</w:t>
      </w:r>
      <w:r w:rsidRPr="000471E1">
        <w:t>:</w:t>
      </w:r>
      <w:r>
        <w:t xml:space="preserve"> </w:t>
      </w:r>
      <w:r w:rsidR="00BD6F21">
        <w:t>Percent change from baseline in 28-</w:t>
      </w:r>
      <w:r w:rsidR="00D40B96">
        <w:t>d</w:t>
      </w:r>
      <w:r w:rsidR="00BD6F21">
        <w:t>ay total partial seizure frequency by age group</w:t>
      </w:r>
      <w:r>
        <w:t xml:space="preserve"> (</w:t>
      </w:r>
      <w:r w:rsidR="005614A3">
        <w:t>d</w:t>
      </w:r>
      <w:r>
        <w:t>ouble-</w:t>
      </w:r>
      <w:r w:rsidR="005614A3">
        <w:t>b</w:t>
      </w:r>
      <w:r>
        <w:t xml:space="preserve">lind phase) – ITT </w:t>
      </w:r>
      <w:r w:rsidR="005614A3">
        <w:t>d</w:t>
      </w:r>
      <w:r>
        <w:t>ouble-</w:t>
      </w:r>
      <w:r w:rsidR="005614A3">
        <w:t>b</w:t>
      </w:r>
      <w:r>
        <w:t xml:space="preserve">lind </w:t>
      </w:r>
      <w:r w:rsidR="00D40B96">
        <w:t>p</w:t>
      </w:r>
      <w:r>
        <w:t>opula</w:t>
      </w:r>
      <w:r w:rsidR="00D40B96">
        <w:t>tion (</w:t>
      </w:r>
      <w:r w:rsidR="005614A3">
        <w:t>s</w:t>
      </w:r>
      <w:r w:rsidR="00D40B96">
        <w:t>tudies 205, 301 and 302 i</w:t>
      </w:r>
      <w:r>
        <w:t>ntegrated).</w:t>
      </w:r>
    </w:p>
    <w:p w:rsidR="005A6560" w:rsidRDefault="00DA36AD" w:rsidP="00BD6F21">
      <w:pPr>
        <w:jc w:val="center"/>
      </w:pPr>
      <w:r>
        <w:rPr>
          <w:noProof/>
          <w:lang w:eastAsia="en-AU"/>
        </w:rPr>
        <w:drawing>
          <wp:inline distT="0" distB="0" distL="0" distR="0">
            <wp:extent cx="4374515" cy="2691765"/>
            <wp:effectExtent l="19050" t="0" r="6985" b="0"/>
            <wp:docPr id="51" name="Picture 51" descr="Table showing percent change from baseline in 28-day total partial seizure frequency by age group (Double-Blind phase) - ITT Double-Blin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
                    <pic:cNvPicPr>
                      <a:picLocks noChangeAspect="1" noChangeArrowheads="1"/>
                    </pic:cNvPicPr>
                  </pic:nvPicPr>
                  <pic:blipFill>
                    <a:blip r:embed="rId64" cstate="print"/>
                    <a:srcRect/>
                    <a:stretch>
                      <a:fillRect/>
                    </a:stretch>
                  </pic:blipFill>
                  <pic:spPr bwMode="auto">
                    <a:xfrm>
                      <a:off x="0" y="0"/>
                      <a:ext cx="4374515" cy="2691765"/>
                    </a:xfrm>
                    <a:prstGeom prst="rect">
                      <a:avLst/>
                    </a:prstGeom>
                    <a:noFill/>
                    <a:ln w="9525">
                      <a:noFill/>
                      <a:miter lim="800000"/>
                      <a:headEnd/>
                      <a:tailEnd/>
                    </a:ln>
                  </pic:spPr>
                </pic:pic>
              </a:graphicData>
            </a:graphic>
          </wp:inline>
        </w:drawing>
      </w:r>
    </w:p>
    <w:p w:rsidR="005A6560" w:rsidRDefault="005A6560" w:rsidP="00E30114">
      <w:pPr>
        <w:pStyle w:val="TableTitle"/>
      </w:pPr>
      <w:r>
        <w:lastRenderedPageBreak/>
        <w:t>Table 38</w:t>
      </w:r>
      <w:r w:rsidRPr="000471E1">
        <w:t>:</w:t>
      </w:r>
      <w:r>
        <w:t xml:space="preserve"> Responder rate by </w:t>
      </w:r>
      <w:r w:rsidR="007101E3">
        <w:t>age group</w:t>
      </w:r>
      <w:r>
        <w:t xml:space="preserve"> (</w:t>
      </w:r>
      <w:r w:rsidR="005614A3">
        <w:t>m</w:t>
      </w:r>
      <w:r w:rsidR="007101E3">
        <w:t>aintenance</w:t>
      </w:r>
      <w:r>
        <w:t xml:space="preserve"> phase) – ITT </w:t>
      </w:r>
      <w:r w:rsidR="00E30114">
        <w:t>m</w:t>
      </w:r>
      <w:r w:rsidR="007101E3">
        <w:t xml:space="preserve">aintenance </w:t>
      </w:r>
      <w:r w:rsidR="00E30114">
        <w:t>p</w:t>
      </w:r>
      <w:r>
        <w:t>opulation (</w:t>
      </w:r>
      <w:r w:rsidR="005614A3">
        <w:t>s</w:t>
      </w:r>
      <w:r>
        <w:t xml:space="preserve">tudies 205, 301 and 302 </w:t>
      </w:r>
      <w:r w:rsidR="005614A3">
        <w:t>i</w:t>
      </w:r>
      <w:r>
        <w:t>ntegrated).</w:t>
      </w:r>
    </w:p>
    <w:p w:rsidR="005A6560" w:rsidRDefault="00DA36AD" w:rsidP="00340150">
      <w:pPr>
        <w:jc w:val="center"/>
      </w:pPr>
      <w:r>
        <w:rPr>
          <w:noProof/>
          <w:lang w:eastAsia="en-AU"/>
        </w:rPr>
        <w:drawing>
          <wp:inline distT="0" distB="0" distL="0" distR="0">
            <wp:extent cx="4476750" cy="2589530"/>
            <wp:effectExtent l="19050" t="0" r="0" b="0"/>
            <wp:docPr id="52" name="Picture 52" descr="Table showing responder rate by age group (Maintenance phase) - ITT maintenanc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
                    <pic:cNvPicPr>
                      <a:picLocks noChangeAspect="1" noChangeArrowheads="1"/>
                    </pic:cNvPicPr>
                  </pic:nvPicPr>
                  <pic:blipFill>
                    <a:blip r:embed="rId65" cstate="print"/>
                    <a:srcRect/>
                    <a:stretch>
                      <a:fillRect/>
                    </a:stretch>
                  </pic:blipFill>
                  <pic:spPr bwMode="auto">
                    <a:xfrm>
                      <a:off x="0" y="0"/>
                      <a:ext cx="4476750" cy="2589530"/>
                    </a:xfrm>
                    <a:prstGeom prst="rect">
                      <a:avLst/>
                    </a:prstGeom>
                    <a:noFill/>
                    <a:ln w="9525">
                      <a:noFill/>
                      <a:miter lim="800000"/>
                      <a:headEnd/>
                      <a:tailEnd/>
                    </a:ln>
                  </pic:spPr>
                </pic:pic>
              </a:graphicData>
            </a:graphic>
          </wp:inline>
        </w:drawing>
      </w:r>
    </w:p>
    <w:p w:rsidR="005A6560" w:rsidRDefault="005A6560" w:rsidP="00E30114">
      <w:pPr>
        <w:pStyle w:val="TableTitle"/>
      </w:pPr>
      <w:r>
        <w:t>Table 39</w:t>
      </w:r>
      <w:r w:rsidRPr="000471E1">
        <w:t>:</w:t>
      </w:r>
      <w:r>
        <w:t xml:space="preserve"> </w:t>
      </w:r>
      <w:r w:rsidR="00EF4EFC">
        <w:t>Perc</w:t>
      </w:r>
      <w:r w:rsidR="00E30114">
        <w:t>ent change from baseline in 28-d</w:t>
      </w:r>
      <w:r w:rsidR="00EF4EFC">
        <w:t>ay total partial seizure frequency by gender</w:t>
      </w:r>
      <w:r>
        <w:t xml:space="preserve"> (</w:t>
      </w:r>
      <w:r w:rsidR="005614A3">
        <w:t>d</w:t>
      </w:r>
      <w:r>
        <w:t>ouble-</w:t>
      </w:r>
      <w:r w:rsidR="005614A3">
        <w:t>b</w:t>
      </w:r>
      <w:r>
        <w:t xml:space="preserve">lind phase) – ITT </w:t>
      </w:r>
      <w:r w:rsidR="005614A3">
        <w:t>d</w:t>
      </w:r>
      <w:r>
        <w:t>ouble-</w:t>
      </w:r>
      <w:r w:rsidR="005614A3">
        <w:t>b</w:t>
      </w:r>
      <w:r>
        <w:t xml:space="preserve">lind </w:t>
      </w:r>
      <w:r w:rsidR="00E30114">
        <w:t>p</w:t>
      </w:r>
      <w:r>
        <w:t>opula</w:t>
      </w:r>
      <w:r w:rsidR="00E30114">
        <w:t>tion (</w:t>
      </w:r>
      <w:r w:rsidR="005614A3">
        <w:t>s</w:t>
      </w:r>
      <w:r w:rsidR="00E30114">
        <w:t>tudies 205, 301 and 302 i</w:t>
      </w:r>
      <w:r>
        <w:t>ntegrated).</w:t>
      </w:r>
    </w:p>
    <w:p w:rsidR="005A6560" w:rsidRDefault="00DA36AD" w:rsidP="004C6F72">
      <w:pPr>
        <w:jc w:val="center"/>
      </w:pPr>
      <w:r>
        <w:rPr>
          <w:noProof/>
          <w:lang w:eastAsia="en-AU"/>
        </w:rPr>
        <w:drawing>
          <wp:inline distT="0" distB="0" distL="0" distR="0">
            <wp:extent cx="4513580" cy="2647950"/>
            <wp:effectExtent l="19050" t="0" r="1270" b="0"/>
            <wp:docPr id="53" name="Picture 53" descr="Table showing percent change from baseline in 28-day total partial seizure frequency by gender (Double-Blind phase) - ITT Double-Blin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
                    <pic:cNvPicPr>
                      <a:picLocks noChangeAspect="1" noChangeArrowheads="1"/>
                    </pic:cNvPicPr>
                  </pic:nvPicPr>
                  <pic:blipFill>
                    <a:blip r:embed="rId66" cstate="print"/>
                    <a:srcRect/>
                    <a:stretch>
                      <a:fillRect/>
                    </a:stretch>
                  </pic:blipFill>
                  <pic:spPr bwMode="auto">
                    <a:xfrm>
                      <a:off x="0" y="0"/>
                      <a:ext cx="4513580" cy="2647950"/>
                    </a:xfrm>
                    <a:prstGeom prst="rect">
                      <a:avLst/>
                    </a:prstGeom>
                    <a:noFill/>
                    <a:ln w="9525">
                      <a:noFill/>
                      <a:miter lim="800000"/>
                      <a:headEnd/>
                      <a:tailEnd/>
                    </a:ln>
                  </pic:spPr>
                </pic:pic>
              </a:graphicData>
            </a:graphic>
          </wp:inline>
        </w:drawing>
      </w:r>
    </w:p>
    <w:p w:rsidR="005A6560" w:rsidRDefault="005A6560" w:rsidP="00E30114">
      <w:pPr>
        <w:pStyle w:val="TableTitle"/>
      </w:pPr>
      <w:r>
        <w:lastRenderedPageBreak/>
        <w:t>Table 40</w:t>
      </w:r>
      <w:r w:rsidRPr="000471E1">
        <w:t>:</w:t>
      </w:r>
      <w:r>
        <w:t xml:space="preserve"> Responder rate by </w:t>
      </w:r>
      <w:r w:rsidR="006E11E9">
        <w:t>gender</w:t>
      </w:r>
      <w:r>
        <w:t xml:space="preserve"> (</w:t>
      </w:r>
      <w:r w:rsidR="005614A3">
        <w:t>m</w:t>
      </w:r>
      <w:r w:rsidR="006E11E9">
        <w:t>aintenance</w:t>
      </w:r>
      <w:r>
        <w:t xml:space="preserve"> phase) – ITT </w:t>
      </w:r>
      <w:r w:rsidR="00E30114">
        <w:t>m</w:t>
      </w:r>
      <w:r w:rsidR="006E11E9">
        <w:t xml:space="preserve">aintenance </w:t>
      </w:r>
      <w:r w:rsidR="00E30114">
        <w:t>p</w:t>
      </w:r>
      <w:r>
        <w:t>opula</w:t>
      </w:r>
      <w:r w:rsidR="00E30114">
        <w:t>tion (</w:t>
      </w:r>
      <w:r w:rsidR="005614A3">
        <w:t>s</w:t>
      </w:r>
      <w:r w:rsidR="00E30114">
        <w:t>tudies 205, 301 and 302 i</w:t>
      </w:r>
      <w:r>
        <w:t>ntegrated).</w:t>
      </w:r>
    </w:p>
    <w:p w:rsidR="005A6560" w:rsidRDefault="00DA36AD" w:rsidP="006E11E9">
      <w:pPr>
        <w:jc w:val="center"/>
      </w:pPr>
      <w:r>
        <w:rPr>
          <w:noProof/>
          <w:lang w:eastAsia="en-AU"/>
        </w:rPr>
        <w:drawing>
          <wp:inline distT="0" distB="0" distL="0" distR="0">
            <wp:extent cx="4615815" cy="2640965"/>
            <wp:effectExtent l="19050" t="0" r="0" b="0"/>
            <wp:docPr id="54" name="Picture 54" descr="Table showing responder rate by gender (Maintenance phase) - ITT maintenanc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1"/>
                    <pic:cNvPicPr>
                      <a:picLocks noChangeAspect="1" noChangeArrowheads="1"/>
                    </pic:cNvPicPr>
                  </pic:nvPicPr>
                  <pic:blipFill>
                    <a:blip r:embed="rId67" cstate="print"/>
                    <a:srcRect/>
                    <a:stretch>
                      <a:fillRect/>
                    </a:stretch>
                  </pic:blipFill>
                  <pic:spPr bwMode="auto">
                    <a:xfrm>
                      <a:off x="0" y="0"/>
                      <a:ext cx="4615815" cy="2640965"/>
                    </a:xfrm>
                    <a:prstGeom prst="rect">
                      <a:avLst/>
                    </a:prstGeom>
                    <a:noFill/>
                    <a:ln w="9525">
                      <a:noFill/>
                      <a:miter lim="800000"/>
                      <a:headEnd/>
                      <a:tailEnd/>
                    </a:ln>
                  </pic:spPr>
                </pic:pic>
              </a:graphicData>
            </a:graphic>
          </wp:inline>
        </w:drawing>
      </w:r>
    </w:p>
    <w:p w:rsidR="00CD22B2" w:rsidRDefault="00CD22B2" w:rsidP="00E30114">
      <w:pPr>
        <w:pStyle w:val="TableTitle"/>
      </w:pPr>
      <w:r>
        <w:t>Table 41</w:t>
      </w:r>
      <w:r w:rsidRPr="000471E1">
        <w:t>:</w:t>
      </w:r>
      <w:r>
        <w:t xml:space="preserve"> </w:t>
      </w:r>
      <w:r w:rsidR="00863912">
        <w:t>Perc</w:t>
      </w:r>
      <w:r w:rsidR="00E30114">
        <w:t>ent change from baseline in 28-d</w:t>
      </w:r>
      <w:r w:rsidR="00863912">
        <w:t>ay total partial seizure frequency by race</w:t>
      </w:r>
      <w:r>
        <w:t xml:space="preserve"> (</w:t>
      </w:r>
      <w:r w:rsidR="005614A3">
        <w:t>d</w:t>
      </w:r>
      <w:r w:rsidR="00863912">
        <w:t>ouble-</w:t>
      </w:r>
      <w:r w:rsidR="005614A3">
        <w:t>b</w:t>
      </w:r>
      <w:r w:rsidR="00863912">
        <w:t>lind</w:t>
      </w:r>
      <w:r>
        <w:t xml:space="preserve"> phase) – ITT </w:t>
      </w:r>
      <w:r w:rsidR="005614A3">
        <w:t>d</w:t>
      </w:r>
      <w:r w:rsidR="00863912">
        <w:t>ouble-</w:t>
      </w:r>
      <w:r w:rsidR="005614A3">
        <w:t>b</w:t>
      </w:r>
      <w:r w:rsidR="00863912">
        <w:t>lind</w:t>
      </w:r>
      <w:r w:rsidR="00E30114">
        <w:t xml:space="preserve"> p</w:t>
      </w:r>
      <w:r>
        <w:t>opulation (</w:t>
      </w:r>
      <w:r w:rsidR="005614A3">
        <w:t>s</w:t>
      </w:r>
      <w:r>
        <w:t xml:space="preserve">tudies 205, 301 and 302 </w:t>
      </w:r>
      <w:r w:rsidR="00E30114">
        <w:t>i</w:t>
      </w:r>
      <w:r>
        <w:t>ntegrated).</w:t>
      </w:r>
    </w:p>
    <w:p w:rsidR="00CD22B2" w:rsidRDefault="00DA36AD" w:rsidP="009A1216">
      <w:pPr>
        <w:jc w:val="center"/>
      </w:pPr>
      <w:r>
        <w:rPr>
          <w:noProof/>
          <w:lang w:eastAsia="en-AU"/>
        </w:rPr>
        <w:drawing>
          <wp:inline distT="0" distB="0" distL="0" distR="0">
            <wp:extent cx="4696460" cy="2472690"/>
            <wp:effectExtent l="19050" t="0" r="8890" b="0"/>
            <wp:docPr id="55" name="Picture 55" descr="Table showing percent change from baseline in 28-day total partial seizure frequency by race (Double-Blind phase) - ITT Double-Blin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1"/>
                    <pic:cNvPicPr>
                      <a:picLocks noChangeAspect="1" noChangeArrowheads="1"/>
                    </pic:cNvPicPr>
                  </pic:nvPicPr>
                  <pic:blipFill>
                    <a:blip r:embed="rId68" cstate="print"/>
                    <a:srcRect/>
                    <a:stretch>
                      <a:fillRect/>
                    </a:stretch>
                  </pic:blipFill>
                  <pic:spPr bwMode="auto">
                    <a:xfrm>
                      <a:off x="0" y="0"/>
                      <a:ext cx="4696460" cy="2472690"/>
                    </a:xfrm>
                    <a:prstGeom prst="rect">
                      <a:avLst/>
                    </a:prstGeom>
                    <a:noFill/>
                    <a:ln w="9525">
                      <a:noFill/>
                      <a:miter lim="800000"/>
                      <a:headEnd/>
                      <a:tailEnd/>
                    </a:ln>
                  </pic:spPr>
                </pic:pic>
              </a:graphicData>
            </a:graphic>
          </wp:inline>
        </w:drawing>
      </w:r>
    </w:p>
    <w:p w:rsidR="00CD22B2" w:rsidRDefault="00CD22B2" w:rsidP="00E30114">
      <w:pPr>
        <w:pStyle w:val="TableTitle"/>
      </w:pPr>
      <w:r>
        <w:lastRenderedPageBreak/>
        <w:t>Table 42</w:t>
      </w:r>
      <w:r w:rsidRPr="000471E1">
        <w:t>:</w:t>
      </w:r>
      <w:r>
        <w:t xml:space="preserve"> Responder rate by </w:t>
      </w:r>
      <w:r w:rsidR="00B317A3">
        <w:t>race</w:t>
      </w:r>
      <w:r w:rsidR="00E30114">
        <w:t xml:space="preserve"> (</w:t>
      </w:r>
      <w:r w:rsidR="005614A3">
        <w:t>m</w:t>
      </w:r>
      <w:r w:rsidR="00E30114">
        <w:t>aintenance phase) – ITT m</w:t>
      </w:r>
      <w:r>
        <w:t xml:space="preserve">aintenance </w:t>
      </w:r>
      <w:r w:rsidR="00E30114">
        <w:t>p</w:t>
      </w:r>
      <w:r>
        <w:t>opulation (</w:t>
      </w:r>
      <w:r w:rsidR="005614A3">
        <w:t>s</w:t>
      </w:r>
      <w:r>
        <w:t>t</w:t>
      </w:r>
      <w:r w:rsidR="00E30114">
        <w:t>udies 205, 301 and 302 i</w:t>
      </w:r>
      <w:r>
        <w:t>ntegrated).</w:t>
      </w:r>
    </w:p>
    <w:p w:rsidR="00CD22B2" w:rsidRDefault="00DA36AD" w:rsidP="00B317A3">
      <w:pPr>
        <w:jc w:val="center"/>
      </w:pPr>
      <w:r>
        <w:rPr>
          <w:noProof/>
          <w:lang w:eastAsia="en-AU"/>
        </w:rPr>
        <w:drawing>
          <wp:inline distT="0" distB="0" distL="0" distR="0">
            <wp:extent cx="4630420" cy="2567940"/>
            <wp:effectExtent l="19050" t="0" r="0" b="0"/>
            <wp:docPr id="56" name="Picture 56" descr="Table showing responder rate by race (Maintenance phase) - ITT maintenanc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
                    <pic:cNvPicPr>
                      <a:picLocks noChangeAspect="1" noChangeArrowheads="1"/>
                    </pic:cNvPicPr>
                  </pic:nvPicPr>
                  <pic:blipFill>
                    <a:blip r:embed="rId69" cstate="print"/>
                    <a:srcRect/>
                    <a:stretch>
                      <a:fillRect/>
                    </a:stretch>
                  </pic:blipFill>
                  <pic:spPr bwMode="auto">
                    <a:xfrm>
                      <a:off x="0" y="0"/>
                      <a:ext cx="4630420" cy="2567940"/>
                    </a:xfrm>
                    <a:prstGeom prst="rect">
                      <a:avLst/>
                    </a:prstGeom>
                    <a:noFill/>
                    <a:ln w="9525">
                      <a:noFill/>
                      <a:miter lim="800000"/>
                      <a:headEnd/>
                      <a:tailEnd/>
                    </a:ln>
                  </pic:spPr>
                </pic:pic>
              </a:graphicData>
            </a:graphic>
          </wp:inline>
        </w:drawing>
      </w:r>
    </w:p>
    <w:p w:rsidR="00CD22B2" w:rsidRDefault="00CD22B2" w:rsidP="00E30114">
      <w:pPr>
        <w:pStyle w:val="TableTitle"/>
      </w:pPr>
      <w:r>
        <w:t>Table 43</w:t>
      </w:r>
      <w:r w:rsidRPr="000471E1">
        <w:t>:</w:t>
      </w:r>
      <w:r>
        <w:t xml:space="preserve"> </w:t>
      </w:r>
      <w:r w:rsidR="00B65354">
        <w:t>Percent change from baseline in 28-Day total partial seizure frequency by number of background AEDs</w:t>
      </w:r>
      <w:r>
        <w:t xml:space="preserve"> (</w:t>
      </w:r>
      <w:r w:rsidR="005614A3">
        <w:t>d</w:t>
      </w:r>
      <w:r w:rsidR="00B65354">
        <w:t>ouble-</w:t>
      </w:r>
      <w:r w:rsidR="005614A3">
        <w:t>b</w:t>
      </w:r>
      <w:r w:rsidR="00B65354">
        <w:t>lind</w:t>
      </w:r>
      <w:r>
        <w:t xml:space="preserve"> phase) – ITT </w:t>
      </w:r>
      <w:r w:rsidR="005614A3">
        <w:t>d</w:t>
      </w:r>
      <w:r w:rsidR="00B65354">
        <w:t>ouble-</w:t>
      </w:r>
      <w:r w:rsidR="005614A3">
        <w:t>b</w:t>
      </w:r>
      <w:r w:rsidR="00B65354">
        <w:t>lind</w:t>
      </w:r>
      <w:r w:rsidR="00E30114">
        <w:t xml:space="preserve"> p</w:t>
      </w:r>
      <w:r>
        <w:t>opulation (</w:t>
      </w:r>
      <w:r w:rsidR="005614A3">
        <w:t>s</w:t>
      </w:r>
      <w:r>
        <w:t xml:space="preserve">tudies 205, 301 and 302 </w:t>
      </w:r>
      <w:r w:rsidR="00E30114">
        <w:t>i</w:t>
      </w:r>
      <w:r>
        <w:t>ntegrated).</w:t>
      </w:r>
    </w:p>
    <w:p w:rsidR="00CD22B2" w:rsidRDefault="00DA36AD" w:rsidP="00B65354">
      <w:pPr>
        <w:jc w:val="center"/>
      </w:pPr>
      <w:r>
        <w:rPr>
          <w:noProof/>
          <w:lang w:eastAsia="en-AU"/>
        </w:rPr>
        <w:drawing>
          <wp:inline distT="0" distB="0" distL="0" distR="0">
            <wp:extent cx="4491355" cy="4147820"/>
            <wp:effectExtent l="19050" t="0" r="4445" b="0"/>
            <wp:docPr id="57" name="Picture 57" descr="Table showing percent change from baseline in 28-Day total partial seizure frequency by number of background AEDs (Double-Blind phase) - ITT Double-Blin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1"/>
                    <pic:cNvPicPr>
                      <a:picLocks noChangeAspect="1" noChangeArrowheads="1"/>
                    </pic:cNvPicPr>
                  </pic:nvPicPr>
                  <pic:blipFill>
                    <a:blip r:embed="rId70" cstate="print"/>
                    <a:srcRect/>
                    <a:stretch>
                      <a:fillRect/>
                    </a:stretch>
                  </pic:blipFill>
                  <pic:spPr bwMode="auto">
                    <a:xfrm>
                      <a:off x="0" y="0"/>
                      <a:ext cx="4491355" cy="4147820"/>
                    </a:xfrm>
                    <a:prstGeom prst="rect">
                      <a:avLst/>
                    </a:prstGeom>
                    <a:noFill/>
                    <a:ln w="9525">
                      <a:noFill/>
                      <a:miter lim="800000"/>
                      <a:headEnd/>
                      <a:tailEnd/>
                    </a:ln>
                  </pic:spPr>
                </pic:pic>
              </a:graphicData>
            </a:graphic>
          </wp:inline>
        </w:drawing>
      </w:r>
    </w:p>
    <w:p w:rsidR="00CD22B2" w:rsidRDefault="00CD22B2" w:rsidP="002E5472">
      <w:pPr>
        <w:pStyle w:val="TableTitle"/>
      </w:pPr>
      <w:r>
        <w:lastRenderedPageBreak/>
        <w:t>Table 44</w:t>
      </w:r>
      <w:r w:rsidRPr="000471E1">
        <w:t>:</w:t>
      </w:r>
      <w:r>
        <w:t xml:space="preserve"> Responder rate by </w:t>
      </w:r>
      <w:r w:rsidR="00172D03">
        <w:t>number of background AEDs</w:t>
      </w:r>
      <w:r w:rsidR="002E5472">
        <w:t xml:space="preserve"> (</w:t>
      </w:r>
      <w:r w:rsidR="005614A3">
        <w:t>m</w:t>
      </w:r>
      <w:r w:rsidR="002E5472">
        <w:t>aintenance phase) – ITT maintenance p</w:t>
      </w:r>
      <w:r>
        <w:t>opulation (</w:t>
      </w:r>
      <w:r w:rsidR="005614A3">
        <w:t>s</w:t>
      </w:r>
      <w:r>
        <w:t xml:space="preserve">tudies 205, 301 and 302 </w:t>
      </w:r>
      <w:r w:rsidR="002E5472">
        <w:t>i</w:t>
      </w:r>
      <w:r>
        <w:t>ntegrated).</w:t>
      </w:r>
    </w:p>
    <w:p w:rsidR="00CD22B2" w:rsidRDefault="00DA36AD" w:rsidP="00172D03">
      <w:pPr>
        <w:jc w:val="center"/>
      </w:pPr>
      <w:r>
        <w:rPr>
          <w:noProof/>
          <w:lang w:eastAsia="en-AU"/>
        </w:rPr>
        <w:drawing>
          <wp:inline distT="0" distB="0" distL="0" distR="0">
            <wp:extent cx="4586605" cy="3913505"/>
            <wp:effectExtent l="19050" t="0" r="4445" b="0"/>
            <wp:docPr id="58" name="Picture 58" descr="Table showing responder rate by number of background AEDs (Maintenance phase) - ITT maintenanc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1"/>
                    <pic:cNvPicPr>
                      <a:picLocks noChangeAspect="1" noChangeArrowheads="1"/>
                    </pic:cNvPicPr>
                  </pic:nvPicPr>
                  <pic:blipFill>
                    <a:blip r:embed="rId71" cstate="print"/>
                    <a:srcRect/>
                    <a:stretch>
                      <a:fillRect/>
                    </a:stretch>
                  </pic:blipFill>
                  <pic:spPr bwMode="auto">
                    <a:xfrm>
                      <a:off x="0" y="0"/>
                      <a:ext cx="4586605" cy="3913505"/>
                    </a:xfrm>
                    <a:prstGeom prst="rect">
                      <a:avLst/>
                    </a:prstGeom>
                    <a:noFill/>
                    <a:ln w="9525">
                      <a:noFill/>
                      <a:miter lim="800000"/>
                      <a:headEnd/>
                      <a:tailEnd/>
                    </a:ln>
                  </pic:spPr>
                </pic:pic>
              </a:graphicData>
            </a:graphic>
          </wp:inline>
        </w:drawing>
      </w:r>
    </w:p>
    <w:p w:rsidR="002B6FBD" w:rsidRDefault="002B6FBD" w:rsidP="006704D6">
      <w:pPr>
        <w:pStyle w:val="Heading3"/>
      </w:pPr>
      <w:bookmarkStart w:id="177" w:name="_Ref271126605"/>
      <w:bookmarkStart w:id="178" w:name="_Toc272414657"/>
      <w:bookmarkStart w:id="179" w:name="_Toc290846282"/>
      <w:bookmarkStart w:id="180" w:name="_Toc330196371"/>
      <w:bookmarkStart w:id="181" w:name="_Toc365636799"/>
      <w:r w:rsidRPr="006704D6">
        <w:t>Evaluator’s</w:t>
      </w:r>
      <w:r w:rsidRPr="003C0A48">
        <w:t xml:space="preserve"> conclusions on </w:t>
      </w:r>
      <w:r w:rsidRPr="002E5472">
        <w:t>clinical</w:t>
      </w:r>
      <w:r w:rsidRPr="003C0A48">
        <w:t xml:space="preserve"> efficacy</w:t>
      </w:r>
      <w:bookmarkEnd w:id="177"/>
      <w:bookmarkEnd w:id="178"/>
      <w:bookmarkEnd w:id="179"/>
      <w:bookmarkEnd w:id="180"/>
      <w:bookmarkEnd w:id="181"/>
    </w:p>
    <w:p w:rsidR="002B6FBD" w:rsidRPr="002B6FBD" w:rsidRDefault="002B6FBD" w:rsidP="006704D6">
      <w:r w:rsidRPr="002B6FBD">
        <w:t xml:space="preserve">The sponsor has provided convincing evidence that </w:t>
      </w:r>
      <w:proofErr w:type="spellStart"/>
      <w:r w:rsidRPr="002B6FBD">
        <w:t>retigabine</w:t>
      </w:r>
      <w:proofErr w:type="spellEnd"/>
      <w:r w:rsidRPr="002B6FBD">
        <w:t xml:space="preserve"> has some efficacy as an anticonvulsant when used as adjunctive therapy in refractory patients, and that it differs significantly from placebo, as summarised in </w:t>
      </w:r>
      <w:r w:rsidR="00401A8A">
        <w:t>Table 45</w:t>
      </w:r>
      <w:r w:rsidRPr="002B6FBD">
        <w:t xml:space="preserve"> </w:t>
      </w:r>
      <w:r w:rsidR="00401A8A">
        <w:t>(</w:t>
      </w:r>
      <w:r w:rsidRPr="002B6FBD">
        <w:t>from the proposed PI</w:t>
      </w:r>
      <w:r w:rsidR="00401A8A">
        <w:t>)</w:t>
      </w:r>
      <w:r w:rsidRPr="002B6FBD">
        <w:t xml:space="preserve">. </w:t>
      </w:r>
    </w:p>
    <w:p w:rsidR="002B6FBD" w:rsidRDefault="002B6FBD" w:rsidP="002E5472">
      <w:pPr>
        <w:pStyle w:val="TableTitle"/>
      </w:pPr>
      <w:r>
        <w:t>Table 45</w:t>
      </w:r>
      <w:r w:rsidRPr="000471E1">
        <w:t>:</w:t>
      </w:r>
      <w:r>
        <w:t xml:space="preserve"> </w:t>
      </w:r>
      <w:r w:rsidR="00756AEF">
        <w:t>Summary of percentage changes in 28 day total partial seizure frequency and responder rates (‘</w:t>
      </w:r>
      <w:r w:rsidR="00756AEF" w:rsidRPr="00F3607F">
        <w:t xml:space="preserve">double blind’ population </w:t>
      </w:r>
      <w:r w:rsidR="00756AEF">
        <w:t xml:space="preserve">is </w:t>
      </w:r>
      <w:r w:rsidR="00756AEF" w:rsidRPr="00F3607F">
        <w:t>used for % change</w:t>
      </w:r>
      <w:r w:rsidR="00756AEF">
        <w:t xml:space="preserve"> and</w:t>
      </w:r>
      <w:r w:rsidR="00756AEF" w:rsidRPr="00F3607F">
        <w:t xml:space="preserve"> ‘maintenance‘ population used for</w:t>
      </w:r>
      <w:r w:rsidR="00756AEF">
        <w:t xml:space="preserve"> </w:t>
      </w:r>
      <w:r w:rsidR="00756AEF" w:rsidRPr="00F3607F">
        <w:t>responder rates</w:t>
      </w:r>
      <w:r w:rsidR="00756AEF">
        <w:t>)</w:t>
      </w:r>
      <w:r>
        <w:t>.</w:t>
      </w:r>
    </w:p>
    <w:p w:rsidR="002B6FBD" w:rsidRPr="002B6FBD" w:rsidRDefault="00DA36AD" w:rsidP="007B149D">
      <w:pPr>
        <w:jc w:val="center"/>
      </w:pPr>
      <w:r>
        <w:rPr>
          <w:noProof/>
          <w:lang w:eastAsia="en-AU"/>
        </w:rPr>
        <w:drawing>
          <wp:inline distT="0" distB="0" distL="0" distR="0">
            <wp:extent cx="4389120" cy="2735580"/>
            <wp:effectExtent l="19050" t="0" r="0" b="0"/>
            <wp:docPr id="59" name="Picture 59" descr="Table showing summary of percentage changes in 28 day total partial seizure frequency and responder rates (‘double blind’ population is used for % change and ‘maintenance‘ population used for responder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
                    <pic:cNvPicPr>
                      <a:picLocks noChangeAspect="1" noChangeArrowheads="1"/>
                    </pic:cNvPicPr>
                  </pic:nvPicPr>
                  <pic:blipFill>
                    <a:blip r:embed="rId72" cstate="print"/>
                    <a:srcRect/>
                    <a:stretch>
                      <a:fillRect/>
                    </a:stretch>
                  </pic:blipFill>
                  <pic:spPr bwMode="auto">
                    <a:xfrm>
                      <a:off x="0" y="0"/>
                      <a:ext cx="4389120" cy="2735580"/>
                    </a:xfrm>
                    <a:prstGeom prst="rect">
                      <a:avLst/>
                    </a:prstGeom>
                    <a:noFill/>
                    <a:ln w="9525">
                      <a:noFill/>
                      <a:miter lim="800000"/>
                      <a:headEnd/>
                      <a:tailEnd/>
                    </a:ln>
                  </pic:spPr>
                </pic:pic>
              </a:graphicData>
            </a:graphic>
          </wp:inline>
        </w:drawing>
      </w:r>
    </w:p>
    <w:p w:rsidR="000E2A87" w:rsidRPr="009D306B" w:rsidRDefault="000E2A87" w:rsidP="006704D6">
      <w:r w:rsidRPr="009D306B">
        <w:lastRenderedPageBreak/>
        <w:t>In clinical terms, the magnitude of the benefit appears modest, with a reduction in seizures of about 29-44% overall for the two highest dose groups (900</w:t>
      </w:r>
      <w:r>
        <w:t xml:space="preserve"> </w:t>
      </w:r>
      <w:r w:rsidRPr="009D306B">
        <w:t>mg/d</w:t>
      </w:r>
      <w:r>
        <w:t>ay</w:t>
      </w:r>
      <w:r w:rsidRPr="009D306B">
        <w:t xml:space="preserve"> and 1200</w:t>
      </w:r>
      <w:r>
        <w:t xml:space="preserve"> </w:t>
      </w:r>
      <w:r w:rsidRPr="009D306B">
        <w:t>mg/d</w:t>
      </w:r>
      <w:r>
        <w:t>ay</w:t>
      </w:r>
      <w:r w:rsidRPr="009D306B">
        <w:t>), compared to a reduction with placebo of 13-18%. For the highest dose group (1200</w:t>
      </w:r>
      <w:r>
        <w:t xml:space="preserve"> </w:t>
      </w:r>
      <w:r w:rsidRPr="009D306B">
        <w:t>mg/d</w:t>
      </w:r>
      <w:r>
        <w:t>ay</w:t>
      </w:r>
      <w:r w:rsidRPr="009D306B">
        <w:t>), the attributable reduction in seizure frequency was 22% (</w:t>
      </w:r>
      <w:r>
        <w:t>13-35%</w:t>
      </w:r>
      <w:r w:rsidRPr="009D306B">
        <w:t>) in Study 205, and 26% (</w:t>
      </w:r>
      <w:r>
        <w:t>18-</w:t>
      </w:r>
      <w:r w:rsidRPr="009D306B">
        <w:t>44%) in Study 301. Patients are likely to welcome this reduction if it can be achieved with minimal side effects, but the size of the benefit is small enough that even a few side effects could offset it.</w:t>
      </w:r>
    </w:p>
    <w:p w:rsidR="000E2A87" w:rsidRDefault="000E2A87" w:rsidP="006704D6">
      <w:r w:rsidRPr="009D306B">
        <w:t>A reduction in seizure frequency of at least 50% (a “response”) is likely to be considered more worthwhile by most patients and clinicians. At the lowest recommended dose of 600</w:t>
      </w:r>
      <w:r>
        <w:t xml:space="preserve"> </w:t>
      </w:r>
      <w:r w:rsidRPr="009D306B">
        <w:t>mg/d</w:t>
      </w:r>
      <w:r>
        <w:t>ay</w:t>
      </w:r>
      <w:r w:rsidRPr="009D306B">
        <w:t>, the responder rate was similar to placebo in the Phase II Study 205 (</w:t>
      </w:r>
      <w:proofErr w:type="spellStart"/>
      <w:r w:rsidRPr="009D306B">
        <w:t>retigabine</w:t>
      </w:r>
      <w:proofErr w:type="spellEnd"/>
      <w:r w:rsidRPr="009D306B">
        <w:t xml:space="preserve"> 28% </w:t>
      </w:r>
      <w:r>
        <w:t>versus</w:t>
      </w:r>
      <w:r w:rsidRPr="009D306B">
        <w:t xml:space="preserve"> placebo 26%) but it was significantly superior in the Phase III Study 302 (</w:t>
      </w:r>
      <w:proofErr w:type="spellStart"/>
      <w:r w:rsidRPr="009D306B">
        <w:t>retigabine</w:t>
      </w:r>
      <w:proofErr w:type="spellEnd"/>
      <w:r w:rsidRPr="009D306B">
        <w:t xml:space="preserve"> </w:t>
      </w:r>
      <w:r>
        <w:t>39% versus</w:t>
      </w:r>
      <w:r w:rsidRPr="009D306B">
        <w:t xml:space="preserve"> placebo 19%). </w:t>
      </w:r>
      <w:r>
        <w:t>At higher doses (</w:t>
      </w:r>
      <w:r w:rsidRPr="00DA0BE1">
        <w:t>900mg/d and 1200mg/d), the responder rates were more consistent (41% for either dose in Study 205, 47% for 900mg/d in Study 302, and 56% for 1200mg/d in Study 301), and these responder rates were significantly superior to placebo in both pivotal studies</w:t>
      </w:r>
      <w:r w:rsidRPr="009D306B">
        <w:t>.</w:t>
      </w:r>
      <w:r>
        <w:t xml:space="preserve"> </w:t>
      </w:r>
      <w:r w:rsidRPr="009D306B">
        <w:t>Sensitivity analyses showed that, even if withdrawing patients were considered non</w:t>
      </w:r>
      <w:r>
        <w:t xml:space="preserve"> </w:t>
      </w:r>
      <w:r w:rsidRPr="009D306B">
        <w:t>responders, the superiority of active treatment was still significant.</w:t>
      </w:r>
    </w:p>
    <w:p w:rsidR="000E2A87" w:rsidRPr="004A0756" w:rsidRDefault="000E2A87" w:rsidP="006704D6">
      <w:r w:rsidRPr="004A0756">
        <w:t>For the highest dose group, the attributable response rate – the proportion of patients who responded to active treatment over and above the placebo response rate – was 15% in Study 205 (</w:t>
      </w:r>
      <w:r>
        <w:t>26-</w:t>
      </w:r>
      <w:r w:rsidRPr="004A0756">
        <w:t>41%), and 33% in Study 301 (</w:t>
      </w:r>
      <w:r>
        <w:t>23-</w:t>
      </w:r>
      <w:r w:rsidRPr="004A0756">
        <w:t xml:space="preserve">56%). This implies that between 3-7 patients need to be treated with </w:t>
      </w:r>
      <w:proofErr w:type="spellStart"/>
      <w:r w:rsidRPr="004A0756">
        <w:t>retigabine</w:t>
      </w:r>
      <w:proofErr w:type="spellEnd"/>
      <w:r w:rsidRPr="004A0756">
        <w:t xml:space="preserve"> to achi</w:t>
      </w:r>
      <w:r>
        <w:t xml:space="preserve">eve one attributable response. However, the placebo response rate </w:t>
      </w:r>
      <w:r w:rsidRPr="004A0756">
        <w:t>was 26% in Study 205 and 23% in Study 301</w:t>
      </w:r>
      <w:r>
        <w:t xml:space="preserve">; this implies </w:t>
      </w:r>
      <w:r w:rsidRPr="004A0756">
        <w:t xml:space="preserve">that for every 4 patients treated, </w:t>
      </w:r>
      <w:r>
        <w:t>1</w:t>
      </w:r>
      <w:r w:rsidRPr="004A0756">
        <w:t xml:space="preserve"> </w:t>
      </w:r>
      <w:r>
        <w:t xml:space="preserve">patient </w:t>
      </w:r>
      <w:r w:rsidRPr="004A0756">
        <w:t xml:space="preserve">will show a response that would have been obtained with placebo. </w:t>
      </w:r>
    </w:p>
    <w:p w:rsidR="000E2A87" w:rsidRPr="004A0756" w:rsidRDefault="000E2A87" w:rsidP="006704D6">
      <w:r w:rsidRPr="004A0756">
        <w:t xml:space="preserve">A range of secondary endpoints and subgroup analyses showed that these findings were robust, but these additional analyses did not change the overall impression that </w:t>
      </w:r>
      <w:proofErr w:type="spellStart"/>
      <w:r w:rsidRPr="004A0756">
        <w:t>retigabine</w:t>
      </w:r>
      <w:proofErr w:type="spellEnd"/>
      <w:r w:rsidRPr="004A0756">
        <w:t xml:space="preserve"> offers only moderate efficacy as an adjunctive agent.</w:t>
      </w:r>
      <w:r>
        <w:t xml:space="preserve"> </w:t>
      </w:r>
      <w:r w:rsidRPr="004A0756">
        <w:t>Seizure</w:t>
      </w:r>
      <w:r>
        <w:t xml:space="preserve"> </w:t>
      </w:r>
      <w:r w:rsidRPr="004A0756">
        <w:t xml:space="preserve">freedom was significantly more likely with </w:t>
      </w:r>
      <w:r>
        <w:t>HD</w:t>
      </w:r>
      <w:r w:rsidRPr="004A0756">
        <w:t xml:space="preserve"> </w:t>
      </w:r>
      <w:proofErr w:type="spellStart"/>
      <w:r w:rsidRPr="004A0756">
        <w:t>retigabine</w:t>
      </w:r>
      <w:proofErr w:type="spellEnd"/>
      <w:r w:rsidRPr="004A0756">
        <w:t>, but was nonetheless rare.</w:t>
      </w:r>
      <w:r>
        <w:t xml:space="preserve"> </w:t>
      </w:r>
      <w:r w:rsidRPr="004A0756">
        <w:t>In the maintenance phase of Study 301, seizure</w:t>
      </w:r>
      <w:r>
        <w:t xml:space="preserve"> </w:t>
      </w:r>
      <w:r w:rsidRPr="004A0756">
        <w:t xml:space="preserve">freedom was achieved in 7.6% of </w:t>
      </w:r>
      <w:proofErr w:type="spellStart"/>
      <w:r w:rsidRPr="004A0756">
        <w:t>retigabine</w:t>
      </w:r>
      <w:proofErr w:type="spellEnd"/>
      <w:r w:rsidRPr="004A0756">
        <w:t xml:space="preserve"> 1200</w:t>
      </w:r>
      <w:r>
        <w:t xml:space="preserve"> mg/day</w:t>
      </w:r>
      <w:r w:rsidRPr="004A0756">
        <w:t xml:space="preserve"> recipients, compared to 1.5% of placebo recipients (p=0.027).</w:t>
      </w:r>
    </w:p>
    <w:p w:rsidR="00716311" w:rsidRPr="00716311" w:rsidRDefault="000E2A87" w:rsidP="006704D6">
      <w:r w:rsidRPr="004A0756">
        <w:t xml:space="preserve">It seems likely that </w:t>
      </w:r>
      <w:proofErr w:type="spellStart"/>
      <w:r w:rsidRPr="004A0756">
        <w:t>retigabine</w:t>
      </w:r>
      <w:proofErr w:type="spellEnd"/>
      <w:r w:rsidRPr="004A0756">
        <w:t xml:space="preserve"> would have better efficacy in a less refractory population, but its efficacy in that setting remains untested. It also remains unknown whether </w:t>
      </w:r>
      <w:proofErr w:type="spellStart"/>
      <w:r w:rsidRPr="004A0756">
        <w:t>retigabine</w:t>
      </w:r>
      <w:proofErr w:type="spellEnd"/>
      <w:r w:rsidRPr="004A0756">
        <w:t xml:space="preserve"> compares favourably to other second</w:t>
      </w:r>
      <w:r>
        <w:t xml:space="preserve"> </w:t>
      </w:r>
      <w:r w:rsidRPr="004A0756">
        <w:t>line or third</w:t>
      </w:r>
      <w:r>
        <w:t xml:space="preserve"> </w:t>
      </w:r>
      <w:r w:rsidRPr="004A0756">
        <w:t xml:space="preserve">line AEDs in the adjunctive setting, and whether it has reasonable efficacy as a </w:t>
      </w:r>
      <w:proofErr w:type="spellStart"/>
      <w:r w:rsidRPr="004A0756">
        <w:t>monotherapy</w:t>
      </w:r>
      <w:proofErr w:type="spellEnd"/>
      <w:r w:rsidRPr="004A0756">
        <w:t xml:space="preserve"> agent</w:t>
      </w:r>
      <w:r w:rsidR="00716311" w:rsidRPr="00716311">
        <w:t>.</w:t>
      </w:r>
    </w:p>
    <w:p w:rsidR="00C22678" w:rsidRDefault="00C22678" w:rsidP="006704D6">
      <w:pPr>
        <w:pStyle w:val="Heading2"/>
      </w:pPr>
      <w:bookmarkStart w:id="182" w:name="_Toc365636800"/>
      <w:r>
        <w:t xml:space="preserve">Clinical </w:t>
      </w:r>
      <w:r w:rsidRPr="006704D6">
        <w:t>safety</w:t>
      </w:r>
      <w:bookmarkEnd w:id="182"/>
    </w:p>
    <w:p w:rsidR="00124571" w:rsidRPr="004B259C" w:rsidRDefault="00124571" w:rsidP="006704D6">
      <w:pPr>
        <w:pStyle w:val="Heading3"/>
      </w:pPr>
      <w:bookmarkStart w:id="183" w:name="_Toc272414659"/>
      <w:bookmarkStart w:id="184" w:name="_Toc290846284"/>
      <w:bookmarkStart w:id="185" w:name="_Toc330196373"/>
      <w:bookmarkStart w:id="186" w:name="_Toc365636801"/>
      <w:r>
        <w:t xml:space="preserve">Studies providing </w:t>
      </w:r>
      <w:r w:rsidRPr="006704D6">
        <w:t>evaluable</w:t>
      </w:r>
      <w:r>
        <w:t xml:space="preserve"> safety data</w:t>
      </w:r>
      <w:bookmarkEnd w:id="183"/>
      <w:bookmarkEnd w:id="184"/>
      <w:bookmarkEnd w:id="185"/>
      <w:bookmarkEnd w:id="186"/>
    </w:p>
    <w:p w:rsidR="00124571" w:rsidRPr="00124571" w:rsidRDefault="00124571" w:rsidP="006704D6">
      <w:bookmarkStart w:id="187" w:name="_Ref268776745"/>
      <w:r w:rsidRPr="00124571">
        <w:t>The following studies provided evaluable safety data:</w:t>
      </w:r>
    </w:p>
    <w:p w:rsidR="00124571" w:rsidRPr="006704D6" w:rsidRDefault="00124571" w:rsidP="006704D6">
      <w:pPr>
        <w:pStyle w:val="ListBullet"/>
      </w:pPr>
      <w:r w:rsidRPr="006704D6">
        <w:t>32 completed Phase I studies;</w:t>
      </w:r>
    </w:p>
    <w:p w:rsidR="00124571" w:rsidRPr="006704D6" w:rsidRDefault="00124571" w:rsidP="006704D6">
      <w:pPr>
        <w:pStyle w:val="ListBullet"/>
      </w:pPr>
      <w:r w:rsidRPr="006704D6">
        <w:t xml:space="preserve">5 completed Phase II studies; </w:t>
      </w:r>
    </w:p>
    <w:p w:rsidR="00124571" w:rsidRPr="006704D6" w:rsidRDefault="00124571" w:rsidP="006704D6">
      <w:pPr>
        <w:pStyle w:val="ListBullet"/>
      </w:pPr>
      <w:r w:rsidRPr="006704D6">
        <w:t xml:space="preserve">2 completed Phase III studies; </w:t>
      </w:r>
    </w:p>
    <w:p w:rsidR="00124571" w:rsidRPr="006704D6" w:rsidRDefault="00124571" w:rsidP="006704D6">
      <w:pPr>
        <w:pStyle w:val="ListBullet"/>
      </w:pPr>
      <w:r w:rsidRPr="006704D6">
        <w:t>6 long-term, open-label extension studies (2 of which are ongoing; VRX-RET-E22-303 and VRX-RET-E22-304) in adults with partial onset seizures;</w:t>
      </w:r>
    </w:p>
    <w:p w:rsidR="00124571" w:rsidRPr="006704D6" w:rsidRDefault="00124571" w:rsidP="006704D6">
      <w:pPr>
        <w:pStyle w:val="ListBullet"/>
      </w:pPr>
      <w:r w:rsidRPr="006704D6">
        <w:t xml:space="preserve">an ongoing compassionate use program in epilepsy (D-23129-3227); </w:t>
      </w:r>
    </w:p>
    <w:p w:rsidR="00124571" w:rsidRPr="006704D6" w:rsidRDefault="00124571" w:rsidP="006704D6">
      <w:pPr>
        <w:pStyle w:val="ListBullet"/>
      </w:pPr>
      <w:r w:rsidRPr="006704D6">
        <w:t>1 completed study in post-herpetic neuralgia (VRX-RET-E22-NP201); and</w:t>
      </w:r>
    </w:p>
    <w:p w:rsidR="00124571" w:rsidRPr="006704D6" w:rsidRDefault="00124571" w:rsidP="006704D6">
      <w:pPr>
        <w:pStyle w:val="ListBullet"/>
      </w:pPr>
      <w:r w:rsidRPr="006704D6">
        <w:t>1 completed study in bipolar disorder and (D-23129/8040).</w:t>
      </w:r>
    </w:p>
    <w:p w:rsidR="00124571" w:rsidRPr="00027276" w:rsidRDefault="00124571" w:rsidP="006704D6">
      <w:pPr>
        <w:pStyle w:val="Heading4"/>
      </w:pPr>
      <w:bookmarkStart w:id="188" w:name="_Toc330196374"/>
      <w:r w:rsidRPr="00027276">
        <w:lastRenderedPageBreak/>
        <w:t>Pivotal efficacy studies</w:t>
      </w:r>
      <w:bookmarkEnd w:id="187"/>
      <w:bookmarkEnd w:id="188"/>
    </w:p>
    <w:p w:rsidR="00124571" w:rsidRPr="00124571" w:rsidRDefault="00124571" w:rsidP="006704D6">
      <w:r w:rsidRPr="00124571">
        <w:t>In the pivotal efficacy studies, the following safety data were collected:</w:t>
      </w:r>
    </w:p>
    <w:p w:rsidR="00124571" w:rsidRPr="006704D6" w:rsidRDefault="00124571" w:rsidP="006704D6">
      <w:pPr>
        <w:pStyle w:val="ListBullet"/>
      </w:pPr>
      <w:r w:rsidRPr="006704D6">
        <w:t>General adverse events (AEs) were collected by the clinical investigators.</w:t>
      </w:r>
    </w:p>
    <w:p w:rsidR="00124571" w:rsidRPr="006704D6" w:rsidRDefault="00124571" w:rsidP="006704D6">
      <w:pPr>
        <w:pStyle w:val="ListBullet"/>
      </w:pPr>
      <w:r w:rsidRPr="006704D6">
        <w:t>Laboratory tests, including electrolytes, renal and liver function tests, and haematology, were performed at regular intervals.</w:t>
      </w:r>
    </w:p>
    <w:p w:rsidR="00124571" w:rsidRPr="00840122" w:rsidRDefault="00124571" w:rsidP="006704D6">
      <w:pPr>
        <w:pStyle w:val="Heading4"/>
      </w:pPr>
      <w:bookmarkStart w:id="189" w:name="_Toc330196375"/>
      <w:r>
        <w:t>S</w:t>
      </w:r>
      <w:r w:rsidRPr="00027276">
        <w:t xml:space="preserve">tudies that assessed </w:t>
      </w:r>
      <w:r>
        <w:t>safety as a primary outcome</w:t>
      </w:r>
      <w:bookmarkEnd w:id="189"/>
    </w:p>
    <w:p w:rsidR="00124571" w:rsidRPr="00124571" w:rsidRDefault="00124571" w:rsidP="006704D6">
      <w:r w:rsidRPr="00124571">
        <w:t xml:space="preserve">No pivotal studies assessed safety as a primary outcome. Some Phase I PK studies assessed the tolerability of different doses, and have been described in the PK section. The PD study VRX-RET-E22-103 assessed the effects of </w:t>
      </w:r>
      <w:proofErr w:type="spellStart"/>
      <w:r w:rsidRPr="00124571">
        <w:t>retigabine</w:t>
      </w:r>
      <w:proofErr w:type="spellEnd"/>
      <w:r w:rsidRPr="00124571">
        <w:t xml:space="preserve"> on the QT interval of the electrocardiogram</w:t>
      </w:r>
      <w:bookmarkStart w:id="190" w:name="_Ref269204367"/>
      <w:r w:rsidRPr="00124571">
        <w:t>.</w:t>
      </w:r>
    </w:p>
    <w:p w:rsidR="00124571" w:rsidRDefault="00124571" w:rsidP="006704D6">
      <w:pPr>
        <w:pStyle w:val="Heading3"/>
      </w:pPr>
      <w:bookmarkStart w:id="191" w:name="_Toc241374318"/>
      <w:bookmarkStart w:id="192" w:name="_Ref271196630"/>
      <w:bookmarkStart w:id="193" w:name="_Toc272414662"/>
      <w:bookmarkStart w:id="194" w:name="_Toc290846300"/>
      <w:bookmarkStart w:id="195" w:name="_Toc330196376"/>
      <w:bookmarkStart w:id="196" w:name="_Toc365636802"/>
      <w:bookmarkEnd w:id="190"/>
      <w:r>
        <w:t xml:space="preserve">Patient </w:t>
      </w:r>
      <w:r w:rsidRPr="006704D6">
        <w:t>exposure</w:t>
      </w:r>
      <w:bookmarkEnd w:id="191"/>
      <w:bookmarkEnd w:id="192"/>
      <w:bookmarkEnd w:id="193"/>
      <w:bookmarkEnd w:id="194"/>
      <w:bookmarkEnd w:id="195"/>
      <w:bookmarkEnd w:id="196"/>
    </w:p>
    <w:p w:rsidR="00124571" w:rsidRPr="00124571" w:rsidRDefault="00124571" w:rsidP="006704D6">
      <w:r w:rsidRPr="00124571">
        <w:t xml:space="preserve">A total of 2,365 subjects were exposed to </w:t>
      </w:r>
      <w:proofErr w:type="spellStart"/>
      <w:r w:rsidRPr="00124571">
        <w:t>retigabine</w:t>
      </w:r>
      <w:proofErr w:type="spellEnd"/>
      <w:r w:rsidRPr="00124571">
        <w:t xml:space="preserve">, including 1,365 in Phase II and III epilepsy studies. Table </w:t>
      </w:r>
      <w:r w:rsidR="007215E6">
        <w:t>46</w:t>
      </w:r>
      <w:r w:rsidR="00F07F7D">
        <w:t xml:space="preserve"> </w:t>
      </w:r>
      <w:r w:rsidRPr="00124571">
        <w:t xml:space="preserve">shows the total numbers exposed in each part of the development program, and </w:t>
      </w:r>
      <w:r w:rsidR="00F07F7D">
        <w:t xml:space="preserve">Table </w:t>
      </w:r>
      <w:r w:rsidR="007215E6">
        <w:t>47</w:t>
      </w:r>
      <w:r w:rsidR="00F07F7D">
        <w:t xml:space="preserve"> </w:t>
      </w:r>
      <w:r w:rsidRPr="00124571">
        <w:t xml:space="preserve">displays the numbers exposed to each dose in the ‘PCT-Safety Population’, consisting of patients exposed to treatment in the pivotal efficacy studies. Duration of exposure was reasonable, as shown in Tables </w:t>
      </w:r>
      <w:r w:rsidR="007215E6">
        <w:t>48</w:t>
      </w:r>
      <w:r w:rsidRPr="00124571">
        <w:t xml:space="preserve"> and </w:t>
      </w:r>
      <w:r w:rsidR="007215E6">
        <w:t>49</w:t>
      </w:r>
      <w:r w:rsidRPr="00124571">
        <w:t>: in pooled Phase II and III studies, mean exposure was &gt;1 year (449.2 days). Exposure to individual single doses was unclear, particularly for single doses &gt;400</w:t>
      </w:r>
      <w:r w:rsidR="00642538">
        <w:t xml:space="preserve"> </w:t>
      </w:r>
      <w:r w:rsidRPr="00124571">
        <w:t>mg, and this point should be clarified by the sponsor.</w:t>
      </w:r>
    </w:p>
    <w:p w:rsidR="00642538" w:rsidRDefault="00642538" w:rsidP="006704D6">
      <w:pPr>
        <w:pStyle w:val="TableTitle"/>
      </w:pPr>
      <w:r>
        <w:t>Table 46</w:t>
      </w:r>
      <w:r w:rsidRPr="000471E1">
        <w:t>:</w:t>
      </w:r>
      <w:r>
        <w:t xml:space="preserve"> </w:t>
      </w:r>
      <w:r w:rsidR="00B24B2F">
        <w:t>Enumeration of unique patients exposed to study medication</w:t>
      </w:r>
      <w:r>
        <w:t>.</w:t>
      </w:r>
    </w:p>
    <w:p w:rsidR="00642538" w:rsidRDefault="00DA36AD" w:rsidP="00B24B2F">
      <w:pPr>
        <w:jc w:val="center"/>
        <w:rPr>
          <w:lang w:eastAsia="ja-JP"/>
        </w:rPr>
      </w:pPr>
      <w:r>
        <w:rPr>
          <w:noProof/>
          <w:lang w:eastAsia="en-AU"/>
        </w:rPr>
        <w:drawing>
          <wp:inline distT="0" distB="0" distL="0" distR="0">
            <wp:extent cx="4996180" cy="2179955"/>
            <wp:effectExtent l="19050" t="0" r="0" b="0"/>
            <wp:docPr id="60" name="Picture 60" descr="Table showing enumeration of unique patients exposed to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1"/>
                    <pic:cNvPicPr>
                      <a:picLocks noChangeAspect="1" noChangeArrowheads="1"/>
                    </pic:cNvPicPr>
                  </pic:nvPicPr>
                  <pic:blipFill>
                    <a:blip r:embed="rId73" cstate="print"/>
                    <a:srcRect/>
                    <a:stretch>
                      <a:fillRect/>
                    </a:stretch>
                  </pic:blipFill>
                  <pic:spPr bwMode="auto">
                    <a:xfrm>
                      <a:off x="0" y="0"/>
                      <a:ext cx="4996180" cy="2179955"/>
                    </a:xfrm>
                    <a:prstGeom prst="rect">
                      <a:avLst/>
                    </a:prstGeom>
                    <a:noFill/>
                    <a:ln w="9525">
                      <a:noFill/>
                      <a:miter lim="800000"/>
                      <a:headEnd/>
                      <a:tailEnd/>
                    </a:ln>
                  </pic:spPr>
                </pic:pic>
              </a:graphicData>
            </a:graphic>
          </wp:inline>
        </w:drawing>
      </w:r>
    </w:p>
    <w:p w:rsidR="001F0B64" w:rsidRDefault="001F0B64" w:rsidP="006704D6">
      <w:pPr>
        <w:pStyle w:val="TableTitle"/>
      </w:pPr>
      <w:r>
        <w:t>Table 47</w:t>
      </w:r>
      <w:r w:rsidRPr="000471E1">
        <w:t>:</w:t>
      </w:r>
      <w:r>
        <w:t xml:space="preserve"> </w:t>
      </w:r>
      <w:r w:rsidR="00364365">
        <w:t>Source and numb</w:t>
      </w:r>
      <w:r w:rsidR="006704D6">
        <w:t>er of patients included in the i</w:t>
      </w:r>
      <w:r w:rsidR="00364365">
        <w:t xml:space="preserve">ntegrated </w:t>
      </w:r>
      <w:r w:rsidR="006704D6">
        <w:t>s</w:t>
      </w:r>
      <w:r w:rsidR="00364365">
        <w:t xml:space="preserve">afety </w:t>
      </w:r>
      <w:r w:rsidR="006704D6">
        <w:t>a</w:t>
      </w:r>
      <w:r w:rsidR="00364365">
        <w:t>nalysis (</w:t>
      </w:r>
      <w:r w:rsidR="006704D6">
        <w:t>safety p</w:t>
      </w:r>
      <w:r w:rsidR="00364365">
        <w:t>opulation: PCT)</w:t>
      </w:r>
      <w:r>
        <w:t>.</w:t>
      </w:r>
    </w:p>
    <w:p w:rsidR="001F0B64" w:rsidRDefault="00DA36AD" w:rsidP="007F5008">
      <w:pPr>
        <w:jc w:val="center"/>
        <w:rPr>
          <w:lang w:eastAsia="ja-JP"/>
        </w:rPr>
      </w:pPr>
      <w:r>
        <w:rPr>
          <w:noProof/>
          <w:lang w:eastAsia="en-AU"/>
        </w:rPr>
        <w:drawing>
          <wp:inline distT="0" distB="0" distL="0" distR="0">
            <wp:extent cx="4827905" cy="1243330"/>
            <wp:effectExtent l="19050" t="0" r="0" b="0"/>
            <wp:docPr id="61" name="Picture 61" descr="Table showing source and number of patients included in the integrated safety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1"/>
                    <pic:cNvPicPr>
                      <a:picLocks noChangeAspect="1" noChangeArrowheads="1"/>
                    </pic:cNvPicPr>
                  </pic:nvPicPr>
                  <pic:blipFill>
                    <a:blip r:embed="rId74" cstate="print"/>
                    <a:srcRect/>
                    <a:stretch>
                      <a:fillRect/>
                    </a:stretch>
                  </pic:blipFill>
                  <pic:spPr bwMode="auto">
                    <a:xfrm>
                      <a:off x="0" y="0"/>
                      <a:ext cx="4827905" cy="1243330"/>
                    </a:xfrm>
                    <a:prstGeom prst="rect">
                      <a:avLst/>
                    </a:prstGeom>
                    <a:noFill/>
                    <a:ln w="9525">
                      <a:noFill/>
                      <a:miter lim="800000"/>
                      <a:headEnd/>
                      <a:tailEnd/>
                    </a:ln>
                  </pic:spPr>
                </pic:pic>
              </a:graphicData>
            </a:graphic>
          </wp:inline>
        </w:drawing>
      </w:r>
    </w:p>
    <w:p w:rsidR="001F0B64" w:rsidRPr="00586F98" w:rsidRDefault="001F0B64" w:rsidP="006704D6">
      <w:pPr>
        <w:pStyle w:val="TableTitle"/>
      </w:pPr>
      <w:r>
        <w:lastRenderedPageBreak/>
        <w:t>Table 48</w:t>
      </w:r>
      <w:r w:rsidRPr="000471E1">
        <w:t>:</w:t>
      </w:r>
      <w:r>
        <w:t xml:space="preserve"> </w:t>
      </w:r>
      <w:r w:rsidR="007F5008">
        <w:t xml:space="preserve">Summary of total exposure to </w:t>
      </w:r>
      <w:proofErr w:type="spellStart"/>
      <w:r w:rsidR="007F5008">
        <w:t>retigabine</w:t>
      </w:r>
      <w:proofErr w:type="spellEnd"/>
      <w:r w:rsidR="007F5008">
        <w:t xml:space="preserve"> excluding transition phase (</w:t>
      </w:r>
      <w:r w:rsidR="006704D6">
        <w:t>safety p</w:t>
      </w:r>
      <w:r w:rsidR="007F5008">
        <w:t>opulation: PCT)</w:t>
      </w:r>
      <w:r>
        <w:t>.</w:t>
      </w:r>
    </w:p>
    <w:p w:rsidR="001F0B64" w:rsidRDefault="00DA36AD" w:rsidP="00843DB2">
      <w:pPr>
        <w:jc w:val="center"/>
        <w:rPr>
          <w:lang w:eastAsia="ja-JP"/>
        </w:rPr>
      </w:pPr>
      <w:r>
        <w:rPr>
          <w:noProof/>
          <w:lang w:eastAsia="en-AU"/>
        </w:rPr>
        <w:drawing>
          <wp:inline distT="0" distB="0" distL="0" distR="0">
            <wp:extent cx="4688840" cy="2728595"/>
            <wp:effectExtent l="19050" t="0" r="0" b="0"/>
            <wp:docPr id="62" name="Picture 62" descr="Table showing summary of total exposure to retigabine excluding transition ph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1"/>
                    <pic:cNvPicPr>
                      <a:picLocks noChangeAspect="1" noChangeArrowheads="1"/>
                    </pic:cNvPicPr>
                  </pic:nvPicPr>
                  <pic:blipFill>
                    <a:blip r:embed="rId75" cstate="print"/>
                    <a:srcRect/>
                    <a:stretch>
                      <a:fillRect/>
                    </a:stretch>
                  </pic:blipFill>
                  <pic:spPr bwMode="auto">
                    <a:xfrm>
                      <a:off x="0" y="0"/>
                      <a:ext cx="4688840" cy="2728595"/>
                    </a:xfrm>
                    <a:prstGeom prst="rect">
                      <a:avLst/>
                    </a:prstGeom>
                    <a:noFill/>
                    <a:ln w="9525">
                      <a:noFill/>
                      <a:miter lim="800000"/>
                      <a:headEnd/>
                      <a:tailEnd/>
                    </a:ln>
                  </pic:spPr>
                </pic:pic>
              </a:graphicData>
            </a:graphic>
          </wp:inline>
        </w:drawing>
      </w:r>
    </w:p>
    <w:p w:rsidR="001F0B64" w:rsidRDefault="001F0B64" w:rsidP="006704D6">
      <w:pPr>
        <w:pStyle w:val="TableTitle"/>
      </w:pPr>
      <w:r>
        <w:t>Table 49</w:t>
      </w:r>
      <w:r w:rsidRPr="000471E1">
        <w:t>:</w:t>
      </w:r>
      <w:r>
        <w:t xml:space="preserve"> </w:t>
      </w:r>
      <w:r w:rsidR="00843DB2">
        <w:t xml:space="preserve">Summary of total exposure to </w:t>
      </w:r>
      <w:proofErr w:type="spellStart"/>
      <w:r w:rsidR="00843DB2">
        <w:t>retigabine</w:t>
      </w:r>
      <w:proofErr w:type="spellEnd"/>
      <w:r w:rsidR="00843DB2">
        <w:t xml:space="preserve"> (</w:t>
      </w:r>
      <w:r w:rsidR="006704D6">
        <w:t>s</w:t>
      </w:r>
      <w:r w:rsidR="00843DB2">
        <w:t xml:space="preserve">afety </w:t>
      </w:r>
      <w:r w:rsidR="006704D6">
        <w:t>p</w:t>
      </w:r>
      <w:r w:rsidR="00843DB2">
        <w:t xml:space="preserve">opulation: all </w:t>
      </w:r>
      <w:r w:rsidR="006704D6">
        <w:t>p</w:t>
      </w:r>
      <w:r w:rsidR="00843DB2">
        <w:t>hase II/III combined)</w:t>
      </w:r>
      <w:r>
        <w:t>.</w:t>
      </w:r>
    </w:p>
    <w:p w:rsidR="001F0B64" w:rsidRPr="00586F98" w:rsidRDefault="00DA36AD" w:rsidP="00843DB2">
      <w:pPr>
        <w:jc w:val="center"/>
        <w:rPr>
          <w:lang w:eastAsia="ja-JP"/>
        </w:rPr>
      </w:pPr>
      <w:r>
        <w:rPr>
          <w:noProof/>
          <w:lang w:eastAsia="en-AU"/>
        </w:rPr>
        <w:drawing>
          <wp:inline distT="0" distB="0" distL="0" distR="0">
            <wp:extent cx="4952365" cy="2889250"/>
            <wp:effectExtent l="19050" t="0" r="635" b="0"/>
            <wp:docPr id="63" name="Picture 63" descr="Table showing summary of total exposure to retiga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1"/>
                    <pic:cNvPicPr>
                      <a:picLocks noChangeAspect="1" noChangeArrowheads="1"/>
                    </pic:cNvPicPr>
                  </pic:nvPicPr>
                  <pic:blipFill>
                    <a:blip r:embed="rId76" cstate="print"/>
                    <a:srcRect/>
                    <a:stretch>
                      <a:fillRect/>
                    </a:stretch>
                  </pic:blipFill>
                  <pic:spPr bwMode="auto">
                    <a:xfrm>
                      <a:off x="0" y="0"/>
                      <a:ext cx="4952365" cy="2889250"/>
                    </a:xfrm>
                    <a:prstGeom prst="rect">
                      <a:avLst/>
                    </a:prstGeom>
                    <a:noFill/>
                    <a:ln w="9525">
                      <a:noFill/>
                      <a:miter lim="800000"/>
                      <a:headEnd/>
                      <a:tailEnd/>
                    </a:ln>
                  </pic:spPr>
                </pic:pic>
              </a:graphicData>
            </a:graphic>
          </wp:inline>
        </w:drawing>
      </w:r>
    </w:p>
    <w:p w:rsidR="00670E76" w:rsidRDefault="00670E76" w:rsidP="006704D6">
      <w:pPr>
        <w:pStyle w:val="Heading3"/>
      </w:pPr>
      <w:bookmarkStart w:id="197" w:name="_Toc241374319"/>
      <w:bookmarkStart w:id="198" w:name="_Ref271044764"/>
      <w:bookmarkStart w:id="199" w:name="_Toc272414663"/>
      <w:bookmarkStart w:id="200" w:name="_Toc290846301"/>
      <w:bookmarkStart w:id="201" w:name="_Toc330196377"/>
      <w:bookmarkStart w:id="202" w:name="_Toc365636803"/>
      <w:r w:rsidRPr="006704D6">
        <w:t>Adverse</w:t>
      </w:r>
      <w:r>
        <w:t xml:space="preserve"> events</w:t>
      </w:r>
      <w:bookmarkEnd w:id="197"/>
      <w:bookmarkEnd w:id="198"/>
      <w:bookmarkEnd w:id="199"/>
      <w:bookmarkEnd w:id="200"/>
      <w:bookmarkEnd w:id="201"/>
      <w:bookmarkEnd w:id="202"/>
    </w:p>
    <w:p w:rsidR="00670E76" w:rsidRPr="00C27CB6" w:rsidRDefault="00670E76" w:rsidP="006704D6">
      <w:pPr>
        <w:pStyle w:val="Heading4"/>
      </w:pPr>
      <w:bookmarkStart w:id="203" w:name="_Ref272317284"/>
      <w:bookmarkStart w:id="204" w:name="_Ref272333565"/>
      <w:bookmarkStart w:id="205" w:name="_Toc272414664"/>
      <w:bookmarkStart w:id="206" w:name="_Toc290846302"/>
      <w:bookmarkStart w:id="207" w:name="_Toc330196378"/>
      <w:r>
        <w:t>All adverse events (irrespective of relationship to study treatment)</w:t>
      </w:r>
      <w:bookmarkEnd w:id="203"/>
      <w:bookmarkEnd w:id="204"/>
      <w:bookmarkEnd w:id="205"/>
      <w:bookmarkEnd w:id="206"/>
      <w:bookmarkEnd w:id="207"/>
    </w:p>
    <w:p w:rsidR="00670E76" w:rsidRDefault="00670E76" w:rsidP="006704D6">
      <w:pPr>
        <w:pStyle w:val="Heading5"/>
      </w:pPr>
      <w:bookmarkStart w:id="208" w:name="_Ref328927967"/>
      <w:bookmarkStart w:id="209" w:name="_Toc330196379"/>
      <w:r>
        <w:t xml:space="preserve">Pivotal </w:t>
      </w:r>
      <w:r w:rsidRPr="006704D6">
        <w:t>studies</w:t>
      </w:r>
      <w:bookmarkEnd w:id="208"/>
      <w:bookmarkEnd w:id="209"/>
    </w:p>
    <w:p w:rsidR="00670E76" w:rsidRPr="00670E76" w:rsidRDefault="00670E76" w:rsidP="006704D6">
      <w:r w:rsidRPr="00670E76">
        <w:t xml:space="preserve">In the pivotal controlled trials (PCT), adverse events (AEs) were common with both </w:t>
      </w:r>
      <w:proofErr w:type="spellStart"/>
      <w:r w:rsidRPr="00670E76">
        <w:t>retigabine</w:t>
      </w:r>
      <w:proofErr w:type="spellEnd"/>
      <w:r w:rsidRPr="00670E76">
        <w:t xml:space="preserve"> (80.8% of subjects) and placebo (74.5% of subjects). The minor difference in overall AE rate (80.8%-74.5% = 6.3%) disguises much higher attributable rates for specific AEs. As shown in </w:t>
      </w:r>
      <w:r w:rsidR="005E3862">
        <w:t>Table</w:t>
      </w:r>
      <w:r w:rsidR="005815B9">
        <w:t>s</w:t>
      </w:r>
      <w:r w:rsidR="005E3862">
        <w:t xml:space="preserve"> 50</w:t>
      </w:r>
      <w:r w:rsidR="005815B9">
        <w:t xml:space="preserve"> and 51</w:t>
      </w:r>
      <w:r w:rsidRPr="00670E76">
        <w:t xml:space="preserve">, which includes AEs reported in ≥ 5% of patients in any treatment group in the PCT population, AEs involving the central nervous system (CNS) were much more common in </w:t>
      </w:r>
      <w:proofErr w:type="spellStart"/>
      <w:r w:rsidRPr="00670E76">
        <w:t>retigabine</w:t>
      </w:r>
      <w:proofErr w:type="spellEnd"/>
      <w:r w:rsidRPr="00670E76">
        <w:t xml:space="preserve"> recipients, particularly at higher doses. This is supported by the subsequent table, which groups AE by organ class. “Nervous system disorder” AEs were ostensibly reported in 60.3% of </w:t>
      </w:r>
      <w:proofErr w:type="spellStart"/>
      <w:r w:rsidRPr="00670E76">
        <w:t>retigabine</w:t>
      </w:r>
      <w:proofErr w:type="spellEnd"/>
      <w:r w:rsidRPr="00670E76">
        <w:t xml:space="preserve"> recipients, compared to 43.1% of placebo recipients, but note that some CNS AEs are likely to have been listed in other categories, including psychiatric and eye </w:t>
      </w:r>
      <w:r w:rsidRPr="00670E76">
        <w:lastRenderedPageBreak/>
        <w:t>disorders, so the actual incidence of CNS side effects was even higher. In the high-dose group, “nervous system” AEs occurred in 73.4% of subjects, an absolute excess of &gt;30% compared to placebo.</w:t>
      </w:r>
    </w:p>
    <w:p w:rsidR="00670E76" w:rsidRDefault="00670E76" w:rsidP="00C047A2">
      <w:pPr>
        <w:pStyle w:val="TableTitle"/>
      </w:pPr>
      <w:r>
        <w:t>Table 50</w:t>
      </w:r>
      <w:r w:rsidRPr="000471E1">
        <w:t>:</w:t>
      </w:r>
      <w:r>
        <w:t xml:space="preserve"> </w:t>
      </w:r>
      <w:r w:rsidR="00B5290E">
        <w:t xml:space="preserve">AEs reported by greater than or equal to 5% of patients in any treatment group by </w:t>
      </w:r>
      <w:r w:rsidR="00C047A2">
        <w:t>p</w:t>
      </w:r>
      <w:r w:rsidR="00B5290E">
        <w:t xml:space="preserve">referred </w:t>
      </w:r>
      <w:r w:rsidR="00C047A2">
        <w:t>term (s</w:t>
      </w:r>
      <w:r w:rsidR="00B5290E">
        <w:t xml:space="preserve">afety </w:t>
      </w:r>
      <w:r w:rsidR="00C047A2">
        <w:t>p</w:t>
      </w:r>
      <w:r w:rsidR="00B5290E">
        <w:t xml:space="preserve">opulation: PCT, </w:t>
      </w:r>
      <w:r w:rsidR="00C047A2">
        <w:t>s</w:t>
      </w:r>
      <w:r w:rsidR="00B5290E">
        <w:t>tudies 205, 301 and 302).</w:t>
      </w:r>
    </w:p>
    <w:p w:rsidR="00670E76" w:rsidRDefault="00DA36AD" w:rsidP="00B5290E">
      <w:pPr>
        <w:jc w:val="center"/>
        <w:rPr>
          <w:lang w:eastAsia="ja-JP"/>
        </w:rPr>
      </w:pPr>
      <w:r>
        <w:rPr>
          <w:noProof/>
          <w:lang w:eastAsia="en-AU"/>
        </w:rPr>
        <w:drawing>
          <wp:inline distT="0" distB="0" distL="0" distR="0">
            <wp:extent cx="4081780" cy="3913505"/>
            <wp:effectExtent l="19050" t="0" r="0" b="0"/>
            <wp:docPr id="64" name="Picture 64" descr="Table showing AEs reported by greater than or equal to 5% of patients in any treatment group by preferred te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1"/>
                    <pic:cNvPicPr>
                      <a:picLocks noChangeAspect="1" noChangeArrowheads="1"/>
                    </pic:cNvPicPr>
                  </pic:nvPicPr>
                  <pic:blipFill>
                    <a:blip r:embed="rId77" cstate="print"/>
                    <a:srcRect/>
                    <a:stretch>
                      <a:fillRect/>
                    </a:stretch>
                  </pic:blipFill>
                  <pic:spPr bwMode="auto">
                    <a:xfrm>
                      <a:off x="0" y="0"/>
                      <a:ext cx="4081780" cy="3913505"/>
                    </a:xfrm>
                    <a:prstGeom prst="rect">
                      <a:avLst/>
                    </a:prstGeom>
                    <a:noFill/>
                    <a:ln w="9525">
                      <a:noFill/>
                      <a:miter lim="800000"/>
                      <a:headEnd/>
                      <a:tailEnd/>
                    </a:ln>
                  </pic:spPr>
                </pic:pic>
              </a:graphicData>
            </a:graphic>
          </wp:inline>
        </w:drawing>
      </w:r>
    </w:p>
    <w:p w:rsidR="00670E76" w:rsidRDefault="00670E76" w:rsidP="00C047A2">
      <w:pPr>
        <w:pStyle w:val="TableTitle"/>
      </w:pPr>
      <w:r>
        <w:lastRenderedPageBreak/>
        <w:t>Table 51</w:t>
      </w:r>
      <w:r w:rsidRPr="000471E1">
        <w:t>:</w:t>
      </w:r>
      <w:r>
        <w:t xml:space="preserve"> </w:t>
      </w:r>
      <w:r w:rsidR="008C29AE">
        <w:t>Treatment-</w:t>
      </w:r>
      <w:r w:rsidR="00C047A2">
        <w:t>emergent AE incidence by system o</w:t>
      </w:r>
      <w:r w:rsidR="008C29AE">
        <w:t xml:space="preserve">rgan </w:t>
      </w:r>
      <w:r w:rsidR="00C047A2">
        <w:t>c</w:t>
      </w:r>
      <w:r w:rsidR="008C29AE">
        <w:t>lass (</w:t>
      </w:r>
      <w:r w:rsidR="00C047A2">
        <w:t>safety p</w:t>
      </w:r>
      <w:r w:rsidR="008C29AE">
        <w:t>opulation: PCT)</w:t>
      </w:r>
      <w:r>
        <w:t>.</w:t>
      </w:r>
    </w:p>
    <w:p w:rsidR="00670E76" w:rsidRDefault="00DA36AD" w:rsidP="000F09FA">
      <w:pPr>
        <w:jc w:val="center"/>
        <w:rPr>
          <w:lang w:eastAsia="ja-JP"/>
        </w:rPr>
      </w:pPr>
      <w:r>
        <w:rPr>
          <w:noProof/>
          <w:lang w:eastAsia="en-AU"/>
        </w:rPr>
        <w:drawing>
          <wp:inline distT="0" distB="0" distL="0" distR="0">
            <wp:extent cx="4535170" cy="4900930"/>
            <wp:effectExtent l="19050" t="0" r="0" b="0"/>
            <wp:docPr id="65" name="Picture 65" descr="Table showing treatment-emergent AE incidence by system organ cl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1"/>
                    <pic:cNvPicPr>
                      <a:picLocks noChangeAspect="1" noChangeArrowheads="1"/>
                    </pic:cNvPicPr>
                  </pic:nvPicPr>
                  <pic:blipFill>
                    <a:blip r:embed="rId78" cstate="print"/>
                    <a:srcRect/>
                    <a:stretch>
                      <a:fillRect/>
                    </a:stretch>
                  </pic:blipFill>
                  <pic:spPr bwMode="auto">
                    <a:xfrm>
                      <a:off x="0" y="0"/>
                      <a:ext cx="4535170" cy="4900930"/>
                    </a:xfrm>
                    <a:prstGeom prst="rect">
                      <a:avLst/>
                    </a:prstGeom>
                    <a:noFill/>
                    <a:ln w="9525">
                      <a:noFill/>
                      <a:miter lim="800000"/>
                      <a:headEnd/>
                      <a:tailEnd/>
                    </a:ln>
                  </pic:spPr>
                </pic:pic>
              </a:graphicData>
            </a:graphic>
          </wp:inline>
        </w:drawing>
      </w:r>
    </w:p>
    <w:p w:rsidR="005815B9" w:rsidRDefault="005815B9" w:rsidP="00C047A2">
      <w:bookmarkStart w:id="210" w:name="_Toc330196380"/>
      <w:r w:rsidRPr="00127BD5">
        <w:t xml:space="preserve">Dizziness was the most common individual complaint; it occurred in 23.2% of </w:t>
      </w:r>
      <w:proofErr w:type="spellStart"/>
      <w:r w:rsidRPr="00127BD5">
        <w:t>retigabine</w:t>
      </w:r>
      <w:proofErr w:type="spellEnd"/>
      <w:r w:rsidRPr="00127BD5">
        <w:t xml:space="preserve"> recipients overall, compared to only 8.9% of placebo recipients. Approximately 1 in 3 subjects (32.4%) reported dizziness at the highest dose of 1200mg/d. Other common CNS side effects were somnolence,</w:t>
      </w:r>
      <w:r w:rsidR="00972AA5" w:rsidRPr="00127BD5">
        <w:t xml:space="preserve"> </w:t>
      </w:r>
      <w:r w:rsidRPr="00127BD5">
        <w:t xml:space="preserve">fatigue, </w:t>
      </w:r>
      <w:proofErr w:type="spellStart"/>
      <w:r w:rsidRPr="00127BD5">
        <w:t>confusional</w:t>
      </w:r>
      <w:proofErr w:type="spellEnd"/>
      <w:r w:rsidRPr="00127BD5">
        <w:t xml:space="preserve"> state, vertigo, tremor and abnormal coordination, all of which occurred in &gt;10% of recipients at the highest dose level, with a clear excess relative to placebo. </w:t>
      </w:r>
      <w:proofErr w:type="spellStart"/>
      <w:r w:rsidRPr="00127BD5">
        <w:t>Diplopia</w:t>
      </w:r>
      <w:proofErr w:type="spellEnd"/>
      <w:r w:rsidRPr="00127BD5">
        <w:t xml:space="preserve"> occurred in ~7% of </w:t>
      </w:r>
      <w:proofErr w:type="spellStart"/>
      <w:r w:rsidRPr="00127BD5">
        <w:t>retigabine</w:t>
      </w:r>
      <w:proofErr w:type="spellEnd"/>
      <w:r w:rsidRPr="00127BD5">
        <w:t xml:space="preserve"> recipients, without a clear dose trend, but this symptom was relatively rare in placebo recipients (1.6%).</w:t>
      </w:r>
      <w:r w:rsidR="00460F24">
        <w:t xml:space="preserve"> </w:t>
      </w:r>
      <w:r w:rsidRPr="00127BD5">
        <w:t xml:space="preserve">Most other CNS side effects, as listed in the table, are consistent with CNS inhibitory effects of </w:t>
      </w:r>
      <w:proofErr w:type="spellStart"/>
      <w:r w:rsidRPr="00127BD5">
        <w:t>retigabine</w:t>
      </w:r>
      <w:proofErr w:type="spellEnd"/>
      <w:r w:rsidRPr="00127BD5">
        <w:t xml:space="preserve"> at higher doses. Such side effects are common with anticonvulsants but the incidence with </w:t>
      </w:r>
      <w:proofErr w:type="spellStart"/>
      <w:r w:rsidRPr="00127BD5">
        <w:t>retigabine</w:t>
      </w:r>
      <w:proofErr w:type="spellEnd"/>
      <w:r w:rsidRPr="00127BD5">
        <w:t xml:space="preserve"> appears high.</w:t>
      </w:r>
    </w:p>
    <w:p w:rsidR="005815B9" w:rsidRPr="00127BD5" w:rsidRDefault="005815B9" w:rsidP="00C047A2">
      <w:r w:rsidRPr="00127BD5">
        <w:t xml:space="preserve">Convulsion was one of two CNS-related AEs more common with placebo than with </w:t>
      </w:r>
      <w:proofErr w:type="spellStart"/>
      <w:r w:rsidRPr="00127BD5">
        <w:t>retigabine</w:t>
      </w:r>
      <w:proofErr w:type="spellEnd"/>
      <w:r w:rsidRPr="00127BD5">
        <w:t xml:space="preserve">, but this AE is more properly considered under efficacy; the apparently low rates of this AE reported in an epileptic population presumably reflect the conclusion of many investigators that this was an efficacy endpoint rather than an AE, and therefore not worth reporting. The only other CNS-related AE more common with placebo was headache, seen in 14.8% of </w:t>
      </w:r>
      <w:proofErr w:type="spellStart"/>
      <w:r w:rsidRPr="00127BD5">
        <w:t>retigabine</w:t>
      </w:r>
      <w:proofErr w:type="spellEnd"/>
      <w:r w:rsidRPr="00127BD5">
        <w:t xml:space="preserve"> recipients, compared to 15.9% of placebo recipients, a trivial difference.</w:t>
      </w:r>
    </w:p>
    <w:p w:rsidR="005815B9" w:rsidRPr="00127BD5" w:rsidRDefault="005815B9" w:rsidP="00C047A2">
      <w:r w:rsidRPr="00127BD5">
        <w:t xml:space="preserve">Non-CNS side effects were also noted, but were less common. Nausea was slightly more common with </w:t>
      </w:r>
      <w:proofErr w:type="spellStart"/>
      <w:r w:rsidRPr="00127BD5">
        <w:t>retigabine</w:t>
      </w:r>
      <w:proofErr w:type="spellEnd"/>
      <w:r w:rsidRPr="00127BD5">
        <w:t xml:space="preserve"> (7.0%) than placebo (5.2%). Urinary tract infections (UTIs) were slightly more common with placebo (4.7%) than with </w:t>
      </w:r>
      <w:proofErr w:type="spellStart"/>
      <w:r w:rsidRPr="00127BD5">
        <w:t>retigabine</w:t>
      </w:r>
      <w:proofErr w:type="spellEnd"/>
      <w:r w:rsidRPr="00127BD5">
        <w:t xml:space="preserve"> (4.3%), but among </w:t>
      </w:r>
      <w:proofErr w:type="spellStart"/>
      <w:r w:rsidRPr="00127BD5">
        <w:t>retigabine</w:t>
      </w:r>
      <w:proofErr w:type="spellEnd"/>
      <w:r w:rsidRPr="00127BD5">
        <w:t xml:space="preserve"> recipients there was an apparent dose trend with an increasing incidence of UTIs reported with increasing dose, reaching 8.1% at the highest dose level. Interpretation is not straightforward, because the higher incidence in the placebo group could reflect the confounding effect of </w:t>
      </w:r>
      <w:r w:rsidRPr="00127BD5">
        <w:lastRenderedPageBreak/>
        <w:t xml:space="preserve">seizures causing clinicians to look for UTIs. Given that </w:t>
      </w:r>
      <w:proofErr w:type="spellStart"/>
      <w:r w:rsidRPr="00127BD5">
        <w:t>retigabine</w:t>
      </w:r>
      <w:proofErr w:type="spellEnd"/>
      <w:r w:rsidRPr="00127BD5">
        <w:t xml:space="preserve"> is expected to bind to potassium channels in the bladder, this dose-trend could reflect a true causal relationship.</w:t>
      </w:r>
    </w:p>
    <w:p w:rsidR="005815B9" w:rsidRPr="00127BD5" w:rsidRDefault="005815B9" w:rsidP="00C047A2">
      <w:r w:rsidRPr="00127BD5">
        <w:t xml:space="preserve">Constipation was also more common at higher doses of </w:t>
      </w:r>
      <w:proofErr w:type="spellStart"/>
      <w:r w:rsidRPr="00127BD5">
        <w:t>retigabine</w:t>
      </w:r>
      <w:proofErr w:type="spellEnd"/>
      <w:r w:rsidRPr="00127BD5">
        <w:t xml:space="preserve">, being reported in 1.4% of both placebo recipients and the lowest </w:t>
      </w:r>
      <w:proofErr w:type="spellStart"/>
      <w:r w:rsidRPr="00127BD5">
        <w:t>retigabine</w:t>
      </w:r>
      <w:proofErr w:type="spellEnd"/>
      <w:r w:rsidRPr="00127BD5">
        <w:t xml:space="preserve"> dose group (600mg/d) but in 4.0% and 5.0% of the higher dose groups (900mg/d and 1200mg/d, respectively). This could reflect the presence of potassium channels in gut neurons.</w:t>
      </w:r>
    </w:p>
    <w:p w:rsidR="000F09FA" w:rsidRDefault="000F09FA" w:rsidP="00C047A2">
      <w:pPr>
        <w:pStyle w:val="Heading5"/>
      </w:pPr>
      <w:r>
        <w:t xml:space="preserve">Other </w:t>
      </w:r>
      <w:r w:rsidRPr="00C047A2">
        <w:t>studies</w:t>
      </w:r>
      <w:bookmarkEnd w:id="210"/>
    </w:p>
    <w:p w:rsidR="000F09FA" w:rsidRPr="000F09FA" w:rsidRDefault="000F09FA" w:rsidP="00C047A2">
      <w:r w:rsidRPr="000F09FA">
        <w:t xml:space="preserve">AEs from all Phase II and III studies, including the pivotal studies, are </w:t>
      </w:r>
      <w:r w:rsidR="00BC7F72">
        <w:t>in Table 52</w:t>
      </w:r>
      <w:r w:rsidRPr="000F09FA">
        <w:t xml:space="preserve">. Not all of these studies had a placebo group, so the attributable risk is unclear, but the general conclusions are the same as in the PCT population: </w:t>
      </w:r>
      <w:proofErr w:type="spellStart"/>
      <w:r w:rsidRPr="000F09FA">
        <w:t>retigabine</w:t>
      </w:r>
      <w:proofErr w:type="spellEnd"/>
      <w:r w:rsidRPr="000F09FA">
        <w:t xml:space="preserve"> is associated with a high incidence of CNS-related side effects. </w:t>
      </w:r>
    </w:p>
    <w:p w:rsidR="00917E84" w:rsidRDefault="00917E84" w:rsidP="00C047A2">
      <w:pPr>
        <w:pStyle w:val="TableTitle"/>
      </w:pPr>
      <w:r>
        <w:t>Table 5</w:t>
      </w:r>
      <w:r w:rsidR="005830BE">
        <w:t>2</w:t>
      </w:r>
      <w:r w:rsidRPr="000471E1">
        <w:t>:</w:t>
      </w:r>
      <w:r>
        <w:t xml:space="preserve"> AEs reported for 5% or more of patients (</w:t>
      </w:r>
      <w:r w:rsidR="00C047A2">
        <w:t>s</w:t>
      </w:r>
      <w:r>
        <w:t xml:space="preserve">afety </w:t>
      </w:r>
      <w:r w:rsidR="00C047A2">
        <w:t>p</w:t>
      </w:r>
      <w:r>
        <w:t xml:space="preserve">opulation: all </w:t>
      </w:r>
      <w:r w:rsidR="00C047A2">
        <w:t>p</w:t>
      </w:r>
      <w:r>
        <w:t>hase II/III combined).</w:t>
      </w:r>
    </w:p>
    <w:p w:rsidR="008C29AE" w:rsidRDefault="00DA36AD" w:rsidP="00917E84">
      <w:pPr>
        <w:jc w:val="center"/>
      </w:pPr>
      <w:r>
        <w:rPr>
          <w:noProof/>
          <w:lang w:eastAsia="en-AU"/>
        </w:rPr>
        <w:drawing>
          <wp:inline distT="0" distB="0" distL="0" distR="0">
            <wp:extent cx="4432935" cy="4213860"/>
            <wp:effectExtent l="19050" t="0" r="5715" b="0"/>
            <wp:docPr id="66" name="Picture 66" descr="Table showing AEs reported for 5% or more of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1"/>
                    <pic:cNvPicPr>
                      <a:picLocks noChangeAspect="1" noChangeArrowheads="1"/>
                    </pic:cNvPicPr>
                  </pic:nvPicPr>
                  <pic:blipFill>
                    <a:blip r:embed="rId79" cstate="print"/>
                    <a:srcRect/>
                    <a:stretch>
                      <a:fillRect/>
                    </a:stretch>
                  </pic:blipFill>
                  <pic:spPr bwMode="auto">
                    <a:xfrm>
                      <a:off x="0" y="0"/>
                      <a:ext cx="4432935" cy="4213860"/>
                    </a:xfrm>
                    <a:prstGeom prst="rect">
                      <a:avLst/>
                    </a:prstGeom>
                    <a:noFill/>
                    <a:ln w="9525">
                      <a:noFill/>
                      <a:miter lim="800000"/>
                      <a:headEnd/>
                      <a:tailEnd/>
                    </a:ln>
                  </pic:spPr>
                </pic:pic>
              </a:graphicData>
            </a:graphic>
          </wp:inline>
        </w:drawing>
      </w:r>
    </w:p>
    <w:p w:rsidR="005830BE" w:rsidRPr="00D12012" w:rsidRDefault="005830BE" w:rsidP="00C047A2">
      <w:pPr>
        <w:pStyle w:val="Heading4"/>
      </w:pPr>
      <w:bookmarkStart w:id="211" w:name="_Ref272333567"/>
      <w:bookmarkStart w:id="212" w:name="_Toc272414665"/>
      <w:bookmarkStart w:id="213" w:name="_Toc290846303"/>
      <w:bookmarkStart w:id="214" w:name="_Toc330196381"/>
      <w:r>
        <w:t xml:space="preserve">Treatment-related adverse </w:t>
      </w:r>
      <w:r w:rsidRPr="00C047A2">
        <w:t>events</w:t>
      </w:r>
      <w:r>
        <w:t xml:space="preserve"> (adverse drug reactions)</w:t>
      </w:r>
      <w:bookmarkEnd w:id="211"/>
      <w:bookmarkEnd w:id="212"/>
      <w:bookmarkEnd w:id="213"/>
      <w:bookmarkEnd w:id="214"/>
    </w:p>
    <w:p w:rsidR="005830BE" w:rsidRDefault="005830BE" w:rsidP="00C047A2">
      <w:pPr>
        <w:pStyle w:val="Heading5"/>
      </w:pPr>
      <w:bookmarkStart w:id="215" w:name="_Toc330196382"/>
      <w:r w:rsidRPr="00C047A2">
        <w:t>Pivotal</w:t>
      </w:r>
      <w:r>
        <w:t xml:space="preserve"> studies</w:t>
      </w:r>
      <w:bookmarkEnd w:id="215"/>
    </w:p>
    <w:p w:rsidR="00C047A2" w:rsidRDefault="005830BE" w:rsidP="00C047A2">
      <w:r w:rsidRPr="005830BE">
        <w:t xml:space="preserve">When reporting AEs, investigators indicated which AEs they thought were likely to be related to study drug, as is standard practice for studies of this nature. Unfortunately, attribution of causality is difficult on a case-by-case basis, and may often reflect investigators’ expectations of the side-effect profile of a drug rather than a true causal relationship. Nonetheless, as shown in </w:t>
      </w:r>
      <w:r w:rsidR="002D3934">
        <w:t>Table 53</w:t>
      </w:r>
      <w:r w:rsidRPr="005830BE">
        <w:t xml:space="preserve">, the pattern of treatment-emergent AEs (TEAEs) that were considered related to study drug was similar to the overall pattern, and was dominated by CNS side effects. </w:t>
      </w:r>
    </w:p>
    <w:p w:rsidR="005830BE" w:rsidRDefault="005830BE" w:rsidP="00C047A2">
      <w:pPr>
        <w:pStyle w:val="TableTitle"/>
      </w:pPr>
      <w:r>
        <w:lastRenderedPageBreak/>
        <w:t>Table 53</w:t>
      </w:r>
      <w:r w:rsidRPr="000471E1">
        <w:t>:</w:t>
      </w:r>
      <w:r>
        <w:t xml:space="preserve"> </w:t>
      </w:r>
      <w:r w:rsidR="0043247A">
        <w:t xml:space="preserve">TEAEs considered related to study drug reported for 5% or more of patients in any treatment group by </w:t>
      </w:r>
      <w:r w:rsidR="00C047A2">
        <w:t>p</w:t>
      </w:r>
      <w:r w:rsidR="0043247A">
        <w:t xml:space="preserve">referred </w:t>
      </w:r>
      <w:r w:rsidR="00C047A2">
        <w:t>term (s</w:t>
      </w:r>
      <w:r w:rsidR="0043247A">
        <w:t xml:space="preserve">afety </w:t>
      </w:r>
      <w:r w:rsidR="00C047A2">
        <w:t>p</w:t>
      </w:r>
      <w:r w:rsidR="0043247A">
        <w:t>opulation: PCT)</w:t>
      </w:r>
      <w:r>
        <w:t>.</w:t>
      </w:r>
    </w:p>
    <w:p w:rsidR="005830BE" w:rsidRDefault="00DA36AD" w:rsidP="0043247A">
      <w:pPr>
        <w:jc w:val="center"/>
        <w:rPr>
          <w:lang w:eastAsia="ja-JP"/>
        </w:rPr>
      </w:pPr>
      <w:r>
        <w:rPr>
          <w:noProof/>
          <w:lang w:eastAsia="en-AU"/>
        </w:rPr>
        <w:drawing>
          <wp:inline distT="0" distB="0" distL="0" distR="0">
            <wp:extent cx="4330700" cy="2874645"/>
            <wp:effectExtent l="19050" t="0" r="0" b="0"/>
            <wp:docPr id="67" name="Picture 67" descr="Table showing TEAEs considered related to study drug reported for 5% or more of patients in any treatment group by preferred te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1"/>
                    <pic:cNvPicPr>
                      <a:picLocks noChangeAspect="1" noChangeArrowheads="1"/>
                    </pic:cNvPicPr>
                  </pic:nvPicPr>
                  <pic:blipFill>
                    <a:blip r:embed="rId80" cstate="print"/>
                    <a:srcRect/>
                    <a:stretch>
                      <a:fillRect/>
                    </a:stretch>
                  </pic:blipFill>
                  <pic:spPr bwMode="auto">
                    <a:xfrm>
                      <a:off x="0" y="0"/>
                      <a:ext cx="4330700" cy="2874645"/>
                    </a:xfrm>
                    <a:prstGeom prst="rect">
                      <a:avLst/>
                    </a:prstGeom>
                    <a:noFill/>
                    <a:ln w="9525">
                      <a:noFill/>
                      <a:miter lim="800000"/>
                      <a:headEnd/>
                      <a:tailEnd/>
                    </a:ln>
                  </pic:spPr>
                </pic:pic>
              </a:graphicData>
            </a:graphic>
          </wp:inline>
        </w:drawing>
      </w:r>
    </w:p>
    <w:p w:rsidR="00044DB9" w:rsidRDefault="00044DB9" w:rsidP="00C047A2">
      <w:pPr>
        <w:pStyle w:val="Heading5"/>
      </w:pPr>
      <w:bookmarkStart w:id="216" w:name="_Toc330196383"/>
      <w:r w:rsidRPr="00C047A2">
        <w:t>Other</w:t>
      </w:r>
      <w:r>
        <w:t xml:space="preserve"> studies</w:t>
      </w:r>
      <w:bookmarkEnd w:id="216"/>
    </w:p>
    <w:p w:rsidR="00044DB9" w:rsidRPr="00044DB9" w:rsidRDefault="00044DB9" w:rsidP="00C047A2">
      <w:r w:rsidRPr="00044DB9">
        <w:t xml:space="preserve">A similar pattern of ‘treatment-related’ AEs was observed in the pooled Phase II and III </w:t>
      </w:r>
      <w:r>
        <w:t>study population, as shown in Table 54</w:t>
      </w:r>
      <w:r w:rsidRPr="00044DB9">
        <w:t>.</w:t>
      </w:r>
    </w:p>
    <w:p w:rsidR="00044DB9" w:rsidRDefault="00044DB9" w:rsidP="00C047A2">
      <w:pPr>
        <w:pStyle w:val="TableTitle"/>
      </w:pPr>
      <w:r>
        <w:t>Table 54</w:t>
      </w:r>
      <w:r w:rsidRPr="000471E1">
        <w:t>:</w:t>
      </w:r>
      <w:r>
        <w:t xml:space="preserve"> TEAEs considered related to study drug reported for 5% or more of patients (</w:t>
      </w:r>
      <w:r w:rsidR="00C047A2">
        <w:t>s</w:t>
      </w:r>
      <w:r>
        <w:t xml:space="preserve">afety </w:t>
      </w:r>
      <w:r w:rsidR="00C047A2">
        <w:t>p</w:t>
      </w:r>
      <w:r>
        <w:t xml:space="preserve">opulation: </w:t>
      </w:r>
      <w:r w:rsidR="00156F88">
        <w:t xml:space="preserve">all </w:t>
      </w:r>
      <w:r w:rsidR="00C047A2">
        <w:t>p</w:t>
      </w:r>
      <w:r w:rsidR="00156F88">
        <w:t>hase II/III combined</w:t>
      </w:r>
      <w:r>
        <w:t>).</w:t>
      </w:r>
    </w:p>
    <w:p w:rsidR="00044DB9" w:rsidRDefault="00DA36AD" w:rsidP="0031388C">
      <w:pPr>
        <w:jc w:val="center"/>
        <w:rPr>
          <w:lang w:eastAsia="ja-JP"/>
        </w:rPr>
      </w:pPr>
      <w:r>
        <w:rPr>
          <w:noProof/>
          <w:lang w:eastAsia="en-AU"/>
        </w:rPr>
        <w:drawing>
          <wp:inline distT="0" distB="0" distL="0" distR="0">
            <wp:extent cx="4455160" cy="2882265"/>
            <wp:effectExtent l="19050" t="0" r="2540" b="0"/>
            <wp:docPr id="68" name="Picture 68" descr="Table showing TEAEs considered related to study drug reported for 5% or more of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1"/>
                    <pic:cNvPicPr>
                      <a:picLocks noChangeAspect="1" noChangeArrowheads="1"/>
                    </pic:cNvPicPr>
                  </pic:nvPicPr>
                  <pic:blipFill>
                    <a:blip r:embed="rId81" cstate="print"/>
                    <a:srcRect/>
                    <a:stretch>
                      <a:fillRect/>
                    </a:stretch>
                  </pic:blipFill>
                  <pic:spPr bwMode="auto">
                    <a:xfrm>
                      <a:off x="0" y="0"/>
                      <a:ext cx="4455160" cy="2882265"/>
                    </a:xfrm>
                    <a:prstGeom prst="rect">
                      <a:avLst/>
                    </a:prstGeom>
                    <a:noFill/>
                    <a:ln w="9525">
                      <a:noFill/>
                      <a:miter lim="800000"/>
                      <a:headEnd/>
                      <a:tailEnd/>
                    </a:ln>
                  </pic:spPr>
                </pic:pic>
              </a:graphicData>
            </a:graphic>
          </wp:inline>
        </w:drawing>
      </w:r>
    </w:p>
    <w:p w:rsidR="00523305" w:rsidRPr="00213E77" w:rsidRDefault="00523305" w:rsidP="00C047A2">
      <w:pPr>
        <w:pStyle w:val="Heading4"/>
      </w:pPr>
      <w:bookmarkStart w:id="217" w:name="_Toc241374320"/>
      <w:bookmarkStart w:id="218" w:name="_Ref272333507"/>
      <w:bookmarkStart w:id="219" w:name="_Toc272414666"/>
      <w:bookmarkStart w:id="220" w:name="_Toc290846304"/>
      <w:bookmarkStart w:id="221" w:name="_Toc330196384"/>
      <w:r>
        <w:t>Serious adverse events</w:t>
      </w:r>
      <w:bookmarkEnd w:id="217"/>
      <w:bookmarkEnd w:id="218"/>
      <w:bookmarkEnd w:id="219"/>
      <w:bookmarkEnd w:id="220"/>
      <w:bookmarkEnd w:id="221"/>
    </w:p>
    <w:p w:rsidR="00523305" w:rsidRDefault="00523305" w:rsidP="00C047A2">
      <w:pPr>
        <w:pStyle w:val="Heading5"/>
      </w:pPr>
      <w:bookmarkStart w:id="222" w:name="_Toc330196385"/>
      <w:r>
        <w:t xml:space="preserve">Pivotal </w:t>
      </w:r>
      <w:r w:rsidRPr="00C047A2">
        <w:t>studies</w:t>
      </w:r>
      <w:bookmarkEnd w:id="222"/>
    </w:p>
    <w:p w:rsidR="00523305" w:rsidRPr="00523305" w:rsidRDefault="00523305" w:rsidP="00C047A2">
      <w:r w:rsidRPr="00523305">
        <w:t xml:space="preserve">Serious adverse events (SAEs) were slightly more common in the pooled </w:t>
      </w:r>
      <w:proofErr w:type="spellStart"/>
      <w:r w:rsidRPr="00523305">
        <w:t>retigabine</w:t>
      </w:r>
      <w:proofErr w:type="spellEnd"/>
      <w:r w:rsidRPr="00523305">
        <w:t xml:space="preserve"> group than the placebo group (8.6% </w:t>
      </w:r>
      <w:proofErr w:type="spellStart"/>
      <w:r w:rsidRPr="00523305">
        <w:t>vs</w:t>
      </w:r>
      <w:proofErr w:type="spellEnd"/>
      <w:r w:rsidRPr="00523305">
        <w:t xml:space="preserve"> 5.9%), as shown in </w:t>
      </w:r>
      <w:r w:rsidR="00296983">
        <w:t>Table 55</w:t>
      </w:r>
      <w:r w:rsidRPr="00523305">
        <w:t xml:space="preserve">. Apart from convulsion, the only SAE occurring in more than 2 </w:t>
      </w:r>
      <w:proofErr w:type="spellStart"/>
      <w:r w:rsidRPr="00523305">
        <w:t>retigabine</w:t>
      </w:r>
      <w:proofErr w:type="spellEnd"/>
      <w:r w:rsidRPr="00523305">
        <w:t xml:space="preserve"> recipients was psychotic disorder, which was reported in 6/813 subjects (0.7%). Most of the psychosis was observed at the highest dose level (5/259, 1.9%). The other SAEs with an excess in the </w:t>
      </w:r>
      <w:proofErr w:type="spellStart"/>
      <w:r w:rsidRPr="00523305">
        <w:t>retigabine</w:t>
      </w:r>
      <w:proofErr w:type="spellEnd"/>
      <w:r w:rsidRPr="00523305">
        <w:t xml:space="preserve"> group were consistent with the overall </w:t>
      </w:r>
      <w:r w:rsidRPr="00523305">
        <w:lastRenderedPageBreak/>
        <w:t>pattern of AEs, and included a number of CNS side effects. Suicidal ideation was observed in 2 subjects at the highest dose level.</w:t>
      </w:r>
    </w:p>
    <w:p w:rsidR="00523305" w:rsidRDefault="00523305" w:rsidP="00C047A2">
      <w:pPr>
        <w:pStyle w:val="TableTitle"/>
      </w:pPr>
      <w:r>
        <w:t>Table 55</w:t>
      </w:r>
      <w:r w:rsidRPr="000471E1">
        <w:t>:</w:t>
      </w:r>
      <w:r>
        <w:t xml:space="preserve"> TESAEs reported by greater than or equal to 2 patients in any treatment group by </w:t>
      </w:r>
      <w:r w:rsidR="00C047A2">
        <w:t>preferred t</w:t>
      </w:r>
      <w:r>
        <w:t>erm (</w:t>
      </w:r>
      <w:r w:rsidR="00C047A2">
        <w:t>safety population: PCT, s</w:t>
      </w:r>
      <w:r>
        <w:t>tudies 205, 301 and 302).</w:t>
      </w:r>
    </w:p>
    <w:p w:rsidR="00044DB9" w:rsidRDefault="00DA36AD" w:rsidP="00EF0692">
      <w:pPr>
        <w:jc w:val="center"/>
      </w:pPr>
      <w:r>
        <w:rPr>
          <w:noProof/>
          <w:lang w:eastAsia="en-AU"/>
        </w:rPr>
        <w:drawing>
          <wp:inline distT="0" distB="0" distL="0" distR="0">
            <wp:extent cx="4549775" cy="2355215"/>
            <wp:effectExtent l="19050" t="0" r="3175" b="0"/>
            <wp:docPr id="69" name="Picture 69" descr="Table showing TESAEs reported by greater than or equal to 2 patients in any treatment group by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1"/>
                    <pic:cNvPicPr>
                      <a:picLocks noChangeAspect="1" noChangeArrowheads="1"/>
                    </pic:cNvPicPr>
                  </pic:nvPicPr>
                  <pic:blipFill>
                    <a:blip r:embed="rId82" cstate="print"/>
                    <a:srcRect/>
                    <a:stretch>
                      <a:fillRect/>
                    </a:stretch>
                  </pic:blipFill>
                  <pic:spPr bwMode="auto">
                    <a:xfrm>
                      <a:off x="0" y="0"/>
                      <a:ext cx="4549775" cy="2355215"/>
                    </a:xfrm>
                    <a:prstGeom prst="rect">
                      <a:avLst/>
                    </a:prstGeom>
                    <a:noFill/>
                    <a:ln w="9525">
                      <a:noFill/>
                      <a:miter lim="800000"/>
                      <a:headEnd/>
                      <a:tailEnd/>
                    </a:ln>
                  </pic:spPr>
                </pic:pic>
              </a:graphicData>
            </a:graphic>
          </wp:inline>
        </w:drawing>
      </w:r>
    </w:p>
    <w:p w:rsidR="000E3E4F" w:rsidRDefault="000E3E4F" w:rsidP="00C047A2">
      <w:pPr>
        <w:pStyle w:val="Heading5"/>
      </w:pPr>
      <w:bookmarkStart w:id="223" w:name="_Toc330196386"/>
      <w:r>
        <w:t xml:space="preserve">Other </w:t>
      </w:r>
      <w:r w:rsidRPr="00C047A2">
        <w:t>studies</w:t>
      </w:r>
      <w:bookmarkEnd w:id="223"/>
    </w:p>
    <w:p w:rsidR="000E3E4F" w:rsidRPr="000E3E4F" w:rsidRDefault="000E3E4F" w:rsidP="00C047A2">
      <w:r w:rsidRPr="000E3E4F">
        <w:t xml:space="preserve">Treatment emergent SAEs for the pooled Phase II and III population are shown </w:t>
      </w:r>
      <w:r w:rsidR="00296983">
        <w:t>in Table 56</w:t>
      </w:r>
      <w:r w:rsidRPr="000E3E4F">
        <w:t xml:space="preserve"> and raise no new concerns.</w:t>
      </w:r>
    </w:p>
    <w:p w:rsidR="000E3E4F" w:rsidRDefault="000E3E4F" w:rsidP="00C047A2">
      <w:pPr>
        <w:pStyle w:val="TableTitle"/>
      </w:pPr>
      <w:r>
        <w:t>Table 56</w:t>
      </w:r>
      <w:r w:rsidRPr="000471E1">
        <w:t>:</w:t>
      </w:r>
      <w:r>
        <w:t xml:space="preserve"> TESAEs reported by greater than or equal to 3 patients by </w:t>
      </w:r>
      <w:r w:rsidR="00C047A2">
        <w:t>p</w:t>
      </w:r>
      <w:r>
        <w:t xml:space="preserve">referred </w:t>
      </w:r>
      <w:r w:rsidR="00C047A2">
        <w:t>t</w:t>
      </w:r>
      <w:r>
        <w:t>erm (</w:t>
      </w:r>
      <w:r w:rsidR="00C047A2">
        <w:t>safety p</w:t>
      </w:r>
      <w:r>
        <w:t xml:space="preserve">opulation: all </w:t>
      </w:r>
      <w:r w:rsidR="00C047A2">
        <w:t>p</w:t>
      </w:r>
      <w:r>
        <w:t>hase II/III combined).</w:t>
      </w:r>
    </w:p>
    <w:p w:rsidR="000E3E4F" w:rsidRDefault="00DA36AD" w:rsidP="00CF193C">
      <w:pPr>
        <w:jc w:val="center"/>
      </w:pPr>
      <w:r>
        <w:rPr>
          <w:noProof/>
          <w:lang w:eastAsia="en-AU"/>
        </w:rPr>
        <w:drawing>
          <wp:inline distT="0" distB="0" distL="0" distR="0">
            <wp:extent cx="4381500" cy="4279265"/>
            <wp:effectExtent l="19050" t="0" r="0" b="0"/>
            <wp:docPr id="70" name="Picture 70" descr="Table showing TESAEs reported by greater than or equal to 3 patients by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1"/>
                    <pic:cNvPicPr>
                      <a:picLocks noChangeAspect="1" noChangeArrowheads="1"/>
                    </pic:cNvPicPr>
                  </pic:nvPicPr>
                  <pic:blipFill>
                    <a:blip r:embed="rId83" cstate="print"/>
                    <a:srcRect/>
                    <a:stretch>
                      <a:fillRect/>
                    </a:stretch>
                  </pic:blipFill>
                  <pic:spPr bwMode="auto">
                    <a:xfrm>
                      <a:off x="0" y="0"/>
                      <a:ext cx="4381500" cy="4279265"/>
                    </a:xfrm>
                    <a:prstGeom prst="rect">
                      <a:avLst/>
                    </a:prstGeom>
                    <a:noFill/>
                    <a:ln w="9525">
                      <a:noFill/>
                      <a:miter lim="800000"/>
                      <a:headEnd/>
                      <a:tailEnd/>
                    </a:ln>
                  </pic:spPr>
                </pic:pic>
              </a:graphicData>
            </a:graphic>
          </wp:inline>
        </w:drawing>
      </w:r>
    </w:p>
    <w:p w:rsidR="000B29B0" w:rsidRPr="00213E77" w:rsidRDefault="000B29B0" w:rsidP="00C047A2">
      <w:pPr>
        <w:pStyle w:val="Heading4"/>
      </w:pPr>
      <w:bookmarkStart w:id="224" w:name="_Ref329607562"/>
      <w:bookmarkStart w:id="225" w:name="_Ref329607566"/>
      <w:bookmarkStart w:id="226" w:name="_Toc330196387"/>
      <w:r w:rsidRPr="00C047A2">
        <w:lastRenderedPageBreak/>
        <w:t>Deaths</w:t>
      </w:r>
      <w:bookmarkEnd w:id="224"/>
      <w:bookmarkEnd w:id="225"/>
      <w:bookmarkEnd w:id="226"/>
    </w:p>
    <w:p w:rsidR="000B29B0" w:rsidRDefault="000B29B0" w:rsidP="00C047A2">
      <w:pPr>
        <w:pStyle w:val="Heading5"/>
      </w:pPr>
      <w:bookmarkStart w:id="227" w:name="_Toc330196388"/>
      <w:r>
        <w:t xml:space="preserve">Pivotal </w:t>
      </w:r>
      <w:r w:rsidRPr="00C047A2">
        <w:t>studies</w:t>
      </w:r>
      <w:bookmarkEnd w:id="227"/>
    </w:p>
    <w:p w:rsidR="000B29B0" w:rsidRPr="000B29B0" w:rsidRDefault="000B29B0" w:rsidP="00C047A2">
      <w:r w:rsidRPr="000B29B0">
        <w:t xml:space="preserve">In the PCT population, 3 deaths occurred in the placebo group (3/427, 0.7%) and 2 occurred in the pooled </w:t>
      </w:r>
      <w:proofErr w:type="spellStart"/>
      <w:r w:rsidRPr="000B29B0">
        <w:t>retigabine</w:t>
      </w:r>
      <w:proofErr w:type="spellEnd"/>
      <w:r w:rsidRPr="000B29B0">
        <w:t xml:space="preserve"> group (2/813, 0.2%), including 1 patient in the 600 mg/d group and 1 patient in the 1200 mg/d group. One of the placebo deaths and one of the </w:t>
      </w:r>
      <w:proofErr w:type="spellStart"/>
      <w:r w:rsidRPr="000B29B0">
        <w:t>retigabine</w:t>
      </w:r>
      <w:proofErr w:type="spellEnd"/>
      <w:r w:rsidRPr="000B29B0">
        <w:t xml:space="preserve"> deaths was attributed to sudden-unexpected death in epilepsy (SUDEP), a condition that would be expected to reduce in incidence with an effective anticonvulsant.</w:t>
      </w:r>
    </w:p>
    <w:p w:rsidR="000B29B0" w:rsidRPr="000B29B0" w:rsidRDefault="000B29B0" w:rsidP="00C047A2">
      <w:r w:rsidRPr="000B29B0">
        <w:t xml:space="preserve">This rate of death is within expected bounds for this population, and is equivalent to 24.0 deaths per 1000 patient-years on placebo versus 9.5 deaths per 1000 patient-years on </w:t>
      </w:r>
      <w:proofErr w:type="spellStart"/>
      <w:r w:rsidRPr="000B29B0">
        <w:t>retigabine</w:t>
      </w:r>
      <w:proofErr w:type="spellEnd"/>
      <w:r w:rsidRPr="000B29B0">
        <w:t xml:space="preserve">. The rate of SUDEP was 8.0 per 1000 patient-years on placebo versus 4.7 per 1000 patient-years in </w:t>
      </w:r>
      <w:proofErr w:type="spellStart"/>
      <w:r w:rsidRPr="000B29B0">
        <w:t>retigabine</w:t>
      </w:r>
      <w:proofErr w:type="spellEnd"/>
      <w:r w:rsidRPr="000B29B0">
        <w:t xml:space="preserve">. The studies were not powered to prove that mortality is reduced with </w:t>
      </w:r>
      <w:proofErr w:type="spellStart"/>
      <w:r w:rsidRPr="000B29B0">
        <w:t>retigabine</w:t>
      </w:r>
      <w:proofErr w:type="spellEnd"/>
      <w:r w:rsidRPr="000B29B0">
        <w:t xml:space="preserve"> treatment, but the lower death rate in the active groups is reassuring.</w:t>
      </w:r>
    </w:p>
    <w:p w:rsidR="000B29B0" w:rsidRDefault="000B29B0" w:rsidP="00C047A2">
      <w:pPr>
        <w:pStyle w:val="Heading5"/>
      </w:pPr>
      <w:bookmarkStart w:id="228" w:name="_Toc330196389"/>
      <w:r>
        <w:t xml:space="preserve">Other </w:t>
      </w:r>
      <w:r w:rsidRPr="00C047A2">
        <w:t>studies</w:t>
      </w:r>
      <w:bookmarkEnd w:id="228"/>
    </w:p>
    <w:p w:rsidR="00C047A2" w:rsidRDefault="000B29B0" w:rsidP="00C047A2">
      <w:r w:rsidRPr="000B29B0">
        <w:t>Some additional deaths occurred in the broader study population, including non-placebo-controlled studies</w:t>
      </w:r>
      <w:r w:rsidR="00B26421">
        <w:t xml:space="preserve"> (Table 57)</w:t>
      </w:r>
      <w:r w:rsidRPr="000B29B0">
        <w:t xml:space="preserve">. This includes long-term follow-up studies. The overall rate of fatal events and SUDEP on </w:t>
      </w:r>
      <w:proofErr w:type="spellStart"/>
      <w:r w:rsidRPr="000B29B0">
        <w:t>retigabine</w:t>
      </w:r>
      <w:proofErr w:type="spellEnd"/>
      <w:r w:rsidRPr="000B29B0">
        <w:t xml:space="preserve"> treatment appeared similar in this broader population as had been observed with active treatment in the pivotal studies, and the mortality rates were lower tha</w:t>
      </w:r>
      <w:r w:rsidR="00C047A2">
        <w:t>n had been observed on placebo.</w:t>
      </w:r>
    </w:p>
    <w:p w:rsidR="00F110E9" w:rsidRDefault="00F110E9" w:rsidP="00C047A2">
      <w:pPr>
        <w:pStyle w:val="TableTitle"/>
      </w:pPr>
      <w:r>
        <w:t>Table 57</w:t>
      </w:r>
      <w:r w:rsidRPr="000471E1">
        <w:t>:</w:t>
      </w:r>
      <w:r>
        <w:t xml:space="preserve"> </w:t>
      </w:r>
      <w:r w:rsidR="00F05583">
        <w:t>Number of deaths and exposure numbers for each study data set</w:t>
      </w:r>
      <w:r>
        <w:t>.</w:t>
      </w:r>
    </w:p>
    <w:p w:rsidR="000B29B0" w:rsidRDefault="00DA36AD" w:rsidP="003C6BC2">
      <w:pPr>
        <w:jc w:val="center"/>
        <w:rPr>
          <w:lang w:eastAsia="ja-JP"/>
        </w:rPr>
      </w:pPr>
      <w:r>
        <w:rPr>
          <w:noProof/>
          <w:lang w:eastAsia="en-AU"/>
        </w:rPr>
        <w:drawing>
          <wp:inline distT="0" distB="0" distL="0" distR="0">
            <wp:extent cx="5193665" cy="1521460"/>
            <wp:effectExtent l="19050" t="0" r="6985" b="0"/>
            <wp:docPr id="71" name="Picture 71" descr="Table showing number of deaths and exposure numbers for each study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1"/>
                    <pic:cNvPicPr>
                      <a:picLocks noChangeAspect="1" noChangeArrowheads="1"/>
                    </pic:cNvPicPr>
                  </pic:nvPicPr>
                  <pic:blipFill>
                    <a:blip r:embed="rId84" cstate="print"/>
                    <a:srcRect/>
                    <a:stretch>
                      <a:fillRect/>
                    </a:stretch>
                  </pic:blipFill>
                  <pic:spPr bwMode="auto">
                    <a:xfrm>
                      <a:off x="0" y="0"/>
                      <a:ext cx="5193665" cy="1521460"/>
                    </a:xfrm>
                    <a:prstGeom prst="rect">
                      <a:avLst/>
                    </a:prstGeom>
                    <a:noFill/>
                    <a:ln w="9525">
                      <a:noFill/>
                      <a:miter lim="800000"/>
                      <a:headEnd/>
                      <a:tailEnd/>
                    </a:ln>
                  </pic:spPr>
                </pic:pic>
              </a:graphicData>
            </a:graphic>
          </wp:inline>
        </w:drawing>
      </w:r>
    </w:p>
    <w:p w:rsidR="003C6BC2" w:rsidRPr="003C6BC2" w:rsidRDefault="003C6BC2" w:rsidP="00C047A2">
      <w:r w:rsidRPr="003C6BC2">
        <w:t xml:space="preserve">A review of individual deaths did not raise any new safety concerns. Apart from SUDEP, other seizure-related complications included a fall into water during a probable seizure, in one subject, and status </w:t>
      </w:r>
      <w:proofErr w:type="spellStart"/>
      <w:r w:rsidRPr="003C6BC2">
        <w:t>epilepticus</w:t>
      </w:r>
      <w:proofErr w:type="spellEnd"/>
      <w:r w:rsidRPr="003C6BC2">
        <w:t xml:space="preserve"> in another. The non-seizure-related causes of death were: metastatic carcinoma, myeloma, diabetic </w:t>
      </w:r>
      <w:proofErr w:type="spellStart"/>
      <w:r w:rsidRPr="003C6BC2">
        <w:t>ketoacidosis</w:t>
      </w:r>
      <w:proofErr w:type="spellEnd"/>
      <w:r w:rsidRPr="003C6BC2">
        <w:t xml:space="preserve">, subarachnoid haemorrhage with complications, </w:t>
      </w:r>
      <w:proofErr w:type="spellStart"/>
      <w:r w:rsidRPr="003C6BC2">
        <w:t>ischaemic</w:t>
      </w:r>
      <w:proofErr w:type="spellEnd"/>
      <w:r w:rsidRPr="003C6BC2">
        <w:t xml:space="preserve"> heart disease and, in the father of one subject, probable </w:t>
      </w:r>
      <w:proofErr w:type="spellStart"/>
      <w:r w:rsidRPr="003C6BC2">
        <w:t>retigabine</w:t>
      </w:r>
      <w:proofErr w:type="spellEnd"/>
      <w:r w:rsidRPr="003C6BC2">
        <w:t xml:space="preserve"> overdose. With the exception of the overdose, </w:t>
      </w:r>
      <w:proofErr w:type="spellStart"/>
      <w:r w:rsidRPr="003C6BC2">
        <w:t>retigabine</w:t>
      </w:r>
      <w:proofErr w:type="spellEnd"/>
      <w:r w:rsidRPr="003C6BC2">
        <w:t xml:space="preserve"> did not appear to play a causal role. The overdose occurred in someone who was not taking </w:t>
      </w:r>
      <w:proofErr w:type="spellStart"/>
      <w:r w:rsidRPr="003C6BC2">
        <w:t>retigabine</w:t>
      </w:r>
      <w:proofErr w:type="spellEnd"/>
      <w:r w:rsidRPr="003C6BC2">
        <w:t xml:space="preserve"> prior to the overdose, so </w:t>
      </w:r>
      <w:proofErr w:type="spellStart"/>
      <w:r w:rsidRPr="003C6BC2">
        <w:t>retigabine</w:t>
      </w:r>
      <w:proofErr w:type="spellEnd"/>
      <w:r w:rsidRPr="003C6BC2">
        <w:t xml:space="preserve"> did not contribute to that individual’s </w:t>
      </w:r>
      <w:proofErr w:type="spellStart"/>
      <w:r w:rsidRPr="003C6BC2">
        <w:t>suicidality</w:t>
      </w:r>
      <w:proofErr w:type="spellEnd"/>
      <w:r w:rsidRPr="003C6BC2">
        <w:t>.</w:t>
      </w:r>
    </w:p>
    <w:p w:rsidR="003C6BC2" w:rsidRPr="008F73B4" w:rsidRDefault="003C6BC2" w:rsidP="00C047A2">
      <w:pPr>
        <w:pStyle w:val="Heading4"/>
      </w:pPr>
      <w:bookmarkStart w:id="229" w:name="_Toc241374325"/>
      <w:bookmarkStart w:id="230" w:name="_Ref272333477"/>
      <w:bookmarkStart w:id="231" w:name="_Toc272414667"/>
      <w:bookmarkStart w:id="232" w:name="_Toc290846305"/>
      <w:bookmarkStart w:id="233" w:name="_Toc330196390"/>
      <w:r>
        <w:t xml:space="preserve">Discontinuation due to </w:t>
      </w:r>
      <w:r w:rsidRPr="00C047A2">
        <w:t>adverse</w:t>
      </w:r>
      <w:r>
        <w:t xml:space="preserve"> events</w:t>
      </w:r>
      <w:bookmarkEnd w:id="229"/>
      <w:bookmarkEnd w:id="230"/>
      <w:bookmarkEnd w:id="231"/>
      <w:bookmarkEnd w:id="232"/>
      <w:bookmarkEnd w:id="233"/>
    </w:p>
    <w:p w:rsidR="003C6BC2" w:rsidRDefault="003C6BC2" w:rsidP="00C047A2">
      <w:pPr>
        <w:pStyle w:val="Heading5"/>
      </w:pPr>
      <w:bookmarkStart w:id="234" w:name="_Toc330196391"/>
      <w:r>
        <w:t xml:space="preserve">Pivotal </w:t>
      </w:r>
      <w:r w:rsidRPr="00C047A2">
        <w:t>studies</w:t>
      </w:r>
      <w:bookmarkEnd w:id="234"/>
    </w:p>
    <w:p w:rsidR="003C6BC2" w:rsidRPr="003C6BC2" w:rsidRDefault="003C6BC2" w:rsidP="00C047A2">
      <w:r w:rsidRPr="003C6BC2">
        <w:t xml:space="preserve">In the PCT population, the pattern of AEs leading to discontinuation reflected the CNS side effects of </w:t>
      </w:r>
      <w:proofErr w:type="spellStart"/>
      <w:r w:rsidRPr="003C6BC2">
        <w:t>retigabine</w:t>
      </w:r>
      <w:proofErr w:type="spellEnd"/>
      <w:r w:rsidR="00B26421">
        <w:t xml:space="preserve"> (Table 58)</w:t>
      </w:r>
      <w:r w:rsidRPr="003C6BC2">
        <w:t xml:space="preserve">. In </w:t>
      </w:r>
      <w:proofErr w:type="spellStart"/>
      <w:r w:rsidRPr="003C6BC2">
        <w:t>retigabine</w:t>
      </w:r>
      <w:proofErr w:type="spellEnd"/>
      <w:r w:rsidRPr="003C6BC2">
        <w:t xml:space="preserve"> recipients, approximately one patient in four (24.5%) withdrew because of AEs, and there was a clear dose trend from the placebo group (10.5% withdrawing due to AEs) through to the highest </w:t>
      </w:r>
      <w:proofErr w:type="spellStart"/>
      <w:r w:rsidRPr="003C6BC2">
        <w:t>retigabine</w:t>
      </w:r>
      <w:proofErr w:type="spellEnd"/>
      <w:r w:rsidRPr="003C6BC2">
        <w:t xml:space="preserve"> dose group (1200mg/d, 31.3% withdrawing due to AEs). This suggests that </w:t>
      </w:r>
      <w:proofErr w:type="spellStart"/>
      <w:r w:rsidRPr="003C6BC2">
        <w:t>retigabine</w:t>
      </w:r>
      <w:proofErr w:type="spellEnd"/>
      <w:r w:rsidRPr="003C6BC2">
        <w:t xml:space="preserve"> has a relatively high rate of intolerance, relative to many other anticonvulsants. The most common TEAE leading to discontinuation was dizziness (5.7%), followed by </w:t>
      </w:r>
      <w:proofErr w:type="spellStart"/>
      <w:r w:rsidRPr="003C6BC2">
        <w:t>confusional</w:t>
      </w:r>
      <w:proofErr w:type="spellEnd"/>
      <w:r w:rsidRPr="003C6BC2">
        <w:t xml:space="preserve"> state (3.9%), somnolence (3.4%) and fatigue (3.3%).</w:t>
      </w:r>
    </w:p>
    <w:p w:rsidR="00EE5FCB" w:rsidRDefault="00EE5FCB" w:rsidP="00C047A2">
      <w:pPr>
        <w:pStyle w:val="TableTitle"/>
      </w:pPr>
      <w:r>
        <w:lastRenderedPageBreak/>
        <w:t>Table 5</w:t>
      </w:r>
      <w:r w:rsidR="00034284">
        <w:t>8</w:t>
      </w:r>
      <w:r w:rsidRPr="000471E1">
        <w:t>:</w:t>
      </w:r>
      <w:r>
        <w:t xml:space="preserve"> TEAEs leading to discontinuation reported by more than 2% of patients in any treatment group (</w:t>
      </w:r>
      <w:r w:rsidR="00C047A2">
        <w:t>safety p</w:t>
      </w:r>
      <w:r>
        <w:t>opulation: PCT).</w:t>
      </w:r>
    </w:p>
    <w:p w:rsidR="002C5AED" w:rsidRDefault="00DA36AD" w:rsidP="006031E3">
      <w:pPr>
        <w:jc w:val="center"/>
      </w:pPr>
      <w:r>
        <w:rPr>
          <w:noProof/>
          <w:lang w:eastAsia="en-AU"/>
        </w:rPr>
        <w:drawing>
          <wp:inline distT="0" distB="0" distL="0" distR="0">
            <wp:extent cx="4937760" cy="2209165"/>
            <wp:effectExtent l="19050" t="0" r="0" b="0"/>
            <wp:docPr id="72" name="Picture 72" descr="Table showing TEAEs leading to discontinuation reported by more than 2% of patients in any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1"/>
                    <pic:cNvPicPr>
                      <a:picLocks noChangeAspect="1" noChangeArrowheads="1"/>
                    </pic:cNvPicPr>
                  </pic:nvPicPr>
                  <pic:blipFill>
                    <a:blip r:embed="rId85" cstate="print"/>
                    <a:srcRect/>
                    <a:stretch>
                      <a:fillRect/>
                    </a:stretch>
                  </pic:blipFill>
                  <pic:spPr bwMode="auto">
                    <a:xfrm>
                      <a:off x="0" y="0"/>
                      <a:ext cx="4937760" cy="2209165"/>
                    </a:xfrm>
                    <a:prstGeom prst="rect">
                      <a:avLst/>
                    </a:prstGeom>
                    <a:noFill/>
                    <a:ln w="9525">
                      <a:noFill/>
                      <a:miter lim="800000"/>
                      <a:headEnd/>
                      <a:tailEnd/>
                    </a:ln>
                  </pic:spPr>
                </pic:pic>
              </a:graphicData>
            </a:graphic>
          </wp:inline>
        </w:drawing>
      </w:r>
    </w:p>
    <w:p w:rsidR="00495F11" w:rsidRDefault="00495F11" w:rsidP="00C047A2">
      <w:pPr>
        <w:pStyle w:val="Heading5"/>
      </w:pPr>
      <w:bookmarkStart w:id="235" w:name="_Toc330196392"/>
      <w:r>
        <w:t xml:space="preserve">Other </w:t>
      </w:r>
      <w:r w:rsidRPr="00C047A2">
        <w:t>studies</w:t>
      </w:r>
      <w:bookmarkEnd w:id="235"/>
    </w:p>
    <w:p w:rsidR="00495F11" w:rsidRPr="00495F11" w:rsidRDefault="00495F11" w:rsidP="00C047A2">
      <w:r w:rsidRPr="00495F11">
        <w:t xml:space="preserve">In the pooled Phase II/III population, a similar constellation of TEAEs lead to withdrawal: dizziness (6%), somnolence (5%), </w:t>
      </w:r>
      <w:proofErr w:type="spellStart"/>
      <w:r w:rsidRPr="00495F11">
        <w:t>confusional</w:t>
      </w:r>
      <w:proofErr w:type="spellEnd"/>
      <w:r w:rsidRPr="00495F11">
        <w:t xml:space="preserve"> state (4%), fatigue (4%), disturbance of attention (2%), and abnormal coordination (2%). </w:t>
      </w:r>
    </w:p>
    <w:p w:rsidR="00495F11" w:rsidRDefault="00495F11" w:rsidP="00C047A2">
      <w:pPr>
        <w:pStyle w:val="Heading3"/>
      </w:pPr>
      <w:bookmarkStart w:id="236" w:name="_Toc241374321"/>
      <w:bookmarkStart w:id="237" w:name="_Ref271044780"/>
      <w:bookmarkStart w:id="238" w:name="_Ref271196640"/>
      <w:bookmarkStart w:id="239" w:name="_Ref272333085"/>
      <w:bookmarkStart w:id="240" w:name="_Toc272414668"/>
      <w:bookmarkStart w:id="241" w:name="_Toc290846306"/>
      <w:bookmarkStart w:id="242" w:name="_Toc330196393"/>
      <w:bookmarkStart w:id="243" w:name="_Toc365636804"/>
      <w:r>
        <w:t xml:space="preserve">Laboratory </w:t>
      </w:r>
      <w:r w:rsidRPr="00C047A2">
        <w:t>tests</w:t>
      </w:r>
      <w:bookmarkEnd w:id="236"/>
      <w:bookmarkEnd w:id="237"/>
      <w:bookmarkEnd w:id="238"/>
      <w:bookmarkEnd w:id="239"/>
      <w:bookmarkEnd w:id="240"/>
      <w:bookmarkEnd w:id="241"/>
      <w:bookmarkEnd w:id="242"/>
      <w:bookmarkEnd w:id="243"/>
    </w:p>
    <w:p w:rsidR="00495F11" w:rsidRPr="00495F11" w:rsidRDefault="00495F11" w:rsidP="00C047A2">
      <w:r w:rsidRPr="00495F11">
        <w:t xml:space="preserve">TEAEs related to laboratory evaluations are shown in </w:t>
      </w:r>
      <w:r w:rsidR="00B26421">
        <w:t>Table 59</w:t>
      </w:r>
      <w:r w:rsidRPr="00495F11">
        <w:t xml:space="preserve"> (the table is truncated relative to the sponsor’s original, which included the additional categories ‘Vital Signs’ and ‘ECGs’). Abnormalities of liver function tests, electrolytes and haematology were relatively rare, and the only individual AEs reported in ≥ 1% of </w:t>
      </w:r>
      <w:proofErr w:type="spellStart"/>
      <w:r w:rsidRPr="00495F11">
        <w:t>retigabine</w:t>
      </w:r>
      <w:proofErr w:type="spellEnd"/>
      <w:r w:rsidRPr="00495F11">
        <w:t xml:space="preserve"> recipients were abnormal urinalysis, </w:t>
      </w:r>
      <w:proofErr w:type="spellStart"/>
      <w:r w:rsidRPr="00495F11">
        <w:t>haematuria</w:t>
      </w:r>
      <w:proofErr w:type="spellEnd"/>
      <w:r w:rsidRPr="00495F11">
        <w:t xml:space="preserve">, </w:t>
      </w:r>
      <w:proofErr w:type="spellStart"/>
      <w:r w:rsidRPr="00495F11">
        <w:t>leukopaenia</w:t>
      </w:r>
      <w:proofErr w:type="spellEnd"/>
      <w:r w:rsidRPr="00495F11">
        <w:t xml:space="preserve">, </w:t>
      </w:r>
      <w:proofErr w:type="spellStart"/>
      <w:r w:rsidRPr="00495F11">
        <w:t>hypercholesterolaemia</w:t>
      </w:r>
      <w:proofErr w:type="spellEnd"/>
      <w:r w:rsidRPr="00495F11">
        <w:t xml:space="preserve"> and elevated gamma-</w:t>
      </w:r>
      <w:proofErr w:type="spellStart"/>
      <w:r w:rsidRPr="00495F11">
        <w:t>glutamyltransferase</w:t>
      </w:r>
      <w:proofErr w:type="spellEnd"/>
      <w:r w:rsidRPr="00495F11">
        <w:t>.</w:t>
      </w:r>
    </w:p>
    <w:p w:rsidR="001A2385" w:rsidRDefault="001A2385" w:rsidP="00C047A2">
      <w:pPr>
        <w:pStyle w:val="TableTitle"/>
      </w:pPr>
      <w:r>
        <w:t>Table 59</w:t>
      </w:r>
      <w:r w:rsidRPr="000471E1">
        <w:t>:</w:t>
      </w:r>
      <w:r>
        <w:t xml:space="preserve"> TEAEs related to clinical laboratory evaluations (observed in more than 1 patient in any treatment group), vital signs, or ECGs (</w:t>
      </w:r>
      <w:r w:rsidR="00C047A2">
        <w:t>safety p</w:t>
      </w:r>
      <w:r>
        <w:t>opulation: PCT).</w:t>
      </w:r>
    </w:p>
    <w:p w:rsidR="00495F11" w:rsidRDefault="00DA36AD" w:rsidP="001A2385">
      <w:pPr>
        <w:jc w:val="center"/>
      </w:pPr>
      <w:r>
        <w:rPr>
          <w:noProof/>
          <w:lang w:eastAsia="en-AU"/>
        </w:rPr>
        <w:drawing>
          <wp:inline distT="0" distB="0" distL="0" distR="0">
            <wp:extent cx="4703445" cy="3211195"/>
            <wp:effectExtent l="19050" t="0" r="1905" b="0"/>
            <wp:docPr id="73" name="Picture 73" descr="Table showing TEAEs related to clinical laboratory evaluations (observed in more than 1 patient in any treatment group), vital signs, or EC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1"/>
                    <pic:cNvPicPr>
                      <a:picLocks noChangeAspect="1" noChangeArrowheads="1"/>
                    </pic:cNvPicPr>
                  </pic:nvPicPr>
                  <pic:blipFill>
                    <a:blip r:embed="rId86" cstate="print"/>
                    <a:srcRect/>
                    <a:stretch>
                      <a:fillRect/>
                    </a:stretch>
                  </pic:blipFill>
                  <pic:spPr bwMode="auto">
                    <a:xfrm>
                      <a:off x="0" y="0"/>
                      <a:ext cx="4703445" cy="3211195"/>
                    </a:xfrm>
                    <a:prstGeom prst="rect">
                      <a:avLst/>
                    </a:prstGeom>
                    <a:noFill/>
                    <a:ln w="9525">
                      <a:noFill/>
                      <a:miter lim="800000"/>
                      <a:headEnd/>
                      <a:tailEnd/>
                    </a:ln>
                  </pic:spPr>
                </pic:pic>
              </a:graphicData>
            </a:graphic>
          </wp:inline>
        </w:drawing>
      </w:r>
    </w:p>
    <w:p w:rsidR="00C047A2" w:rsidRDefault="001A2385" w:rsidP="00C047A2">
      <w:r w:rsidRPr="001A2385">
        <w:lastRenderedPageBreak/>
        <w:t>The sponsor also performed a shift analysis</w:t>
      </w:r>
      <w:r w:rsidR="00B26421">
        <w:t xml:space="preserve"> (Table 60)</w:t>
      </w:r>
      <w:r w:rsidRPr="001A2385">
        <w:t xml:space="preserve">. Subjects receiving </w:t>
      </w:r>
      <w:proofErr w:type="spellStart"/>
      <w:r w:rsidRPr="001A2385">
        <w:t>retigabine</w:t>
      </w:r>
      <w:proofErr w:type="spellEnd"/>
      <w:r w:rsidRPr="001A2385">
        <w:t xml:space="preserve"> had a slightly higher incidence of shifting from normal to abnormal for a range of parameters, including urea, </w:t>
      </w:r>
      <w:proofErr w:type="spellStart"/>
      <w:r w:rsidRPr="001A2385">
        <w:t>bilirubin</w:t>
      </w:r>
      <w:proofErr w:type="spellEnd"/>
      <w:r w:rsidRPr="001A2385">
        <w:t xml:space="preserve"> and ALT.</w:t>
      </w:r>
    </w:p>
    <w:p w:rsidR="00A911AA" w:rsidRDefault="00A911AA" w:rsidP="00C047A2">
      <w:pPr>
        <w:pStyle w:val="TableTitle"/>
      </w:pPr>
      <w:r>
        <w:t>Table 60</w:t>
      </w:r>
      <w:r w:rsidRPr="000471E1">
        <w:t>:</w:t>
      </w:r>
      <w:r>
        <w:t xml:space="preserve"> Shifts to abnormal </w:t>
      </w:r>
      <w:r w:rsidR="00C047A2">
        <w:t>values for clinical chemistry (s</w:t>
      </w:r>
      <w:r>
        <w:t xml:space="preserve">afety </w:t>
      </w:r>
      <w:r w:rsidR="00C047A2">
        <w:t>p</w:t>
      </w:r>
      <w:r>
        <w:t>opulation: PCT).</w:t>
      </w:r>
    </w:p>
    <w:p w:rsidR="001A2385" w:rsidRDefault="00DA36AD" w:rsidP="00A911AA">
      <w:pPr>
        <w:jc w:val="center"/>
      </w:pPr>
      <w:r>
        <w:rPr>
          <w:noProof/>
          <w:lang w:eastAsia="en-AU"/>
        </w:rPr>
        <w:drawing>
          <wp:inline distT="0" distB="0" distL="0" distR="0">
            <wp:extent cx="4352290" cy="5735320"/>
            <wp:effectExtent l="19050" t="0" r="0" b="0"/>
            <wp:docPr id="74" name="Picture 74" descr="Table showing shifts to abnormal values for clinical chemis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1"/>
                    <pic:cNvPicPr>
                      <a:picLocks noChangeAspect="1" noChangeArrowheads="1"/>
                    </pic:cNvPicPr>
                  </pic:nvPicPr>
                  <pic:blipFill>
                    <a:blip r:embed="rId87" cstate="print"/>
                    <a:srcRect/>
                    <a:stretch>
                      <a:fillRect/>
                    </a:stretch>
                  </pic:blipFill>
                  <pic:spPr bwMode="auto">
                    <a:xfrm>
                      <a:off x="0" y="0"/>
                      <a:ext cx="4352290" cy="5735320"/>
                    </a:xfrm>
                    <a:prstGeom prst="rect">
                      <a:avLst/>
                    </a:prstGeom>
                    <a:noFill/>
                    <a:ln w="9525">
                      <a:noFill/>
                      <a:miter lim="800000"/>
                      <a:headEnd/>
                      <a:tailEnd/>
                    </a:ln>
                  </pic:spPr>
                </pic:pic>
              </a:graphicData>
            </a:graphic>
          </wp:inline>
        </w:drawing>
      </w:r>
    </w:p>
    <w:p w:rsidR="00153112" w:rsidRDefault="00153112" w:rsidP="00C047A2">
      <w:pPr>
        <w:pStyle w:val="Heading4"/>
      </w:pPr>
      <w:bookmarkStart w:id="244" w:name="_Toc272414669"/>
      <w:bookmarkStart w:id="245" w:name="_Toc290846307"/>
      <w:bookmarkStart w:id="246" w:name="_Ref329607232"/>
      <w:bookmarkStart w:id="247" w:name="_Ref329607236"/>
      <w:bookmarkStart w:id="248" w:name="_Toc330196394"/>
      <w:r>
        <w:t xml:space="preserve">Liver </w:t>
      </w:r>
      <w:r w:rsidRPr="00C047A2">
        <w:t>function</w:t>
      </w:r>
      <w:bookmarkEnd w:id="244"/>
      <w:bookmarkEnd w:id="245"/>
      <w:bookmarkEnd w:id="246"/>
      <w:bookmarkEnd w:id="247"/>
      <w:bookmarkEnd w:id="248"/>
    </w:p>
    <w:p w:rsidR="00153112" w:rsidRPr="00153112" w:rsidRDefault="00153112" w:rsidP="00C047A2">
      <w:r w:rsidRPr="00153112">
        <w:t xml:space="preserve">In the PCT population, increased hepatic enzymes were reported in 1.4% of placebo recipients, compared to 3.0% of </w:t>
      </w:r>
      <w:proofErr w:type="spellStart"/>
      <w:r w:rsidRPr="00153112">
        <w:t>retigabine</w:t>
      </w:r>
      <w:proofErr w:type="spellEnd"/>
      <w:r w:rsidRPr="00153112">
        <w:t xml:space="preserve"> recipients. There was an apparent dose trend, with 2.1%, 3.3% and 3.5% of </w:t>
      </w:r>
      <w:proofErr w:type="spellStart"/>
      <w:r w:rsidRPr="00153112">
        <w:t>retigabine</w:t>
      </w:r>
      <w:proofErr w:type="spellEnd"/>
      <w:r w:rsidRPr="00153112">
        <w:t xml:space="preserve"> recipients exhibiting elevated enzymes in the 600mg/d, 900mg/d and 1200mg/d dose groups, respectively. The shift table above also suggests that, compared to placebo recipients, </w:t>
      </w:r>
      <w:proofErr w:type="spellStart"/>
      <w:r w:rsidRPr="00153112">
        <w:t>retigabine</w:t>
      </w:r>
      <w:proofErr w:type="spellEnd"/>
      <w:r w:rsidRPr="00153112">
        <w:t xml:space="preserve"> recipients were more likely to develop high ALT and </w:t>
      </w:r>
      <w:proofErr w:type="spellStart"/>
      <w:r w:rsidRPr="00153112">
        <w:t>bilirubin</w:t>
      </w:r>
      <w:proofErr w:type="spellEnd"/>
      <w:r w:rsidRPr="00153112">
        <w:t xml:space="preserve"> during treatment (ALT 15.7% on </w:t>
      </w:r>
      <w:proofErr w:type="spellStart"/>
      <w:r w:rsidRPr="00153112">
        <w:t>retigabine</w:t>
      </w:r>
      <w:proofErr w:type="spellEnd"/>
      <w:r w:rsidRPr="00153112">
        <w:t xml:space="preserve"> </w:t>
      </w:r>
      <w:proofErr w:type="spellStart"/>
      <w:r w:rsidRPr="00153112">
        <w:t>vs</w:t>
      </w:r>
      <w:proofErr w:type="spellEnd"/>
      <w:r w:rsidRPr="00153112">
        <w:t xml:space="preserve"> 5.2% on placebo; </w:t>
      </w:r>
      <w:proofErr w:type="spellStart"/>
      <w:r w:rsidRPr="00153112">
        <w:t>bilirubin</w:t>
      </w:r>
      <w:proofErr w:type="spellEnd"/>
      <w:r w:rsidRPr="00153112">
        <w:t xml:space="preserve"> 6.8% </w:t>
      </w:r>
      <w:proofErr w:type="spellStart"/>
      <w:r w:rsidRPr="00153112">
        <w:t>vs</w:t>
      </w:r>
      <w:proofErr w:type="spellEnd"/>
      <w:r w:rsidRPr="00153112">
        <w:t xml:space="preserve"> 1.5%). The incidence increased with increasing dose.</w:t>
      </w:r>
    </w:p>
    <w:p w:rsidR="00153112" w:rsidRDefault="00153112" w:rsidP="00C047A2">
      <w:pPr>
        <w:pStyle w:val="Heading4"/>
      </w:pPr>
      <w:bookmarkStart w:id="249" w:name="_Toc272414670"/>
      <w:bookmarkStart w:id="250" w:name="_Toc290846308"/>
      <w:bookmarkStart w:id="251" w:name="_Toc330196395"/>
      <w:r>
        <w:t xml:space="preserve">Kidney </w:t>
      </w:r>
      <w:r w:rsidRPr="00C047A2">
        <w:t>function</w:t>
      </w:r>
      <w:bookmarkEnd w:id="249"/>
      <w:bookmarkEnd w:id="250"/>
      <w:bookmarkEnd w:id="251"/>
    </w:p>
    <w:p w:rsidR="00153112" w:rsidRPr="00153112" w:rsidRDefault="00153112" w:rsidP="00C047A2">
      <w:r w:rsidRPr="00153112">
        <w:t xml:space="preserve">Shifts from normal urea to elevated urea were more common with </w:t>
      </w:r>
      <w:proofErr w:type="spellStart"/>
      <w:r w:rsidRPr="00153112">
        <w:t>retigabine</w:t>
      </w:r>
      <w:proofErr w:type="spellEnd"/>
      <w:r w:rsidRPr="00153112">
        <w:t xml:space="preserve"> recipients (6.8%) than placebo recipients (2.2%), as shown in the table above. On the other hand, shifts in </w:t>
      </w:r>
      <w:proofErr w:type="spellStart"/>
      <w:r w:rsidRPr="00153112">
        <w:lastRenderedPageBreak/>
        <w:t>creatinine</w:t>
      </w:r>
      <w:proofErr w:type="spellEnd"/>
      <w:r w:rsidRPr="00153112">
        <w:t xml:space="preserve"> from normal to high occurred with similar incidence in the </w:t>
      </w:r>
      <w:proofErr w:type="spellStart"/>
      <w:r w:rsidRPr="00153112">
        <w:t>retigabine</w:t>
      </w:r>
      <w:proofErr w:type="spellEnd"/>
      <w:r w:rsidRPr="00153112">
        <w:t xml:space="preserve"> group (1.3%) and the placebo group (1.7%).</w:t>
      </w:r>
    </w:p>
    <w:p w:rsidR="00153112" w:rsidRPr="00153112" w:rsidRDefault="00153112" w:rsidP="00C047A2">
      <w:r w:rsidRPr="00153112">
        <w:t xml:space="preserve">There is, thus, no evidence of direct renal toxicity from </w:t>
      </w:r>
      <w:proofErr w:type="spellStart"/>
      <w:r w:rsidRPr="00153112">
        <w:t>retigabine</w:t>
      </w:r>
      <w:proofErr w:type="spellEnd"/>
      <w:r w:rsidRPr="00153112">
        <w:t xml:space="preserve">. Other urological aspects of </w:t>
      </w:r>
      <w:proofErr w:type="spellStart"/>
      <w:r w:rsidRPr="00153112">
        <w:t>retigabine</w:t>
      </w:r>
      <w:proofErr w:type="spellEnd"/>
      <w:r w:rsidRPr="00153112">
        <w:t xml:space="preserve"> treatment are considered separately</w:t>
      </w:r>
      <w:r>
        <w:t>.</w:t>
      </w:r>
      <w:r w:rsidR="00460F24">
        <w:t xml:space="preserve"> </w:t>
      </w:r>
    </w:p>
    <w:p w:rsidR="00153112" w:rsidRDefault="00153112" w:rsidP="00C047A2">
      <w:pPr>
        <w:pStyle w:val="Heading4"/>
      </w:pPr>
      <w:bookmarkStart w:id="252" w:name="_Toc272414671"/>
      <w:bookmarkStart w:id="253" w:name="_Toc290846309"/>
      <w:bookmarkStart w:id="254" w:name="_Toc330196396"/>
      <w:r>
        <w:t>Other clinical chemistry</w:t>
      </w:r>
      <w:bookmarkEnd w:id="252"/>
      <w:bookmarkEnd w:id="253"/>
      <w:bookmarkEnd w:id="254"/>
    </w:p>
    <w:p w:rsidR="00153112" w:rsidRPr="00153112" w:rsidRDefault="00153112" w:rsidP="00FB3894">
      <w:r w:rsidRPr="00153112">
        <w:t>No consistent patterns were observed with other clinical chemistry monitoring, as shown in the tables above.</w:t>
      </w:r>
    </w:p>
    <w:p w:rsidR="00153112" w:rsidRDefault="00153112" w:rsidP="00FB3894">
      <w:pPr>
        <w:pStyle w:val="Heading4"/>
      </w:pPr>
      <w:bookmarkStart w:id="255" w:name="_Toc272414672"/>
      <w:bookmarkStart w:id="256" w:name="_Toc290846310"/>
      <w:bookmarkStart w:id="257" w:name="_Ref329607260"/>
      <w:bookmarkStart w:id="258" w:name="_Ref329607263"/>
      <w:bookmarkStart w:id="259" w:name="_Toc330196397"/>
      <w:r w:rsidRPr="00FB3894">
        <w:t>Haematology</w:t>
      </w:r>
      <w:bookmarkEnd w:id="255"/>
      <w:bookmarkEnd w:id="256"/>
      <w:bookmarkEnd w:id="257"/>
      <w:bookmarkEnd w:id="258"/>
      <w:bookmarkEnd w:id="259"/>
    </w:p>
    <w:p w:rsidR="00153112" w:rsidRPr="00153112" w:rsidRDefault="00153112" w:rsidP="00FB3894">
      <w:r w:rsidRPr="00153112">
        <w:t xml:space="preserve">Haematological AEs were rare in the PCT population. The only haematological AE reported in more than one patient was anaemia, which occurred in &lt;1% of </w:t>
      </w:r>
      <w:proofErr w:type="spellStart"/>
      <w:r w:rsidRPr="00153112">
        <w:t>retigabine</w:t>
      </w:r>
      <w:proofErr w:type="spellEnd"/>
      <w:r w:rsidRPr="00153112">
        <w:t xml:space="preserve"> subjects (placebo 3/427, 0.7%, </w:t>
      </w:r>
      <w:proofErr w:type="spellStart"/>
      <w:r w:rsidRPr="00153112">
        <w:t>vs</w:t>
      </w:r>
      <w:proofErr w:type="spellEnd"/>
      <w:r w:rsidRPr="00153112">
        <w:t xml:space="preserve"> </w:t>
      </w:r>
      <w:proofErr w:type="spellStart"/>
      <w:r w:rsidRPr="00153112">
        <w:t>retigabine</w:t>
      </w:r>
      <w:proofErr w:type="spellEnd"/>
      <w:r w:rsidRPr="00153112">
        <w:t xml:space="preserve"> 7/813, 0.9%). Haematological values of potential clinical concern are shown in </w:t>
      </w:r>
      <w:r w:rsidR="00B26421">
        <w:t>Table 61</w:t>
      </w:r>
      <w:r w:rsidRPr="00153112">
        <w:t>. Abnormalities were either rare or were similarly distributed across the active and placebo groups.</w:t>
      </w:r>
    </w:p>
    <w:p w:rsidR="009A2516" w:rsidRDefault="009A2516" w:rsidP="00FB3894">
      <w:pPr>
        <w:pStyle w:val="TableTitle"/>
      </w:pPr>
      <w:r>
        <w:t>Table 61</w:t>
      </w:r>
      <w:r w:rsidRPr="000471E1">
        <w:t>:</w:t>
      </w:r>
      <w:r>
        <w:t xml:space="preserve"> Haematology values of potential clinical concern (</w:t>
      </w:r>
      <w:r w:rsidR="00FB3894">
        <w:t>s</w:t>
      </w:r>
      <w:r>
        <w:t>af</w:t>
      </w:r>
      <w:r w:rsidR="00FB3894">
        <w:t>ety p</w:t>
      </w:r>
      <w:r>
        <w:t>opulation: PCT).</w:t>
      </w:r>
    </w:p>
    <w:p w:rsidR="00A911AA" w:rsidRDefault="00DA36AD" w:rsidP="009A2516">
      <w:pPr>
        <w:jc w:val="center"/>
      </w:pPr>
      <w:r>
        <w:rPr>
          <w:noProof/>
          <w:lang w:eastAsia="en-AU"/>
        </w:rPr>
        <w:drawing>
          <wp:inline distT="0" distB="0" distL="0" distR="0">
            <wp:extent cx="4615815" cy="3584575"/>
            <wp:effectExtent l="19050" t="0" r="0" b="0"/>
            <wp:docPr id="75" name="Picture 75" descr="Table showing haematology values of potential clinical conc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1"/>
                    <pic:cNvPicPr>
                      <a:picLocks noChangeAspect="1" noChangeArrowheads="1"/>
                    </pic:cNvPicPr>
                  </pic:nvPicPr>
                  <pic:blipFill>
                    <a:blip r:embed="rId88" cstate="print"/>
                    <a:srcRect/>
                    <a:stretch>
                      <a:fillRect/>
                    </a:stretch>
                  </pic:blipFill>
                  <pic:spPr bwMode="auto">
                    <a:xfrm>
                      <a:off x="0" y="0"/>
                      <a:ext cx="4615815" cy="3584575"/>
                    </a:xfrm>
                    <a:prstGeom prst="rect">
                      <a:avLst/>
                    </a:prstGeom>
                    <a:noFill/>
                    <a:ln w="9525">
                      <a:noFill/>
                      <a:miter lim="800000"/>
                      <a:headEnd/>
                      <a:tailEnd/>
                    </a:ln>
                  </pic:spPr>
                </pic:pic>
              </a:graphicData>
            </a:graphic>
          </wp:inline>
        </w:drawing>
      </w:r>
    </w:p>
    <w:p w:rsidR="005658B4" w:rsidRPr="005F7798" w:rsidRDefault="005658B4" w:rsidP="00FB3894">
      <w:pPr>
        <w:pStyle w:val="Heading3"/>
      </w:pPr>
      <w:bookmarkStart w:id="260" w:name="_Toc272414675"/>
      <w:bookmarkStart w:id="261" w:name="_Toc290846313"/>
      <w:bookmarkStart w:id="262" w:name="_Ref328928574"/>
      <w:bookmarkStart w:id="263" w:name="_Ref328928580"/>
      <w:bookmarkStart w:id="264" w:name="_Toc330196398"/>
      <w:bookmarkStart w:id="265" w:name="_Toc365636805"/>
      <w:r w:rsidRPr="00FB3894">
        <w:t>Electrocardiograph</w:t>
      </w:r>
      <w:bookmarkEnd w:id="260"/>
      <w:bookmarkEnd w:id="261"/>
      <w:bookmarkEnd w:id="262"/>
      <w:bookmarkEnd w:id="263"/>
      <w:bookmarkEnd w:id="264"/>
      <w:bookmarkEnd w:id="265"/>
    </w:p>
    <w:p w:rsidR="005658B4" w:rsidRPr="005F7798" w:rsidRDefault="005658B4" w:rsidP="00FB3894">
      <w:pPr>
        <w:pStyle w:val="Heading4"/>
      </w:pPr>
      <w:bookmarkStart w:id="266" w:name="_Toc330196399"/>
      <w:r w:rsidRPr="005F7798">
        <w:t xml:space="preserve">Pivotal </w:t>
      </w:r>
      <w:r w:rsidRPr="00FB3894">
        <w:t>studies</w:t>
      </w:r>
      <w:bookmarkEnd w:id="266"/>
    </w:p>
    <w:p w:rsidR="005658B4" w:rsidRPr="005658B4" w:rsidRDefault="005658B4" w:rsidP="00FB3894">
      <w:r w:rsidRPr="005658B4">
        <w:t xml:space="preserve">ECG abnormalities reported in the PCT population are shown in </w:t>
      </w:r>
      <w:r>
        <w:t>Table 62.</w:t>
      </w:r>
      <w:r w:rsidRPr="005658B4">
        <w:t xml:space="preserve"> Individual ECG abnormalities were rare, and the most serious abnormality, ventricular </w:t>
      </w:r>
      <w:proofErr w:type="spellStart"/>
      <w:r w:rsidRPr="005658B4">
        <w:t>asystole</w:t>
      </w:r>
      <w:proofErr w:type="spellEnd"/>
      <w:r w:rsidRPr="005658B4">
        <w:t xml:space="preserve"> was only reported in a placebo recipient.</w:t>
      </w:r>
    </w:p>
    <w:p w:rsidR="002276D9" w:rsidRDefault="002276D9" w:rsidP="00FB3894">
      <w:pPr>
        <w:pStyle w:val="TableTitle"/>
      </w:pPr>
      <w:r>
        <w:lastRenderedPageBreak/>
        <w:t>Table 62</w:t>
      </w:r>
      <w:r w:rsidRPr="000471E1">
        <w:t>:</w:t>
      </w:r>
      <w:r>
        <w:t xml:space="preserve"> </w:t>
      </w:r>
      <w:r w:rsidRPr="002276D9">
        <w:t xml:space="preserve">TEAEs in PCT </w:t>
      </w:r>
      <w:r w:rsidR="00FB3894">
        <w:t>p</w:t>
      </w:r>
      <w:r w:rsidRPr="002276D9">
        <w:t>opulation involving ECGs</w:t>
      </w:r>
      <w:r>
        <w:t>.</w:t>
      </w:r>
    </w:p>
    <w:p w:rsidR="005658B4" w:rsidRDefault="00DA36AD" w:rsidP="002276D9">
      <w:pPr>
        <w:jc w:val="center"/>
      </w:pPr>
      <w:r>
        <w:rPr>
          <w:noProof/>
          <w:lang w:eastAsia="en-AU"/>
        </w:rPr>
        <w:drawing>
          <wp:inline distT="0" distB="0" distL="0" distR="0">
            <wp:extent cx="4908550" cy="3752850"/>
            <wp:effectExtent l="19050" t="0" r="6350" b="0"/>
            <wp:docPr id="76" name="Picture 76" descr="Table showing TEAEs in PCT population involving EC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1"/>
                    <pic:cNvPicPr>
                      <a:picLocks noChangeAspect="1" noChangeArrowheads="1"/>
                    </pic:cNvPicPr>
                  </pic:nvPicPr>
                  <pic:blipFill>
                    <a:blip r:embed="rId89" cstate="print"/>
                    <a:srcRect/>
                    <a:stretch>
                      <a:fillRect/>
                    </a:stretch>
                  </pic:blipFill>
                  <pic:spPr bwMode="auto">
                    <a:xfrm>
                      <a:off x="0" y="0"/>
                      <a:ext cx="4908550" cy="3752850"/>
                    </a:xfrm>
                    <a:prstGeom prst="rect">
                      <a:avLst/>
                    </a:prstGeom>
                    <a:noFill/>
                    <a:ln w="9525">
                      <a:noFill/>
                      <a:miter lim="800000"/>
                      <a:headEnd/>
                      <a:tailEnd/>
                    </a:ln>
                  </pic:spPr>
                </pic:pic>
              </a:graphicData>
            </a:graphic>
          </wp:inline>
        </w:drawing>
      </w:r>
    </w:p>
    <w:p w:rsidR="004304AE" w:rsidRPr="005F7798" w:rsidRDefault="004304AE" w:rsidP="00FB3894">
      <w:pPr>
        <w:pStyle w:val="Heading4"/>
      </w:pPr>
      <w:bookmarkStart w:id="267" w:name="_Toc330196400"/>
      <w:r w:rsidRPr="005F7798">
        <w:t>Other studies</w:t>
      </w:r>
      <w:bookmarkEnd w:id="267"/>
    </w:p>
    <w:p w:rsidR="004304AE" w:rsidRPr="004304AE" w:rsidRDefault="004304AE" w:rsidP="00FB3894">
      <w:r w:rsidRPr="004304AE">
        <w:t xml:space="preserve">In the clinical pharmacology studies, TEAEs related to ECGs were relatively uncommon, as shown in </w:t>
      </w:r>
      <w:r w:rsidR="00FE78C0">
        <w:t>Table 63</w:t>
      </w:r>
      <w:r w:rsidRPr="004304AE">
        <w:t xml:space="preserve">, but it should be noted that the table omits two serious adverse events of a cardiac nature that occurred in a PD study. In Study VRX-RET-E22-108, single doses of 900mg </w:t>
      </w:r>
      <w:proofErr w:type="spellStart"/>
      <w:r w:rsidRPr="004304AE">
        <w:t>retigabine</w:t>
      </w:r>
      <w:proofErr w:type="spellEnd"/>
      <w:r w:rsidRPr="004304AE">
        <w:t xml:space="preserve"> were shown to be unsafe. Two of six subjects receiving </w:t>
      </w:r>
      <w:proofErr w:type="spellStart"/>
      <w:r w:rsidRPr="004304AE">
        <w:t>retigabine</w:t>
      </w:r>
      <w:proofErr w:type="spellEnd"/>
      <w:r w:rsidRPr="004304AE">
        <w:t xml:space="preserve"> 900mg had potentially life-threatening arrhythmias: </w:t>
      </w:r>
      <w:proofErr w:type="spellStart"/>
      <w:r w:rsidRPr="004304AE">
        <w:t>asystole</w:t>
      </w:r>
      <w:proofErr w:type="spellEnd"/>
      <w:r w:rsidRPr="004304AE">
        <w:t xml:space="preserve"> in one subject and ventricular tachycardia in another. Also, the PD Study VRX-RET-E22-103 showed that </w:t>
      </w:r>
      <w:proofErr w:type="spellStart"/>
      <w:r w:rsidRPr="004304AE">
        <w:t>retigabine</w:t>
      </w:r>
      <w:proofErr w:type="spellEnd"/>
      <w:r w:rsidRPr="004304AE">
        <w:t xml:space="preserve"> is associated with mild QT prolongation, which would be expected to be dangerous in susceptible subjects.</w:t>
      </w:r>
    </w:p>
    <w:p w:rsidR="0066392A" w:rsidRDefault="0066392A" w:rsidP="00FB3894">
      <w:pPr>
        <w:pStyle w:val="TableTitle"/>
      </w:pPr>
      <w:r>
        <w:t>Table 63</w:t>
      </w:r>
      <w:r w:rsidRPr="000471E1">
        <w:t>:</w:t>
      </w:r>
      <w:r>
        <w:t xml:space="preserve"> All TEAEs related to ECGs (</w:t>
      </w:r>
      <w:r w:rsidR="00FB3894">
        <w:t>s</w:t>
      </w:r>
      <w:r>
        <w:t xml:space="preserve">afety </w:t>
      </w:r>
      <w:r w:rsidR="00FB3894">
        <w:t>p</w:t>
      </w:r>
      <w:r>
        <w:t xml:space="preserve">opulation: </w:t>
      </w:r>
      <w:r w:rsidR="00FB3894">
        <w:t>integrated c</w:t>
      </w:r>
      <w:r>
        <w:t xml:space="preserve">linical </w:t>
      </w:r>
      <w:r w:rsidR="00FB3894">
        <w:t>p</w:t>
      </w:r>
      <w:r>
        <w:t>harmacology studies).</w:t>
      </w:r>
    </w:p>
    <w:p w:rsidR="002276D9" w:rsidRDefault="00DA36AD" w:rsidP="00FE78C0">
      <w:pPr>
        <w:jc w:val="center"/>
      </w:pPr>
      <w:r>
        <w:rPr>
          <w:noProof/>
          <w:lang w:eastAsia="en-AU"/>
        </w:rPr>
        <w:drawing>
          <wp:inline distT="0" distB="0" distL="0" distR="0">
            <wp:extent cx="4930140" cy="980440"/>
            <wp:effectExtent l="19050" t="0" r="3810" b="0"/>
            <wp:docPr id="77" name="Picture 77" descr="Table showing all TEAEs related to EC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1"/>
                    <pic:cNvPicPr>
                      <a:picLocks noChangeAspect="1" noChangeArrowheads="1"/>
                    </pic:cNvPicPr>
                  </pic:nvPicPr>
                  <pic:blipFill>
                    <a:blip r:embed="rId90" cstate="print"/>
                    <a:srcRect/>
                    <a:stretch>
                      <a:fillRect/>
                    </a:stretch>
                  </pic:blipFill>
                  <pic:spPr bwMode="auto">
                    <a:xfrm>
                      <a:off x="0" y="0"/>
                      <a:ext cx="4930140" cy="980440"/>
                    </a:xfrm>
                    <a:prstGeom prst="rect">
                      <a:avLst/>
                    </a:prstGeom>
                    <a:noFill/>
                    <a:ln w="9525">
                      <a:noFill/>
                      <a:miter lim="800000"/>
                      <a:headEnd/>
                      <a:tailEnd/>
                    </a:ln>
                  </pic:spPr>
                </pic:pic>
              </a:graphicData>
            </a:graphic>
          </wp:inline>
        </w:drawing>
      </w:r>
    </w:p>
    <w:p w:rsidR="00EF5FC5" w:rsidRPr="000C26B6" w:rsidRDefault="00EF5FC5" w:rsidP="00FB3894">
      <w:pPr>
        <w:pStyle w:val="Heading3"/>
      </w:pPr>
      <w:bookmarkStart w:id="268" w:name="_Toc272414676"/>
      <w:bookmarkStart w:id="269" w:name="_Toc290846314"/>
      <w:bookmarkStart w:id="270" w:name="_Toc330196401"/>
      <w:bookmarkStart w:id="271" w:name="_Toc365636806"/>
      <w:r w:rsidRPr="000C26B6">
        <w:t xml:space="preserve">Vital </w:t>
      </w:r>
      <w:r w:rsidRPr="00FB3894">
        <w:t>signs</w:t>
      </w:r>
      <w:bookmarkEnd w:id="268"/>
      <w:bookmarkEnd w:id="269"/>
      <w:bookmarkEnd w:id="270"/>
      <w:bookmarkEnd w:id="271"/>
    </w:p>
    <w:p w:rsidR="00EF5FC5" w:rsidRDefault="00EF5FC5" w:rsidP="00FB3894">
      <w:pPr>
        <w:pStyle w:val="Heading4"/>
      </w:pPr>
      <w:bookmarkStart w:id="272" w:name="_Toc330196402"/>
      <w:r w:rsidRPr="00FB3894">
        <w:t>Pivotal</w:t>
      </w:r>
      <w:r w:rsidRPr="000C26B6">
        <w:t xml:space="preserve"> studies</w:t>
      </w:r>
      <w:bookmarkEnd w:id="272"/>
    </w:p>
    <w:p w:rsidR="00EF5FC5" w:rsidRPr="00EF5FC5" w:rsidRDefault="00EF5FC5" w:rsidP="00FB3894">
      <w:r>
        <w:t>Table 64</w:t>
      </w:r>
      <w:r w:rsidRPr="00EF5FC5">
        <w:t xml:space="preserve"> shows TEAEs related to vital signs. No TEAE was seen in &gt;1% of </w:t>
      </w:r>
      <w:proofErr w:type="spellStart"/>
      <w:r w:rsidRPr="00EF5FC5">
        <w:t>retigabine</w:t>
      </w:r>
      <w:proofErr w:type="spellEnd"/>
      <w:r w:rsidRPr="00EF5FC5">
        <w:t xml:space="preserve"> recipients, and abnormalities in vital signs were not more common in </w:t>
      </w:r>
      <w:proofErr w:type="spellStart"/>
      <w:r w:rsidRPr="00EF5FC5">
        <w:t>retigabine</w:t>
      </w:r>
      <w:proofErr w:type="spellEnd"/>
      <w:r w:rsidRPr="00EF5FC5">
        <w:t xml:space="preserve"> than placebo recipients.</w:t>
      </w:r>
    </w:p>
    <w:p w:rsidR="00EF5FC5" w:rsidRDefault="00EF5FC5" w:rsidP="00C40239">
      <w:pPr>
        <w:pStyle w:val="TableTitle"/>
      </w:pPr>
      <w:r>
        <w:lastRenderedPageBreak/>
        <w:t>Table 64</w:t>
      </w:r>
      <w:r w:rsidRPr="000471E1">
        <w:t>:</w:t>
      </w:r>
      <w:r>
        <w:t xml:space="preserve"> TEAEs related to clinical laboratory evaluations (observed in more than 1 patient in any treatment</w:t>
      </w:r>
      <w:r w:rsidR="00C40239">
        <w:t xml:space="preserve"> group), vital signs, or ECGs (s</w:t>
      </w:r>
      <w:r>
        <w:t xml:space="preserve">afety </w:t>
      </w:r>
      <w:r w:rsidR="00C40239">
        <w:t>p</w:t>
      </w:r>
      <w:r>
        <w:t>opulation: PCT).</w:t>
      </w:r>
    </w:p>
    <w:p w:rsidR="00EF5FC5" w:rsidRDefault="00DA36AD" w:rsidP="003431EE">
      <w:pPr>
        <w:jc w:val="center"/>
      </w:pPr>
      <w:r>
        <w:rPr>
          <w:noProof/>
          <w:lang w:eastAsia="en-AU"/>
        </w:rPr>
        <w:drawing>
          <wp:inline distT="0" distB="0" distL="0" distR="0">
            <wp:extent cx="4586605" cy="1653540"/>
            <wp:effectExtent l="19050" t="0" r="4445" b="0"/>
            <wp:docPr id="78" name="Picture 78" descr="Table showing TEAEs related to clinical laboratory evaluations (observed in more than 1 patient in any treatment group), vital signs, or EC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1"/>
                    <pic:cNvPicPr>
                      <a:picLocks noChangeAspect="1" noChangeArrowheads="1"/>
                    </pic:cNvPicPr>
                  </pic:nvPicPr>
                  <pic:blipFill>
                    <a:blip r:embed="rId91" cstate="print"/>
                    <a:srcRect/>
                    <a:stretch>
                      <a:fillRect/>
                    </a:stretch>
                  </pic:blipFill>
                  <pic:spPr bwMode="auto">
                    <a:xfrm>
                      <a:off x="0" y="0"/>
                      <a:ext cx="4586605" cy="1653540"/>
                    </a:xfrm>
                    <a:prstGeom prst="rect">
                      <a:avLst/>
                    </a:prstGeom>
                    <a:noFill/>
                    <a:ln w="9525">
                      <a:noFill/>
                      <a:miter lim="800000"/>
                      <a:headEnd/>
                      <a:tailEnd/>
                    </a:ln>
                  </pic:spPr>
                </pic:pic>
              </a:graphicData>
            </a:graphic>
          </wp:inline>
        </w:drawing>
      </w:r>
    </w:p>
    <w:p w:rsidR="00E435B5" w:rsidRDefault="00E435B5" w:rsidP="00C40239">
      <w:pPr>
        <w:pStyle w:val="Heading4"/>
      </w:pPr>
      <w:bookmarkStart w:id="273" w:name="_Toc330196403"/>
      <w:r w:rsidRPr="00C40239">
        <w:t>Other</w:t>
      </w:r>
      <w:r w:rsidRPr="00BD0772">
        <w:t xml:space="preserve"> studies</w:t>
      </w:r>
      <w:bookmarkEnd w:id="273"/>
    </w:p>
    <w:p w:rsidR="00E435B5" w:rsidRPr="00E435B5" w:rsidRDefault="00E435B5" w:rsidP="00C40239">
      <w:r w:rsidRPr="00E435B5">
        <w:t xml:space="preserve">AEs related to vital signs in the pooled Phase II/III population followed a broadly similar pattern to that observed in the PCT population. </w:t>
      </w:r>
    </w:p>
    <w:p w:rsidR="00E435B5" w:rsidRPr="00E435B5" w:rsidRDefault="00E435B5" w:rsidP="00C40239">
      <w:r w:rsidRPr="00E435B5">
        <w:t xml:space="preserve">In the Clinical Pharmacology studies, AEs related to vital signs were generally rare, as shown in </w:t>
      </w:r>
      <w:r w:rsidR="00C56DAF">
        <w:t>Table 65</w:t>
      </w:r>
      <w:r w:rsidRPr="00E435B5">
        <w:t>. The most significant safety finding in the pharmacology studies was the two cases of cardiac arrest in subjects exposed to a single dose of 900mg (See Study VRX-RET-E22-108</w:t>
      </w:r>
      <w:r>
        <w:t>)</w:t>
      </w:r>
      <w:r w:rsidRPr="00E435B5">
        <w:t>.</w:t>
      </w:r>
    </w:p>
    <w:p w:rsidR="00C417F5" w:rsidRDefault="00C417F5" w:rsidP="00C40239">
      <w:pPr>
        <w:pStyle w:val="TableTitle"/>
      </w:pPr>
      <w:r>
        <w:t>Table 65</w:t>
      </w:r>
      <w:r w:rsidRPr="000471E1">
        <w:t>:</w:t>
      </w:r>
      <w:r>
        <w:t xml:space="preserve"> All TEAEs related to vital sign assessment (</w:t>
      </w:r>
      <w:r w:rsidR="00C40239">
        <w:t>s</w:t>
      </w:r>
      <w:r>
        <w:t xml:space="preserve">afety </w:t>
      </w:r>
      <w:r w:rsidR="00C40239">
        <w:t>population: i</w:t>
      </w:r>
      <w:r>
        <w:t xml:space="preserve">ntegrated </w:t>
      </w:r>
      <w:r w:rsidR="00C40239">
        <w:t>clinical p</w:t>
      </w:r>
      <w:r>
        <w:t>harmacology studies).</w:t>
      </w:r>
    </w:p>
    <w:p w:rsidR="003431EE" w:rsidRDefault="00DA36AD" w:rsidP="00C56DAF">
      <w:pPr>
        <w:jc w:val="center"/>
      </w:pPr>
      <w:r>
        <w:rPr>
          <w:noProof/>
          <w:lang w:eastAsia="en-AU"/>
        </w:rPr>
        <w:drawing>
          <wp:inline distT="0" distB="0" distL="0" distR="0">
            <wp:extent cx="5215890" cy="1038860"/>
            <wp:effectExtent l="19050" t="0" r="3810" b="0"/>
            <wp:docPr id="79" name="Picture 79" descr="Table showing all TEAEs related to vital sign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1"/>
                    <pic:cNvPicPr>
                      <a:picLocks noChangeAspect="1" noChangeArrowheads="1"/>
                    </pic:cNvPicPr>
                  </pic:nvPicPr>
                  <pic:blipFill>
                    <a:blip r:embed="rId92" cstate="print"/>
                    <a:srcRect/>
                    <a:stretch>
                      <a:fillRect/>
                    </a:stretch>
                  </pic:blipFill>
                  <pic:spPr bwMode="auto">
                    <a:xfrm>
                      <a:off x="0" y="0"/>
                      <a:ext cx="5215890" cy="1038860"/>
                    </a:xfrm>
                    <a:prstGeom prst="rect">
                      <a:avLst/>
                    </a:prstGeom>
                    <a:noFill/>
                    <a:ln w="9525">
                      <a:noFill/>
                      <a:miter lim="800000"/>
                      <a:headEnd/>
                      <a:tailEnd/>
                    </a:ln>
                  </pic:spPr>
                </pic:pic>
              </a:graphicData>
            </a:graphic>
          </wp:inline>
        </w:drawing>
      </w:r>
    </w:p>
    <w:p w:rsidR="006917DC" w:rsidRPr="00C91653" w:rsidRDefault="006917DC" w:rsidP="00C40239">
      <w:pPr>
        <w:pStyle w:val="Heading3"/>
      </w:pPr>
      <w:bookmarkStart w:id="274" w:name="_Toc330196404"/>
      <w:bookmarkStart w:id="275" w:name="_Toc365636807"/>
      <w:r w:rsidRPr="00C40239">
        <w:t>Weight</w:t>
      </w:r>
      <w:bookmarkEnd w:id="274"/>
      <w:bookmarkEnd w:id="275"/>
    </w:p>
    <w:p w:rsidR="006917DC" w:rsidRDefault="006917DC" w:rsidP="00C40239">
      <w:pPr>
        <w:pStyle w:val="Heading4"/>
      </w:pPr>
      <w:bookmarkStart w:id="276" w:name="_Toc330196405"/>
      <w:r w:rsidRPr="00C91653">
        <w:t xml:space="preserve">Pivotal </w:t>
      </w:r>
      <w:r w:rsidRPr="00C40239">
        <w:t>studies</w:t>
      </w:r>
      <w:bookmarkEnd w:id="276"/>
    </w:p>
    <w:p w:rsidR="006917DC" w:rsidRPr="006917DC" w:rsidRDefault="006917DC" w:rsidP="00C40239">
      <w:proofErr w:type="spellStart"/>
      <w:r w:rsidRPr="006917DC">
        <w:t>Retigabine</w:t>
      </w:r>
      <w:proofErr w:type="spellEnd"/>
      <w:r w:rsidRPr="006917DC">
        <w:t xml:space="preserve"> was associated with an increased risk of weight gain</w:t>
      </w:r>
      <w:r w:rsidR="00A516C3">
        <w:t xml:space="preserve"> (Tables 66 and 67)</w:t>
      </w:r>
      <w:r w:rsidRPr="006917DC">
        <w:t xml:space="preserve">. An increase in body weight was reported as an AE in 5/427 (1%) patients in the placebo group, compared to 6/281 (2%), 9/273 (3%), and 7/259 (3%) patients in the </w:t>
      </w:r>
      <w:proofErr w:type="spellStart"/>
      <w:r w:rsidRPr="006917DC">
        <w:t>retigabine</w:t>
      </w:r>
      <w:proofErr w:type="spellEnd"/>
      <w:r w:rsidRPr="006917DC">
        <w:t xml:space="preserve"> 600mg/d, 900mg/d and 1200mg/d groups, respectively.</w:t>
      </w:r>
    </w:p>
    <w:p w:rsidR="006917DC" w:rsidRDefault="006917DC" w:rsidP="00C40239">
      <w:pPr>
        <w:pStyle w:val="TableTitle"/>
      </w:pPr>
      <w:r>
        <w:t>Table 66</w:t>
      </w:r>
      <w:r w:rsidRPr="000471E1">
        <w:t>:</w:t>
      </w:r>
      <w:r>
        <w:t xml:space="preserve"> Baseline weight and c</w:t>
      </w:r>
      <w:r w:rsidR="00C40239">
        <w:t>hange in weight from baseline (s</w:t>
      </w:r>
      <w:r>
        <w:t xml:space="preserve">afety </w:t>
      </w:r>
      <w:r w:rsidR="00C40239">
        <w:t>p</w:t>
      </w:r>
      <w:r>
        <w:t>opulation: PCT).</w:t>
      </w:r>
    </w:p>
    <w:p w:rsidR="00C417F5" w:rsidRDefault="00DA36AD" w:rsidP="00CF193C">
      <w:pPr>
        <w:jc w:val="center"/>
      </w:pPr>
      <w:r>
        <w:rPr>
          <w:noProof/>
          <w:lang w:eastAsia="en-AU"/>
        </w:rPr>
        <w:drawing>
          <wp:inline distT="0" distB="0" distL="0" distR="0">
            <wp:extent cx="5076825" cy="2289810"/>
            <wp:effectExtent l="19050" t="0" r="9525" b="0"/>
            <wp:docPr id="80" name="Picture 80" descr="Table showing baseline weight and change in weight from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1"/>
                    <pic:cNvPicPr>
                      <a:picLocks noChangeAspect="1" noChangeArrowheads="1"/>
                    </pic:cNvPicPr>
                  </pic:nvPicPr>
                  <pic:blipFill>
                    <a:blip r:embed="rId93" cstate="print"/>
                    <a:srcRect/>
                    <a:stretch>
                      <a:fillRect/>
                    </a:stretch>
                  </pic:blipFill>
                  <pic:spPr bwMode="auto">
                    <a:xfrm>
                      <a:off x="0" y="0"/>
                      <a:ext cx="5076825" cy="2289810"/>
                    </a:xfrm>
                    <a:prstGeom prst="rect">
                      <a:avLst/>
                    </a:prstGeom>
                    <a:noFill/>
                    <a:ln w="9525">
                      <a:noFill/>
                      <a:miter lim="800000"/>
                      <a:headEnd/>
                      <a:tailEnd/>
                    </a:ln>
                  </pic:spPr>
                </pic:pic>
              </a:graphicData>
            </a:graphic>
          </wp:inline>
        </w:drawing>
      </w:r>
    </w:p>
    <w:p w:rsidR="006917DC" w:rsidRDefault="006917DC" w:rsidP="00C40239">
      <w:pPr>
        <w:pStyle w:val="TableTitle"/>
      </w:pPr>
      <w:r>
        <w:lastRenderedPageBreak/>
        <w:t>Table 67</w:t>
      </w:r>
      <w:r w:rsidRPr="000471E1">
        <w:t>:</w:t>
      </w:r>
      <w:r>
        <w:t xml:space="preserve"> Weight changes meeting values of PCC (</w:t>
      </w:r>
      <w:r w:rsidR="00C40239">
        <w:t>s</w:t>
      </w:r>
      <w:r>
        <w:t xml:space="preserve">afety </w:t>
      </w:r>
      <w:r w:rsidR="00C40239">
        <w:t>p</w:t>
      </w:r>
      <w:r>
        <w:t>opulation: PCT).</w:t>
      </w:r>
    </w:p>
    <w:p w:rsidR="006917DC" w:rsidRDefault="00DA36AD" w:rsidP="008D684B">
      <w:pPr>
        <w:jc w:val="center"/>
      </w:pPr>
      <w:r>
        <w:rPr>
          <w:noProof/>
          <w:lang w:eastAsia="en-AU"/>
        </w:rPr>
        <w:drawing>
          <wp:inline distT="0" distB="0" distL="0" distR="0">
            <wp:extent cx="5098415" cy="1945640"/>
            <wp:effectExtent l="19050" t="0" r="6985" b="0"/>
            <wp:docPr id="81" name="Picture 81" descr="Table showing weight changes meeting values of PC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1"/>
                    <pic:cNvPicPr>
                      <a:picLocks noChangeAspect="1" noChangeArrowheads="1"/>
                    </pic:cNvPicPr>
                  </pic:nvPicPr>
                  <pic:blipFill>
                    <a:blip r:embed="rId94" cstate="print"/>
                    <a:srcRect/>
                    <a:stretch>
                      <a:fillRect/>
                    </a:stretch>
                  </pic:blipFill>
                  <pic:spPr bwMode="auto">
                    <a:xfrm>
                      <a:off x="0" y="0"/>
                      <a:ext cx="5098415" cy="1945640"/>
                    </a:xfrm>
                    <a:prstGeom prst="rect">
                      <a:avLst/>
                    </a:prstGeom>
                    <a:noFill/>
                    <a:ln w="9525">
                      <a:noFill/>
                      <a:miter lim="800000"/>
                      <a:headEnd/>
                      <a:tailEnd/>
                    </a:ln>
                  </pic:spPr>
                </pic:pic>
              </a:graphicData>
            </a:graphic>
          </wp:inline>
        </w:drawing>
      </w:r>
    </w:p>
    <w:p w:rsidR="00A516C3" w:rsidRPr="006917DC" w:rsidRDefault="00A516C3" w:rsidP="00C40239">
      <w:bookmarkStart w:id="277" w:name="_Toc330196406"/>
      <w:r w:rsidRPr="006917DC">
        <w:t xml:space="preserve">A decrease in body weight was reported as an AE in 3/281 (1%) and 1/273 (&lt;1%) patients in the </w:t>
      </w:r>
      <w:proofErr w:type="spellStart"/>
      <w:r w:rsidRPr="006917DC">
        <w:t>retigabine</w:t>
      </w:r>
      <w:proofErr w:type="spellEnd"/>
      <w:r w:rsidRPr="006917DC">
        <w:t xml:space="preserve"> 600mg/d and 900mg/d groups, respectively, but in no patients from the placebo or 1200 mg/d groups.</w:t>
      </w:r>
    </w:p>
    <w:p w:rsidR="00A516C3" w:rsidRPr="006917DC" w:rsidRDefault="00A516C3" w:rsidP="00C40239">
      <w:r w:rsidRPr="006917DC">
        <w:t xml:space="preserve">An analysis of mean weights across all treatment groups (rather than just patients who reported weight gain as an AE) shows that </w:t>
      </w:r>
      <w:proofErr w:type="spellStart"/>
      <w:r w:rsidRPr="006917DC">
        <w:t>retigabine</w:t>
      </w:r>
      <w:proofErr w:type="spellEnd"/>
      <w:r w:rsidRPr="006917DC">
        <w:t xml:space="preserve"> treatment was associated with a weight gain of 2.2kg by week 18. There was a clear dose trend, with the highest dose group showing a mean gain of 2.7kg. Approximately 17% of </w:t>
      </w:r>
      <w:proofErr w:type="spellStart"/>
      <w:r w:rsidRPr="006917DC">
        <w:t>retigabine</w:t>
      </w:r>
      <w:proofErr w:type="spellEnd"/>
      <w:r w:rsidRPr="006917DC">
        <w:t xml:space="preserve"> recipients experienced weight gain of potential clinical concern (PCC) by week 18, with the highest risk at 1200mg/d (19.1%). This was defined as a weight gain of ≥ 7% from baseline.</w:t>
      </w:r>
    </w:p>
    <w:p w:rsidR="000E5496" w:rsidRDefault="000E5496" w:rsidP="00C40239">
      <w:pPr>
        <w:pStyle w:val="Heading4"/>
      </w:pPr>
      <w:r>
        <w:t xml:space="preserve">Other </w:t>
      </w:r>
      <w:r w:rsidRPr="00C40239">
        <w:t>studies</w:t>
      </w:r>
      <w:bookmarkEnd w:id="277"/>
    </w:p>
    <w:p w:rsidR="000E5496" w:rsidRPr="000E5496" w:rsidRDefault="000E5496" w:rsidP="00C40239">
      <w:r w:rsidRPr="000E5496">
        <w:t xml:space="preserve">In the broader Phase II/III population, 340/1304 (26%) </w:t>
      </w:r>
      <w:proofErr w:type="spellStart"/>
      <w:r w:rsidRPr="000E5496">
        <w:t>retigabine</w:t>
      </w:r>
      <w:proofErr w:type="spellEnd"/>
      <w:r w:rsidRPr="000E5496">
        <w:t xml:space="preserve"> recipients had weight gain of PCC for one or more measurements.</w:t>
      </w:r>
    </w:p>
    <w:p w:rsidR="000E5496" w:rsidRPr="00C91653" w:rsidRDefault="000E5496" w:rsidP="00C40239">
      <w:pPr>
        <w:pStyle w:val="Heading3"/>
      </w:pPr>
      <w:bookmarkStart w:id="278" w:name="_Ref329606165"/>
      <w:bookmarkStart w:id="279" w:name="_Ref329606169"/>
      <w:bookmarkStart w:id="280" w:name="_Toc330196407"/>
      <w:bookmarkStart w:id="281" w:name="_Toc365636808"/>
      <w:r w:rsidRPr="00C91653">
        <w:t xml:space="preserve">Urological </w:t>
      </w:r>
      <w:r w:rsidRPr="00C40239">
        <w:t>and</w:t>
      </w:r>
      <w:r w:rsidRPr="00C91653">
        <w:t xml:space="preserve"> renal safety</w:t>
      </w:r>
      <w:bookmarkEnd w:id="278"/>
      <w:bookmarkEnd w:id="279"/>
      <w:bookmarkEnd w:id="280"/>
      <w:bookmarkEnd w:id="281"/>
    </w:p>
    <w:p w:rsidR="000E5496" w:rsidRDefault="000E5496" w:rsidP="00C40239">
      <w:pPr>
        <w:pStyle w:val="Heading4"/>
      </w:pPr>
      <w:bookmarkStart w:id="282" w:name="_Toc330196408"/>
      <w:r w:rsidRPr="00C91653">
        <w:t xml:space="preserve">Pivotal </w:t>
      </w:r>
      <w:r w:rsidRPr="00C40239">
        <w:t>studies</w:t>
      </w:r>
      <w:bookmarkEnd w:id="282"/>
    </w:p>
    <w:p w:rsidR="000E5496" w:rsidRPr="000E5496" w:rsidRDefault="000E5496" w:rsidP="00C40239">
      <w:proofErr w:type="spellStart"/>
      <w:r w:rsidRPr="000E5496">
        <w:t>Retigabine</w:t>
      </w:r>
      <w:proofErr w:type="spellEnd"/>
      <w:r w:rsidRPr="000E5496">
        <w:t xml:space="preserve"> is known to interact with voltage-gated potassium channels expressed in the bladder, and the potential for urinary toxicity was highlighted in the preclinical phase of development. The sponsor therefore pooled AEs and other safety data related to the following topics:</w:t>
      </w:r>
    </w:p>
    <w:p w:rsidR="000E5496" w:rsidRPr="000E5496" w:rsidRDefault="000E5496" w:rsidP="00C40239">
      <w:pPr>
        <w:pStyle w:val="ListBullet"/>
      </w:pPr>
      <w:r w:rsidRPr="000E5496">
        <w:t xml:space="preserve">Voiding Dysfunction and </w:t>
      </w:r>
      <w:r w:rsidRPr="00C40239">
        <w:t>Urinary</w:t>
      </w:r>
      <w:r w:rsidRPr="000E5496">
        <w:t xml:space="preserve"> Retention</w:t>
      </w:r>
    </w:p>
    <w:p w:rsidR="000E5496" w:rsidRPr="00C40239" w:rsidRDefault="000E5496" w:rsidP="00C40239">
      <w:pPr>
        <w:pStyle w:val="ListBullet"/>
      </w:pPr>
      <w:r w:rsidRPr="00C40239">
        <w:t>Renal Dysfunction (renal failure)</w:t>
      </w:r>
    </w:p>
    <w:p w:rsidR="000E5496" w:rsidRPr="00C40239" w:rsidRDefault="000E5496" w:rsidP="00C40239">
      <w:pPr>
        <w:pStyle w:val="ListBullet"/>
      </w:pPr>
      <w:r w:rsidRPr="00C40239">
        <w:t>UTIs and Related Signs and Symptoms</w:t>
      </w:r>
    </w:p>
    <w:p w:rsidR="000E5496" w:rsidRPr="00C40239" w:rsidRDefault="000E5496" w:rsidP="00C40239">
      <w:pPr>
        <w:pStyle w:val="ListBullet"/>
      </w:pPr>
      <w:r w:rsidRPr="00C40239">
        <w:t>Urinary Crystals</w:t>
      </w:r>
    </w:p>
    <w:p w:rsidR="000E5496" w:rsidRDefault="000E5496" w:rsidP="00C40239">
      <w:r>
        <w:t xml:space="preserve">Overall, AEs related to renal or urinary problems were slightly more common in </w:t>
      </w:r>
      <w:proofErr w:type="spellStart"/>
      <w:r>
        <w:t>retigabine</w:t>
      </w:r>
      <w:proofErr w:type="spellEnd"/>
      <w:r>
        <w:t xml:space="preserve"> recipients (17.0%) than placebo recipients (12.9%). The difference relative to placebo was more marked in the highest dose group, where 25.1% of subjects had a renal/urinary event, nearly twice as many as in the placebo group. For the highest dose group, the difference relative to placebo was statistically significant. The relative risk of reporting a renal/urinary AE was as follows:</w:t>
      </w:r>
    </w:p>
    <w:p w:rsidR="000E5496" w:rsidRPr="00C40239" w:rsidRDefault="000E5496" w:rsidP="00C40239">
      <w:pPr>
        <w:pStyle w:val="ListBullet"/>
      </w:pPr>
      <w:r w:rsidRPr="00C40239">
        <w:t>600 mg/d group - 1.05 (95% CI 0.714, 1.543)</w:t>
      </w:r>
    </w:p>
    <w:p w:rsidR="000E5496" w:rsidRPr="00C40239" w:rsidRDefault="000E5496" w:rsidP="00C40239">
      <w:pPr>
        <w:pStyle w:val="ListBullet"/>
      </w:pPr>
      <w:r w:rsidRPr="00C40239">
        <w:t>900 mg/d group - 0.995 (95% CI 0.67, 1.478)</w:t>
      </w:r>
    </w:p>
    <w:p w:rsidR="000E5496" w:rsidRPr="00C40239" w:rsidRDefault="000E5496" w:rsidP="00C40239">
      <w:pPr>
        <w:pStyle w:val="ListBullet"/>
      </w:pPr>
      <w:r w:rsidRPr="00C40239">
        <w:t>1200 mg/d group - 1.948 (95% CI 1.409, 2.695)</w:t>
      </w:r>
    </w:p>
    <w:p w:rsidR="000E5496" w:rsidRPr="00C40239" w:rsidRDefault="000E5496" w:rsidP="00C40239">
      <w:pPr>
        <w:pStyle w:val="ListBullet"/>
      </w:pPr>
      <w:r w:rsidRPr="00C40239">
        <w:lastRenderedPageBreak/>
        <w:t>Total RTG group – 1.32 (95% CI, 0.986, 1.761)</w:t>
      </w:r>
    </w:p>
    <w:p w:rsidR="000E5496" w:rsidRPr="000E5496" w:rsidRDefault="000E5496" w:rsidP="00C40239">
      <w:r w:rsidRPr="000E5496">
        <w:t xml:space="preserve">The excess in the high-dose group was largely accounted for by urinary tract infections, </w:t>
      </w:r>
      <w:proofErr w:type="spellStart"/>
      <w:r w:rsidRPr="000E5496">
        <w:t>dysuria</w:t>
      </w:r>
      <w:proofErr w:type="spellEnd"/>
      <w:r w:rsidRPr="000E5496">
        <w:t xml:space="preserve">, urinary hesitation, </w:t>
      </w:r>
      <w:proofErr w:type="spellStart"/>
      <w:r w:rsidRPr="000E5496">
        <w:t>chromaturia</w:t>
      </w:r>
      <w:proofErr w:type="spellEnd"/>
      <w:r w:rsidRPr="000E5496">
        <w:t>, abnormal urine analysis and abnormal residual urine volume. Some of these, including UTIs, hesitation and abnormal residual urine volume, could be due to an inhibi</w:t>
      </w:r>
      <w:r w:rsidR="0062354D">
        <w:t>tory effect on bladder emptying (Table 68)</w:t>
      </w:r>
      <w:r w:rsidR="00992FE3">
        <w:t>.</w:t>
      </w:r>
    </w:p>
    <w:p w:rsidR="000E5496" w:rsidRDefault="000E5496" w:rsidP="00C40239">
      <w:pPr>
        <w:pStyle w:val="TableTitle"/>
      </w:pPr>
      <w:r>
        <w:t>Table 68</w:t>
      </w:r>
      <w:r w:rsidRPr="000471E1">
        <w:t>:</w:t>
      </w:r>
      <w:r>
        <w:t xml:space="preserve"> AEs of renal/urinary disorders reported by 2 or more pa</w:t>
      </w:r>
      <w:r w:rsidR="00C40239">
        <w:t>tients in any treatment group (safety p</w:t>
      </w:r>
      <w:r>
        <w:t>opulation: PCT).</w:t>
      </w:r>
    </w:p>
    <w:p w:rsidR="000E5496" w:rsidRDefault="00DA36AD" w:rsidP="006031E3">
      <w:pPr>
        <w:jc w:val="center"/>
      </w:pPr>
      <w:r>
        <w:rPr>
          <w:noProof/>
          <w:lang w:eastAsia="en-AU"/>
        </w:rPr>
        <w:drawing>
          <wp:inline distT="0" distB="0" distL="0" distR="0">
            <wp:extent cx="4900930" cy="3343275"/>
            <wp:effectExtent l="19050" t="0" r="0" b="0"/>
            <wp:docPr id="82" name="Picture 82" descr="Table showing AEs of renal/urinary disorders reported by 2 or more patients in any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1"/>
                    <pic:cNvPicPr>
                      <a:picLocks noChangeAspect="1" noChangeArrowheads="1"/>
                    </pic:cNvPicPr>
                  </pic:nvPicPr>
                  <pic:blipFill>
                    <a:blip r:embed="rId95" cstate="print"/>
                    <a:srcRect/>
                    <a:stretch>
                      <a:fillRect/>
                    </a:stretch>
                  </pic:blipFill>
                  <pic:spPr bwMode="auto">
                    <a:xfrm>
                      <a:off x="0" y="0"/>
                      <a:ext cx="4900930" cy="3343275"/>
                    </a:xfrm>
                    <a:prstGeom prst="rect">
                      <a:avLst/>
                    </a:prstGeom>
                    <a:noFill/>
                    <a:ln w="9525">
                      <a:noFill/>
                      <a:miter lim="800000"/>
                      <a:headEnd/>
                      <a:tailEnd/>
                    </a:ln>
                  </pic:spPr>
                </pic:pic>
              </a:graphicData>
            </a:graphic>
          </wp:inline>
        </w:drawing>
      </w:r>
    </w:p>
    <w:p w:rsidR="00C40239" w:rsidRDefault="00B26498" w:rsidP="00C40239">
      <w:r w:rsidRPr="00B26498">
        <w:t xml:space="preserve">Serious AEs related to the renal/urinary system were rare in the PCT population, and in each case resolved, as shown in </w:t>
      </w:r>
      <w:r>
        <w:t>Table 69</w:t>
      </w:r>
      <w:r w:rsidRPr="00B26498">
        <w:t xml:space="preserve">. The most concerning SAE was the development of renal failure in one recipient of </w:t>
      </w:r>
      <w:proofErr w:type="spellStart"/>
      <w:r w:rsidRPr="00B26498">
        <w:t>retigabine</w:t>
      </w:r>
      <w:proofErr w:type="spellEnd"/>
      <w:r w:rsidRPr="00B26498">
        <w:t xml:space="preserve"> 600mg/d – a causal relationship with </w:t>
      </w:r>
      <w:proofErr w:type="spellStart"/>
      <w:r w:rsidRPr="00B26498">
        <w:t>retigabine</w:t>
      </w:r>
      <w:proofErr w:type="spellEnd"/>
      <w:r w:rsidRPr="00B26498">
        <w:t xml:space="preserve"> treatment cannot be excluded. Discontinuations due to renal/urinary events were also rare, and affected the same proportion of placebo and </w:t>
      </w:r>
      <w:proofErr w:type="spellStart"/>
      <w:r w:rsidRPr="00B26498">
        <w:t>retigabine</w:t>
      </w:r>
      <w:proofErr w:type="spellEnd"/>
      <w:r w:rsidRPr="00B26498">
        <w:t xml:space="preserve"> recipients: 3 (0.7%) in the placebo treatment group and 6 (0.7%) in the pooled </w:t>
      </w:r>
      <w:proofErr w:type="spellStart"/>
      <w:r w:rsidRPr="00B26498">
        <w:t>retigabine</w:t>
      </w:r>
      <w:proofErr w:type="spellEnd"/>
      <w:r w:rsidRPr="00B26498">
        <w:t xml:space="preserve"> group.</w:t>
      </w:r>
    </w:p>
    <w:p w:rsidR="00B26498" w:rsidRDefault="00B26498" w:rsidP="00C40239">
      <w:pPr>
        <w:pStyle w:val="TableTitle"/>
      </w:pPr>
      <w:r>
        <w:t>Table 69</w:t>
      </w:r>
      <w:r w:rsidRPr="000471E1">
        <w:t>:</w:t>
      </w:r>
      <w:r>
        <w:t xml:space="preserve"> SAEs due to renal/urinary disorders (</w:t>
      </w:r>
      <w:r w:rsidR="00C40239">
        <w:t>s</w:t>
      </w:r>
      <w:r>
        <w:t xml:space="preserve">afety </w:t>
      </w:r>
      <w:r w:rsidR="00C40239">
        <w:t>p</w:t>
      </w:r>
      <w:r>
        <w:t>opulation: PCT).</w:t>
      </w:r>
    </w:p>
    <w:p w:rsidR="00B26498" w:rsidRDefault="00DA36AD" w:rsidP="006031E3">
      <w:pPr>
        <w:jc w:val="center"/>
      </w:pPr>
      <w:r>
        <w:rPr>
          <w:noProof/>
          <w:lang w:eastAsia="en-AU"/>
        </w:rPr>
        <w:drawing>
          <wp:inline distT="0" distB="0" distL="0" distR="0">
            <wp:extent cx="4732655" cy="2070100"/>
            <wp:effectExtent l="19050" t="0" r="0" b="0"/>
            <wp:docPr id="83" name="Picture 83" descr="Table showing SAEs due to renal/urinary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1"/>
                    <pic:cNvPicPr>
                      <a:picLocks noChangeAspect="1" noChangeArrowheads="1"/>
                    </pic:cNvPicPr>
                  </pic:nvPicPr>
                  <pic:blipFill>
                    <a:blip r:embed="rId96" cstate="print"/>
                    <a:srcRect/>
                    <a:stretch>
                      <a:fillRect/>
                    </a:stretch>
                  </pic:blipFill>
                  <pic:spPr bwMode="auto">
                    <a:xfrm>
                      <a:off x="0" y="0"/>
                      <a:ext cx="4732655" cy="2070100"/>
                    </a:xfrm>
                    <a:prstGeom prst="rect">
                      <a:avLst/>
                    </a:prstGeom>
                    <a:noFill/>
                    <a:ln w="9525">
                      <a:noFill/>
                      <a:miter lim="800000"/>
                      <a:headEnd/>
                      <a:tailEnd/>
                    </a:ln>
                  </pic:spPr>
                </pic:pic>
              </a:graphicData>
            </a:graphic>
          </wp:inline>
        </w:drawing>
      </w:r>
    </w:p>
    <w:p w:rsidR="006769B6" w:rsidRPr="006769B6" w:rsidRDefault="006769B6" w:rsidP="000214D2">
      <w:r w:rsidRPr="006769B6">
        <w:t xml:space="preserve">Ultrasounds were performed in Phase III pivotal studies to assess bladder emptying, and these suggested that, in most subjects, the effects of </w:t>
      </w:r>
      <w:proofErr w:type="spellStart"/>
      <w:r w:rsidRPr="006769B6">
        <w:t>retigabine</w:t>
      </w:r>
      <w:proofErr w:type="spellEnd"/>
      <w:r w:rsidRPr="006769B6">
        <w:t xml:space="preserve"> on bladder emptyin</w:t>
      </w:r>
      <w:r w:rsidR="00992FE3">
        <w:t xml:space="preserve">g were minor. Table 70 </w:t>
      </w:r>
      <w:r w:rsidRPr="006769B6">
        <w:t xml:space="preserve">shows the mean post-void residual bladder volume at baseline (PVR, in </w:t>
      </w:r>
      <w:proofErr w:type="spellStart"/>
      <w:r w:rsidRPr="006769B6">
        <w:t>mls</w:t>
      </w:r>
      <w:proofErr w:type="spellEnd"/>
      <w:r w:rsidRPr="006769B6">
        <w:t xml:space="preserve">) or </w:t>
      </w:r>
      <w:r w:rsidRPr="006769B6">
        <w:lastRenderedPageBreak/>
        <w:t xml:space="preserve">changes from baseline (in </w:t>
      </w:r>
      <w:proofErr w:type="spellStart"/>
      <w:r w:rsidRPr="006769B6">
        <w:t>mls</w:t>
      </w:r>
      <w:proofErr w:type="spellEnd"/>
      <w:r w:rsidRPr="006769B6">
        <w:t xml:space="preserve">) at different doses and time-points. Mean changes were minor and inconsistent, with no clear dose trend. There was, however, a mean increase in PVR in pooled </w:t>
      </w:r>
      <w:proofErr w:type="spellStart"/>
      <w:r w:rsidRPr="006769B6">
        <w:t>retigabine</w:t>
      </w:r>
      <w:proofErr w:type="spellEnd"/>
      <w:r w:rsidRPr="006769B6">
        <w:t xml:space="preserve"> subjects of 6-19 </w:t>
      </w:r>
      <w:proofErr w:type="spellStart"/>
      <w:r w:rsidRPr="006769B6">
        <w:t>mls</w:t>
      </w:r>
      <w:proofErr w:type="spellEnd"/>
      <w:r w:rsidRPr="006769B6">
        <w:t>, at different time points, and a mean decrease in placebo subjects of 0.5 to 9.7mls.</w:t>
      </w:r>
    </w:p>
    <w:p w:rsidR="006769B6" w:rsidRDefault="006769B6" w:rsidP="000214D2">
      <w:pPr>
        <w:pStyle w:val="TableTitle"/>
      </w:pPr>
      <w:r>
        <w:t>Table 70</w:t>
      </w:r>
      <w:r w:rsidRPr="000471E1">
        <w:t>:</w:t>
      </w:r>
      <w:r>
        <w:t xml:space="preserve"> Baseline and change from baseline in post void residual bladder urine volume (</w:t>
      </w:r>
      <w:r w:rsidR="000214D2">
        <w:t>safety p</w:t>
      </w:r>
      <w:r>
        <w:t>opulation: PCT).</w:t>
      </w:r>
    </w:p>
    <w:p w:rsidR="00B26498" w:rsidRDefault="00DA36AD" w:rsidP="006031E3">
      <w:pPr>
        <w:jc w:val="center"/>
      </w:pPr>
      <w:r>
        <w:rPr>
          <w:noProof/>
          <w:lang w:eastAsia="en-AU"/>
        </w:rPr>
        <w:drawing>
          <wp:inline distT="0" distB="0" distL="0" distR="0">
            <wp:extent cx="5142865" cy="1960245"/>
            <wp:effectExtent l="19050" t="0" r="635" b="0"/>
            <wp:docPr id="84" name="Picture 84" descr="Table showing baseline and change from baseline in post void residual bladder urine volu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1"/>
                    <pic:cNvPicPr>
                      <a:picLocks noChangeAspect="1" noChangeArrowheads="1"/>
                    </pic:cNvPicPr>
                  </pic:nvPicPr>
                  <pic:blipFill>
                    <a:blip r:embed="rId97" cstate="print"/>
                    <a:srcRect/>
                    <a:stretch>
                      <a:fillRect/>
                    </a:stretch>
                  </pic:blipFill>
                  <pic:spPr bwMode="auto">
                    <a:xfrm>
                      <a:off x="0" y="0"/>
                      <a:ext cx="5142865" cy="1960245"/>
                    </a:xfrm>
                    <a:prstGeom prst="rect">
                      <a:avLst/>
                    </a:prstGeom>
                    <a:noFill/>
                    <a:ln w="9525">
                      <a:noFill/>
                      <a:miter lim="800000"/>
                      <a:headEnd/>
                      <a:tailEnd/>
                    </a:ln>
                  </pic:spPr>
                </pic:pic>
              </a:graphicData>
            </a:graphic>
          </wp:inline>
        </w:drawing>
      </w:r>
    </w:p>
    <w:p w:rsidR="001A3F60" w:rsidRPr="0048223A" w:rsidRDefault="001A3F60" w:rsidP="000214D2">
      <w:pPr>
        <w:pStyle w:val="Heading4"/>
      </w:pPr>
      <w:bookmarkStart w:id="283" w:name="_Toc330196409"/>
      <w:r w:rsidRPr="0048223A">
        <w:t xml:space="preserve">Other </w:t>
      </w:r>
      <w:r w:rsidRPr="000214D2">
        <w:t>studies</w:t>
      </w:r>
      <w:bookmarkEnd w:id="283"/>
    </w:p>
    <w:p w:rsidR="001A3F60" w:rsidRPr="001A3F60" w:rsidRDefault="001A3F60" w:rsidP="000214D2">
      <w:r w:rsidRPr="001A3F60">
        <w:t xml:space="preserve">Renal/urinary AEs in the broader study population resembled those in the PCT population. They were reported in 364 of 1365 </w:t>
      </w:r>
      <w:proofErr w:type="spellStart"/>
      <w:r w:rsidRPr="001A3F60">
        <w:t>retigabine</w:t>
      </w:r>
      <w:proofErr w:type="spellEnd"/>
      <w:r w:rsidRPr="001A3F60">
        <w:t xml:space="preserve"> recipients (26.7%). The only events reported in at least 2% of subjects were urinary tract infection (8.4%), urinary hesitation (3.3%), urinalysis abnormal (2.6%), </w:t>
      </w:r>
      <w:proofErr w:type="spellStart"/>
      <w:r w:rsidRPr="001A3F60">
        <w:t>dysuria</w:t>
      </w:r>
      <w:proofErr w:type="spellEnd"/>
      <w:r w:rsidRPr="001A3F60">
        <w:t xml:space="preserve"> (2.6%) and urinary retention (2.1%).</w:t>
      </w:r>
    </w:p>
    <w:p w:rsidR="001A3F60" w:rsidRPr="00C91653" w:rsidRDefault="001A3F60" w:rsidP="000214D2">
      <w:pPr>
        <w:pStyle w:val="Heading3"/>
      </w:pPr>
      <w:bookmarkStart w:id="284" w:name="_Toc330196410"/>
      <w:bookmarkStart w:id="285" w:name="_Toc365636809"/>
      <w:r>
        <w:t xml:space="preserve">Psychiatric </w:t>
      </w:r>
      <w:r w:rsidRPr="00C91653">
        <w:t>safety</w:t>
      </w:r>
      <w:bookmarkEnd w:id="284"/>
      <w:bookmarkEnd w:id="285"/>
    </w:p>
    <w:p w:rsidR="001A3F60" w:rsidRDefault="001A3F60" w:rsidP="000214D2">
      <w:pPr>
        <w:pStyle w:val="Heading4"/>
      </w:pPr>
      <w:bookmarkStart w:id="286" w:name="_Toc330196411"/>
      <w:r w:rsidRPr="00C91653">
        <w:t xml:space="preserve">Pivotal </w:t>
      </w:r>
      <w:r w:rsidRPr="000214D2">
        <w:t>studies</w:t>
      </w:r>
      <w:bookmarkEnd w:id="286"/>
    </w:p>
    <w:p w:rsidR="001A3F60" w:rsidRPr="001A3F60" w:rsidRDefault="001A3F60" w:rsidP="000214D2">
      <w:r w:rsidRPr="001A3F60">
        <w:t>Subjects with epilepsy sometimes experience psychosis in the post-</w:t>
      </w:r>
      <w:proofErr w:type="spellStart"/>
      <w:r w:rsidRPr="001A3F60">
        <w:t>ictal</w:t>
      </w:r>
      <w:proofErr w:type="spellEnd"/>
      <w:r w:rsidRPr="001A3F60">
        <w:t xml:space="preserve"> stage, particularly after recurrent or prolonged seizures. A drug that reduced seizures might be expected to reduce this, but any drug acting on the brain must also be assessed for its capacity to cause psychosis or hallucinations. On balance, </w:t>
      </w:r>
      <w:proofErr w:type="spellStart"/>
      <w:r w:rsidRPr="001A3F60">
        <w:t>retigabine</w:t>
      </w:r>
      <w:proofErr w:type="spellEnd"/>
      <w:r w:rsidRPr="001A3F60">
        <w:t xml:space="preserve"> appears to carry a small but significant risk of causing increased susceptibility to psychosis and hallucinations. The incidence of AEs related to psychosis was increased in </w:t>
      </w:r>
      <w:proofErr w:type="spellStart"/>
      <w:r w:rsidRPr="001A3F60">
        <w:t>retigabine</w:t>
      </w:r>
      <w:proofErr w:type="spellEnd"/>
      <w:r w:rsidRPr="001A3F60">
        <w:t xml:space="preserve"> subjects (3.9%) compared to placebo subjects (0.7%), and there was a clear dose trend, as shown in </w:t>
      </w:r>
      <w:r>
        <w:t>Table 7</w:t>
      </w:r>
      <w:r w:rsidR="00992FE3">
        <w:t>1</w:t>
      </w:r>
      <w:r w:rsidRPr="001A3F60">
        <w:t>.</w:t>
      </w:r>
    </w:p>
    <w:p w:rsidR="001A3F60" w:rsidRDefault="001A3F60" w:rsidP="000214D2">
      <w:pPr>
        <w:pStyle w:val="TableTitle"/>
      </w:pPr>
      <w:r>
        <w:t>Table 7</w:t>
      </w:r>
      <w:r w:rsidR="00992FE3">
        <w:t>1</w:t>
      </w:r>
      <w:r w:rsidRPr="000471E1">
        <w:t>:</w:t>
      </w:r>
      <w:r>
        <w:t xml:space="preserve"> AEs of</w:t>
      </w:r>
      <w:r w:rsidR="000214D2">
        <w:t xml:space="preserve"> psychosis and hallucinations (safety p</w:t>
      </w:r>
      <w:r>
        <w:t>opulation: PCT).</w:t>
      </w:r>
    </w:p>
    <w:p w:rsidR="006769B6" w:rsidRDefault="00DA36AD" w:rsidP="00CF193C">
      <w:pPr>
        <w:jc w:val="center"/>
      </w:pPr>
      <w:r>
        <w:rPr>
          <w:noProof/>
          <w:lang w:eastAsia="en-AU"/>
        </w:rPr>
        <w:drawing>
          <wp:inline distT="0" distB="0" distL="0" distR="0">
            <wp:extent cx="5091430" cy="2399665"/>
            <wp:effectExtent l="19050" t="0" r="0" b="0"/>
            <wp:docPr id="85" name="Picture 85" descr="Table showing AEs of psychosis and hallucin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1"/>
                    <pic:cNvPicPr>
                      <a:picLocks noChangeAspect="1" noChangeArrowheads="1"/>
                    </pic:cNvPicPr>
                  </pic:nvPicPr>
                  <pic:blipFill>
                    <a:blip r:embed="rId98" cstate="print"/>
                    <a:srcRect/>
                    <a:stretch>
                      <a:fillRect/>
                    </a:stretch>
                  </pic:blipFill>
                  <pic:spPr bwMode="auto">
                    <a:xfrm>
                      <a:off x="0" y="0"/>
                      <a:ext cx="5091430" cy="2399665"/>
                    </a:xfrm>
                    <a:prstGeom prst="rect">
                      <a:avLst/>
                    </a:prstGeom>
                    <a:noFill/>
                    <a:ln w="9525">
                      <a:noFill/>
                      <a:miter lim="800000"/>
                      <a:headEnd/>
                      <a:tailEnd/>
                    </a:ln>
                  </pic:spPr>
                </pic:pic>
              </a:graphicData>
            </a:graphic>
          </wp:inline>
        </w:drawing>
      </w:r>
    </w:p>
    <w:p w:rsidR="001A3F60" w:rsidRPr="001A3F60" w:rsidRDefault="001A3F60" w:rsidP="000214D2">
      <w:r w:rsidRPr="001A3F60">
        <w:lastRenderedPageBreak/>
        <w:t>The events were classified as SAEs in 8 subjects (8/813, ~1%, details shown below</w:t>
      </w:r>
      <w:r w:rsidR="005E5B06">
        <w:t xml:space="preserve"> in Table 72</w:t>
      </w:r>
      <w:r w:rsidRPr="001A3F60">
        <w:t>), and led to discontinuation in 15 cases (~2%). In most subjects, the psychosis appeared in the first few weeks of treatment, during the titration phase. A review of the individual SAE narratives indicated that the psychosis often presented as post-</w:t>
      </w:r>
      <w:proofErr w:type="spellStart"/>
      <w:r w:rsidRPr="001A3F60">
        <w:t>ictal</w:t>
      </w:r>
      <w:proofErr w:type="spellEnd"/>
      <w:r w:rsidRPr="001A3F60">
        <w:t xml:space="preserve"> psychosis, suggesting seizures contributed to this symptom, but it is likely that </w:t>
      </w:r>
      <w:proofErr w:type="spellStart"/>
      <w:r w:rsidRPr="001A3F60">
        <w:t>retigabine</w:t>
      </w:r>
      <w:proofErr w:type="spellEnd"/>
      <w:r w:rsidRPr="001A3F60">
        <w:t xml:space="preserve"> also played a causal role given the excess of this type of AE with active treatment. These observations thus suggest a complex causal interplay between the seizures and the drug. In other subjects, a past history of psychiatric disease was present.</w:t>
      </w:r>
    </w:p>
    <w:p w:rsidR="001A3F60" w:rsidRDefault="001A3F60" w:rsidP="00466999">
      <w:pPr>
        <w:pStyle w:val="TableTitle"/>
      </w:pPr>
      <w:r>
        <w:t>Table 7</w:t>
      </w:r>
      <w:r w:rsidR="005E5B06">
        <w:t>2</w:t>
      </w:r>
      <w:r w:rsidRPr="000471E1">
        <w:t>:</w:t>
      </w:r>
      <w:r>
        <w:t xml:space="preserve"> SAEs due to psychosis and hallucinations (</w:t>
      </w:r>
      <w:r w:rsidR="00466999">
        <w:t>s</w:t>
      </w:r>
      <w:r>
        <w:t xml:space="preserve">afety </w:t>
      </w:r>
      <w:r w:rsidR="00466999">
        <w:t>p</w:t>
      </w:r>
      <w:r>
        <w:t>opulation: PCT).</w:t>
      </w:r>
    </w:p>
    <w:p w:rsidR="001A3F60" w:rsidRDefault="00DA36AD" w:rsidP="00683BE5">
      <w:pPr>
        <w:jc w:val="center"/>
      </w:pPr>
      <w:r>
        <w:rPr>
          <w:noProof/>
          <w:lang w:eastAsia="en-AU"/>
        </w:rPr>
        <w:drawing>
          <wp:inline distT="0" distB="0" distL="0" distR="0">
            <wp:extent cx="4711065" cy="3042920"/>
            <wp:effectExtent l="19050" t="0" r="0" b="0"/>
            <wp:docPr id="86" name="Picture 86" descr="Table showing SAEs due to psychosis and hallucin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1"/>
                    <pic:cNvPicPr>
                      <a:picLocks noChangeAspect="1" noChangeArrowheads="1"/>
                    </pic:cNvPicPr>
                  </pic:nvPicPr>
                  <pic:blipFill>
                    <a:blip r:embed="rId99" cstate="print"/>
                    <a:srcRect/>
                    <a:stretch>
                      <a:fillRect/>
                    </a:stretch>
                  </pic:blipFill>
                  <pic:spPr bwMode="auto">
                    <a:xfrm>
                      <a:off x="0" y="0"/>
                      <a:ext cx="4711065" cy="3042920"/>
                    </a:xfrm>
                    <a:prstGeom prst="rect">
                      <a:avLst/>
                    </a:prstGeom>
                    <a:noFill/>
                    <a:ln w="9525">
                      <a:noFill/>
                      <a:miter lim="800000"/>
                      <a:headEnd/>
                      <a:tailEnd/>
                    </a:ln>
                  </pic:spPr>
                </pic:pic>
              </a:graphicData>
            </a:graphic>
          </wp:inline>
        </w:drawing>
      </w:r>
    </w:p>
    <w:p w:rsidR="00683BE5" w:rsidRPr="00683BE5" w:rsidRDefault="00683BE5" w:rsidP="00466999">
      <w:proofErr w:type="spellStart"/>
      <w:r w:rsidRPr="00683BE5">
        <w:t>Suicidality</w:t>
      </w:r>
      <w:proofErr w:type="spellEnd"/>
      <w:r w:rsidRPr="00683BE5">
        <w:t xml:space="preserve"> on </w:t>
      </w:r>
      <w:proofErr w:type="spellStart"/>
      <w:r w:rsidRPr="00683BE5">
        <w:t>retigabine</w:t>
      </w:r>
      <w:proofErr w:type="spellEnd"/>
      <w:r w:rsidRPr="00683BE5">
        <w:t xml:space="preserve"> was also assessed, given that other antiepileptic drugs (AEDs) have been observed to increase the risk of suicide. The mechanisms behind this observation have not been determined, and it is unclear whether it is a group effect applicable to all AEDs and, if so, how this problem is related to the anticonvulsant action of AEDs.</w:t>
      </w:r>
    </w:p>
    <w:p w:rsidR="00683BE5" w:rsidRPr="00683BE5" w:rsidRDefault="00683BE5" w:rsidP="00466999">
      <w:r w:rsidRPr="00683BE5">
        <w:t xml:space="preserve">There was one suicide attempt and one episode of suicidal ideation in </w:t>
      </w:r>
      <w:proofErr w:type="spellStart"/>
      <w:r w:rsidRPr="00683BE5">
        <w:t>retigabine</w:t>
      </w:r>
      <w:proofErr w:type="spellEnd"/>
      <w:r w:rsidRPr="00683BE5">
        <w:t xml:space="preserve"> recipients (2/813 subjects), which means that </w:t>
      </w:r>
      <w:proofErr w:type="spellStart"/>
      <w:r w:rsidRPr="00683BE5">
        <w:t>suicidality</w:t>
      </w:r>
      <w:proofErr w:type="spellEnd"/>
      <w:r w:rsidRPr="00683BE5">
        <w:t xml:space="preserve"> on active treatment was less common than in the placebo group, where two subjects</w:t>
      </w:r>
      <w:r w:rsidR="005E5B06">
        <w:t xml:space="preserve"> had suicidal ideation (2/413) (Table 73). </w:t>
      </w:r>
      <w:r w:rsidRPr="00683BE5">
        <w:t>No firm conclusions can be drawn from such low numbers.</w:t>
      </w:r>
    </w:p>
    <w:p w:rsidR="00683BE5" w:rsidRDefault="00683BE5" w:rsidP="002B1EA0">
      <w:pPr>
        <w:pStyle w:val="TableTitle"/>
      </w:pPr>
      <w:r>
        <w:t>Table 7</w:t>
      </w:r>
      <w:r w:rsidR="005E5B06">
        <w:t>3</w:t>
      </w:r>
      <w:r w:rsidRPr="000471E1">
        <w:t>:</w:t>
      </w:r>
      <w:r>
        <w:t xml:space="preserve"> </w:t>
      </w:r>
      <w:proofErr w:type="spellStart"/>
      <w:r>
        <w:t>Suicidality</w:t>
      </w:r>
      <w:proofErr w:type="spellEnd"/>
      <w:r>
        <w:t xml:space="preserve"> assessment: completed suicide, </w:t>
      </w:r>
      <w:proofErr w:type="spellStart"/>
      <w:r>
        <w:t>suicidality</w:t>
      </w:r>
      <w:proofErr w:type="spellEnd"/>
      <w:r>
        <w:t>, and self-injurious behaviour (</w:t>
      </w:r>
      <w:r w:rsidR="002B1EA0">
        <w:t>s</w:t>
      </w:r>
      <w:r>
        <w:t xml:space="preserve">afety </w:t>
      </w:r>
      <w:r w:rsidR="002B1EA0">
        <w:t>p</w:t>
      </w:r>
      <w:r>
        <w:t>opulation: PCT).</w:t>
      </w:r>
    </w:p>
    <w:p w:rsidR="00683BE5" w:rsidRDefault="00DA36AD" w:rsidP="00152413">
      <w:pPr>
        <w:jc w:val="center"/>
      </w:pPr>
      <w:r>
        <w:rPr>
          <w:noProof/>
          <w:lang w:eastAsia="en-AU"/>
        </w:rPr>
        <w:drawing>
          <wp:inline distT="0" distB="0" distL="0" distR="0">
            <wp:extent cx="4455160" cy="2136140"/>
            <wp:effectExtent l="19050" t="0" r="2540" b="0"/>
            <wp:docPr id="87" name="Picture 87" descr="Table showing suicidality assessment: completed suicide, suicidality, and self-injurious behavi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1"/>
                    <pic:cNvPicPr>
                      <a:picLocks noChangeAspect="1" noChangeArrowheads="1"/>
                    </pic:cNvPicPr>
                  </pic:nvPicPr>
                  <pic:blipFill>
                    <a:blip r:embed="rId100" cstate="print"/>
                    <a:srcRect/>
                    <a:stretch>
                      <a:fillRect/>
                    </a:stretch>
                  </pic:blipFill>
                  <pic:spPr bwMode="auto">
                    <a:xfrm>
                      <a:off x="0" y="0"/>
                      <a:ext cx="4455160" cy="2136140"/>
                    </a:xfrm>
                    <a:prstGeom prst="rect">
                      <a:avLst/>
                    </a:prstGeom>
                    <a:noFill/>
                    <a:ln w="9525">
                      <a:noFill/>
                      <a:miter lim="800000"/>
                      <a:headEnd/>
                      <a:tailEnd/>
                    </a:ln>
                  </pic:spPr>
                </pic:pic>
              </a:graphicData>
            </a:graphic>
          </wp:inline>
        </w:drawing>
      </w:r>
    </w:p>
    <w:p w:rsidR="00D24496" w:rsidRDefault="00D24496" w:rsidP="002B1EA0">
      <w:pPr>
        <w:pStyle w:val="Heading4"/>
      </w:pPr>
      <w:bookmarkStart w:id="287" w:name="_Toc330196412"/>
      <w:r>
        <w:lastRenderedPageBreak/>
        <w:t>Other</w:t>
      </w:r>
      <w:r w:rsidRPr="00C91653">
        <w:t xml:space="preserve"> </w:t>
      </w:r>
      <w:r w:rsidRPr="002B1EA0">
        <w:t>studies</w:t>
      </w:r>
      <w:bookmarkEnd w:id="287"/>
    </w:p>
    <w:p w:rsidR="00D24496" w:rsidRPr="00D24496" w:rsidRDefault="00D24496" w:rsidP="002B1EA0">
      <w:r w:rsidRPr="00D24496">
        <w:t>Psychosis (including similar AEs) was also observed in 6.5% the broader population of Phase II and II studies, though it is not possible to draw firm inferences from this observation in</w:t>
      </w:r>
      <w:r w:rsidR="005E5B06">
        <w:t xml:space="preserve"> the absence of a placebo group (Table 74).</w:t>
      </w:r>
    </w:p>
    <w:p w:rsidR="00D24496" w:rsidRDefault="00D24496" w:rsidP="002B1EA0">
      <w:pPr>
        <w:pStyle w:val="TableTitle"/>
      </w:pPr>
      <w:r>
        <w:t>Table 7</w:t>
      </w:r>
      <w:r w:rsidR="005E5B06">
        <w:t>4</w:t>
      </w:r>
      <w:r w:rsidRPr="000471E1">
        <w:t>:</w:t>
      </w:r>
      <w:r>
        <w:t xml:space="preserve"> AEs of psychosis and hallucinations r</w:t>
      </w:r>
      <w:r w:rsidR="002B1EA0">
        <w:t>eported by 2 or more patients (s</w:t>
      </w:r>
      <w:r>
        <w:t xml:space="preserve">afety </w:t>
      </w:r>
      <w:r w:rsidR="002B1EA0">
        <w:t>population: all p</w:t>
      </w:r>
      <w:r>
        <w:t>hase II/III combined).</w:t>
      </w:r>
    </w:p>
    <w:p w:rsidR="00D24496" w:rsidRDefault="00DA36AD" w:rsidP="00DF7811">
      <w:pPr>
        <w:jc w:val="center"/>
      </w:pPr>
      <w:r>
        <w:rPr>
          <w:noProof/>
          <w:lang w:eastAsia="en-AU"/>
        </w:rPr>
        <w:drawing>
          <wp:inline distT="0" distB="0" distL="0" distR="0">
            <wp:extent cx="4915535" cy="2209165"/>
            <wp:effectExtent l="19050" t="0" r="0" b="0"/>
            <wp:docPr id="88" name="Picture 88" descr="Table showing AEs of psychosis and hallucinations reported by 2 or mor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1"/>
                    <pic:cNvPicPr>
                      <a:picLocks noChangeAspect="1" noChangeArrowheads="1"/>
                    </pic:cNvPicPr>
                  </pic:nvPicPr>
                  <pic:blipFill>
                    <a:blip r:embed="rId101" cstate="print"/>
                    <a:srcRect/>
                    <a:stretch>
                      <a:fillRect/>
                    </a:stretch>
                  </pic:blipFill>
                  <pic:spPr bwMode="auto">
                    <a:xfrm>
                      <a:off x="0" y="0"/>
                      <a:ext cx="4915535" cy="2209165"/>
                    </a:xfrm>
                    <a:prstGeom prst="rect">
                      <a:avLst/>
                    </a:prstGeom>
                    <a:noFill/>
                    <a:ln w="9525">
                      <a:noFill/>
                      <a:miter lim="800000"/>
                      <a:headEnd/>
                      <a:tailEnd/>
                    </a:ln>
                  </pic:spPr>
                </pic:pic>
              </a:graphicData>
            </a:graphic>
          </wp:inline>
        </w:drawing>
      </w:r>
    </w:p>
    <w:p w:rsidR="00DF7811" w:rsidRPr="00DF7811" w:rsidRDefault="00DF7811" w:rsidP="002B1EA0">
      <w:r w:rsidRPr="00DF7811">
        <w:t xml:space="preserve">A review of </w:t>
      </w:r>
      <w:proofErr w:type="spellStart"/>
      <w:r w:rsidRPr="00DF7811">
        <w:t>suicidality</w:t>
      </w:r>
      <w:proofErr w:type="spellEnd"/>
      <w:r w:rsidRPr="00DF7811">
        <w:t xml:space="preserve"> in this broader population found six cases, plus the two from the PCT population already considered. In a population of this size, amongst patients with a chronic illness that often causes social impediments, hospitalisation and injuries, this rate of </w:t>
      </w:r>
      <w:proofErr w:type="spellStart"/>
      <w:r w:rsidRPr="00DF7811">
        <w:t>suicidality</w:t>
      </w:r>
      <w:proofErr w:type="spellEnd"/>
      <w:r w:rsidRPr="00DF7811">
        <w:t xml:space="preserve"> is not surprising. In the absence of a control group, no clear inferences can be drawn, but this limited evidence does not suggest that </w:t>
      </w:r>
      <w:proofErr w:type="spellStart"/>
      <w:r w:rsidRPr="00DF7811">
        <w:t>retigabine</w:t>
      </w:r>
      <w:proofErr w:type="spellEnd"/>
      <w:r w:rsidRPr="00DF7811">
        <w:t xml:space="preserve"> increases the risk of suicide.</w:t>
      </w:r>
    </w:p>
    <w:p w:rsidR="00497498" w:rsidRPr="00497498" w:rsidRDefault="00497498" w:rsidP="002B1EA0">
      <w:pPr>
        <w:pStyle w:val="Heading3"/>
      </w:pPr>
      <w:bookmarkStart w:id="288" w:name="_Toc241374326"/>
      <w:bookmarkStart w:id="289" w:name="_Ref272333048"/>
      <w:bookmarkStart w:id="290" w:name="_Toc272414679"/>
      <w:bookmarkStart w:id="291" w:name="_Toc290846317"/>
      <w:bookmarkStart w:id="292" w:name="_Toc330196413"/>
      <w:bookmarkStart w:id="293" w:name="_Toc365636810"/>
      <w:r w:rsidRPr="00497498">
        <w:t xml:space="preserve">Post-marketing </w:t>
      </w:r>
      <w:r w:rsidRPr="002B1EA0">
        <w:t>experience</w:t>
      </w:r>
      <w:bookmarkEnd w:id="288"/>
      <w:bookmarkEnd w:id="289"/>
      <w:bookmarkEnd w:id="290"/>
      <w:bookmarkEnd w:id="291"/>
      <w:bookmarkEnd w:id="292"/>
      <w:bookmarkEnd w:id="293"/>
    </w:p>
    <w:p w:rsidR="00497498" w:rsidRPr="00497498" w:rsidRDefault="00497498" w:rsidP="002B1EA0">
      <w:r w:rsidRPr="00497498">
        <w:t>No post-marketing data was submitted, but some limited data should be available soon. The sponsor’s only comment in the Summary of Clinical Safety under ‘Post Marketing Data’ was the following:</w:t>
      </w:r>
    </w:p>
    <w:p w:rsidR="009801DB" w:rsidRPr="002B1EA0" w:rsidRDefault="00497498" w:rsidP="002B1EA0">
      <w:pPr>
        <w:ind w:left="720"/>
        <w:rPr>
          <w:i/>
        </w:rPr>
      </w:pPr>
      <w:r w:rsidRPr="002B1EA0">
        <w:rPr>
          <w:i/>
        </w:rPr>
        <w:t xml:space="preserve">“As of 1 May 2011, </w:t>
      </w:r>
      <w:proofErr w:type="spellStart"/>
      <w:r w:rsidRPr="002B1EA0">
        <w:rPr>
          <w:i/>
        </w:rPr>
        <w:t>retigabine</w:t>
      </w:r>
      <w:proofErr w:type="spellEnd"/>
      <w:r w:rsidRPr="002B1EA0">
        <w:rPr>
          <w:i/>
        </w:rPr>
        <w:t xml:space="preserve"> has been approved in the European Union, Switzerland and Norway. At this time, it is marketed in the UK and Germany.”</w:t>
      </w:r>
    </w:p>
    <w:p w:rsidR="00497498" w:rsidRPr="009801DB" w:rsidRDefault="00497498" w:rsidP="002B1EA0">
      <w:r w:rsidRPr="009801DB">
        <w:t xml:space="preserve">It has since been approved in the US. </w:t>
      </w:r>
    </w:p>
    <w:p w:rsidR="00497498" w:rsidRPr="0020128A" w:rsidRDefault="00497498" w:rsidP="002B1EA0">
      <w:pPr>
        <w:pStyle w:val="Heading3"/>
      </w:pPr>
      <w:bookmarkStart w:id="294" w:name="_Ref272333005"/>
      <w:bookmarkStart w:id="295" w:name="_Toc272414680"/>
      <w:bookmarkStart w:id="296" w:name="_Toc290846318"/>
      <w:bookmarkStart w:id="297" w:name="_Toc330196414"/>
      <w:bookmarkStart w:id="298" w:name="_Toc365636811"/>
      <w:r w:rsidRPr="0020128A">
        <w:t xml:space="preserve">Safety issues with the potential </w:t>
      </w:r>
      <w:r w:rsidRPr="002B1EA0">
        <w:t>for</w:t>
      </w:r>
      <w:r w:rsidRPr="0020128A">
        <w:t xml:space="preserve"> major regulatory imp</w:t>
      </w:r>
      <w:bookmarkEnd w:id="294"/>
      <w:bookmarkEnd w:id="295"/>
      <w:r w:rsidRPr="0020128A">
        <w:t>act</w:t>
      </w:r>
      <w:bookmarkEnd w:id="296"/>
      <w:bookmarkEnd w:id="297"/>
      <w:bookmarkEnd w:id="298"/>
    </w:p>
    <w:p w:rsidR="00497498" w:rsidRPr="0020128A" w:rsidRDefault="00497498" w:rsidP="002B1EA0">
      <w:pPr>
        <w:pStyle w:val="Heading4"/>
      </w:pPr>
      <w:bookmarkStart w:id="299" w:name="_Toc272414681"/>
      <w:bookmarkStart w:id="300" w:name="_Toc290846319"/>
      <w:bookmarkStart w:id="301" w:name="_Toc330196415"/>
      <w:r w:rsidRPr="0020128A">
        <w:t xml:space="preserve">Liver </w:t>
      </w:r>
      <w:r w:rsidRPr="002B1EA0">
        <w:t>toxicity</w:t>
      </w:r>
      <w:bookmarkEnd w:id="299"/>
      <w:bookmarkEnd w:id="300"/>
      <w:bookmarkEnd w:id="301"/>
    </w:p>
    <w:p w:rsidR="00497498" w:rsidRPr="009801DB" w:rsidRDefault="00497498" w:rsidP="002B1EA0">
      <w:r w:rsidRPr="009801DB">
        <w:t xml:space="preserve">There is no evidence that </w:t>
      </w:r>
      <w:proofErr w:type="spellStart"/>
      <w:r w:rsidRPr="009801DB">
        <w:t>retigabine</w:t>
      </w:r>
      <w:proofErr w:type="spellEnd"/>
      <w:r w:rsidRPr="009801DB">
        <w:t xml:space="preserve"> produces substantial liver toxicity.</w:t>
      </w:r>
    </w:p>
    <w:p w:rsidR="00497498" w:rsidRPr="0020128A" w:rsidRDefault="00497498" w:rsidP="002B1EA0">
      <w:pPr>
        <w:pStyle w:val="Heading4"/>
      </w:pPr>
      <w:bookmarkStart w:id="302" w:name="_Toc272414682"/>
      <w:bookmarkStart w:id="303" w:name="_Toc290846320"/>
      <w:bookmarkStart w:id="304" w:name="_Toc330196416"/>
      <w:r w:rsidRPr="0020128A">
        <w:t xml:space="preserve">Haematological </w:t>
      </w:r>
      <w:r w:rsidRPr="002B1EA0">
        <w:t>toxicity</w:t>
      </w:r>
      <w:bookmarkEnd w:id="302"/>
      <w:bookmarkEnd w:id="303"/>
      <w:bookmarkEnd w:id="304"/>
    </w:p>
    <w:p w:rsidR="00497498" w:rsidRPr="009801DB" w:rsidRDefault="00497498" w:rsidP="002B1EA0">
      <w:r w:rsidRPr="009801DB">
        <w:t xml:space="preserve">There is no evidence that </w:t>
      </w:r>
      <w:proofErr w:type="spellStart"/>
      <w:r w:rsidRPr="009801DB">
        <w:t>retigabine</w:t>
      </w:r>
      <w:proofErr w:type="spellEnd"/>
      <w:r w:rsidRPr="009801DB">
        <w:t xml:space="preserve"> produces substantial haematological toxicity.</w:t>
      </w:r>
    </w:p>
    <w:p w:rsidR="00497498" w:rsidRPr="0020128A" w:rsidRDefault="00497498" w:rsidP="002B1EA0">
      <w:pPr>
        <w:pStyle w:val="Heading4"/>
      </w:pPr>
      <w:bookmarkStart w:id="305" w:name="_Toc272414683"/>
      <w:bookmarkStart w:id="306" w:name="_Toc290846321"/>
      <w:bookmarkStart w:id="307" w:name="_Toc330196417"/>
      <w:r w:rsidRPr="0020128A">
        <w:t xml:space="preserve">Serious skin </w:t>
      </w:r>
      <w:r w:rsidRPr="002B1EA0">
        <w:t>reactions</w:t>
      </w:r>
      <w:bookmarkEnd w:id="305"/>
      <w:bookmarkEnd w:id="306"/>
      <w:bookmarkEnd w:id="307"/>
    </w:p>
    <w:p w:rsidR="00497498" w:rsidRPr="009801DB" w:rsidRDefault="00497498" w:rsidP="002B1EA0">
      <w:r w:rsidRPr="009801DB">
        <w:t>Serious skin reactions were not observed.</w:t>
      </w:r>
      <w:r w:rsidR="00460F24">
        <w:t xml:space="preserve"> </w:t>
      </w:r>
      <w:r w:rsidRPr="009801DB">
        <w:t xml:space="preserve">Skin-related AEs were reported in 4.6% of </w:t>
      </w:r>
      <w:proofErr w:type="spellStart"/>
      <w:r w:rsidRPr="009801DB">
        <w:t>retigabine</w:t>
      </w:r>
      <w:proofErr w:type="spellEnd"/>
      <w:r w:rsidRPr="009801DB">
        <w:t xml:space="preserve"> recipients, compared to 4.7% of placebo recipients, and none were reported as SAEs.</w:t>
      </w:r>
    </w:p>
    <w:p w:rsidR="00497498" w:rsidRPr="0020128A" w:rsidRDefault="00497498" w:rsidP="002B1EA0">
      <w:pPr>
        <w:pStyle w:val="Heading4"/>
      </w:pPr>
      <w:bookmarkStart w:id="308" w:name="_Toc272414684"/>
      <w:bookmarkStart w:id="309" w:name="_Toc290846322"/>
      <w:bookmarkStart w:id="310" w:name="_Ref328929553"/>
      <w:bookmarkStart w:id="311" w:name="_Ref328929558"/>
      <w:bookmarkStart w:id="312" w:name="_Ref328992865"/>
      <w:bookmarkStart w:id="313" w:name="_Ref328992869"/>
      <w:bookmarkStart w:id="314" w:name="_Ref329247882"/>
      <w:bookmarkStart w:id="315" w:name="_Ref329247886"/>
      <w:bookmarkStart w:id="316" w:name="_Toc330196418"/>
      <w:r w:rsidRPr="0020128A">
        <w:t xml:space="preserve">Cardiovascular </w:t>
      </w:r>
      <w:r w:rsidRPr="002B1EA0">
        <w:t>safety</w:t>
      </w:r>
      <w:bookmarkEnd w:id="308"/>
      <w:bookmarkEnd w:id="309"/>
      <w:bookmarkEnd w:id="310"/>
      <w:bookmarkEnd w:id="311"/>
      <w:bookmarkEnd w:id="312"/>
      <w:bookmarkEnd w:id="313"/>
      <w:bookmarkEnd w:id="314"/>
      <w:bookmarkEnd w:id="315"/>
      <w:bookmarkEnd w:id="316"/>
    </w:p>
    <w:p w:rsidR="00497498" w:rsidRPr="009801DB" w:rsidRDefault="00497498" w:rsidP="002B1EA0">
      <w:r w:rsidRPr="009801DB">
        <w:t xml:space="preserve">The cardiovascular safety of </w:t>
      </w:r>
      <w:proofErr w:type="spellStart"/>
      <w:r w:rsidRPr="009801DB">
        <w:t>retigabine</w:t>
      </w:r>
      <w:proofErr w:type="spellEnd"/>
      <w:r w:rsidRPr="009801DB">
        <w:t xml:space="preserve"> is borderline, and the drug should be used with caution or avoided completely in patients thought to be at higher risk of cardiac events. The evidence is </w:t>
      </w:r>
      <w:r w:rsidRPr="009801DB">
        <w:lastRenderedPageBreak/>
        <w:t>incomplete, but the therapeutic index appears to be narrow, and dosing errors could have serious consequences.</w:t>
      </w:r>
    </w:p>
    <w:p w:rsidR="00497498" w:rsidRPr="009801DB" w:rsidRDefault="00497498" w:rsidP="00C15742">
      <w:r w:rsidRPr="009801DB">
        <w:t xml:space="preserve">Of substantial concern, an abuse-potential study (Study VRX-RET-E22-108) showed that 900mg as a single dose can cause severe cardiac arrhythmias: two of six healthy subjects receiving this dose had a potentially fatal cardiac arrhythmia, including </w:t>
      </w:r>
      <w:proofErr w:type="spellStart"/>
      <w:r w:rsidRPr="009801DB">
        <w:t>asystole</w:t>
      </w:r>
      <w:proofErr w:type="spellEnd"/>
      <w:r w:rsidRPr="009801DB">
        <w:t xml:space="preserve"> in one subject and asymptomatic ventricular tachycardia in another, though both events resolved without specific treatment. A review of these two cases suggested that the risk of arrhythmia is difficult to predict beforehand. One subject had a family history of arrhythmia but his own cardiac investigations were completely normal, including baseline ECG. The other subject had </w:t>
      </w:r>
      <w:proofErr w:type="spellStart"/>
      <w:r w:rsidRPr="009801DB">
        <w:t>bradycardia</w:t>
      </w:r>
      <w:proofErr w:type="spellEnd"/>
      <w:r w:rsidRPr="009801DB">
        <w:t xml:space="preserve"> thought to be clinically benign. </w:t>
      </w:r>
    </w:p>
    <w:p w:rsidR="00497498" w:rsidRPr="009801DB" w:rsidRDefault="00497498" w:rsidP="00C15742">
      <w:r w:rsidRPr="009801DB">
        <w:t>For the f</w:t>
      </w:r>
      <w:r w:rsidR="009801DB">
        <w:t xml:space="preserve">irst subject, </w:t>
      </w:r>
      <w:r w:rsidRPr="009801DB">
        <w:t>the study report says:</w:t>
      </w:r>
    </w:p>
    <w:p w:rsidR="00497498" w:rsidRPr="00C15742" w:rsidRDefault="00497498" w:rsidP="00C15742">
      <w:pPr>
        <w:ind w:left="720"/>
        <w:rPr>
          <w:i/>
        </w:rPr>
      </w:pPr>
      <w:r w:rsidRPr="00C15742">
        <w:rPr>
          <w:i/>
        </w:rPr>
        <w:t xml:space="preserve">“The subject had no previous history of arrhythmia or syncope but had a </w:t>
      </w:r>
      <w:r w:rsidR="00A37BB2" w:rsidRPr="00C15742">
        <w:rPr>
          <w:i/>
        </w:rPr>
        <w:t>sibling</w:t>
      </w:r>
      <w:r w:rsidRPr="00C15742">
        <w:rPr>
          <w:i/>
        </w:rPr>
        <w:t xml:space="preserve"> with a form of arrhythmia that did not require a pacemaker or implantable </w:t>
      </w:r>
      <w:proofErr w:type="spellStart"/>
      <w:r w:rsidRPr="00C15742">
        <w:rPr>
          <w:i/>
        </w:rPr>
        <w:t>cardioverter</w:t>
      </w:r>
      <w:proofErr w:type="spellEnd"/>
      <w:r w:rsidRPr="00C15742">
        <w:rPr>
          <w:i/>
        </w:rPr>
        <w:t xml:space="preserve"> defibrillator. All previous study</w:t>
      </w:r>
      <w:r w:rsidR="002217C7" w:rsidRPr="00C15742">
        <w:rPr>
          <w:i/>
        </w:rPr>
        <w:t xml:space="preserve"> scheduled ECGs were normal … The subject</w:t>
      </w:r>
      <w:r w:rsidRPr="00C15742">
        <w:rPr>
          <w:i/>
        </w:rPr>
        <w:t xml:space="preserve"> experienced two 5 beat runs of wide complex ventricular tachycardia at 09:39, and subsequently at 09:48, three more runs of ventricular tachycardia, ranging from 3 to 8 beats occurred, and at 09:50, a longer run lasting 19 beats was noted. Heart rate during these runs of ventricular tachycardia was approximately 150 </w:t>
      </w:r>
      <w:proofErr w:type="spellStart"/>
      <w:r w:rsidRPr="00C15742">
        <w:rPr>
          <w:i/>
        </w:rPr>
        <w:t>bpm</w:t>
      </w:r>
      <w:proofErr w:type="spellEnd"/>
      <w:r w:rsidRPr="00C15742">
        <w:rPr>
          <w:i/>
        </w:rPr>
        <w:t>. The subject was reported to have remained asymptomatic throughout the event.” All subsequent cardiac investigations were normal, including an echocardiogram.</w:t>
      </w:r>
    </w:p>
    <w:p w:rsidR="00497498" w:rsidRPr="009801DB" w:rsidRDefault="00497498" w:rsidP="00C15742">
      <w:r w:rsidRPr="009801DB">
        <w:t>For the second subject:</w:t>
      </w:r>
    </w:p>
    <w:p w:rsidR="00497498" w:rsidRPr="00C15742" w:rsidRDefault="009801DB" w:rsidP="00C15742">
      <w:pPr>
        <w:ind w:left="720"/>
        <w:rPr>
          <w:i/>
        </w:rPr>
      </w:pPr>
      <w:r w:rsidRPr="00C15742">
        <w:rPr>
          <w:i/>
        </w:rPr>
        <w:t xml:space="preserve">“This subject </w:t>
      </w:r>
      <w:r w:rsidR="00497498" w:rsidRPr="00C15742">
        <w:rPr>
          <w:i/>
        </w:rPr>
        <w:t xml:space="preserve">experienced an SAE of cardiac arrest 1.8 hours after receiving a single oral dose of </w:t>
      </w:r>
      <w:proofErr w:type="spellStart"/>
      <w:r w:rsidR="00497498" w:rsidRPr="00C15742">
        <w:rPr>
          <w:i/>
        </w:rPr>
        <w:t>retigabine</w:t>
      </w:r>
      <w:proofErr w:type="spellEnd"/>
      <w:r w:rsidR="00497498" w:rsidRPr="00C15742">
        <w:rPr>
          <w:i/>
        </w:rPr>
        <w:t xml:space="preserve"> 900 mg. The subject had no significant findings on medical history or physical examination but exhibited frequent </w:t>
      </w:r>
      <w:proofErr w:type="spellStart"/>
      <w:r w:rsidR="00497498" w:rsidRPr="00C15742">
        <w:rPr>
          <w:i/>
        </w:rPr>
        <w:t>bradycardia</w:t>
      </w:r>
      <w:proofErr w:type="spellEnd"/>
      <w:r w:rsidR="00497498" w:rsidRPr="00C15742">
        <w:rPr>
          <w:i/>
        </w:rPr>
        <w:t xml:space="preserve"> at rest (down to a minimum of 45 </w:t>
      </w:r>
      <w:proofErr w:type="spellStart"/>
      <w:r w:rsidR="00497498" w:rsidRPr="00C15742">
        <w:rPr>
          <w:i/>
        </w:rPr>
        <w:t>bpm</w:t>
      </w:r>
      <w:proofErr w:type="spellEnd"/>
      <w:r w:rsidR="00497498" w:rsidRPr="00C15742">
        <w:rPr>
          <w:i/>
        </w:rPr>
        <w:t xml:space="preserve"> on vital signs assessments). ... The subject also had previous ECG findings of marked sinus </w:t>
      </w:r>
      <w:proofErr w:type="spellStart"/>
      <w:r w:rsidR="00497498" w:rsidRPr="00C15742">
        <w:rPr>
          <w:i/>
        </w:rPr>
        <w:t>bradycardia</w:t>
      </w:r>
      <w:proofErr w:type="spellEnd"/>
      <w:r w:rsidR="00497498" w:rsidRPr="00C15742">
        <w:rPr>
          <w:i/>
        </w:rPr>
        <w:t xml:space="preserve"> (down to 44 </w:t>
      </w:r>
      <w:proofErr w:type="spellStart"/>
      <w:r w:rsidR="00497498" w:rsidRPr="00C15742">
        <w:rPr>
          <w:i/>
        </w:rPr>
        <w:t>bpm</w:t>
      </w:r>
      <w:proofErr w:type="spellEnd"/>
      <w:r w:rsidR="00497498" w:rsidRPr="00C15742">
        <w:rPr>
          <w:i/>
        </w:rPr>
        <w:t xml:space="preserve"> on ECG assessments) and possible left </w:t>
      </w:r>
      <w:proofErr w:type="spellStart"/>
      <w:r w:rsidR="00497498" w:rsidRPr="00C15742">
        <w:rPr>
          <w:i/>
        </w:rPr>
        <w:t>atrial</w:t>
      </w:r>
      <w:proofErr w:type="spellEnd"/>
      <w:r w:rsidR="00497498" w:rsidRPr="00C15742">
        <w:rPr>
          <w:i/>
        </w:rPr>
        <w:t xml:space="preserve"> enlargement that were not considered clinically significant. ... A 7-lead telemetry tracing just prior to the event revealed normal sinus rhythm with a rate of 61 </w:t>
      </w:r>
      <w:proofErr w:type="spellStart"/>
      <w:r w:rsidR="00497498" w:rsidRPr="00C15742">
        <w:rPr>
          <w:i/>
        </w:rPr>
        <w:t>bpm</w:t>
      </w:r>
      <w:proofErr w:type="spellEnd"/>
      <w:r w:rsidR="00497498" w:rsidRPr="00C15742">
        <w:rPr>
          <w:i/>
        </w:rPr>
        <w:t xml:space="preserve"> followed by a few beats of slowing leading to a period of </w:t>
      </w:r>
      <w:proofErr w:type="spellStart"/>
      <w:r w:rsidR="00497498" w:rsidRPr="00C15742">
        <w:rPr>
          <w:i/>
        </w:rPr>
        <w:t>asystole</w:t>
      </w:r>
      <w:proofErr w:type="spellEnd"/>
      <w:r w:rsidR="00497498" w:rsidRPr="00C15742">
        <w:rPr>
          <w:i/>
        </w:rPr>
        <w:t xml:space="preserve"> lasting approximately 25 seconds, followed by spontaneous recovery. The </w:t>
      </w:r>
      <w:proofErr w:type="spellStart"/>
      <w:r w:rsidR="00497498" w:rsidRPr="00C15742">
        <w:rPr>
          <w:i/>
        </w:rPr>
        <w:t>asystole</w:t>
      </w:r>
      <w:proofErr w:type="spellEnd"/>
      <w:r w:rsidR="00497498" w:rsidRPr="00C15742">
        <w:rPr>
          <w:i/>
        </w:rPr>
        <w:t xml:space="preserve"> was not preceded by any unusual ECG changes, with normal sinus rhythm up to the start of the pause. … At the time of the event, the patient was found to be </w:t>
      </w:r>
      <w:proofErr w:type="spellStart"/>
      <w:r w:rsidR="00497498" w:rsidRPr="00C15742">
        <w:rPr>
          <w:i/>
        </w:rPr>
        <w:t>pulseless</w:t>
      </w:r>
      <w:proofErr w:type="spellEnd"/>
      <w:r w:rsidR="00497498" w:rsidRPr="00C15742">
        <w:rPr>
          <w:i/>
        </w:rPr>
        <w:t>, du</w:t>
      </w:r>
      <w:r w:rsidR="002217C7" w:rsidRPr="00C15742">
        <w:rPr>
          <w:i/>
        </w:rPr>
        <w:t>sky, limp, and unresponsive. The patient</w:t>
      </w:r>
      <w:r w:rsidR="00497498" w:rsidRPr="00C15742">
        <w:rPr>
          <w:i/>
        </w:rPr>
        <w:t xml:space="preserve"> was placed on the floor in order to initiate the CPR protocol; however, prior to receiving any resuscitative measures, she recovered spontaneously.”</w:t>
      </w:r>
    </w:p>
    <w:p w:rsidR="00497498" w:rsidRPr="009801DB" w:rsidRDefault="00497498" w:rsidP="00C15742">
      <w:r w:rsidRPr="009801DB">
        <w:t>Despite the spontaneous resolution of these episodes, they should be considered extremely serious, particularly as they occurred in two of six (33%) subjects exposed to this dose in a single study. (It remains unclear how many other subjects were exposed to this dose over the whole development program.)</w:t>
      </w:r>
    </w:p>
    <w:p w:rsidR="00497498" w:rsidRPr="009801DB" w:rsidRDefault="00497498" w:rsidP="00C15742">
      <w:r w:rsidRPr="009801DB">
        <w:t xml:space="preserve">On the other hand, when </w:t>
      </w:r>
      <w:proofErr w:type="spellStart"/>
      <w:r w:rsidRPr="009801DB">
        <w:t>retigabine</w:t>
      </w:r>
      <w:proofErr w:type="spellEnd"/>
      <w:r w:rsidRPr="009801DB">
        <w:t xml:space="preserve"> was used at recommended doses in the pivotal studies, the incidence of ECG-related and cardiac AEs was not excessive with active treatment compared to placebo, and the incidence of sudden death was lower with active treatmen</w:t>
      </w:r>
      <w:r w:rsidR="00EB769F">
        <w:t>t</w:t>
      </w:r>
      <w:r w:rsidRPr="009801DB">
        <w:t xml:space="preserve">. Note that the pivotal studies excluded patients with significant heart disease, which reduced the ability of the studies to assess the cardiac risk in a realistic population. Also, very few subjects &gt;65 years of age were included in the pivotal studies. This suggests that there is a narrow therapeutic setting in which </w:t>
      </w:r>
      <w:proofErr w:type="spellStart"/>
      <w:r w:rsidRPr="009801DB">
        <w:t>retigabine</w:t>
      </w:r>
      <w:proofErr w:type="spellEnd"/>
      <w:r w:rsidRPr="009801DB">
        <w:t xml:space="preserve"> can be used safely: repeated doses of 400mg seem reasonably safe in low-risk patients but single doses of 900mg seem highly dangerous even in healthy individuals. It seems likely that the therapeutic window would be further narrowed by increased age or pre-existing heart disease, a possibility that is not addressed by the existing safety data. </w:t>
      </w:r>
    </w:p>
    <w:p w:rsidR="00497498" w:rsidRPr="009801DB" w:rsidRDefault="00497498" w:rsidP="00C15742">
      <w:r w:rsidRPr="009801DB">
        <w:t>The difference between the recommended (400mg) and dangerous (900mg) doses provides very little margin for pharmacokinetic variability. The drug is associated with substantial inter-</w:t>
      </w:r>
      <w:r w:rsidRPr="009801DB">
        <w:lastRenderedPageBreak/>
        <w:t xml:space="preserve">individual variability in </w:t>
      </w:r>
      <w:proofErr w:type="spellStart"/>
      <w:r w:rsidRPr="009801DB">
        <w:t>Cmax</w:t>
      </w:r>
      <w:proofErr w:type="spellEnd"/>
      <w:r w:rsidRPr="009801DB">
        <w:t xml:space="preserve"> , with a coefficient of variation of ~40-70%. </w:t>
      </w:r>
      <w:proofErr w:type="spellStart"/>
      <w:r w:rsidRPr="009801DB">
        <w:t>Cmax</w:t>
      </w:r>
      <w:proofErr w:type="spellEnd"/>
      <w:r w:rsidRPr="009801DB">
        <w:t xml:space="preserve"> would be expected to be higher in smaller subjects, or those with reduced clearance. Even the food effect raised </w:t>
      </w:r>
      <w:proofErr w:type="spellStart"/>
      <w:r w:rsidRPr="009801DB">
        <w:t>Cmax</w:t>
      </w:r>
      <w:proofErr w:type="spellEnd"/>
      <w:r w:rsidRPr="009801DB">
        <w:t xml:space="preserve"> by 38</w:t>
      </w:r>
      <w:r w:rsidR="00EB769F">
        <w:t>%</w:t>
      </w:r>
      <w:r w:rsidRPr="009801DB">
        <w:t xml:space="preserve">. </w:t>
      </w:r>
      <w:proofErr w:type="spellStart"/>
      <w:r w:rsidRPr="009801DB">
        <w:t>Cmax</w:t>
      </w:r>
      <w:proofErr w:type="spellEnd"/>
      <w:r w:rsidRPr="009801DB">
        <w:t xml:space="preserve"> is also expected to be higher with repeat dosing, because trough levels are expected to be well above zero. These factors mean that some subjects taking the recommended dose of 400mg will achieve blood levels more typical of higher doses. </w:t>
      </w:r>
    </w:p>
    <w:p w:rsidR="00497498" w:rsidRPr="009801DB" w:rsidRDefault="00497498" w:rsidP="00C15742">
      <w:r w:rsidRPr="009801DB">
        <w:t>The drug is usually taken three times daily, so there is a three-fold difference between the intended single dose range (200-400mg) and the recommended total daily dose range (600-1200mg/d). The middle of the intended daily dose range (900mg/d) therefore equals a dose known to be dangerous when taken as a single dose (900mg), and the upper end of the recommended daily dose range exceeds this dangerous dose by 33%. There is a real risk that miscommunication or patient or doctor error could lead to triple dosing, and that occasional patients could take the intended daily dose as a single dose – it would be a rare clinician who had not seen this error occur with more benign drugs. The situation is not helped by the proposed Product Information sheet (PI), which expresses dosing recommendations in terms of daily totals (1200mg/d, rather than 400mg TID). At a minimum, this issue should be addressed with clear warnings in the PI, the consumer information sheet, and an education program aimed at prescribers. (Ideally, the drug should only be given by responsible adults who have been informed of this risk and have understood it. This would exclude many patients with age-related dementia, other CNS diseases affecting cognition, and those with cognitive side effects from their seizures or their anticonvulsants. The risk would be somewhat less if the drug were given by carers who were not themselves impaired.)</w:t>
      </w:r>
    </w:p>
    <w:p w:rsidR="00497498" w:rsidRPr="009801DB" w:rsidRDefault="00497498" w:rsidP="00C15742">
      <w:r w:rsidRPr="009801DB">
        <w:t xml:space="preserve">Also of concern, the QT study (VRX-RET-E22-103) showed that </w:t>
      </w:r>
      <w:proofErr w:type="spellStart"/>
      <w:r w:rsidRPr="009801DB">
        <w:t>retigabine</w:t>
      </w:r>
      <w:proofErr w:type="spellEnd"/>
      <w:r w:rsidRPr="009801DB">
        <w:t xml:space="preserve"> was associated with mild prolongation of the QT interval. The mean prolongation in the </w:t>
      </w:r>
      <w:proofErr w:type="spellStart"/>
      <w:r w:rsidRPr="009801DB">
        <w:t>retigabine</w:t>
      </w:r>
      <w:proofErr w:type="spellEnd"/>
      <w:r w:rsidRPr="009801DB">
        <w:t xml:space="preserve"> ITT group reached a maximum </w:t>
      </w:r>
      <w:proofErr w:type="spellStart"/>
      <w:r w:rsidRPr="009801DB">
        <w:t>if</w:t>
      </w:r>
      <w:proofErr w:type="spellEnd"/>
      <w:r w:rsidRPr="009801DB">
        <w:t xml:space="preserve"> 5 </w:t>
      </w:r>
      <w:proofErr w:type="spellStart"/>
      <w:r w:rsidRPr="009801DB">
        <w:t>msec</w:t>
      </w:r>
      <w:proofErr w:type="spellEnd"/>
      <w:r w:rsidRPr="009801DB">
        <w:t xml:space="preserve"> at 3 hours post-dosing, which is acceptable, but the usual statistical criteria for QT safety were not quite met. The upper bound of the two-sided 90% confidence intervals for the time-matched difference in </w:t>
      </w:r>
      <w:proofErr w:type="spellStart"/>
      <w:r w:rsidRPr="009801DB">
        <w:t>QTcI</w:t>
      </w:r>
      <w:proofErr w:type="spellEnd"/>
      <w:r w:rsidRPr="009801DB">
        <w:t xml:space="preserve"> was less than 10 </w:t>
      </w:r>
      <w:proofErr w:type="spellStart"/>
      <w:r w:rsidRPr="009801DB">
        <w:t>msec</w:t>
      </w:r>
      <w:proofErr w:type="spellEnd"/>
      <w:r w:rsidRPr="009801DB">
        <w:t xml:space="preserve"> at all time points except 3 hours post-dose, when it reached 10.3 msec. The sponsor also performed a post-hoc analysis of the completer population (the 26 of 40 subjects who actually tolerated </w:t>
      </w:r>
      <w:proofErr w:type="spellStart"/>
      <w:r w:rsidRPr="009801DB">
        <w:t>retigabine</w:t>
      </w:r>
      <w:proofErr w:type="spellEnd"/>
      <w:r w:rsidRPr="009801DB">
        <w:t xml:space="preserve"> 1200mg/d and completed the study as planned). In this analysis, 3 time points showed upper bounds of the 90%CIs &gt;10msec, with the highest reaching 12.6msec at 3 hours. The mean placebo-corrected difference was 6.7 </w:t>
      </w:r>
      <w:proofErr w:type="spellStart"/>
      <w:r w:rsidRPr="009801DB">
        <w:t>msec</w:t>
      </w:r>
      <w:proofErr w:type="spellEnd"/>
      <w:r w:rsidRPr="009801DB">
        <w:t xml:space="preserve"> at 3 hours. Although the prolongation was minor, and the CIs partially reflect an under-powered analysis, this finding suggests that </w:t>
      </w:r>
      <w:proofErr w:type="spellStart"/>
      <w:r w:rsidRPr="009801DB">
        <w:t>retigabine</w:t>
      </w:r>
      <w:proofErr w:type="spellEnd"/>
      <w:r w:rsidRPr="009801DB">
        <w:t xml:space="preserve"> should not be combined with other drugs that cause QT prolongation, and it should not be used in subjects with baseline QT prolongation. It would be reasonable to recommend that all subjects have a baseline ECG.</w:t>
      </w:r>
    </w:p>
    <w:p w:rsidR="00497498" w:rsidRPr="009801DB" w:rsidRDefault="00497498" w:rsidP="00C15742">
      <w:r w:rsidRPr="009801DB">
        <w:t xml:space="preserve">Note that there is no evidence that the two cases of serious arrhythmia described above were associated with QT prolongation. Neither had an arrhythmia typical of prolonged QT syndrome, and neither subject had QT prolongation at baseline, so the mildness of the QT prolongation seen in VRX-RET-E22-103 is not directly relevant to the </w:t>
      </w:r>
      <w:proofErr w:type="spellStart"/>
      <w:r w:rsidRPr="009801DB">
        <w:t>proarrhythmic</w:t>
      </w:r>
      <w:proofErr w:type="spellEnd"/>
      <w:r w:rsidRPr="009801DB">
        <w:t xml:space="preserve"> effects of </w:t>
      </w:r>
      <w:proofErr w:type="spellStart"/>
      <w:r w:rsidRPr="009801DB">
        <w:t>retigabine</w:t>
      </w:r>
      <w:proofErr w:type="spellEnd"/>
      <w:r w:rsidRPr="009801DB">
        <w:t xml:space="preserve"> demonstrated in VRX-RET-E22-108. Screening subjects for QT prolongation at baseline, though important, would not remove the risk of arrhythmias at higher doses.</w:t>
      </w:r>
    </w:p>
    <w:p w:rsidR="00497498" w:rsidRPr="00C53857" w:rsidRDefault="00497498" w:rsidP="00C15742">
      <w:pPr>
        <w:pStyle w:val="Heading4"/>
      </w:pPr>
      <w:bookmarkStart w:id="317" w:name="_Toc241374323"/>
      <w:bookmarkStart w:id="318" w:name="_Toc272414685"/>
      <w:bookmarkStart w:id="319" w:name="_Toc290846323"/>
      <w:bookmarkStart w:id="320" w:name="_Toc330196419"/>
      <w:r w:rsidRPr="00C53857">
        <w:t xml:space="preserve">Unwanted </w:t>
      </w:r>
      <w:r w:rsidRPr="00C15742">
        <w:t>immunological</w:t>
      </w:r>
      <w:r w:rsidRPr="00C53857">
        <w:t xml:space="preserve"> events</w:t>
      </w:r>
      <w:bookmarkEnd w:id="317"/>
      <w:bookmarkEnd w:id="318"/>
      <w:bookmarkEnd w:id="319"/>
      <w:bookmarkEnd w:id="320"/>
    </w:p>
    <w:p w:rsidR="00497498" w:rsidRPr="00EB769F" w:rsidRDefault="00497498" w:rsidP="00C15742">
      <w:r w:rsidRPr="00EB769F">
        <w:t xml:space="preserve">Unwanted immunological events were not a feature of </w:t>
      </w:r>
      <w:proofErr w:type="spellStart"/>
      <w:r w:rsidRPr="00EB769F">
        <w:t>retigabine</w:t>
      </w:r>
      <w:proofErr w:type="spellEnd"/>
      <w:r w:rsidRPr="00EB769F">
        <w:t xml:space="preserve"> treatment. In the pivotal studies, immune system AEs were rare, and skin reactions were no more common than in the placebo group.</w:t>
      </w:r>
    </w:p>
    <w:p w:rsidR="00497498" w:rsidRPr="00B56ECD" w:rsidRDefault="00497498" w:rsidP="00C15742">
      <w:pPr>
        <w:pStyle w:val="Heading3"/>
      </w:pPr>
      <w:bookmarkStart w:id="321" w:name="_Toc272414686"/>
      <w:bookmarkStart w:id="322" w:name="_Ref273005527"/>
      <w:bookmarkStart w:id="323" w:name="_Toc290846324"/>
      <w:bookmarkStart w:id="324" w:name="_Toc330196420"/>
      <w:bookmarkStart w:id="325" w:name="_Toc365636812"/>
      <w:r w:rsidRPr="00B56ECD">
        <w:lastRenderedPageBreak/>
        <w:t xml:space="preserve">Other </w:t>
      </w:r>
      <w:r w:rsidRPr="00C15742">
        <w:t>safety</w:t>
      </w:r>
      <w:r w:rsidRPr="00B56ECD">
        <w:t xml:space="preserve"> issues</w:t>
      </w:r>
      <w:bookmarkEnd w:id="321"/>
      <w:bookmarkEnd w:id="322"/>
      <w:bookmarkEnd w:id="323"/>
      <w:bookmarkEnd w:id="324"/>
      <w:bookmarkEnd w:id="325"/>
    </w:p>
    <w:p w:rsidR="00497498" w:rsidRPr="00B56ECD" w:rsidRDefault="00497498" w:rsidP="00C15742">
      <w:pPr>
        <w:pStyle w:val="Heading4"/>
      </w:pPr>
      <w:bookmarkStart w:id="326" w:name="_Toc241374322"/>
      <w:bookmarkStart w:id="327" w:name="_Ref272331212"/>
      <w:bookmarkStart w:id="328" w:name="_Toc272414687"/>
      <w:bookmarkStart w:id="329" w:name="_Toc290846325"/>
      <w:bookmarkStart w:id="330" w:name="_Ref329177733"/>
      <w:bookmarkStart w:id="331" w:name="_Ref329177736"/>
      <w:bookmarkStart w:id="332" w:name="_Toc330196421"/>
      <w:r w:rsidRPr="00B56ECD">
        <w:t xml:space="preserve">Safety in special </w:t>
      </w:r>
      <w:r w:rsidRPr="00C15742">
        <w:t>populations</w:t>
      </w:r>
      <w:bookmarkEnd w:id="326"/>
      <w:bookmarkEnd w:id="327"/>
      <w:bookmarkEnd w:id="328"/>
      <w:bookmarkEnd w:id="329"/>
      <w:bookmarkEnd w:id="330"/>
      <w:bookmarkEnd w:id="331"/>
      <w:bookmarkEnd w:id="332"/>
    </w:p>
    <w:p w:rsidR="00C15742" w:rsidRDefault="00497498" w:rsidP="00C15742">
      <w:r w:rsidRPr="00EB769F">
        <w:t>Limited data have been provided on patients ≥ 65 years old. Only 8 subjects in this age group were included in pivotal studies; of these, 7 had an adverse event. The most common individual AE was somnolence, in 4 of 8 subjects, followed by dizziness, in 3 of 8 subjects. Fatigue, tremor, abnormal coordination, UTI, gait disturbance and constipation were</w:t>
      </w:r>
      <w:r w:rsidR="005E5B06">
        <w:t xml:space="preserve"> reported in two subjects each (Table 75).</w:t>
      </w:r>
    </w:p>
    <w:p w:rsidR="00F36252" w:rsidRDefault="00F36252" w:rsidP="00C15742">
      <w:pPr>
        <w:pStyle w:val="TableTitle"/>
      </w:pPr>
      <w:r>
        <w:t>Table 7</w:t>
      </w:r>
      <w:r w:rsidR="005E5B06">
        <w:t>5</w:t>
      </w:r>
      <w:r w:rsidRPr="000471E1">
        <w:t>:</w:t>
      </w:r>
      <w:r>
        <w:t xml:space="preserve"> Number (%) of TEAEs reported by age and treatment group (</w:t>
      </w:r>
      <w:r w:rsidR="00C15742">
        <w:t>s</w:t>
      </w:r>
      <w:r>
        <w:t>tudy NP201).</w:t>
      </w:r>
    </w:p>
    <w:p w:rsidR="00F36252" w:rsidRDefault="00DA36AD" w:rsidP="00A44114">
      <w:pPr>
        <w:jc w:val="center"/>
      </w:pPr>
      <w:r>
        <w:rPr>
          <w:noProof/>
          <w:lang w:eastAsia="en-AU"/>
        </w:rPr>
        <w:drawing>
          <wp:inline distT="0" distB="0" distL="0" distR="0">
            <wp:extent cx="4469765" cy="5859780"/>
            <wp:effectExtent l="19050" t="0" r="6985" b="0"/>
            <wp:docPr id="89" name="Picture 89" descr="Table showing number (%) of TEAEs reported by age and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1"/>
                    <pic:cNvPicPr>
                      <a:picLocks noChangeAspect="1" noChangeArrowheads="1"/>
                    </pic:cNvPicPr>
                  </pic:nvPicPr>
                  <pic:blipFill>
                    <a:blip r:embed="rId102" cstate="print"/>
                    <a:srcRect/>
                    <a:stretch>
                      <a:fillRect/>
                    </a:stretch>
                  </pic:blipFill>
                  <pic:spPr bwMode="auto">
                    <a:xfrm>
                      <a:off x="0" y="0"/>
                      <a:ext cx="4469765" cy="5859780"/>
                    </a:xfrm>
                    <a:prstGeom prst="rect">
                      <a:avLst/>
                    </a:prstGeom>
                    <a:noFill/>
                    <a:ln w="9525">
                      <a:noFill/>
                      <a:miter lim="800000"/>
                      <a:headEnd/>
                      <a:tailEnd/>
                    </a:ln>
                  </pic:spPr>
                </pic:pic>
              </a:graphicData>
            </a:graphic>
          </wp:inline>
        </w:drawing>
      </w:r>
    </w:p>
    <w:p w:rsidR="005E5B06" w:rsidRPr="00EB769F" w:rsidRDefault="005E5B06" w:rsidP="00C15742">
      <w:bookmarkStart w:id="333" w:name="_Toc241374324"/>
      <w:bookmarkStart w:id="334" w:name="_Ref272331214"/>
      <w:bookmarkStart w:id="335" w:name="_Toc272414688"/>
      <w:bookmarkStart w:id="336" w:name="_Toc290846326"/>
      <w:bookmarkStart w:id="337" w:name="_Toc330196422"/>
      <w:r w:rsidRPr="00EB769F">
        <w:t xml:space="preserve">Additional data in subjects ≥ 65 years was obtained from a study of post herpetic neuralgia, as shown in the table below. In this study, 61 </w:t>
      </w:r>
      <w:proofErr w:type="spellStart"/>
      <w:r w:rsidRPr="00EB769F">
        <w:t>retigabine</w:t>
      </w:r>
      <w:proofErr w:type="spellEnd"/>
      <w:r w:rsidRPr="00EB769F">
        <w:t xml:space="preserve"> recipients were ≥ 65 years old, and 64 were &lt;65 years. Treatment continued for up to 13 weeks total (a titration phase for up to 6 weeks; a 4-week, double-blind maintenance phase; and a 3-week taper phase.) The overall incidence of AEs was similar in the two age groups, with a slight excess in the older subgroup for somnolence, memory impairment, vertigo, balance disorder, speech disorder and urinary retention, but a slight excess in the younger group for some other CNS side effects. </w:t>
      </w:r>
    </w:p>
    <w:p w:rsidR="005E5B06" w:rsidRPr="00EB769F" w:rsidRDefault="005E5B06" w:rsidP="00C15742">
      <w:r w:rsidRPr="00EB769F">
        <w:lastRenderedPageBreak/>
        <w:t xml:space="preserve">In general, it would be expected that older patients would be at higher risk of CNS side effects with </w:t>
      </w:r>
      <w:proofErr w:type="spellStart"/>
      <w:r w:rsidRPr="00EB769F">
        <w:t>retigabine</w:t>
      </w:r>
      <w:proofErr w:type="spellEnd"/>
      <w:r w:rsidRPr="00EB769F">
        <w:t>, as is the case for all AEDs, and the limited data do little to modify this general expectation. Clinicians should be advised to titrate doses with extra caution in this age group, even if the limited data do not yet show a clear increase in CNS-related AEs in older subjects compared to younger subjects.</w:t>
      </w:r>
    </w:p>
    <w:p w:rsidR="005E5B06" w:rsidRPr="00EB769F" w:rsidRDefault="005E5B06" w:rsidP="00C15742">
      <w:r w:rsidRPr="00EB769F">
        <w:t xml:space="preserve">Urinary retention seems to be at increased risk in older subjects, and was reported in 3 subjects on </w:t>
      </w:r>
      <w:proofErr w:type="spellStart"/>
      <w:r w:rsidRPr="00EB769F">
        <w:t>retigabine</w:t>
      </w:r>
      <w:proofErr w:type="spellEnd"/>
      <w:r w:rsidRPr="00EB769F">
        <w:t xml:space="preserve"> (4.9%), compared to only 1 older subject on placebo (3.6%); the patient numbers are too low to draw any firm conclusions.</w:t>
      </w:r>
    </w:p>
    <w:p w:rsidR="005E5B06" w:rsidRPr="00EB769F" w:rsidRDefault="005E5B06" w:rsidP="00C15742">
      <w:proofErr w:type="spellStart"/>
      <w:r w:rsidRPr="00EB769F">
        <w:t>Atrial</w:t>
      </w:r>
      <w:proofErr w:type="spellEnd"/>
      <w:r w:rsidRPr="00EB769F">
        <w:t xml:space="preserve"> fibrillation (AF) in older subjects on </w:t>
      </w:r>
      <w:proofErr w:type="spellStart"/>
      <w:r w:rsidRPr="00EB769F">
        <w:t>retigabine</w:t>
      </w:r>
      <w:proofErr w:type="spellEnd"/>
      <w:r w:rsidRPr="00EB769F">
        <w:t xml:space="preserve"> was flagged as a concern in the European Summary of Product Characteristics, but it is not mentioned in the Australian PI. AF occurred in 4 of 61 older subjects on </w:t>
      </w:r>
      <w:proofErr w:type="spellStart"/>
      <w:r w:rsidRPr="00EB769F">
        <w:t>retigabine</w:t>
      </w:r>
      <w:proofErr w:type="spellEnd"/>
      <w:r w:rsidRPr="00EB769F">
        <w:t xml:space="preserve"> (6.6%), no older subjects on placebo (0/28), and no younger subjects (0/98, including 64 </w:t>
      </w:r>
      <w:proofErr w:type="spellStart"/>
      <w:r w:rsidRPr="00EB769F">
        <w:t>retigabine</w:t>
      </w:r>
      <w:proofErr w:type="spellEnd"/>
      <w:r w:rsidRPr="00EB769F">
        <w:t xml:space="preserve"> recipients and 34 placebo recipients). The sponsor argues that the study had a 2:1 randomisation schedule, so it would be more likely to see rare events on </w:t>
      </w:r>
      <w:proofErr w:type="spellStart"/>
      <w:r w:rsidRPr="00EB769F">
        <w:t>retigabine</w:t>
      </w:r>
      <w:proofErr w:type="spellEnd"/>
      <w:r w:rsidRPr="00EB769F">
        <w:t xml:space="preserve">. Nonetheless, an even distribution of AF might have been expected to produce 2 cases of AF in older subjects on placebo. Also, an incidence of AF of 6.6% in a 13 week study seems excessive – patients with clinically significant abnormalities on baseline ECGs were excluded from the study. Thus, a causal role of </w:t>
      </w:r>
      <w:proofErr w:type="spellStart"/>
      <w:r w:rsidRPr="00EB769F">
        <w:t>retigabine</w:t>
      </w:r>
      <w:proofErr w:type="spellEnd"/>
      <w:r w:rsidRPr="00EB769F">
        <w:t xml:space="preserve"> is at least plausible. </w:t>
      </w:r>
    </w:p>
    <w:p w:rsidR="00A44114" w:rsidRPr="00B56ECD" w:rsidRDefault="00A44114" w:rsidP="00C15742">
      <w:pPr>
        <w:pStyle w:val="Heading4"/>
      </w:pPr>
      <w:r w:rsidRPr="00B56ECD">
        <w:t>Safety related to drug-drug interactions and other interactions</w:t>
      </w:r>
      <w:bookmarkEnd w:id="333"/>
      <w:bookmarkEnd w:id="334"/>
      <w:bookmarkEnd w:id="335"/>
      <w:bookmarkEnd w:id="336"/>
      <w:bookmarkEnd w:id="337"/>
    </w:p>
    <w:p w:rsidR="00A44114" w:rsidRPr="00A44114" w:rsidRDefault="00A44114" w:rsidP="00C15742">
      <w:r w:rsidRPr="00A44114">
        <w:t xml:space="preserve">CNS side effects due to AEDs are frequently additive or synergistic, with the overall medication load being responsible for sedation and cognitive blunting, rather than any individual AED within a combination being clearly responsible. Pharmacokinetic interactions are also common with many older AEDs, but are not expected to be of major significance with </w:t>
      </w:r>
      <w:proofErr w:type="spellStart"/>
      <w:r w:rsidRPr="00A44114">
        <w:t>retigabine</w:t>
      </w:r>
      <w:proofErr w:type="spellEnd"/>
      <w:r w:rsidRPr="00A44114">
        <w:t xml:space="preserve">. The most important safety concerns with </w:t>
      </w:r>
      <w:proofErr w:type="spellStart"/>
      <w:r w:rsidRPr="00A44114">
        <w:t>retigabine</w:t>
      </w:r>
      <w:proofErr w:type="spellEnd"/>
      <w:r w:rsidRPr="00A44114">
        <w:t xml:space="preserve"> based on drug interactions would be those related to QT prolongation, where additive effects could increase the incidence of arrhythmias. </w:t>
      </w:r>
    </w:p>
    <w:p w:rsidR="00A44114" w:rsidRPr="00A44114" w:rsidRDefault="00A44114" w:rsidP="00C15742">
      <w:r w:rsidRPr="00A44114">
        <w:t xml:space="preserve">Most subjects in the pivotal studies received two or more concomitant AEDs, which allows an assessment of risk according to concomitant AED use. The incidence of AEs according to co-administered drugs is explored in </w:t>
      </w:r>
      <w:r w:rsidR="005E5B06">
        <w:t>Tables 76-79</w:t>
      </w:r>
      <w:r w:rsidRPr="00A44114">
        <w:t>. Somewhat surprisingly, AEs were not more common in those receiving &gt;2 concomitant AEDs compared to those receiving 1 or 2 concomitant AEDs. (This could reflect that the overall medication load had been titrated by clinicians prior to study entry, and that subjects on single agents received higher doses of those agents, but a breakdown by dose was not provided.)</w:t>
      </w:r>
    </w:p>
    <w:p w:rsidR="00A44114" w:rsidRDefault="00A44114" w:rsidP="00C15742">
      <w:pPr>
        <w:pStyle w:val="TableTitle"/>
      </w:pPr>
      <w:r>
        <w:t>Table 7</w:t>
      </w:r>
      <w:r w:rsidR="005E5B06">
        <w:t>6</w:t>
      </w:r>
      <w:r w:rsidRPr="000471E1">
        <w:t>:</w:t>
      </w:r>
      <w:r>
        <w:t xml:space="preserve"> Summary of TEAE according to number of concomitant AED used (</w:t>
      </w:r>
      <w:r w:rsidR="00C15742">
        <w:t>s</w:t>
      </w:r>
      <w:r>
        <w:t xml:space="preserve">afety </w:t>
      </w:r>
      <w:r w:rsidR="00C15742">
        <w:t>p</w:t>
      </w:r>
      <w:r>
        <w:t xml:space="preserve">opulation: all </w:t>
      </w:r>
      <w:r w:rsidR="00C15742">
        <w:t>p</w:t>
      </w:r>
      <w:r>
        <w:t>hase II/III combined).</w:t>
      </w:r>
    </w:p>
    <w:p w:rsidR="00A44114" w:rsidRDefault="00DA36AD" w:rsidP="0014589D">
      <w:pPr>
        <w:jc w:val="center"/>
      </w:pPr>
      <w:r>
        <w:rPr>
          <w:noProof/>
          <w:lang w:eastAsia="en-AU"/>
        </w:rPr>
        <w:drawing>
          <wp:inline distT="0" distB="0" distL="0" distR="0">
            <wp:extent cx="3686810" cy="1075055"/>
            <wp:effectExtent l="19050" t="0" r="8890" b="0"/>
            <wp:docPr id="90" name="Picture 90" descr="Table showing summary of TEAE according to number of concomitant AED u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1"/>
                    <pic:cNvPicPr>
                      <a:picLocks noChangeAspect="1" noChangeArrowheads="1"/>
                    </pic:cNvPicPr>
                  </pic:nvPicPr>
                  <pic:blipFill>
                    <a:blip r:embed="rId103" cstate="print"/>
                    <a:srcRect/>
                    <a:stretch>
                      <a:fillRect/>
                    </a:stretch>
                  </pic:blipFill>
                  <pic:spPr bwMode="auto">
                    <a:xfrm>
                      <a:off x="0" y="0"/>
                      <a:ext cx="3686810" cy="1075055"/>
                    </a:xfrm>
                    <a:prstGeom prst="rect">
                      <a:avLst/>
                    </a:prstGeom>
                    <a:noFill/>
                    <a:ln w="9525">
                      <a:noFill/>
                      <a:miter lim="800000"/>
                      <a:headEnd/>
                      <a:tailEnd/>
                    </a:ln>
                  </pic:spPr>
                </pic:pic>
              </a:graphicData>
            </a:graphic>
          </wp:inline>
        </w:drawing>
      </w:r>
    </w:p>
    <w:p w:rsidR="00A44114" w:rsidRDefault="00A44114" w:rsidP="007B32B8">
      <w:pPr>
        <w:pStyle w:val="TableTitle"/>
      </w:pPr>
      <w:r>
        <w:t>Table 7</w:t>
      </w:r>
      <w:r w:rsidR="005E5B06">
        <w:t>7</w:t>
      </w:r>
      <w:r w:rsidRPr="000471E1">
        <w:t>:</w:t>
      </w:r>
      <w:r>
        <w:t xml:space="preserve"> </w:t>
      </w:r>
      <w:r w:rsidR="006220D1">
        <w:t>Summary of TEAEs according to concomitant AED taken by 15% or more of patients</w:t>
      </w:r>
      <w:r>
        <w:t xml:space="preserve"> (</w:t>
      </w:r>
      <w:r w:rsidR="007B32B8">
        <w:t>s</w:t>
      </w:r>
      <w:r w:rsidR="006220D1">
        <w:t xml:space="preserve">afety </w:t>
      </w:r>
      <w:r w:rsidR="007B32B8">
        <w:t>p</w:t>
      </w:r>
      <w:r w:rsidR="006220D1">
        <w:t>opulation: PCT</w:t>
      </w:r>
      <w:r>
        <w:t>).</w:t>
      </w:r>
    </w:p>
    <w:p w:rsidR="00A44114" w:rsidRDefault="00DA36AD" w:rsidP="0014589D">
      <w:pPr>
        <w:jc w:val="center"/>
      </w:pPr>
      <w:r>
        <w:rPr>
          <w:noProof/>
          <w:lang w:eastAsia="en-AU"/>
        </w:rPr>
        <w:drawing>
          <wp:inline distT="0" distB="0" distL="0" distR="0">
            <wp:extent cx="4177030" cy="1243330"/>
            <wp:effectExtent l="19050" t="0" r="0" b="0"/>
            <wp:docPr id="91" name="Picture 91" descr="Table showing summary of TEAEs according to concomitant AED taken by 15% or more of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1"/>
                    <pic:cNvPicPr>
                      <a:picLocks noChangeAspect="1" noChangeArrowheads="1"/>
                    </pic:cNvPicPr>
                  </pic:nvPicPr>
                  <pic:blipFill>
                    <a:blip r:embed="rId104" cstate="print"/>
                    <a:srcRect/>
                    <a:stretch>
                      <a:fillRect/>
                    </a:stretch>
                  </pic:blipFill>
                  <pic:spPr bwMode="auto">
                    <a:xfrm>
                      <a:off x="0" y="0"/>
                      <a:ext cx="4177030" cy="1243330"/>
                    </a:xfrm>
                    <a:prstGeom prst="rect">
                      <a:avLst/>
                    </a:prstGeom>
                    <a:noFill/>
                    <a:ln w="9525">
                      <a:noFill/>
                      <a:miter lim="800000"/>
                      <a:headEnd/>
                      <a:tailEnd/>
                    </a:ln>
                  </pic:spPr>
                </pic:pic>
              </a:graphicData>
            </a:graphic>
          </wp:inline>
        </w:drawing>
      </w:r>
    </w:p>
    <w:p w:rsidR="000E4E57" w:rsidRPr="00A44114" w:rsidRDefault="000E4E57" w:rsidP="007B32B8">
      <w:r w:rsidRPr="00A44114">
        <w:lastRenderedPageBreak/>
        <w:t xml:space="preserve">The incidence of AEs was relatively high when high-dose </w:t>
      </w:r>
      <w:proofErr w:type="spellStart"/>
      <w:r w:rsidRPr="00A44114">
        <w:t>retigabine</w:t>
      </w:r>
      <w:proofErr w:type="spellEnd"/>
      <w:r w:rsidRPr="00A44114">
        <w:t xml:space="preserve"> (1200mg/d) was combined with </w:t>
      </w:r>
      <w:proofErr w:type="spellStart"/>
      <w:r w:rsidRPr="00A44114">
        <w:t>levetiracetam</w:t>
      </w:r>
      <w:proofErr w:type="spellEnd"/>
      <w:r w:rsidRPr="00A44114">
        <w:t xml:space="preserve"> (100% of subjects on this combination reported an AE), and relatively low when lower doses of </w:t>
      </w:r>
      <w:proofErr w:type="spellStart"/>
      <w:r w:rsidRPr="00A44114">
        <w:t>retigabine</w:t>
      </w:r>
      <w:proofErr w:type="spellEnd"/>
      <w:r w:rsidRPr="00A44114">
        <w:t xml:space="preserve"> were used, especially when these were combined with </w:t>
      </w:r>
      <w:proofErr w:type="spellStart"/>
      <w:r w:rsidRPr="00A44114">
        <w:t>valproate</w:t>
      </w:r>
      <w:proofErr w:type="spellEnd"/>
      <w:r w:rsidRPr="00A44114">
        <w:t xml:space="preserve">. Combinations involving </w:t>
      </w:r>
      <w:proofErr w:type="spellStart"/>
      <w:r w:rsidRPr="00A44114">
        <w:t>carbamazepine</w:t>
      </w:r>
      <w:proofErr w:type="spellEnd"/>
      <w:r w:rsidRPr="00A44114">
        <w:t xml:space="preserve"> and </w:t>
      </w:r>
      <w:proofErr w:type="spellStart"/>
      <w:r w:rsidRPr="00A44114">
        <w:t>lamotrigine</w:t>
      </w:r>
      <w:proofErr w:type="spellEnd"/>
      <w:r w:rsidRPr="00A44114">
        <w:t xml:space="preserve"> were associated with intermediate incidences of AEs. </w:t>
      </w:r>
      <w:proofErr w:type="spellStart"/>
      <w:r w:rsidRPr="00A44114">
        <w:t>Topiramate</w:t>
      </w:r>
      <w:proofErr w:type="spellEnd"/>
      <w:r w:rsidRPr="00A44114">
        <w:t xml:space="preserve"> was associated with a relatively high incidence of AEs in combination with placebo, but did not stand out as more likely to produce AEs when it was combined with </w:t>
      </w:r>
      <w:proofErr w:type="spellStart"/>
      <w:r w:rsidRPr="00A44114">
        <w:t>retigabine</w:t>
      </w:r>
      <w:proofErr w:type="spellEnd"/>
      <w:r w:rsidRPr="00A44114">
        <w:t xml:space="preserve">. </w:t>
      </w:r>
    </w:p>
    <w:p w:rsidR="000E4E57" w:rsidRPr="00A44114" w:rsidRDefault="000E4E57" w:rsidP="007B32B8">
      <w:r w:rsidRPr="00A44114">
        <w:t xml:space="preserve">Concomitant AEDs were not randomly assigned, but were chosen by clinicians prior to study entry because of a combination of tolerability and presumed efficacy. It is therefore difficult to draw any firm conclusions from these observations, beyond the fact that it might be prudent to avoid the combination of </w:t>
      </w:r>
      <w:proofErr w:type="spellStart"/>
      <w:r w:rsidRPr="00A44114">
        <w:t>levetiracetam</w:t>
      </w:r>
      <w:proofErr w:type="spellEnd"/>
      <w:r w:rsidRPr="00A44114">
        <w:t xml:space="preserve"> and high-dose </w:t>
      </w:r>
      <w:proofErr w:type="spellStart"/>
      <w:r w:rsidRPr="00A44114">
        <w:t>retigabine</w:t>
      </w:r>
      <w:proofErr w:type="spellEnd"/>
      <w:r w:rsidRPr="00A44114">
        <w:t xml:space="preserve">. A survey of SAEs according to concomitant AEDs (subsequent tables) also suggests that the </w:t>
      </w:r>
      <w:proofErr w:type="spellStart"/>
      <w:r w:rsidRPr="00A44114">
        <w:t>levetiracetam</w:t>
      </w:r>
      <w:proofErr w:type="spellEnd"/>
      <w:r w:rsidRPr="00A44114">
        <w:t>/</w:t>
      </w:r>
      <w:proofErr w:type="spellStart"/>
      <w:r w:rsidRPr="00A44114">
        <w:t>retigabine</w:t>
      </w:r>
      <w:proofErr w:type="spellEnd"/>
      <w:r w:rsidRPr="00A44114">
        <w:t xml:space="preserve"> combination may be less well tolerated, regardless of whether the PCT population is considered (Table </w:t>
      </w:r>
      <w:r>
        <w:t>78</w:t>
      </w:r>
      <w:r w:rsidRPr="00A44114">
        <w:t>), or the broader Ph</w:t>
      </w:r>
      <w:r>
        <w:t>ase II/III population (Table 79</w:t>
      </w:r>
      <w:r w:rsidRPr="00A44114">
        <w:t>).</w:t>
      </w:r>
    </w:p>
    <w:p w:rsidR="00A44114" w:rsidRDefault="00A44114" w:rsidP="007B32B8">
      <w:pPr>
        <w:pStyle w:val="TableTitle"/>
      </w:pPr>
      <w:r>
        <w:t>Table 7</w:t>
      </w:r>
      <w:r w:rsidR="005E5B06">
        <w:t>8</w:t>
      </w:r>
      <w:r w:rsidRPr="000471E1">
        <w:t>:</w:t>
      </w:r>
      <w:r>
        <w:t xml:space="preserve"> </w:t>
      </w:r>
      <w:r w:rsidR="00214787">
        <w:t>SAEs by concomitant AEDs taken by ≥15% of patients (</w:t>
      </w:r>
      <w:r w:rsidR="007B32B8">
        <w:t>s</w:t>
      </w:r>
      <w:r w:rsidR="00214787">
        <w:t xml:space="preserve">afety </w:t>
      </w:r>
      <w:r w:rsidR="007B32B8">
        <w:t>p</w:t>
      </w:r>
      <w:r w:rsidR="00214787">
        <w:t>opulation: PCT</w:t>
      </w:r>
      <w:r>
        <w:t>).</w:t>
      </w:r>
    </w:p>
    <w:p w:rsidR="00A44114" w:rsidRDefault="00DA36AD" w:rsidP="0014589D">
      <w:pPr>
        <w:jc w:val="center"/>
      </w:pPr>
      <w:r>
        <w:rPr>
          <w:noProof/>
          <w:lang w:eastAsia="en-AU"/>
        </w:rPr>
        <w:drawing>
          <wp:inline distT="0" distB="0" distL="0" distR="0">
            <wp:extent cx="4652645" cy="1390015"/>
            <wp:effectExtent l="19050" t="0" r="0" b="0"/>
            <wp:docPr id="92" name="Picture 92" descr="Table showing SAEs by concomitant AEDs taken by ≥15% of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1"/>
                    <pic:cNvPicPr>
                      <a:picLocks noChangeAspect="1" noChangeArrowheads="1"/>
                    </pic:cNvPicPr>
                  </pic:nvPicPr>
                  <pic:blipFill>
                    <a:blip r:embed="rId105" cstate="print"/>
                    <a:srcRect/>
                    <a:stretch>
                      <a:fillRect/>
                    </a:stretch>
                  </pic:blipFill>
                  <pic:spPr bwMode="auto">
                    <a:xfrm>
                      <a:off x="0" y="0"/>
                      <a:ext cx="4652645" cy="1390015"/>
                    </a:xfrm>
                    <a:prstGeom prst="rect">
                      <a:avLst/>
                    </a:prstGeom>
                    <a:noFill/>
                    <a:ln w="9525">
                      <a:noFill/>
                      <a:miter lim="800000"/>
                      <a:headEnd/>
                      <a:tailEnd/>
                    </a:ln>
                  </pic:spPr>
                </pic:pic>
              </a:graphicData>
            </a:graphic>
          </wp:inline>
        </w:drawing>
      </w:r>
    </w:p>
    <w:p w:rsidR="00A44114" w:rsidRDefault="00A44114" w:rsidP="007B32B8">
      <w:pPr>
        <w:pStyle w:val="TableTitle"/>
      </w:pPr>
      <w:r>
        <w:t>Table 7</w:t>
      </w:r>
      <w:r w:rsidR="005E5B06">
        <w:t>9</w:t>
      </w:r>
      <w:r w:rsidRPr="000471E1">
        <w:t>:</w:t>
      </w:r>
      <w:r>
        <w:t xml:space="preserve"> </w:t>
      </w:r>
      <w:r w:rsidR="00963BCE">
        <w:t>SAEs by concomitant AEDs tak</w:t>
      </w:r>
      <w:r w:rsidR="007B32B8">
        <w:t>en by 15% or more of patients (s</w:t>
      </w:r>
      <w:r w:rsidR="00963BCE">
        <w:t xml:space="preserve">afety </w:t>
      </w:r>
      <w:r w:rsidR="007B32B8">
        <w:t>population: all p</w:t>
      </w:r>
      <w:r w:rsidR="00963BCE">
        <w:t>hase II/III combined)</w:t>
      </w:r>
      <w:r>
        <w:t>.</w:t>
      </w:r>
    </w:p>
    <w:p w:rsidR="00A44114" w:rsidRPr="000E5496" w:rsidRDefault="00DA36AD" w:rsidP="0014589D">
      <w:pPr>
        <w:jc w:val="center"/>
      </w:pPr>
      <w:r>
        <w:rPr>
          <w:noProof/>
          <w:lang w:eastAsia="en-AU"/>
        </w:rPr>
        <w:drawing>
          <wp:inline distT="0" distB="0" distL="0" distR="0">
            <wp:extent cx="4411345" cy="1207135"/>
            <wp:effectExtent l="19050" t="0" r="8255" b="0"/>
            <wp:docPr id="93" name="Picture 93" descr="Table showing SAEs by concomitant AEDs taken by 15% or more of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1"/>
                    <pic:cNvPicPr>
                      <a:picLocks noChangeAspect="1" noChangeArrowheads="1"/>
                    </pic:cNvPicPr>
                  </pic:nvPicPr>
                  <pic:blipFill>
                    <a:blip r:embed="rId106" cstate="print"/>
                    <a:srcRect/>
                    <a:stretch>
                      <a:fillRect/>
                    </a:stretch>
                  </pic:blipFill>
                  <pic:spPr bwMode="auto">
                    <a:xfrm>
                      <a:off x="0" y="0"/>
                      <a:ext cx="4411345" cy="1207135"/>
                    </a:xfrm>
                    <a:prstGeom prst="rect">
                      <a:avLst/>
                    </a:prstGeom>
                    <a:noFill/>
                    <a:ln w="9525">
                      <a:noFill/>
                      <a:miter lim="800000"/>
                      <a:headEnd/>
                      <a:tailEnd/>
                    </a:ln>
                  </pic:spPr>
                </pic:pic>
              </a:graphicData>
            </a:graphic>
          </wp:inline>
        </w:drawing>
      </w:r>
    </w:p>
    <w:p w:rsidR="00A728C0" w:rsidRDefault="00A728C0" w:rsidP="007B32B8">
      <w:pPr>
        <w:pStyle w:val="Heading4"/>
      </w:pPr>
      <w:bookmarkStart w:id="338" w:name="_Toc330196423"/>
      <w:r w:rsidRPr="007B32B8">
        <w:t>Withdrawal</w:t>
      </w:r>
      <w:r>
        <w:t xml:space="preserve"> effects</w:t>
      </w:r>
      <w:bookmarkEnd w:id="338"/>
    </w:p>
    <w:p w:rsidR="00A728C0" w:rsidRPr="00A728C0" w:rsidRDefault="00A728C0" w:rsidP="007B32B8">
      <w:r w:rsidRPr="00A728C0">
        <w:t>It is generally accepted that anticonvulsants should be withdrawn slowly, because of the risk of increased seizure activity during the withdrawal process or soon after. Such seizure activity may merely represent the reappearance of the underlying seizure tendency that has been suppressed by the anticonvulsant up until withdrawal. It can also represent a period of artificially increased risk (relative to a never-treated patient), due to habituation of the brain to the drug.</w:t>
      </w:r>
      <w:r w:rsidR="00460F24">
        <w:t xml:space="preserve"> </w:t>
      </w:r>
    </w:p>
    <w:p w:rsidR="00A728C0" w:rsidRPr="00A728C0" w:rsidRDefault="00A728C0" w:rsidP="007B32B8">
      <w:r w:rsidRPr="00A728C0">
        <w:t>In addition to seizures, other withdrawal symptoms may also occur if a drug acting on the CNS is removed while adaptations to the drug are still present.</w:t>
      </w:r>
    </w:p>
    <w:p w:rsidR="007B32B8" w:rsidRDefault="00A728C0" w:rsidP="007B32B8">
      <w:r w:rsidRPr="00A728C0">
        <w:t xml:space="preserve">In the case of </w:t>
      </w:r>
      <w:proofErr w:type="spellStart"/>
      <w:r w:rsidRPr="00A728C0">
        <w:t>retigabine</w:t>
      </w:r>
      <w:proofErr w:type="spellEnd"/>
      <w:r w:rsidRPr="00A728C0">
        <w:t>, there is a suggestion that adverse effects are increased during withdrawal, but there is no clear dose trend. The sponsor considered slow withdrawals (tapers &gt;7 days) and abrupt withdrawals (tapers of 7 days or less, or no taper), as shown separately in the following two tables</w:t>
      </w:r>
      <w:r w:rsidR="007A71C1">
        <w:t>. For slow withdrawals (Table 80</w:t>
      </w:r>
      <w:r w:rsidRPr="00A728C0">
        <w:t xml:space="preserve">), headaches were more common when </w:t>
      </w:r>
      <w:proofErr w:type="spellStart"/>
      <w:r w:rsidRPr="00A728C0">
        <w:t>retigabine</w:t>
      </w:r>
      <w:proofErr w:type="spellEnd"/>
      <w:r w:rsidRPr="00A728C0">
        <w:t xml:space="preserve"> was withdrawn, compared to placebo withdrawals. Other AEs were too infrequent to allow a comparison. </w:t>
      </w:r>
      <w:r w:rsidR="005462B4">
        <w:t>For abrupt withdrawals (Table 8</w:t>
      </w:r>
      <w:r w:rsidR="007A71C1">
        <w:t>1</w:t>
      </w:r>
      <w:r w:rsidRPr="00A728C0">
        <w:t xml:space="preserve">), no clear pattern emerged. Convulsion was more common when placebo was withdrawn - this possibly reflects some continued </w:t>
      </w:r>
      <w:r w:rsidRPr="00A728C0">
        <w:lastRenderedPageBreak/>
        <w:t xml:space="preserve">efficacy of </w:t>
      </w:r>
      <w:proofErr w:type="spellStart"/>
      <w:r w:rsidRPr="00A728C0">
        <w:t>retigabine</w:t>
      </w:r>
      <w:proofErr w:type="spellEnd"/>
      <w:r w:rsidRPr="00A728C0">
        <w:t xml:space="preserve"> during the taper. The timing of the AEs relative to the withdrawal was not clear in the sponsor’s Summary of Clinical Safety, so it is difficult to draw conclusions. There does not seem to be substantial cause for concern, but the general advice to withdraw an AED slowly should be extended to </w:t>
      </w:r>
      <w:proofErr w:type="spellStart"/>
      <w:r w:rsidRPr="00A728C0">
        <w:t>retigabine</w:t>
      </w:r>
      <w:proofErr w:type="spellEnd"/>
      <w:r w:rsidRPr="00A728C0">
        <w:t>.</w:t>
      </w:r>
    </w:p>
    <w:p w:rsidR="005462B4" w:rsidRDefault="007A71C1" w:rsidP="007B32B8">
      <w:pPr>
        <w:pStyle w:val="TableTitle"/>
      </w:pPr>
      <w:r>
        <w:t>Table 80</w:t>
      </w:r>
      <w:r w:rsidR="005462B4" w:rsidRPr="000471E1">
        <w:t>:</w:t>
      </w:r>
      <w:r w:rsidR="005462B4">
        <w:t xml:space="preserve"> </w:t>
      </w:r>
      <w:r w:rsidR="006B7E5F">
        <w:t>AEs reported for 2 or more pati</w:t>
      </w:r>
      <w:r w:rsidR="007B32B8">
        <w:t>ents in the total RTG group by p</w:t>
      </w:r>
      <w:r w:rsidR="006B7E5F">
        <w:t xml:space="preserve">referred </w:t>
      </w:r>
      <w:r w:rsidR="007B32B8">
        <w:t>t</w:t>
      </w:r>
      <w:r w:rsidR="006B7E5F">
        <w:t xml:space="preserve">erm for patients with a </w:t>
      </w:r>
      <w:proofErr w:type="spellStart"/>
      <w:r w:rsidR="006B7E5F">
        <w:t>taper</w:t>
      </w:r>
      <w:proofErr w:type="spellEnd"/>
      <w:r w:rsidR="006B7E5F">
        <w:t xml:space="preserve"> of more than 7 days (</w:t>
      </w:r>
      <w:r w:rsidR="007B32B8">
        <w:t>safety p</w:t>
      </w:r>
      <w:r w:rsidR="006B7E5F">
        <w:t>opulation: PCT</w:t>
      </w:r>
      <w:r w:rsidR="005462B4">
        <w:t>).</w:t>
      </w:r>
    </w:p>
    <w:p w:rsidR="005462B4" w:rsidRDefault="00DA36AD" w:rsidP="007A71C1">
      <w:pPr>
        <w:jc w:val="center"/>
      </w:pPr>
      <w:r>
        <w:rPr>
          <w:noProof/>
          <w:lang w:eastAsia="en-AU"/>
        </w:rPr>
        <w:drawing>
          <wp:inline distT="0" distB="0" distL="0" distR="0">
            <wp:extent cx="4791710" cy="2465070"/>
            <wp:effectExtent l="19050" t="0" r="8890" b="0"/>
            <wp:docPr id="94" name="Picture 94" descr="Table showing AEs reported for 2 or more patients in the total RTG group by preferred term for patients with a taper of more than 7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1"/>
                    <pic:cNvPicPr>
                      <a:picLocks noChangeAspect="1" noChangeArrowheads="1"/>
                    </pic:cNvPicPr>
                  </pic:nvPicPr>
                  <pic:blipFill>
                    <a:blip r:embed="rId107" cstate="print"/>
                    <a:srcRect/>
                    <a:stretch>
                      <a:fillRect/>
                    </a:stretch>
                  </pic:blipFill>
                  <pic:spPr bwMode="auto">
                    <a:xfrm>
                      <a:off x="0" y="0"/>
                      <a:ext cx="4791710" cy="2465070"/>
                    </a:xfrm>
                    <a:prstGeom prst="rect">
                      <a:avLst/>
                    </a:prstGeom>
                    <a:noFill/>
                    <a:ln w="9525">
                      <a:noFill/>
                      <a:miter lim="800000"/>
                      <a:headEnd/>
                      <a:tailEnd/>
                    </a:ln>
                  </pic:spPr>
                </pic:pic>
              </a:graphicData>
            </a:graphic>
          </wp:inline>
        </w:drawing>
      </w:r>
    </w:p>
    <w:p w:rsidR="005462B4" w:rsidRDefault="005462B4" w:rsidP="007B32B8">
      <w:pPr>
        <w:pStyle w:val="TableTitle"/>
      </w:pPr>
      <w:r>
        <w:t>Table 8</w:t>
      </w:r>
      <w:r w:rsidR="007A71C1">
        <w:t>1</w:t>
      </w:r>
      <w:r w:rsidRPr="000471E1">
        <w:t>:</w:t>
      </w:r>
      <w:r>
        <w:t xml:space="preserve"> </w:t>
      </w:r>
      <w:r w:rsidR="006B7E5F">
        <w:t>AEs reported for 2 or more patients in the total RTG group b</w:t>
      </w:r>
      <w:r w:rsidR="007B32B8">
        <w:t>y preferred t</w:t>
      </w:r>
      <w:r w:rsidR="006B7E5F">
        <w:t>erm upon abrupt discontinuation of study drug (</w:t>
      </w:r>
      <w:r w:rsidR="007B32B8">
        <w:t>safety p</w:t>
      </w:r>
      <w:r w:rsidR="006B7E5F">
        <w:t>opulation: PCT</w:t>
      </w:r>
      <w:r>
        <w:t>).</w:t>
      </w:r>
    </w:p>
    <w:p w:rsidR="005462B4" w:rsidRDefault="00DA36AD" w:rsidP="007A71C1">
      <w:pPr>
        <w:jc w:val="center"/>
      </w:pPr>
      <w:r>
        <w:rPr>
          <w:noProof/>
          <w:lang w:eastAsia="en-AU"/>
        </w:rPr>
        <w:drawing>
          <wp:inline distT="0" distB="0" distL="0" distR="0">
            <wp:extent cx="4798695" cy="2830830"/>
            <wp:effectExtent l="19050" t="0" r="1905" b="0"/>
            <wp:docPr id="95" name="Picture 95" descr="Table showing AEs reported for 2 or more patients in the total RTG group by preferred term upon abrupt discontinuation of study dru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1"/>
                    <pic:cNvPicPr>
                      <a:picLocks noChangeAspect="1" noChangeArrowheads="1"/>
                    </pic:cNvPicPr>
                  </pic:nvPicPr>
                  <pic:blipFill>
                    <a:blip r:embed="rId108" cstate="print"/>
                    <a:srcRect/>
                    <a:stretch>
                      <a:fillRect/>
                    </a:stretch>
                  </pic:blipFill>
                  <pic:spPr bwMode="auto">
                    <a:xfrm>
                      <a:off x="0" y="0"/>
                      <a:ext cx="4798695" cy="2830830"/>
                    </a:xfrm>
                    <a:prstGeom prst="rect">
                      <a:avLst/>
                    </a:prstGeom>
                    <a:noFill/>
                    <a:ln w="9525">
                      <a:noFill/>
                      <a:miter lim="800000"/>
                      <a:headEnd/>
                      <a:tailEnd/>
                    </a:ln>
                  </pic:spPr>
                </pic:pic>
              </a:graphicData>
            </a:graphic>
          </wp:inline>
        </w:drawing>
      </w:r>
    </w:p>
    <w:p w:rsidR="005462B4" w:rsidRDefault="005462B4" w:rsidP="007B32B8">
      <w:pPr>
        <w:pStyle w:val="Heading3"/>
      </w:pPr>
      <w:bookmarkStart w:id="339" w:name="_Toc241374328"/>
      <w:bookmarkStart w:id="340" w:name="_Toc272414691"/>
      <w:bookmarkStart w:id="341" w:name="_Toc290846329"/>
      <w:bookmarkStart w:id="342" w:name="_Toc330196424"/>
      <w:bookmarkStart w:id="343" w:name="_Toc365636813"/>
      <w:r>
        <w:t xml:space="preserve">Evaluator’s </w:t>
      </w:r>
      <w:r w:rsidRPr="007B32B8">
        <w:t>overall</w:t>
      </w:r>
      <w:r>
        <w:t xml:space="preserve"> conclusions on clinical safety</w:t>
      </w:r>
      <w:bookmarkEnd w:id="339"/>
      <w:bookmarkEnd w:id="340"/>
      <w:bookmarkEnd w:id="341"/>
      <w:bookmarkEnd w:id="342"/>
      <w:bookmarkEnd w:id="343"/>
    </w:p>
    <w:p w:rsidR="005462B4" w:rsidRPr="005462B4" w:rsidRDefault="005462B4" w:rsidP="007B32B8">
      <w:r w:rsidRPr="005462B4">
        <w:t xml:space="preserve">The safety of </w:t>
      </w:r>
      <w:proofErr w:type="spellStart"/>
      <w:r w:rsidRPr="005462B4">
        <w:t>retigabine</w:t>
      </w:r>
      <w:proofErr w:type="spellEnd"/>
      <w:r w:rsidRPr="005462B4">
        <w:t xml:space="preserve"> can be considered under the headings of tolerability and risk of serious harm. The tolerability of </w:t>
      </w:r>
      <w:proofErr w:type="spellStart"/>
      <w:r w:rsidRPr="005462B4">
        <w:t>retigabine</w:t>
      </w:r>
      <w:proofErr w:type="spellEnd"/>
      <w:r w:rsidRPr="005462B4">
        <w:t xml:space="preserve"> appears to be poor, relative to many other anticonvulsants, but this is probably acceptable for patients who have poorly controlled epilepsy and are prepared to risk nuisance side effects for better seizure control. Of more concern is the risk of serious harm due to cardiac arrhythmia. This risk remains poorly characterised; it is probably acceptable in low-risk patients using the drug exactly as intended, but the therapeutic window is narrow and single doses of 900mg (within the intended daily dose range) are known to be dangerous.</w:t>
      </w:r>
    </w:p>
    <w:p w:rsidR="005462B4" w:rsidRPr="00AC214B" w:rsidRDefault="005462B4" w:rsidP="007B32B8">
      <w:pPr>
        <w:pStyle w:val="Heading4"/>
      </w:pPr>
      <w:r w:rsidRPr="007B32B8">
        <w:lastRenderedPageBreak/>
        <w:t>Tolerability</w:t>
      </w:r>
    </w:p>
    <w:p w:rsidR="005462B4" w:rsidRPr="005462B4" w:rsidRDefault="005462B4" w:rsidP="007B32B8">
      <w:r w:rsidRPr="005462B4">
        <w:t xml:space="preserve">The main tolerability issues are related to the inhibitory action of </w:t>
      </w:r>
      <w:proofErr w:type="spellStart"/>
      <w:r w:rsidRPr="005462B4">
        <w:t>retigabine</w:t>
      </w:r>
      <w:proofErr w:type="spellEnd"/>
      <w:r w:rsidRPr="005462B4">
        <w:t xml:space="preserve"> on the CNS, and include dizziness, somnolence, fatigue, </w:t>
      </w:r>
      <w:proofErr w:type="spellStart"/>
      <w:r w:rsidRPr="005462B4">
        <w:t>confusional</w:t>
      </w:r>
      <w:proofErr w:type="spellEnd"/>
      <w:r w:rsidRPr="005462B4">
        <w:t xml:space="preserve"> state, vertigo, tremor and abnormal coordination, all of which occurred in &gt;10% of recipients at the highest dose level, with a clear excess relative to placebo. Dizziness was reported in 23.2% of </w:t>
      </w:r>
      <w:proofErr w:type="spellStart"/>
      <w:r w:rsidRPr="005462B4">
        <w:t>retigabine</w:t>
      </w:r>
      <w:proofErr w:type="spellEnd"/>
      <w:r w:rsidRPr="005462B4">
        <w:t xml:space="preserve"> recipients overall, and in 32.4% at the highest dose of 1200mg/d, compared to only 8.9% of placebo recipients. As a group, “nervous system disorder” AEs were reported in 60.3% of </w:t>
      </w:r>
      <w:proofErr w:type="spellStart"/>
      <w:r w:rsidRPr="005462B4">
        <w:t>retigabine</w:t>
      </w:r>
      <w:proofErr w:type="spellEnd"/>
      <w:r w:rsidRPr="005462B4">
        <w:t xml:space="preserve"> recipients, compared to 43.1% of placebo recipients, but this does not include some CNS AEs that were attributed to other organ systems (eye and psychiatric disorders, for instance).</w:t>
      </w:r>
      <w:r w:rsidR="00460F24">
        <w:t xml:space="preserve"> </w:t>
      </w:r>
      <w:r w:rsidRPr="005462B4">
        <w:t>In the high-dose group (1200mg/d), “nervous system” AEs occurred in 73.4% of subjects, an absolute excess of &gt;30% compared to placebo. There was an increased risk of psychotic symptoms, particular post-</w:t>
      </w:r>
      <w:proofErr w:type="spellStart"/>
      <w:r w:rsidRPr="005462B4">
        <w:t>ictal</w:t>
      </w:r>
      <w:proofErr w:type="spellEnd"/>
      <w:r w:rsidRPr="005462B4">
        <w:t xml:space="preserve"> psychosis.</w:t>
      </w:r>
    </w:p>
    <w:p w:rsidR="005462B4" w:rsidRPr="005462B4" w:rsidRDefault="005462B4" w:rsidP="007B32B8">
      <w:r w:rsidRPr="005462B4">
        <w:t xml:space="preserve">Non-CNS tolerability issues consist of a dose-related risk of constipation, urinary retention and nausea. </w:t>
      </w:r>
    </w:p>
    <w:p w:rsidR="005462B4" w:rsidRPr="005462B4" w:rsidRDefault="005462B4" w:rsidP="007B32B8">
      <w:proofErr w:type="spellStart"/>
      <w:r w:rsidRPr="005462B4">
        <w:t>Retigabine</w:t>
      </w:r>
      <w:proofErr w:type="spellEnd"/>
      <w:r w:rsidRPr="005462B4">
        <w:t xml:space="preserve"> was associated with a dose-related increase in the risk of combined urological and renal AEs, with an approximately two-fold increased risk of urological events in the highest dose group, relative to placebo. The incidence of UTI appeared to be increased at higher doses, but was not increased by </w:t>
      </w:r>
      <w:proofErr w:type="spellStart"/>
      <w:r w:rsidRPr="005462B4">
        <w:t>retigabine</w:t>
      </w:r>
      <w:proofErr w:type="spellEnd"/>
      <w:r w:rsidRPr="005462B4">
        <w:t xml:space="preserve"> overall – this is difficult to interpret because placebo patients had more seizures, which might have prompted clinicians to look for an infective trigger, leading to ascertainment bias. Bladder ultrasounds showed only a mild increase in mean post-void residual volumes.</w:t>
      </w:r>
    </w:p>
    <w:p w:rsidR="005462B4" w:rsidRPr="005462B4" w:rsidRDefault="005462B4" w:rsidP="007B32B8">
      <w:proofErr w:type="spellStart"/>
      <w:r w:rsidRPr="005462B4">
        <w:t>Retigabine</w:t>
      </w:r>
      <w:proofErr w:type="spellEnd"/>
      <w:r w:rsidRPr="005462B4">
        <w:t xml:space="preserve"> was also associated with a mean weight gain of 2.2kg by week 18 (2.7kg in the highest dose group). Approximately 17% of </w:t>
      </w:r>
      <w:proofErr w:type="spellStart"/>
      <w:r w:rsidRPr="005462B4">
        <w:t>retigabine</w:t>
      </w:r>
      <w:proofErr w:type="spellEnd"/>
      <w:r w:rsidRPr="005462B4">
        <w:t xml:space="preserve"> recipients experienced weight gain of potential clinical concern (PCC) by week 18, with the highest risk at 1200mg/d (19.1%). In the pooled Phase II/III population the risk was higher (26%).</w:t>
      </w:r>
    </w:p>
    <w:p w:rsidR="005462B4" w:rsidRPr="005462B4" w:rsidRDefault="005462B4" w:rsidP="007B32B8">
      <w:proofErr w:type="spellStart"/>
      <w:r w:rsidRPr="005462B4">
        <w:t>Retigabine</w:t>
      </w:r>
      <w:proofErr w:type="spellEnd"/>
      <w:r w:rsidRPr="005462B4">
        <w:t xml:space="preserve"> treatment was associated with a mild increase in abnormal liver function tests but clinically significant hepatic disease was not observed.</w:t>
      </w:r>
    </w:p>
    <w:p w:rsidR="005462B4" w:rsidRPr="005462B4" w:rsidRDefault="005462B4" w:rsidP="007B32B8">
      <w:r w:rsidRPr="005462B4">
        <w:t xml:space="preserve">There did not appear to be a significant withdrawal syndrome when </w:t>
      </w:r>
      <w:proofErr w:type="spellStart"/>
      <w:r w:rsidRPr="005462B4">
        <w:t>retigabine</w:t>
      </w:r>
      <w:proofErr w:type="spellEnd"/>
      <w:r w:rsidRPr="005462B4">
        <w:t xml:space="preserve"> was tapered or ceased abruptly, but the general advice to withdraw anticonvulsants slowly should also apply to </w:t>
      </w:r>
      <w:proofErr w:type="spellStart"/>
      <w:r w:rsidRPr="005462B4">
        <w:t>retigabine</w:t>
      </w:r>
      <w:proofErr w:type="spellEnd"/>
      <w:r w:rsidRPr="005462B4">
        <w:t>.</w:t>
      </w:r>
    </w:p>
    <w:p w:rsidR="005462B4" w:rsidRPr="00AC214B" w:rsidRDefault="005462B4" w:rsidP="007B32B8">
      <w:pPr>
        <w:pStyle w:val="Heading4"/>
      </w:pPr>
      <w:r w:rsidRPr="00AC214B">
        <w:t xml:space="preserve">Cardiac </w:t>
      </w:r>
      <w:r w:rsidR="007B32B8" w:rsidRPr="007B32B8">
        <w:t>r</w:t>
      </w:r>
      <w:r w:rsidRPr="007B32B8">
        <w:t>isk</w:t>
      </w:r>
    </w:p>
    <w:p w:rsidR="005462B4" w:rsidRPr="005462B4" w:rsidRDefault="005462B4" w:rsidP="00CF52DB">
      <w:r w:rsidRPr="005462B4">
        <w:t xml:space="preserve">The most important safety concern related to </w:t>
      </w:r>
      <w:proofErr w:type="spellStart"/>
      <w:r w:rsidRPr="005462B4">
        <w:t>retigabine</w:t>
      </w:r>
      <w:proofErr w:type="spellEnd"/>
      <w:r w:rsidRPr="005462B4">
        <w:t xml:space="preserve"> is the observation that two of six healthy volunteers exposed to a single oral dose of 900mg experienced a substantial cardiac arrhythmia within 3 hours: non-sustained, asymptomatic ventricular tachycardia in one patient and cardiac arrest due to </w:t>
      </w:r>
      <w:proofErr w:type="spellStart"/>
      <w:r w:rsidRPr="005462B4">
        <w:t>asystole</w:t>
      </w:r>
      <w:proofErr w:type="spellEnd"/>
      <w:r w:rsidRPr="005462B4">
        <w:t xml:space="preserve"> in another patient. Both survived without </w:t>
      </w:r>
      <w:proofErr w:type="spellStart"/>
      <w:r w:rsidRPr="005462B4">
        <w:t>sequelae</w:t>
      </w:r>
      <w:proofErr w:type="spellEnd"/>
      <w:r w:rsidRPr="005462B4">
        <w:t xml:space="preserve">, but this high incidence of arrhythmia (33%) is alarming, particularly given that the dose was only 2.25 times the recommended dose, and was less than the maximum recommended total daily dose. It might be expected that older patients or patients with underlying heart disease would suffer worse outcomes at this dose, and it is possible that dosing mishaps or pharmacokinetic variability could lead to subjects experiencing similar drug levels at 400mg TID as these subjects experienced with 900mg. </w:t>
      </w:r>
    </w:p>
    <w:p w:rsidR="005462B4" w:rsidRPr="005462B4" w:rsidRDefault="005462B4" w:rsidP="00CF52DB">
      <w:proofErr w:type="spellStart"/>
      <w:r w:rsidRPr="005462B4">
        <w:t>Retigabine</w:t>
      </w:r>
      <w:proofErr w:type="spellEnd"/>
      <w:r w:rsidRPr="005462B4">
        <w:t xml:space="preserve"> was shown to have a mild prolonging effect on the QT interval of healthy subjects (mean prolongation of 6.7 </w:t>
      </w:r>
      <w:proofErr w:type="spellStart"/>
      <w:r w:rsidRPr="005462B4">
        <w:t>msec</w:t>
      </w:r>
      <w:proofErr w:type="spellEnd"/>
      <w:r w:rsidRPr="005462B4">
        <w:t xml:space="preserve"> in “completers”, with the upper end of the 90% confidence intervals reaching 12.6msec), and it should not be combined with </w:t>
      </w:r>
      <w:proofErr w:type="spellStart"/>
      <w:r w:rsidRPr="005462B4">
        <w:t>antiarhythmic</w:t>
      </w:r>
      <w:proofErr w:type="spellEnd"/>
      <w:r w:rsidRPr="005462B4">
        <w:t xml:space="preserve"> drugs, or drugs known to effect the QT interval. It should also be avoided in subjects with heart disease or </w:t>
      </w:r>
      <w:proofErr w:type="spellStart"/>
      <w:r w:rsidRPr="005462B4">
        <w:t>hypokalaemia</w:t>
      </w:r>
      <w:proofErr w:type="spellEnd"/>
      <w:r w:rsidRPr="005462B4">
        <w:t>. Warnings in the PI related to this should be strengthened. The QT effect does not appear to account for the incidence of serious arrhythmias at 900mg.</w:t>
      </w:r>
    </w:p>
    <w:p w:rsidR="005462B4" w:rsidRPr="005462B4" w:rsidRDefault="005462B4" w:rsidP="00CF52DB">
      <w:r w:rsidRPr="005462B4">
        <w:lastRenderedPageBreak/>
        <w:t xml:space="preserve">In a study of post-herpetic neuralgia, </w:t>
      </w:r>
      <w:proofErr w:type="spellStart"/>
      <w:r w:rsidRPr="005462B4">
        <w:t>atrial</w:t>
      </w:r>
      <w:proofErr w:type="spellEnd"/>
      <w:r w:rsidRPr="005462B4">
        <w:t xml:space="preserve"> fibrillation was observed in older subjects receiving </w:t>
      </w:r>
      <w:proofErr w:type="spellStart"/>
      <w:r w:rsidRPr="005462B4">
        <w:t>retigabine</w:t>
      </w:r>
      <w:proofErr w:type="spellEnd"/>
      <w:r w:rsidRPr="005462B4">
        <w:t xml:space="preserve"> and no subjects receiving placebo, but it </w:t>
      </w:r>
      <w:proofErr w:type="spellStart"/>
      <w:r w:rsidRPr="005462B4">
        <w:t>remans</w:t>
      </w:r>
      <w:proofErr w:type="spellEnd"/>
      <w:r w:rsidRPr="005462B4">
        <w:t xml:space="preserve"> unclear if this represents a causal relationship.</w:t>
      </w:r>
    </w:p>
    <w:p w:rsidR="005462B4" w:rsidRPr="005462B4" w:rsidRDefault="005462B4" w:rsidP="00CF52DB">
      <w:proofErr w:type="spellStart"/>
      <w:r w:rsidRPr="005462B4">
        <w:t>Retigabine</w:t>
      </w:r>
      <w:proofErr w:type="spellEnd"/>
      <w:r w:rsidRPr="005462B4">
        <w:t xml:space="preserve"> did not increase the risk of sudden unexplained death in epilepsy, and in fact reduced it relative to placebo, which potentially offsets some of the concerns about cardiac risk. Also, arrhythmias overall were not more common in </w:t>
      </w:r>
      <w:proofErr w:type="spellStart"/>
      <w:r w:rsidRPr="005462B4">
        <w:t>retigabine</w:t>
      </w:r>
      <w:proofErr w:type="spellEnd"/>
      <w:r w:rsidRPr="005462B4">
        <w:t xml:space="preserve"> recipients in the pivotal epilepsy studies. Although this is partially reassuring, subjects with significant heart disease were excluded from the pivotal studies and the close monitoring associated with trial conditions may have reduced the risk of dosing mistakes. The weight of evidence suggests that caution is appropriate.</w:t>
      </w:r>
    </w:p>
    <w:p w:rsidR="00C22678" w:rsidRDefault="00C22678" w:rsidP="00CF52DB">
      <w:pPr>
        <w:pStyle w:val="Heading2"/>
      </w:pPr>
      <w:bookmarkStart w:id="344" w:name="_Toc365636814"/>
      <w:r>
        <w:t xml:space="preserve">First round benefit-risk </w:t>
      </w:r>
      <w:r w:rsidRPr="00CF52DB">
        <w:t>assessment</w:t>
      </w:r>
      <w:bookmarkEnd w:id="344"/>
    </w:p>
    <w:p w:rsidR="00773F63" w:rsidRDefault="00773F63" w:rsidP="00CF52DB">
      <w:pPr>
        <w:pStyle w:val="Heading3"/>
      </w:pPr>
      <w:bookmarkStart w:id="345" w:name="_Toc236802592"/>
      <w:bookmarkStart w:id="346" w:name="_Toc241374331"/>
      <w:bookmarkStart w:id="347" w:name="_Ref272160836"/>
      <w:bookmarkStart w:id="348" w:name="_Toc272414693"/>
      <w:bookmarkStart w:id="349" w:name="_Toc290846331"/>
      <w:bookmarkStart w:id="350" w:name="_Toc330196426"/>
      <w:bookmarkStart w:id="351" w:name="_Toc365636815"/>
      <w:r>
        <w:t xml:space="preserve">First round assessment of </w:t>
      </w:r>
      <w:r w:rsidRPr="00CF52DB">
        <w:t>benefits</w:t>
      </w:r>
      <w:bookmarkEnd w:id="345"/>
      <w:bookmarkEnd w:id="346"/>
      <w:bookmarkEnd w:id="347"/>
      <w:bookmarkEnd w:id="348"/>
      <w:bookmarkEnd w:id="349"/>
      <w:bookmarkEnd w:id="350"/>
      <w:bookmarkEnd w:id="351"/>
    </w:p>
    <w:p w:rsidR="00773F63" w:rsidRPr="00773F63" w:rsidRDefault="00773F63" w:rsidP="00CF52DB">
      <w:r w:rsidRPr="00773F63">
        <w:t xml:space="preserve">The benefits of </w:t>
      </w:r>
      <w:proofErr w:type="spellStart"/>
      <w:r w:rsidRPr="00773F63">
        <w:t>retigabine</w:t>
      </w:r>
      <w:proofErr w:type="spellEnd"/>
      <w:r w:rsidRPr="00773F63">
        <w:t xml:space="preserve"> in the proposed usage (adjunctive anticonvulsive therapy in adults) are:</w:t>
      </w:r>
    </w:p>
    <w:p w:rsidR="00773F63" w:rsidRDefault="00773F63" w:rsidP="00CF52DB">
      <w:pPr>
        <w:pStyle w:val="ListBullet"/>
      </w:pPr>
      <w:r>
        <w:t xml:space="preserve">At the highest proposed dose (1200mg/d), </w:t>
      </w:r>
      <w:proofErr w:type="spellStart"/>
      <w:r>
        <w:t>retigabine</w:t>
      </w:r>
      <w:proofErr w:type="spellEnd"/>
      <w:r>
        <w:t xml:space="preserve"> would be expected to produce a seizure </w:t>
      </w:r>
      <w:r w:rsidRPr="00CF52DB">
        <w:t>reduction</w:t>
      </w:r>
      <w:r>
        <w:t xml:space="preserve"> of 35-44%, including a reduction of 13-18% that would have been achieved with placebo alone, implying an </w:t>
      </w:r>
      <w:r w:rsidRPr="007461FA">
        <w:rPr>
          <w:i/>
        </w:rPr>
        <w:t>attributable</w:t>
      </w:r>
      <w:r>
        <w:t xml:space="preserve"> reduction in seizure frequency of 22-26%</w:t>
      </w:r>
    </w:p>
    <w:p w:rsidR="00773F63" w:rsidRDefault="00773F63" w:rsidP="00CF52DB">
      <w:pPr>
        <w:pStyle w:val="ListBullet"/>
      </w:pPr>
      <w:r>
        <w:t xml:space="preserve">At the highest proposed dose, the </w:t>
      </w:r>
      <w:r w:rsidRPr="00ED6949">
        <w:rPr>
          <w:i/>
        </w:rPr>
        <w:t>attributable</w:t>
      </w:r>
      <w:r>
        <w:t xml:space="preserve"> response rate would be expected to be in the range 15-33% (15% derived from Study 205: </w:t>
      </w:r>
      <w:proofErr w:type="spellStart"/>
      <w:r>
        <w:t>retigabine</w:t>
      </w:r>
      <w:proofErr w:type="spellEnd"/>
      <w:r>
        <w:t xml:space="preserve"> response 41% v</w:t>
      </w:r>
      <w:r w:rsidR="007B5068">
        <w:t>ersu</w:t>
      </w:r>
      <w:r>
        <w:t xml:space="preserve">s placebo 26%; 33% derived from Study 301: </w:t>
      </w:r>
      <w:proofErr w:type="spellStart"/>
      <w:r>
        <w:t>retigabine</w:t>
      </w:r>
      <w:proofErr w:type="spellEnd"/>
      <w:r>
        <w:t xml:space="preserve"> 56% v</w:t>
      </w:r>
      <w:r w:rsidR="007B5068">
        <w:t>ersu</w:t>
      </w:r>
      <w:r>
        <w:t>s placebo 23%).</w:t>
      </w:r>
      <w:r w:rsidR="00460F24">
        <w:t xml:space="preserve"> </w:t>
      </w:r>
      <w:r w:rsidRPr="00CF52DB">
        <w:t>This</w:t>
      </w:r>
      <w:r>
        <w:t xml:space="preserve"> implies that between 3-7 patients need to be treated with </w:t>
      </w:r>
      <w:proofErr w:type="spellStart"/>
      <w:r>
        <w:t>retigabine</w:t>
      </w:r>
      <w:proofErr w:type="spellEnd"/>
      <w:r>
        <w:t xml:space="preserve"> to achieve one </w:t>
      </w:r>
      <w:r w:rsidRPr="00ED6949">
        <w:t>attributable</w:t>
      </w:r>
      <w:r>
        <w:t xml:space="preserve"> response.</w:t>
      </w:r>
    </w:p>
    <w:p w:rsidR="00773F63" w:rsidRDefault="00773F63" w:rsidP="00CF52DB">
      <w:pPr>
        <w:pStyle w:val="ListBullet"/>
      </w:pPr>
      <w:r>
        <w:t>Some efficacy is also achievable at lower doses, including 900mg/d and 600mg/d.</w:t>
      </w:r>
    </w:p>
    <w:p w:rsidR="00773F63" w:rsidRDefault="00773F63" w:rsidP="00CF52DB">
      <w:pPr>
        <w:pStyle w:val="ListBullet"/>
      </w:pPr>
      <w:r>
        <w:t xml:space="preserve">Sudden unexplained death in epilepsy (SUDEP) might be reduced by </w:t>
      </w:r>
      <w:proofErr w:type="spellStart"/>
      <w:r w:rsidRPr="00CF52DB">
        <w:t>retigabine</w:t>
      </w:r>
      <w:proofErr w:type="spellEnd"/>
      <w:r>
        <w:t xml:space="preserve"> when used as directed in subjects without heart disease.</w:t>
      </w:r>
    </w:p>
    <w:p w:rsidR="00773F63" w:rsidRDefault="00773F63" w:rsidP="00CF52DB">
      <w:pPr>
        <w:pStyle w:val="Heading3"/>
      </w:pPr>
      <w:bookmarkStart w:id="352" w:name="_Toc236802596"/>
      <w:bookmarkStart w:id="353" w:name="_Toc241374334"/>
      <w:bookmarkStart w:id="354" w:name="_Ref272160964"/>
      <w:bookmarkStart w:id="355" w:name="_Toc272414694"/>
      <w:bookmarkStart w:id="356" w:name="_Toc290846332"/>
      <w:bookmarkStart w:id="357" w:name="_Toc330196427"/>
      <w:bookmarkStart w:id="358" w:name="_Toc365636816"/>
      <w:r>
        <w:t>First round assessment of risks</w:t>
      </w:r>
      <w:bookmarkEnd w:id="352"/>
      <w:bookmarkEnd w:id="353"/>
      <w:bookmarkEnd w:id="354"/>
      <w:bookmarkEnd w:id="355"/>
      <w:bookmarkEnd w:id="356"/>
      <w:bookmarkEnd w:id="357"/>
      <w:bookmarkEnd w:id="358"/>
    </w:p>
    <w:p w:rsidR="00773F63" w:rsidRPr="00773F63" w:rsidRDefault="00773F63" w:rsidP="00CF52DB">
      <w:r w:rsidRPr="00773F63">
        <w:t xml:space="preserve">The risks of </w:t>
      </w:r>
      <w:proofErr w:type="spellStart"/>
      <w:r w:rsidRPr="00773F63">
        <w:t>retigabine</w:t>
      </w:r>
      <w:proofErr w:type="spellEnd"/>
      <w:r w:rsidRPr="00773F63">
        <w:t xml:space="preserve"> in the proposed usage are:</w:t>
      </w:r>
    </w:p>
    <w:p w:rsidR="00773F63" w:rsidRDefault="00773F63" w:rsidP="00CF52DB">
      <w:pPr>
        <w:pStyle w:val="ListBullet"/>
      </w:pPr>
      <w:r>
        <w:t xml:space="preserve">Poor CNS tolerability, with a range of symptoms including dizziness, somnolence, headache, fatigue, </w:t>
      </w:r>
      <w:proofErr w:type="spellStart"/>
      <w:r>
        <w:t>confusional</w:t>
      </w:r>
      <w:proofErr w:type="spellEnd"/>
      <w:r>
        <w:t xml:space="preserve"> state, vertigo, tremor and abnormal coordination. The incidence of these appeared to be </w:t>
      </w:r>
      <w:r w:rsidRPr="00CF52DB">
        <w:t>higher</w:t>
      </w:r>
      <w:r>
        <w:t xml:space="preserve"> than for many other anticonvulsants, and there was a clear dose trend with the incidence being worse for 1200mg/d. Dizziness was reported in 32.4% of subjects at 1200mg/d, compared to 8.9% of placebo recipients, an attributable rate of 23.5% (which does not even include some additional cases reported as “vertigo”). “Nervous system” AEs occurred in 73.4% of subjects receiving 1200mg/d, an absolute excess of &gt;30% compared to placebo. The risk of psychosis was increased, particularly post-</w:t>
      </w:r>
      <w:proofErr w:type="spellStart"/>
      <w:r>
        <w:t>ictal</w:t>
      </w:r>
      <w:proofErr w:type="spellEnd"/>
      <w:r>
        <w:t xml:space="preserve"> psychosis.</w:t>
      </w:r>
    </w:p>
    <w:p w:rsidR="00773F63" w:rsidRDefault="00773F63" w:rsidP="00CF52DB">
      <w:pPr>
        <w:pStyle w:val="ListBullet"/>
      </w:pPr>
      <w:r>
        <w:t xml:space="preserve">A range of other side effects including an increased risk of urological symptoms, possibly mediated by impaired bladder emptying, weight gain, </w:t>
      </w:r>
      <w:r w:rsidRPr="00CF52DB">
        <w:t>abnormalities</w:t>
      </w:r>
      <w:r>
        <w:t xml:space="preserve"> of liver function tests</w:t>
      </w:r>
    </w:p>
    <w:p w:rsidR="00773F63" w:rsidRDefault="00773F63" w:rsidP="00CF52DB">
      <w:pPr>
        <w:pStyle w:val="ListBullet"/>
      </w:pPr>
      <w:r>
        <w:t xml:space="preserve">Overall, approximately one patient in four (24.5%) withdrew from pivotal studies because of AEs, and there was a clear dose trend from the placebo group (10.5% withdrawing due to AEs) through to the highest </w:t>
      </w:r>
      <w:proofErr w:type="spellStart"/>
      <w:r>
        <w:t>retigabine</w:t>
      </w:r>
      <w:proofErr w:type="spellEnd"/>
      <w:r>
        <w:t xml:space="preserve"> dose group (1200mg/d, 31.3% withdrawing due to AEs). Outside the context of a clinical study, the dropout rate due to AEs would be expected to be even higher, and this would be expected to degrade the achievable response rate. That </w:t>
      </w:r>
      <w:r>
        <w:lastRenderedPageBreak/>
        <w:t>is, a proportion of subjects who could have achieved a 50% reduction in seizures would be expected not to tolerate the drug.</w:t>
      </w:r>
    </w:p>
    <w:p w:rsidR="00773F63" w:rsidRDefault="00773F63" w:rsidP="00CF52DB">
      <w:pPr>
        <w:pStyle w:val="ListBullet"/>
      </w:pPr>
      <w:r>
        <w:t xml:space="preserve">The drug appears to have a narrow therapeutic window, with a </w:t>
      </w:r>
      <w:proofErr w:type="spellStart"/>
      <w:r>
        <w:t>proarrhythmic</w:t>
      </w:r>
      <w:proofErr w:type="spellEnd"/>
      <w:r>
        <w:t xml:space="preserve"> effect demonstrated for single doses of 900mg, which is less </w:t>
      </w:r>
      <w:r w:rsidRPr="00CF52DB">
        <w:t>than</w:t>
      </w:r>
      <w:r>
        <w:t xml:space="preserve"> the upper range of the recommended daily dose range (1200mg/d). At this dose, two of six healthy volunteers had a major ventricular arrhythmia (self-terminating ventricular tachycardia in one subject and cardiac arrest with </w:t>
      </w:r>
      <w:proofErr w:type="spellStart"/>
      <w:r>
        <w:t>asystole</w:t>
      </w:r>
      <w:proofErr w:type="spellEnd"/>
      <w:r>
        <w:t xml:space="preserve"> in another). This </w:t>
      </w:r>
      <w:proofErr w:type="spellStart"/>
      <w:r>
        <w:t>proarrhythmic</w:t>
      </w:r>
      <w:proofErr w:type="spellEnd"/>
      <w:r>
        <w:t xml:space="preserve"> effect has not been clearly acknowledged by the sponsor, and has not been explored in any detailed study. A </w:t>
      </w:r>
      <w:proofErr w:type="spellStart"/>
      <w:r>
        <w:t>proarrhythmic</w:t>
      </w:r>
      <w:proofErr w:type="spellEnd"/>
      <w:r>
        <w:t xml:space="preserve"> effect was not observed in the pivotal studies, but patients with significant heart disease were excluded, very few older patients were studied, and the maximum single dose was 400mg. The cardiac risk would be expected to be higher in subjects with heart disease, increased age, electrolyte disturbances, or altered pharmacokinetics.</w:t>
      </w:r>
    </w:p>
    <w:p w:rsidR="00773F63" w:rsidRDefault="00773F63" w:rsidP="00CF52DB">
      <w:pPr>
        <w:pStyle w:val="ListBullet"/>
      </w:pPr>
      <w:r>
        <w:t xml:space="preserve">The drug has moderate </w:t>
      </w:r>
      <w:proofErr w:type="spellStart"/>
      <w:r>
        <w:t>interindividual</w:t>
      </w:r>
      <w:proofErr w:type="spellEnd"/>
      <w:r>
        <w:t xml:space="preserve"> variability in </w:t>
      </w:r>
      <w:proofErr w:type="spellStart"/>
      <w:r w:rsidR="00F57884">
        <w:rPr>
          <w:rFonts w:eastAsia="MS Mincho"/>
        </w:rPr>
        <w:t>Cmax</w:t>
      </w:r>
      <w:proofErr w:type="spellEnd"/>
      <w:r>
        <w:t xml:space="preserve">, so that some patients exposed to single doses of 400mg might achieve drug levels </w:t>
      </w:r>
      <w:r w:rsidRPr="00CF52DB">
        <w:t>more</w:t>
      </w:r>
      <w:r>
        <w:t xml:space="preserve"> typical of higher doses, approaching the poorly characterised level at which a </w:t>
      </w:r>
      <w:proofErr w:type="spellStart"/>
      <w:r>
        <w:t>proarrhythmic</w:t>
      </w:r>
      <w:proofErr w:type="spellEnd"/>
      <w:r>
        <w:t xml:space="preserve"> effect might appear. Repeat dosing with 400mg would be expected to achieve higher levels than single doses of 400mg. This effect would be enhanced if the patient had a small body size, renal or hepatic impairment, or shortened the dose interval for any reason. The PI suggests a dose interval as short as 3 hours in the event of catching up after a forgotten dose. In some individuals with poor clearance or small volumes of distribution, two doses of 400mg separated by 3 hours could produce similar levels as a single dose of 900mg in healthy volunteers, particularly if the first dose was taken with food, which delays absorption. Furthermore, if any patient or doctor mistakenly interpreted the total daily dose as a once-daily dose, patients could be exposed to 1200mg as a single dose, exceeding the 900mg dose that is known to be dangerous.</w:t>
      </w:r>
    </w:p>
    <w:p w:rsidR="00773F63" w:rsidRDefault="00773F63" w:rsidP="00CF52DB">
      <w:pPr>
        <w:pStyle w:val="ListBullet"/>
      </w:pPr>
      <w:r>
        <w:t xml:space="preserve">The drug has a mild QT </w:t>
      </w:r>
      <w:r w:rsidRPr="00CF52DB">
        <w:t>prolonging</w:t>
      </w:r>
      <w:r>
        <w:t xml:space="preserve"> effect.</w:t>
      </w:r>
    </w:p>
    <w:p w:rsidR="00773F63" w:rsidRDefault="00773F63" w:rsidP="00CF52DB">
      <w:pPr>
        <w:pStyle w:val="Heading3"/>
      </w:pPr>
      <w:bookmarkStart w:id="359" w:name="_Toc236802597"/>
      <w:bookmarkStart w:id="360" w:name="_Toc241374335"/>
      <w:bookmarkStart w:id="361" w:name="_Toc272414695"/>
      <w:bookmarkStart w:id="362" w:name="_Toc290846333"/>
      <w:bookmarkStart w:id="363" w:name="_Toc330196428"/>
      <w:bookmarkStart w:id="364" w:name="_Toc365636817"/>
      <w:r>
        <w:t xml:space="preserve">First round assessment of benefit-risk </w:t>
      </w:r>
      <w:r w:rsidRPr="00CF52DB">
        <w:t>balance</w:t>
      </w:r>
      <w:bookmarkEnd w:id="359"/>
      <w:bookmarkEnd w:id="360"/>
      <w:bookmarkEnd w:id="361"/>
      <w:bookmarkEnd w:id="362"/>
      <w:bookmarkEnd w:id="363"/>
      <w:bookmarkEnd w:id="364"/>
    </w:p>
    <w:p w:rsidR="00773F63" w:rsidRPr="00773F63" w:rsidRDefault="00773F63" w:rsidP="00CF52DB">
      <w:r w:rsidRPr="00773F63">
        <w:t xml:space="preserve">The benefit-risk balance </w:t>
      </w:r>
      <w:proofErr w:type="spellStart"/>
      <w:r w:rsidRPr="00773F63">
        <w:t>retigabine</w:t>
      </w:r>
      <w:proofErr w:type="spellEnd"/>
      <w:r w:rsidRPr="00773F63">
        <w:t xml:space="preserve">, given the proposed usage as adjunctive therapy, is borderline. Somewhere between 3 and 7 patients would need to receive the highest dose of the drug to achieve one attributable “response” (50% seizure reduction), and an even higher number would need to be treated to achieve a well-tolerated response. Many patients receiving the highest dose would be expected to show poor CNS tolerability (at least 30% more than placebo). Although such patients are likely to cease therapy with no lasting </w:t>
      </w:r>
      <w:proofErr w:type="spellStart"/>
      <w:r w:rsidRPr="00773F63">
        <w:t>sequelae</w:t>
      </w:r>
      <w:proofErr w:type="spellEnd"/>
      <w:r w:rsidRPr="00773F63">
        <w:t xml:space="preserve">, about 1 in 4 will show an apparent response that would have been achieved with placebo. Such subjects are at risk of continuing the drug for months or years without major benefit, possibly putting up with side effects because they believe their original response was due to the drug. (This situation already arises with existing anticonvulsants, and represents one of the challenges of managing epilepsy, but the tolerability profile of </w:t>
      </w:r>
      <w:proofErr w:type="spellStart"/>
      <w:r w:rsidRPr="00773F63">
        <w:t>retigabine</w:t>
      </w:r>
      <w:proofErr w:type="spellEnd"/>
      <w:r w:rsidRPr="00773F63">
        <w:t xml:space="preserve"> seems worse than for many other anticonvulsants.)</w:t>
      </w:r>
    </w:p>
    <w:p w:rsidR="00773F63" w:rsidRPr="00773F63" w:rsidRDefault="00773F63" w:rsidP="00CF52DB">
      <w:r w:rsidRPr="00773F63">
        <w:t xml:space="preserve">Of most concern, all exposed subjects would be at some risk of cardiac arrhythmias because of the narrow therapeutic index of </w:t>
      </w:r>
      <w:proofErr w:type="spellStart"/>
      <w:r w:rsidRPr="00773F63">
        <w:t>retigabine</w:t>
      </w:r>
      <w:proofErr w:type="spellEnd"/>
      <w:r w:rsidRPr="00773F63">
        <w:t>, though the magnitude of this risk is unclear and this risk has not been explored by the sponsor. The risk would be expected to be higher in older subjects, those with heart disease, those with increased pharmacokinetic susceptibility, or those exposed to dosing errors (particularly the administration of the total daily dose as a single daily dose).</w:t>
      </w:r>
    </w:p>
    <w:p w:rsidR="00773F63" w:rsidRPr="00773F63" w:rsidRDefault="00773F63" w:rsidP="00CF52DB">
      <w:r w:rsidRPr="00773F63">
        <w:t xml:space="preserve">Against this risk, the incidence of SUDEP was reduced in </w:t>
      </w:r>
      <w:proofErr w:type="spellStart"/>
      <w:r w:rsidRPr="00773F63">
        <w:t>retigabine</w:t>
      </w:r>
      <w:proofErr w:type="spellEnd"/>
      <w:r w:rsidRPr="00773F63">
        <w:t xml:space="preserve"> recipients, compared to placebo recipients, implying that careful use of the drug in a screened population might lower the risk of sudden death.</w:t>
      </w:r>
    </w:p>
    <w:p w:rsidR="00773F63" w:rsidRPr="00773F63" w:rsidRDefault="00773F63" w:rsidP="00CF52DB">
      <w:r w:rsidRPr="00773F63">
        <w:lastRenderedPageBreak/>
        <w:t xml:space="preserve">The benefits and risks of </w:t>
      </w:r>
      <w:proofErr w:type="spellStart"/>
      <w:r w:rsidRPr="00773F63">
        <w:t>retigabine</w:t>
      </w:r>
      <w:proofErr w:type="spellEnd"/>
      <w:r w:rsidRPr="00773F63">
        <w:t xml:space="preserve"> are not likely to be homogenous across the entire target population. Clinicians who use </w:t>
      </w:r>
      <w:proofErr w:type="spellStart"/>
      <w:r w:rsidRPr="00773F63">
        <w:t>retigabine</w:t>
      </w:r>
      <w:proofErr w:type="spellEnd"/>
      <w:r w:rsidRPr="00773F63">
        <w:t xml:space="preserve"> with appropriate caution should be able to identify some patients who have a favourable benefit-risk balance. Patients with poorly controlled refractory epilepsy, for instance, who had failed to respond to other anticonvulsants and whose quality of life was poor and whose risk of SUDEP or status </w:t>
      </w:r>
      <w:proofErr w:type="spellStart"/>
      <w:r w:rsidRPr="00773F63">
        <w:t>epilepticus</w:t>
      </w:r>
      <w:proofErr w:type="spellEnd"/>
      <w:r w:rsidRPr="00773F63">
        <w:t xml:space="preserve"> was high, would be expected to find the risks of </w:t>
      </w:r>
      <w:proofErr w:type="spellStart"/>
      <w:r w:rsidRPr="00773F63">
        <w:t>retigabine</w:t>
      </w:r>
      <w:proofErr w:type="spellEnd"/>
      <w:r w:rsidRPr="00773F63">
        <w:t xml:space="preserve"> treatment worthwhile, particularly if their treating clinician was vigilant about withdrawing the drug if it did not produce lasting benefit. Subjects with milder epilepsy who had not yet tried other adjunctive agents and subjects with cardiac risk factors would be better to avoid the drug. </w:t>
      </w:r>
    </w:p>
    <w:p w:rsidR="00773F63" w:rsidRPr="00773F63" w:rsidRDefault="00773F63" w:rsidP="00CF52DB">
      <w:r w:rsidRPr="00773F63">
        <w:t>If made sufficiently aware of the narrow therapeutic index, prescribing clinicians should be able to take appropriate care to select suitable patients, to avoid dosing errors and to adjust the dose in those with pharmacokinetic susceptibility.</w:t>
      </w:r>
    </w:p>
    <w:p w:rsidR="00C22678" w:rsidRDefault="00C22678" w:rsidP="00CF52DB">
      <w:pPr>
        <w:pStyle w:val="Heading2"/>
      </w:pPr>
      <w:bookmarkStart w:id="365" w:name="_Toc365636818"/>
      <w:r>
        <w:t xml:space="preserve">First round recommendation regarding </w:t>
      </w:r>
      <w:r w:rsidRPr="00CF52DB">
        <w:t>authorisation</w:t>
      </w:r>
      <w:bookmarkEnd w:id="365"/>
    </w:p>
    <w:p w:rsidR="006A328B" w:rsidRPr="006A328B" w:rsidRDefault="006A328B" w:rsidP="00CF52DB">
      <w:proofErr w:type="spellStart"/>
      <w:r w:rsidRPr="006A328B">
        <w:t>Retigabine</w:t>
      </w:r>
      <w:proofErr w:type="spellEnd"/>
      <w:r w:rsidRPr="006A328B">
        <w:t xml:space="preserve"> should be approved for use in adult patients with refractory epilepsy, provided that appropriate changes are made to the PI.</w:t>
      </w:r>
    </w:p>
    <w:p w:rsidR="006A328B" w:rsidRPr="006A328B" w:rsidRDefault="006A328B" w:rsidP="00CF52DB">
      <w:proofErr w:type="spellStart"/>
      <w:r w:rsidRPr="006A328B">
        <w:t>Retigabine</w:t>
      </w:r>
      <w:proofErr w:type="spellEnd"/>
      <w:r w:rsidRPr="006A328B">
        <w:t xml:space="preserve"> should not be used in subjects with heart disease.</w:t>
      </w:r>
    </w:p>
    <w:p w:rsidR="006A328B" w:rsidRPr="006A328B" w:rsidRDefault="006A328B" w:rsidP="00CF52DB">
      <w:r w:rsidRPr="006A328B">
        <w:t xml:space="preserve">The sponsor should provide education to physicians and patient-advocacy groups about the risks of </w:t>
      </w:r>
      <w:proofErr w:type="spellStart"/>
      <w:r w:rsidRPr="006A328B">
        <w:t>retigabine</w:t>
      </w:r>
      <w:proofErr w:type="spellEnd"/>
      <w:r w:rsidRPr="006A328B">
        <w:t>, including the need to adjust the dose in the setting of low body weight, renal impairment or liver impairment.</w:t>
      </w:r>
    </w:p>
    <w:p w:rsidR="006A328B" w:rsidRPr="006A328B" w:rsidRDefault="006A328B" w:rsidP="00CF52DB">
      <w:proofErr w:type="spellStart"/>
      <w:r w:rsidRPr="006A328B">
        <w:t>Retigabine</w:t>
      </w:r>
      <w:proofErr w:type="spellEnd"/>
      <w:r w:rsidRPr="006A328B">
        <w:t xml:space="preserve"> should only be used by neurologists, or other clinicians who have been educated about its risks.</w:t>
      </w:r>
    </w:p>
    <w:p w:rsidR="006A328B" w:rsidRPr="006A328B" w:rsidRDefault="006A328B" w:rsidP="00CF52DB">
      <w:proofErr w:type="spellStart"/>
      <w:r w:rsidRPr="006A328B">
        <w:t>Retigabine</w:t>
      </w:r>
      <w:proofErr w:type="spellEnd"/>
      <w:r w:rsidRPr="006A328B">
        <w:t xml:space="preserve"> should only be used by patients (or their guardians) who have consented to use the drug despite its narrow therapeutic index, and who illustrate awareness of the difference between a total daily dose and a single daily dose.</w:t>
      </w:r>
    </w:p>
    <w:p w:rsidR="006A328B" w:rsidRPr="006A328B" w:rsidRDefault="006A328B" w:rsidP="00CF52DB">
      <w:r w:rsidRPr="006A328B">
        <w:t xml:space="preserve">The PI proposes a 3-hour gap between a catch-up dose (following a forgotten dose) and the next scheduled dose. Prior to finalising the PI, the sponsor should supply a detailed justification of the appropriateness of this interval, taking into account the food effect, </w:t>
      </w:r>
      <w:proofErr w:type="spellStart"/>
      <w:r w:rsidRPr="006A328B">
        <w:t>interindividual</w:t>
      </w:r>
      <w:proofErr w:type="spellEnd"/>
      <w:r w:rsidRPr="006A328B">
        <w:t xml:space="preserve"> variability, the effects of repeat dosing, and the uncertainty of the </w:t>
      </w:r>
      <w:proofErr w:type="spellStart"/>
      <w:r w:rsidRPr="006A328B">
        <w:t>proarrhythmic</w:t>
      </w:r>
      <w:proofErr w:type="spellEnd"/>
      <w:r w:rsidRPr="006A328B">
        <w:t xml:space="preserve"> potential of </w:t>
      </w:r>
      <w:proofErr w:type="spellStart"/>
      <w:r w:rsidRPr="006A328B">
        <w:t>retigabine</w:t>
      </w:r>
      <w:proofErr w:type="spellEnd"/>
      <w:r w:rsidRPr="006A328B">
        <w:t xml:space="preserve"> between single doses of 400mg and 900mg. The proposed minimum interval should be increased if necessary.</w:t>
      </w:r>
    </w:p>
    <w:p w:rsidR="006A328B" w:rsidRPr="006A328B" w:rsidRDefault="006A328B" w:rsidP="00CF52DB">
      <w:r w:rsidRPr="006A328B">
        <w:t>Rigorous post-marketing surveillance for sudden death and cardiac arrhythmia should be conducted.</w:t>
      </w:r>
    </w:p>
    <w:p w:rsidR="006A328B" w:rsidRPr="006A328B" w:rsidRDefault="006A328B" w:rsidP="00CF52DB">
      <w:r w:rsidRPr="006A328B">
        <w:t xml:space="preserve">Further studies should be performed to establish the </w:t>
      </w:r>
      <w:proofErr w:type="spellStart"/>
      <w:r w:rsidRPr="006A328B">
        <w:t>proarrhythmic</w:t>
      </w:r>
      <w:proofErr w:type="spellEnd"/>
      <w:r w:rsidRPr="006A328B">
        <w:t xml:space="preserve"> potential of </w:t>
      </w:r>
      <w:proofErr w:type="spellStart"/>
      <w:r w:rsidRPr="006A328B">
        <w:t>retigabine</w:t>
      </w:r>
      <w:proofErr w:type="spellEnd"/>
      <w:r w:rsidRPr="006A328B">
        <w:t xml:space="preserve"> beyond single doses of 400mg. These studies should be conducted in appropriate facilities with the capacity to provide immediate resuscitation and advanced life support.</w:t>
      </w:r>
    </w:p>
    <w:p w:rsidR="00C22678" w:rsidRDefault="00C22678" w:rsidP="00CF52DB">
      <w:pPr>
        <w:pStyle w:val="Heading2"/>
      </w:pPr>
      <w:bookmarkStart w:id="366" w:name="_Toc365636819"/>
      <w:r>
        <w:t xml:space="preserve">Clinical </w:t>
      </w:r>
      <w:r w:rsidRPr="00CF52DB">
        <w:t>questions</w:t>
      </w:r>
      <w:bookmarkEnd w:id="366"/>
    </w:p>
    <w:p w:rsidR="003263DD" w:rsidRPr="003263DD" w:rsidRDefault="003263DD" w:rsidP="00CF52DB">
      <w:pPr>
        <w:pStyle w:val="Heading3"/>
      </w:pPr>
      <w:bookmarkStart w:id="367" w:name="_Toc272414702"/>
      <w:bookmarkStart w:id="368" w:name="_Toc290846342"/>
      <w:bookmarkStart w:id="369" w:name="_Toc330196437"/>
      <w:bookmarkStart w:id="370" w:name="_Toc365636820"/>
      <w:r w:rsidRPr="00CF52DB">
        <w:t>Pharmacokinetics</w:t>
      </w:r>
      <w:bookmarkEnd w:id="367"/>
      <w:bookmarkEnd w:id="368"/>
      <w:bookmarkEnd w:id="369"/>
      <w:bookmarkEnd w:id="370"/>
    </w:p>
    <w:p w:rsidR="003263DD" w:rsidRPr="003263DD" w:rsidRDefault="003263DD" w:rsidP="00CF52DB">
      <w:r w:rsidRPr="003263DD">
        <w:t>Two different bioequivalence studies assessing the Market Image tablet obtained differing results, and it was suggested that particle size of the Clinical Trial tablet differed in the two studies. Is particle size in the final Market Image tablet stable and, if so, is it equivalent to that used in the pivotal studies? How does it compare to the formulation used in the clinical Study VRX-RET-E22-108?</w:t>
      </w:r>
      <w:r w:rsidR="00460F24">
        <w:t xml:space="preserve"> </w:t>
      </w:r>
      <w:r w:rsidRPr="003263DD">
        <w:t xml:space="preserve">(This is not a clinical question, but the clinical data suggest a narrow </w:t>
      </w:r>
      <w:r w:rsidRPr="003263DD">
        <w:lastRenderedPageBreak/>
        <w:t xml:space="preserve">therapeutic index for </w:t>
      </w:r>
      <w:proofErr w:type="spellStart"/>
      <w:r w:rsidRPr="003263DD">
        <w:t>retigabine</w:t>
      </w:r>
      <w:proofErr w:type="spellEnd"/>
      <w:r w:rsidRPr="003263DD">
        <w:t xml:space="preserve"> highlighting the need to avoid pharmacokinetic variation, particularly variations that could increase </w:t>
      </w:r>
      <w:proofErr w:type="spellStart"/>
      <w:r w:rsidRPr="003263DD">
        <w:t>Cmax</w:t>
      </w:r>
      <w:proofErr w:type="spellEnd"/>
      <w:r w:rsidRPr="003263DD">
        <w:t>.)</w:t>
      </w:r>
    </w:p>
    <w:p w:rsidR="003263DD" w:rsidRPr="003263DD" w:rsidRDefault="003263DD" w:rsidP="00CF52DB">
      <w:r w:rsidRPr="003263DD">
        <w:t xml:space="preserve">The PI proposes a 3-hour gap between a catch-up dose (following a forgotten dose) and the next scheduled dose of </w:t>
      </w:r>
      <w:proofErr w:type="spellStart"/>
      <w:r w:rsidRPr="003263DD">
        <w:t>retigabine</w:t>
      </w:r>
      <w:proofErr w:type="spellEnd"/>
      <w:r w:rsidRPr="003263DD">
        <w:t xml:space="preserve">. Prior to finalising the PI, the sponsor should supply a detailed justification of the appropriateness of this interval, taking into account the food effect, </w:t>
      </w:r>
      <w:proofErr w:type="spellStart"/>
      <w:r w:rsidRPr="003263DD">
        <w:t>interindividual</w:t>
      </w:r>
      <w:proofErr w:type="spellEnd"/>
      <w:r w:rsidRPr="003263DD">
        <w:t xml:space="preserve"> variability, the effects of repeat dosing, and the uncertainty of the </w:t>
      </w:r>
      <w:proofErr w:type="spellStart"/>
      <w:r w:rsidRPr="003263DD">
        <w:t>proarrhythmic</w:t>
      </w:r>
      <w:proofErr w:type="spellEnd"/>
      <w:r w:rsidRPr="003263DD">
        <w:t xml:space="preserve"> potential of </w:t>
      </w:r>
      <w:proofErr w:type="spellStart"/>
      <w:r w:rsidRPr="003263DD">
        <w:t>retigabine</w:t>
      </w:r>
      <w:proofErr w:type="spellEnd"/>
      <w:r w:rsidRPr="003263DD">
        <w:t xml:space="preserve"> between single doses of 400mg and 900mg. The proposed minimum interval should be increased if necessary.</w:t>
      </w:r>
    </w:p>
    <w:p w:rsidR="003263DD" w:rsidRPr="003263DD" w:rsidRDefault="003263DD" w:rsidP="00CF52DB">
      <w:pPr>
        <w:pStyle w:val="Heading3"/>
      </w:pPr>
      <w:bookmarkStart w:id="371" w:name="_Toc272414703"/>
      <w:bookmarkStart w:id="372" w:name="_Toc290846343"/>
      <w:bookmarkStart w:id="373" w:name="_Toc330196438"/>
      <w:bookmarkStart w:id="374" w:name="_Toc365636821"/>
      <w:proofErr w:type="spellStart"/>
      <w:r w:rsidRPr="00CF52DB">
        <w:t>Pharmacodynamics</w:t>
      </w:r>
      <w:bookmarkEnd w:id="371"/>
      <w:bookmarkEnd w:id="372"/>
      <w:bookmarkEnd w:id="373"/>
      <w:bookmarkEnd w:id="374"/>
      <w:proofErr w:type="spellEnd"/>
    </w:p>
    <w:p w:rsidR="003263DD" w:rsidRPr="003263DD" w:rsidRDefault="003263DD" w:rsidP="00CF52DB">
      <w:r w:rsidRPr="003263DD">
        <w:t>None.</w:t>
      </w:r>
    </w:p>
    <w:p w:rsidR="003263DD" w:rsidRPr="003263DD" w:rsidRDefault="003263DD" w:rsidP="00CF52DB">
      <w:pPr>
        <w:pStyle w:val="Heading3"/>
      </w:pPr>
      <w:bookmarkStart w:id="375" w:name="_Toc272414704"/>
      <w:bookmarkStart w:id="376" w:name="_Toc290846344"/>
      <w:bookmarkStart w:id="377" w:name="_Toc330196439"/>
      <w:bookmarkStart w:id="378" w:name="_Toc365636822"/>
      <w:r w:rsidRPr="00CF52DB">
        <w:t>Efficacy</w:t>
      </w:r>
      <w:bookmarkEnd w:id="375"/>
      <w:bookmarkEnd w:id="376"/>
      <w:bookmarkEnd w:id="377"/>
      <w:bookmarkEnd w:id="378"/>
    </w:p>
    <w:p w:rsidR="003263DD" w:rsidRPr="003263DD" w:rsidRDefault="003263DD" w:rsidP="00CF52DB">
      <w:r w:rsidRPr="003263DD">
        <w:t>None.</w:t>
      </w:r>
    </w:p>
    <w:p w:rsidR="003263DD" w:rsidRPr="003263DD" w:rsidRDefault="003263DD" w:rsidP="00CF52DB">
      <w:pPr>
        <w:pStyle w:val="Heading3"/>
      </w:pPr>
      <w:bookmarkStart w:id="379" w:name="_Toc272414705"/>
      <w:bookmarkStart w:id="380" w:name="_Toc290846345"/>
      <w:bookmarkStart w:id="381" w:name="_Toc330196440"/>
      <w:bookmarkStart w:id="382" w:name="_Toc365636823"/>
      <w:r w:rsidRPr="00CF52DB">
        <w:t>Safety</w:t>
      </w:r>
      <w:bookmarkEnd w:id="379"/>
      <w:bookmarkEnd w:id="380"/>
      <w:bookmarkEnd w:id="381"/>
      <w:bookmarkEnd w:id="382"/>
    </w:p>
    <w:p w:rsidR="003263DD" w:rsidRPr="003263DD" w:rsidRDefault="003263DD" w:rsidP="00CF52DB">
      <w:r w:rsidRPr="003263DD">
        <w:t xml:space="preserve">Substantial questions remain about the cardiac safety of </w:t>
      </w:r>
      <w:proofErr w:type="spellStart"/>
      <w:r w:rsidRPr="003263DD">
        <w:t>retigabine</w:t>
      </w:r>
      <w:proofErr w:type="spellEnd"/>
      <w:r w:rsidRPr="003263DD">
        <w:t xml:space="preserve">, but these cannot be answered at the current time, on the available evidence. A condition of registration should be that the sponsor should commit to perform studies characterising the </w:t>
      </w:r>
      <w:proofErr w:type="spellStart"/>
      <w:r w:rsidRPr="003263DD">
        <w:t>proarrhythmic</w:t>
      </w:r>
      <w:proofErr w:type="spellEnd"/>
      <w:r w:rsidRPr="003263DD">
        <w:t xml:space="preserve"> potential of </w:t>
      </w:r>
      <w:proofErr w:type="spellStart"/>
      <w:r w:rsidRPr="003263DD">
        <w:t>retigabine</w:t>
      </w:r>
      <w:proofErr w:type="spellEnd"/>
      <w:r w:rsidRPr="003263DD">
        <w:t xml:space="preserve"> at doses greater than 400mg, and the sponsor should also guarantee that post-marketing surveillance will be directed at clarifying this issue.</w:t>
      </w:r>
    </w:p>
    <w:p w:rsidR="003263DD" w:rsidRPr="003263DD" w:rsidRDefault="003263DD" w:rsidP="00CF52DB">
      <w:r w:rsidRPr="003263DD">
        <w:t xml:space="preserve">The sponsor should also </w:t>
      </w:r>
      <w:r w:rsidR="00C91DA4">
        <w:t>h</w:t>
      </w:r>
      <w:r w:rsidRPr="003263DD">
        <w:t>ow many subjects have been exposed to single doses of 900mg or higher</w:t>
      </w:r>
      <w:r w:rsidR="00C91DA4">
        <w:t>.</w:t>
      </w:r>
    </w:p>
    <w:p w:rsidR="00C618F7" w:rsidRDefault="00C618F7" w:rsidP="00CF52DB">
      <w:pPr>
        <w:pStyle w:val="Heading2"/>
      </w:pPr>
      <w:bookmarkStart w:id="383" w:name="_Toc365636824"/>
      <w:r w:rsidRPr="00CF52DB">
        <w:t>References</w:t>
      </w:r>
      <w:bookmarkEnd w:id="383"/>
    </w:p>
    <w:p w:rsidR="00AC1A03" w:rsidRDefault="00AC1A03" w:rsidP="00CF52DB">
      <w:r>
        <w:t>The only references consulted in the preparation of this report were:</w:t>
      </w:r>
    </w:p>
    <w:p w:rsidR="00AC1A03" w:rsidRPr="00CF52DB" w:rsidRDefault="00AC1A03" w:rsidP="00CF52DB">
      <w:pPr>
        <w:pStyle w:val="ListBullet"/>
      </w:pPr>
      <w:r w:rsidRPr="00CF52DB">
        <w:t>those listed by the sponso</w:t>
      </w:r>
      <w:r w:rsidR="00C9175E" w:rsidRPr="00CF52DB">
        <w:t>r;</w:t>
      </w:r>
    </w:p>
    <w:p w:rsidR="00AC1A03" w:rsidRPr="00586F98" w:rsidRDefault="00AC1A03" w:rsidP="00C618F7">
      <w:pPr>
        <w:pStyle w:val="ListBullet"/>
      </w:pPr>
      <w:r w:rsidRPr="00CF52DB">
        <w:t>EMEA “Guideline for Clinical Investigation of Medicinal Products in the Treatment of Epileptic Disorders”, 2009.</w:t>
      </w:r>
    </w:p>
    <w:bookmarkEnd w:id="0"/>
    <w:bookmarkEnd w:id="1"/>
    <w:bookmarkEnd w:id="5"/>
    <w:p w:rsidR="003D1E62" w:rsidRPr="001D043B" w:rsidRDefault="003D1E62" w:rsidP="002666AC">
      <w:pPr>
        <w:sectPr w:rsidR="003D1E62" w:rsidRPr="001D043B" w:rsidSect="008D770F">
          <w:headerReference w:type="even" r:id="rId109"/>
          <w:headerReference w:type="default" r:id="rId110"/>
          <w:footerReference w:type="default" r:id="rId111"/>
          <w:headerReference w:type="first" r:id="rId112"/>
          <w:footerReference w:type="first" r:id="rId113"/>
          <w:pgSz w:w="11906" w:h="16838" w:code="9"/>
          <w:pgMar w:top="1440" w:right="1440" w:bottom="1440" w:left="1440" w:header="907" w:footer="216" w:gutter="0"/>
          <w:cols w:space="708"/>
          <w:docGrid w:linePitch="360"/>
        </w:sectPr>
      </w:pPr>
    </w:p>
    <w:p w:rsidR="00774E1D" w:rsidRPr="008A5E0B" w:rsidRDefault="00774E1D" w:rsidP="008A5E0B"/>
    <w:sectPr w:rsidR="00774E1D" w:rsidRPr="008A5E0B" w:rsidSect="008D770F">
      <w:headerReference w:type="even" r:id="rId114"/>
      <w:headerReference w:type="default" r:id="rId115"/>
      <w:footerReference w:type="default" r:id="rId116"/>
      <w:headerReference w:type="first" r:id="rId117"/>
      <w:footerReference w:type="first" r:id="rId118"/>
      <w:pgSz w:w="11906" w:h="16838" w:code="9"/>
      <w:pgMar w:top="1818" w:right="1701" w:bottom="1701" w:left="1701" w:header="90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5742" w:rsidRDefault="00C15742" w:rsidP="00C40A36">
      <w:pPr>
        <w:spacing w:after="0"/>
      </w:pPr>
      <w:r>
        <w:separator/>
      </w:r>
    </w:p>
  </w:endnote>
  <w:endnote w:type="continuationSeparator" w:id="0">
    <w:p w:rsidR="00C15742" w:rsidRDefault="00C15742" w:rsidP="00C40A36">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61" w:type="dxa"/>
      <w:tblLayout w:type="fixed"/>
      <w:tblCellMar>
        <w:top w:w="170" w:type="dxa"/>
        <w:left w:w="0" w:type="dxa"/>
        <w:bottom w:w="227" w:type="dxa"/>
        <w:right w:w="0" w:type="dxa"/>
      </w:tblCellMar>
      <w:tblLook w:val="04A0"/>
    </w:tblPr>
    <w:tblGrid>
      <w:gridCol w:w="7938"/>
      <w:gridCol w:w="923"/>
    </w:tblGrid>
    <w:tr w:rsidR="00C15742" w:rsidRPr="00487162" w:rsidTr="0053625B">
      <w:trPr>
        <w:trHeight w:val="269"/>
      </w:trPr>
      <w:tc>
        <w:tcPr>
          <w:tcW w:w="7938" w:type="dxa"/>
          <w:tcMar>
            <w:top w:w="142" w:type="dxa"/>
            <w:bottom w:w="0" w:type="dxa"/>
          </w:tcMar>
        </w:tcPr>
        <w:p w:rsidR="00C15742" w:rsidRPr="00487162" w:rsidRDefault="00C15742" w:rsidP="001344C0">
          <w:pPr>
            <w:pStyle w:val="Footer"/>
          </w:pPr>
          <w:r>
            <w:t>Submission</w:t>
          </w:r>
          <w:r w:rsidRPr="00487162">
            <w:t xml:space="preserve"> </w:t>
          </w:r>
          <w:r w:rsidRPr="001344C0">
            <w:t>PM-2011-04248-3-1</w:t>
          </w:r>
          <w:r>
            <w:t xml:space="preserve"> Extract from the Clinical Evaluation Report for </w:t>
          </w:r>
          <w:proofErr w:type="spellStart"/>
          <w:r w:rsidR="00BB727E" w:rsidRPr="00BB727E">
            <w:t>Retigabine</w:t>
          </w:r>
          <w:proofErr w:type="spellEnd"/>
        </w:p>
      </w:tc>
      <w:tc>
        <w:tcPr>
          <w:tcW w:w="923" w:type="dxa"/>
          <w:tcMar>
            <w:top w:w="142" w:type="dxa"/>
            <w:bottom w:w="0" w:type="dxa"/>
          </w:tcMar>
        </w:tcPr>
        <w:p w:rsidR="00C15742" w:rsidRPr="00487162" w:rsidRDefault="00C15742" w:rsidP="00D855D4">
          <w:pPr>
            <w:pStyle w:val="Footer"/>
            <w:jc w:val="right"/>
          </w:pPr>
          <w:r w:rsidRPr="00487162">
            <w:t xml:space="preserve">Page </w:t>
          </w:r>
          <w:r>
            <w:t>2</w:t>
          </w:r>
          <w:r w:rsidRPr="00487162">
            <w:t xml:space="preserve"> of </w:t>
          </w:r>
          <w:fldSimple w:instr=" NUMPAGES  \* Arabic ">
            <w:r w:rsidR="00CF193C">
              <w:rPr>
                <w:noProof/>
              </w:rPr>
              <w:t>93</w:t>
            </w:r>
          </w:fldSimple>
        </w:p>
      </w:tc>
    </w:tr>
  </w:tbl>
  <w:p w:rsidR="00C15742" w:rsidRDefault="00C15742" w:rsidP="0043797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61" w:type="dxa"/>
      <w:tblBorders>
        <w:top w:val="single" w:sz="4" w:space="0" w:color="auto"/>
      </w:tblBorders>
      <w:tblLayout w:type="fixed"/>
      <w:tblCellMar>
        <w:top w:w="170" w:type="dxa"/>
        <w:left w:w="0" w:type="dxa"/>
        <w:bottom w:w="170" w:type="dxa"/>
        <w:right w:w="0" w:type="dxa"/>
      </w:tblCellMar>
      <w:tblLook w:val="04A0"/>
    </w:tblPr>
    <w:tblGrid>
      <w:gridCol w:w="7655"/>
      <w:gridCol w:w="1206"/>
    </w:tblGrid>
    <w:tr w:rsidR="00C15742" w:rsidRPr="00487162" w:rsidTr="00586F98">
      <w:trPr>
        <w:trHeight w:val="269"/>
      </w:trPr>
      <w:tc>
        <w:tcPr>
          <w:tcW w:w="7655" w:type="dxa"/>
          <w:tcMar>
            <w:top w:w="142" w:type="dxa"/>
            <w:bottom w:w="0" w:type="dxa"/>
          </w:tcMar>
        </w:tcPr>
        <w:p w:rsidR="00C15742" w:rsidRPr="00487162" w:rsidRDefault="00C15742" w:rsidP="00D855D4">
          <w:pPr>
            <w:pStyle w:val="Footer"/>
          </w:pPr>
          <w:r>
            <w:t>Submission</w:t>
          </w:r>
          <w:r w:rsidRPr="00487162">
            <w:t xml:space="preserve"> </w:t>
          </w:r>
          <w:r w:rsidRPr="001344C0">
            <w:t>PM-2011-04248-3-1</w:t>
          </w:r>
          <w:r>
            <w:t xml:space="preserve"> Extract from the Clinical Evaluation Report for </w:t>
          </w:r>
          <w:proofErr w:type="spellStart"/>
          <w:r w:rsidR="00BB727E" w:rsidRPr="00BB727E">
            <w:t>Retigabine</w:t>
          </w:r>
          <w:proofErr w:type="spellEnd"/>
        </w:p>
      </w:tc>
      <w:tc>
        <w:tcPr>
          <w:tcW w:w="1206" w:type="dxa"/>
          <w:tcMar>
            <w:top w:w="142" w:type="dxa"/>
            <w:bottom w:w="0" w:type="dxa"/>
          </w:tcMar>
        </w:tcPr>
        <w:p w:rsidR="00C15742" w:rsidRPr="00487162" w:rsidRDefault="00C15742" w:rsidP="00E45619">
          <w:pPr>
            <w:pStyle w:val="Footer"/>
            <w:jc w:val="right"/>
          </w:pPr>
          <w:r w:rsidRPr="00487162">
            <w:t xml:space="preserve">Page </w:t>
          </w:r>
          <w:fldSimple w:instr="PAGE">
            <w:r w:rsidR="00CF193C">
              <w:rPr>
                <w:noProof/>
              </w:rPr>
              <w:t>86</w:t>
            </w:r>
          </w:fldSimple>
          <w:r w:rsidRPr="00487162">
            <w:t xml:space="preserve"> of </w:t>
          </w:r>
          <w:fldSimple w:instr=" NUMPAGES  \* Arabic ">
            <w:r w:rsidR="00CF193C">
              <w:rPr>
                <w:noProof/>
              </w:rPr>
              <w:t>89</w:t>
            </w:r>
          </w:fldSimple>
        </w:p>
      </w:tc>
    </w:tr>
  </w:tbl>
  <w:p w:rsidR="00C15742" w:rsidRDefault="00C15742" w:rsidP="00E2613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61" w:type="dxa"/>
      <w:tblLayout w:type="fixed"/>
      <w:tblCellMar>
        <w:top w:w="170" w:type="dxa"/>
        <w:left w:w="0" w:type="dxa"/>
        <w:bottom w:w="227" w:type="dxa"/>
        <w:right w:w="0" w:type="dxa"/>
      </w:tblCellMar>
      <w:tblLook w:val="04A0"/>
    </w:tblPr>
    <w:tblGrid>
      <w:gridCol w:w="4519"/>
      <w:gridCol w:w="4342"/>
    </w:tblGrid>
    <w:tr w:rsidR="00C15742" w:rsidRPr="00487162" w:rsidTr="00E45619">
      <w:trPr>
        <w:trHeight w:val="269"/>
      </w:trPr>
      <w:tc>
        <w:tcPr>
          <w:tcW w:w="4519" w:type="dxa"/>
          <w:tcBorders>
            <w:top w:val="single" w:sz="4" w:space="0" w:color="auto"/>
          </w:tcBorders>
          <w:tcMar>
            <w:top w:w="142" w:type="dxa"/>
            <w:bottom w:w="0" w:type="dxa"/>
          </w:tcMar>
        </w:tcPr>
        <w:p w:rsidR="00C15742" w:rsidRPr="00487162" w:rsidRDefault="00C15742" w:rsidP="00FE1DEE">
          <w:pPr>
            <w:pStyle w:val="Footer"/>
          </w:pPr>
          <w:r w:rsidRPr="00487162">
            <w:t>Document title, Part #, Section # - Section title</w:t>
          </w:r>
        </w:p>
        <w:p w:rsidR="00C15742" w:rsidRPr="00487162" w:rsidRDefault="00C15742" w:rsidP="00FE1DEE">
          <w:pPr>
            <w:pStyle w:val="Footer"/>
          </w:pPr>
          <w:r w:rsidRPr="00487162">
            <w:t>V1.0 October 2010</w:t>
          </w:r>
        </w:p>
      </w:tc>
      <w:tc>
        <w:tcPr>
          <w:tcW w:w="4342" w:type="dxa"/>
          <w:tcBorders>
            <w:top w:val="single" w:sz="4" w:space="0" w:color="auto"/>
          </w:tcBorders>
          <w:tcMar>
            <w:top w:w="142" w:type="dxa"/>
            <w:bottom w:w="0" w:type="dxa"/>
          </w:tcMar>
        </w:tcPr>
        <w:p w:rsidR="00C15742" w:rsidRPr="00487162" w:rsidRDefault="00C15742" w:rsidP="00E45619">
          <w:pPr>
            <w:pStyle w:val="Footer"/>
            <w:jc w:val="right"/>
          </w:pPr>
          <w:r w:rsidRPr="00487162">
            <w:t xml:space="preserve">Page </w:t>
          </w:r>
          <w:fldSimple w:instr=" PAGE   \* MERGEFORMAT ">
            <w:r w:rsidRPr="00487162">
              <w:rPr>
                <w:noProof/>
              </w:rPr>
              <w:t>3</w:t>
            </w:r>
          </w:fldSimple>
          <w:r w:rsidRPr="00487162">
            <w:t xml:space="preserve"> of </w:t>
          </w:r>
          <w:fldSimple w:instr=" NUMPAGES  ">
            <w:r>
              <w:rPr>
                <w:noProof/>
              </w:rPr>
              <w:t>2</w:t>
            </w:r>
          </w:fldSimple>
        </w:p>
      </w:tc>
    </w:tr>
  </w:tbl>
  <w:p w:rsidR="00C15742" w:rsidRDefault="00C1574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175" w:type="dxa"/>
      <w:tblInd w:w="-284" w:type="dxa"/>
      <w:tblLayout w:type="fixed"/>
      <w:tblCellMar>
        <w:left w:w="0" w:type="dxa"/>
        <w:right w:w="0" w:type="dxa"/>
      </w:tblCellMar>
      <w:tblLook w:val="04A0"/>
    </w:tblPr>
    <w:tblGrid>
      <w:gridCol w:w="9175"/>
    </w:tblGrid>
    <w:tr w:rsidR="00C15742" w:rsidRPr="00487162" w:rsidTr="008D770F">
      <w:trPr>
        <w:trHeight w:hRule="exact" w:val="564"/>
      </w:trPr>
      <w:tc>
        <w:tcPr>
          <w:tcW w:w="9175" w:type="dxa"/>
        </w:tcPr>
        <w:p w:rsidR="00C15742" w:rsidRPr="00487162" w:rsidRDefault="00C15742" w:rsidP="008E7846">
          <w:pPr>
            <w:pStyle w:val="TGASignoff"/>
          </w:pPr>
          <w:r w:rsidRPr="00487162">
            <w:t>Therapeutic Goods Administration</w:t>
          </w:r>
        </w:p>
      </w:tc>
    </w:tr>
    <w:tr w:rsidR="00C15742" w:rsidRPr="00487162" w:rsidTr="00E45619">
      <w:trPr>
        <w:trHeight w:val="1221"/>
      </w:trPr>
      <w:tc>
        <w:tcPr>
          <w:tcW w:w="9175" w:type="dxa"/>
          <w:tcMar>
            <w:top w:w="28" w:type="dxa"/>
          </w:tcMar>
        </w:tcPr>
        <w:p w:rsidR="00C15742" w:rsidRPr="00487162" w:rsidRDefault="00C15742" w:rsidP="00E45619">
          <w:pPr>
            <w:pStyle w:val="Address"/>
          </w:pPr>
          <w:r w:rsidRPr="00487162">
            <w:t>PO Box 100 Woden ACT 2606 Australia</w:t>
          </w:r>
        </w:p>
        <w:p w:rsidR="00C15742" w:rsidRPr="00487162" w:rsidRDefault="00C15742" w:rsidP="00E45619">
          <w:pPr>
            <w:pStyle w:val="Address"/>
          </w:pPr>
          <w:r w:rsidRPr="00487162">
            <w:t xml:space="preserve">Email: </w:t>
          </w:r>
          <w:hyperlink r:id="rId1" w:history="1">
            <w:r w:rsidRPr="008D770F">
              <w:rPr>
                <w:rStyle w:val="Hyperlink"/>
              </w:rPr>
              <w:t>info@tga.gov.au</w:t>
            </w:r>
          </w:hyperlink>
          <w:r>
            <w:t xml:space="preserve"> </w:t>
          </w:r>
          <w:r w:rsidRPr="00487162">
            <w:t>Phone: 1800 020 653</w:t>
          </w:r>
          <w:r>
            <w:t xml:space="preserve"> </w:t>
          </w:r>
          <w:r w:rsidRPr="00487162">
            <w:t>Fax: 02 6232 8605</w:t>
          </w:r>
        </w:p>
        <w:p w:rsidR="00C15742" w:rsidRPr="008D770F" w:rsidRDefault="006D7D0F" w:rsidP="008D770F">
          <w:pPr>
            <w:pStyle w:val="Address"/>
            <w:spacing w:line="260" w:lineRule="atLeast"/>
            <w:rPr>
              <w:b/>
              <w:color w:val="0000FF"/>
              <w:u w:val="single"/>
            </w:rPr>
          </w:pPr>
          <w:hyperlink r:id="rId2" w:history="1">
            <w:r w:rsidR="00C15742" w:rsidRPr="007C06C7">
              <w:rPr>
                <w:rStyle w:val="Hyperlink"/>
                <w:b/>
              </w:rPr>
              <w:t>http://www.tga.gov.au</w:t>
            </w:r>
          </w:hyperlink>
        </w:p>
      </w:tc>
    </w:tr>
  </w:tbl>
  <w:p w:rsidR="00C15742" w:rsidRDefault="00C15742" w:rsidP="008E7846">
    <w:pPr>
      <w:pStyle w:val="Note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75" w:type="dxa"/>
      <w:tblLayout w:type="fixed"/>
      <w:tblCellMar>
        <w:top w:w="170" w:type="dxa"/>
        <w:left w:w="0" w:type="dxa"/>
        <w:bottom w:w="227" w:type="dxa"/>
        <w:right w:w="0" w:type="dxa"/>
      </w:tblCellMar>
      <w:tblLook w:val="04A0"/>
    </w:tblPr>
    <w:tblGrid>
      <w:gridCol w:w="4519"/>
      <w:gridCol w:w="4356"/>
    </w:tblGrid>
    <w:tr w:rsidR="00C15742" w:rsidTr="0010601F">
      <w:trPr>
        <w:trHeight w:val="108"/>
      </w:trPr>
      <w:tc>
        <w:tcPr>
          <w:tcW w:w="8875" w:type="dxa"/>
          <w:gridSpan w:val="2"/>
          <w:tcBorders>
            <w:bottom w:val="single" w:sz="4" w:space="0" w:color="auto"/>
          </w:tcBorders>
          <w:tcMar>
            <w:right w:w="284" w:type="dxa"/>
          </w:tcMar>
        </w:tcPr>
        <w:p w:rsidR="00C15742" w:rsidRDefault="00C15742" w:rsidP="006E08B3">
          <w:pPr>
            <w:pStyle w:val="Heading3"/>
          </w:pPr>
          <w:r>
            <w:t>Copyright</w:t>
          </w:r>
        </w:p>
        <w:p w:rsidR="00C15742" w:rsidRDefault="00C15742" w:rsidP="006E08B3">
          <w:r>
            <w:rPr>
              <w:rFonts w:cs="Arial"/>
            </w:rPr>
            <w:t>©</w:t>
          </w:r>
          <w:r>
            <w:t xml:space="preserve"> Commonwealth of Australia [add year]</w:t>
          </w:r>
        </w:p>
        <w:p w:rsidR="00C15742" w:rsidRDefault="00C15742" w:rsidP="006E08B3"/>
        <w:p w:rsidR="00C15742" w:rsidRDefault="00C15742"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C15742" w:rsidRDefault="00C15742" w:rsidP="006E08B3"/>
        <w:p w:rsidR="00C15742" w:rsidRDefault="00C15742" w:rsidP="006E08B3">
          <w:pPr>
            <w:pStyle w:val="Heading3"/>
          </w:pPr>
          <w:r>
            <w:t>Confidentiality</w:t>
          </w:r>
        </w:p>
        <w:p w:rsidR="00C15742" w:rsidRDefault="00C15742"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C15742" w:rsidRDefault="00C15742" w:rsidP="006E08B3"/>
        <w:p w:rsidR="00C15742" w:rsidRDefault="00C15742" w:rsidP="006E08B3">
          <w:r>
            <w:t>For submission made by individuals, all personal details, other than your name, will be removed from your submission before it is published on the TGA’s Internet site.</w:t>
          </w:r>
        </w:p>
        <w:p w:rsidR="00C15742" w:rsidRDefault="00C15742" w:rsidP="006E08B3"/>
        <w:p w:rsidR="00C15742" w:rsidRDefault="00C15742"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C15742" w:rsidTr="0010601F">
      <w:trPr>
        <w:trHeight w:val="417"/>
      </w:trPr>
      <w:tc>
        <w:tcPr>
          <w:tcW w:w="4519" w:type="dxa"/>
          <w:tcBorders>
            <w:top w:val="single" w:sz="4" w:space="0" w:color="auto"/>
          </w:tcBorders>
          <w:tcMar>
            <w:top w:w="142" w:type="dxa"/>
            <w:bottom w:w="0" w:type="dxa"/>
          </w:tcMar>
        </w:tcPr>
        <w:p w:rsidR="00C15742" w:rsidRDefault="00C15742" w:rsidP="006E08B3">
          <w:r>
            <w:t>Document title, Part #, Section # - Section title</w:t>
          </w:r>
        </w:p>
        <w:p w:rsidR="00C15742" w:rsidRDefault="00C15742" w:rsidP="006E08B3">
          <w:r>
            <w:t>V1.0 October 2010</w:t>
          </w:r>
        </w:p>
      </w:tc>
      <w:tc>
        <w:tcPr>
          <w:tcW w:w="4356" w:type="dxa"/>
          <w:tcBorders>
            <w:top w:val="single" w:sz="4" w:space="0" w:color="auto"/>
          </w:tcBorders>
          <w:tcMar>
            <w:top w:w="142" w:type="dxa"/>
            <w:bottom w:w="0" w:type="dxa"/>
          </w:tcMar>
        </w:tcPr>
        <w:p w:rsidR="00C15742" w:rsidRDefault="00C15742" w:rsidP="006E08B3">
          <w:pPr>
            <w:jc w:val="right"/>
          </w:pPr>
          <w:r>
            <w:t xml:space="preserve">Page </w:t>
          </w:r>
          <w:fldSimple w:instr=" PAGE   \* MERGEFORMAT ">
            <w:r>
              <w:rPr>
                <w:noProof/>
              </w:rPr>
              <w:t>1</w:t>
            </w:r>
          </w:fldSimple>
          <w:r>
            <w:t xml:space="preserve"> of </w:t>
          </w:r>
          <w:fldSimple w:instr=" NUMPAGES  \* Arabic ">
            <w:r>
              <w:rPr>
                <w:noProof/>
              </w:rPr>
              <w:t>2</w:t>
            </w:r>
          </w:fldSimple>
          <w:r>
            <w:t xml:space="preserve"> </w:t>
          </w:r>
        </w:p>
      </w:tc>
    </w:tr>
  </w:tbl>
  <w:p w:rsidR="00C15742" w:rsidRDefault="00C1574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5742" w:rsidRDefault="00C15742" w:rsidP="00C40A36">
      <w:pPr>
        <w:spacing w:after="0"/>
      </w:pPr>
      <w:r>
        <w:separator/>
      </w:r>
    </w:p>
  </w:footnote>
  <w:footnote w:type="continuationSeparator" w:id="0">
    <w:p w:rsidR="00C15742" w:rsidRDefault="00C15742" w:rsidP="00C40A36">
      <w:pPr>
        <w:spacing w:after="0"/>
      </w:pPr>
      <w:r>
        <w:continuationSeparator/>
      </w:r>
    </w:p>
  </w:footnote>
  <w:footnote w:id="1">
    <w:p w:rsidR="00C15742" w:rsidRPr="00042913" w:rsidRDefault="00C15742" w:rsidP="00042913">
      <w:pPr>
        <w:pStyle w:val="FootnoteText"/>
      </w:pPr>
      <w:r w:rsidRPr="00042913">
        <w:rPr>
          <w:rStyle w:val="FootnoteReference"/>
        </w:rPr>
        <w:footnoteRef/>
      </w:r>
      <w:r w:rsidRPr="00042913">
        <w:t xml:space="preserve"> </w:t>
      </w:r>
      <w:proofErr w:type="spellStart"/>
      <w:r w:rsidRPr="00042913">
        <w:t>Hirtz</w:t>
      </w:r>
      <w:proofErr w:type="spellEnd"/>
      <w:r w:rsidRPr="00042913">
        <w:t xml:space="preserve"> D, et al. (2007) How common are the "common" neurologic disorders? Neurology 68: 326-337.</w:t>
      </w:r>
    </w:p>
  </w:footnote>
  <w:footnote w:id="2">
    <w:p w:rsidR="00C15742" w:rsidRPr="00042913" w:rsidRDefault="00C15742" w:rsidP="00042913">
      <w:pPr>
        <w:pStyle w:val="FootnoteText"/>
      </w:pPr>
      <w:r w:rsidRPr="00042913">
        <w:rPr>
          <w:rStyle w:val="FootnoteReference"/>
        </w:rPr>
        <w:footnoteRef/>
      </w:r>
      <w:r w:rsidRPr="00042913">
        <w:rPr>
          <w:vertAlign w:val="superscript"/>
        </w:rPr>
        <w:t xml:space="preserve"> </w:t>
      </w:r>
      <w:proofErr w:type="spellStart"/>
      <w:r w:rsidRPr="00042913">
        <w:t>Elger</w:t>
      </w:r>
      <w:proofErr w:type="spellEnd"/>
      <w:r w:rsidRPr="00042913">
        <w:t xml:space="preserve"> CE, Schmidt D. (2008) Modern management of epilepsy: a practical approach. Epilepsy </w:t>
      </w:r>
      <w:proofErr w:type="spellStart"/>
      <w:r w:rsidRPr="00042913">
        <w:t>Behav</w:t>
      </w:r>
      <w:proofErr w:type="spellEnd"/>
      <w:r w:rsidRPr="00042913">
        <w:t>. 12: 501-539.</w:t>
      </w:r>
    </w:p>
  </w:footnote>
  <w:footnote w:id="3">
    <w:p w:rsidR="00C15742" w:rsidRDefault="00C15742" w:rsidP="00AF463C">
      <w:pPr>
        <w:pStyle w:val="FootnoteText"/>
      </w:pPr>
      <w:r>
        <w:rPr>
          <w:rStyle w:val="FootnoteReference"/>
        </w:rPr>
        <w:footnoteRef/>
      </w:r>
      <w:r>
        <w:t xml:space="preserve"> </w:t>
      </w:r>
      <w:r w:rsidRPr="007A2DF1">
        <w:t>Sponsor comment: “</w:t>
      </w:r>
      <w:r w:rsidRPr="007A2DF1">
        <w:rPr>
          <w:lang w:val="en-GB" w:eastAsia="en-GB"/>
        </w:rPr>
        <w:t>In Section 3.2.5.</w:t>
      </w:r>
      <w:r>
        <w:rPr>
          <w:lang w:val="en-GB" w:eastAsia="en-GB"/>
        </w:rPr>
        <w:t>1.1.3, Oral Contraceptives, the sponsor</w:t>
      </w:r>
      <w:r w:rsidRPr="007A2DF1">
        <w:rPr>
          <w:lang w:val="en-GB" w:eastAsia="en-GB"/>
        </w:rPr>
        <w:t xml:space="preserve"> note</w:t>
      </w:r>
      <w:r>
        <w:rPr>
          <w:lang w:val="en-GB" w:eastAsia="en-GB"/>
        </w:rPr>
        <w:t>s</w:t>
      </w:r>
      <w:r w:rsidRPr="007A2DF1">
        <w:rPr>
          <w:lang w:val="en-GB" w:eastAsia="en-GB"/>
        </w:rPr>
        <w:t xml:space="preserve"> the comments regarding Study 3065A1-112 and would like to draw attention to information from a second oral contraceptive study (VRX-RET-E22-106 – m5.3.3.4) whi</w:t>
      </w:r>
      <w:r>
        <w:rPr>
          <w:lang w:val="en-GB" w:eastAsia="en-GB"/>
        </w:rPr>
        <w:t>ch addressed the shortfalls of S</w:t>
      </w:r>
      <w:r w:rsidRPr="007A2DF1">
        <w:rPr>
          <w:lang w:val="en-GB" w:eastAsia="en-GB"/>
        </w:rPr>
        <w:t xml:space="preserve">tudy </w:t>
      </w:r>
      <w:r>
        <w:rPr>
          <w:lang w:val="en-GB" w:eastAsia="en-GB"/>
        </w:rPr>
        <w:t xml:space="preserve">3065A1-112. </w:t>
      </w:r>
      <w:r w:rsidRPr="007A2DF1">
        <w:rPr>
          <w:lang w:val="en-GB" w:eastAsia="en-GB"/>
        </w:rPr>
        <w:t>This study was not described in this section.</w:t>
      </w:r>
      <w:r>
        <w:rPr>
          <w:lang w:val="en-GB" w:eastAsia="en-GB"/>
        </w:rPr>
        <w:t xml:space="preserve"> </w:t>
      </w:r>
      <w:r w:rsidRPr="007A2DF1">
        <w:rPr>
          <w:lang w:val="en-GB" w:eastAsia="en-GB"/>
        </w:rPr>
        <w:t xml:space="preserve">The second study was conducted within the therapeutic dose range of </w:t>
      </w:r>
      <w:proofErr w:type="spellStart"/>
      <w:r w:rsidRPr="007A2DF1">
        <w:rPr>
          <w:lang w:val="en-GB" w:eastAsia="en-GB"/>
        </w:rPr>
        <w:t>retigabine</w:t>
      </w:r>
      <w:proofErr w:type="spellEnd"/>
      <w:r w:rsidRPr="007A2DF1">
        <w:rPr>
          <w:lang w:val="en-GB" w:eastAsia="en-GB"/>
        </w:rPr>
        <w:t xml:space="preserve"> and </w:t>
      </w:r>
      <w:proofErr w:type="spellStart"/>
      <w:r w:rsidRPr="007A2DF1">
        <w:rPr>
          <w:lang w:val="en-GB" w:eastAsia="en-GB"/>
        </w:rPr>
        <w:t>retigabine</w:t>
      </w:r>
      <w:proofErr w:type="spellEnd"/>
      <w:r w:rsidRPr="007A2DF1">
        <w:rPr>
          <w:lang w:val="en-GB" w:eastAsia="en-GB"/>
        </w:rPr>
        <w:t xml:space="preserve"> was administered over 2 menstrual cycles allowing sufficient time for potential en</w:t>
      </w:r>
      <w:r>
        <w:rPr>
          <w:lang w:val="en-GB" w:eastAsia="en-GB"/>
        </w:rPr>
        <w:t>zyme induction to occur. R</w:t>
      </w:r>
      <w:r w:rsidRPr="007A2DF1">
        <w:rPr>
          <w:lang w:val="en-GB" w:eastAsia="en-GB"/>
        </w:rPr>
        <w:t>eview of this second study was included in Section 18 (Supporting Tables and Figures) of the assessment report.</w:t>
      </w:r>
      <w:r w:rsidRPr="007A2DF1">
        <w:t>”</w:t>
      </w:r>
    </w:p>
  </w:footnote>
  <w:footnote w:id="4">
    <w:p w:rsidR="00C15742" w:rsidRPr="00AF463C" w:rsidRDefault="00C15742" w:rsidP="00AF463C">
      <w:pPr>
        <w:pStyle w:val="FootnoteText"/>
      </w:pPr>
      <w:r w:rsidRPr="00AF463C">
        <w:rPr>
          <w:rStyle w:val="FootnoteReference"/>
        </w:rPr>
        <w:footnoteRef/>
      </w:r>
      <w:r w:rsidRPr="00AF463C">
        <w:t xml:space="preserve"> Sponsor comment: “Study RTG114137, listed as a </w:t>
      </w:r>
      <w:proofErr w:type="spellStart"/>
      <w:r w:rsidRPr="00AF463C">
        <w:t>pharmacodynamic</w:t>
      </w:r>
      <w:proofErr w:type="spellEnd"/>
      <w:r w:rsidRPr="00AF463C">
        <w:t xml:space="preserve"> study, was a study in healthy subjects that confirmed that conditions of storage have the potential to interfere with urinalysis findings.”</w:t>
      </w:r>
    </w:p>
  </w:footnote>
  <w:footnote w:id="5">
    <w:p w:rsidR="00C15742" w:rsidRPr="001232DE" w:rsidRDefault="00C15742" w:rsidP="001232DE">
      <w:pPr>
        <w:pStyle w:val="FootnoteText"/>
      </w:pPr>
      <w:r w:rsidRPr="001232DE">
        <w:rPr>
          <w:rStyle w:val="FootnoteReference"/>
        </w:rPr>
        <w:footnoteRef/>
      </w:r>
      <w:r w:rsidRPr="001232DE">
        <w:t xml:space="preserve"> Sponsor comment: “Studies 301 and 302 had two primary endpoints, respectively, designated for the world region of interest. These were not co-primary endpoints. Each primary endpoint was assessed based on the regulatory requirements of the respective region. The other endpoint was considered secondary for that region, thus no multiplicity adjustment was required. The two phase III studies were designed with two primary endpoints.”</w:t>
      </w:r>
    </w:p>
  </w:footnote>
  <w:footnote w:id="6">
    <w:p w:rsidR="00C15742" w:rsidRPr="00587B40" w:rsidRDefault="00C15742" w:rsidP="00587B40">
      <w:pPr>
        <w:pStyle w:val="FootnoteText"/>
      </w:pPr>
      <w:r w:rsidRPr="00587B40">
        <w:rPr>
          <w:rStyle w:val="FootnoteReference"/>
        </w:rPr>
        <w:footnoteRef/>
      </w:r>
      <w:r w:rsidRPr="00587B40">
        <w:t xml:space="preserve"> Sponsor comment: “The sponsor is unaware of any evidence to support that the sponsor took this action.”</w:t>
      </w:r>
    </w:p>
  </w:footnote>
  <w:footnote w:id="7">
    <w:p w:rsidR="00C15742" w:rsidRPr="00587B40" w:rsidRDefault="00C15742" w:rsidP="00587B40">
      <w:pPr>
        <w:pStyle w:val="FootnoteText"/>
      </w:pPr>
      <w:r w:rsidRPr="00587B40">
        <w:rPr>
          <w:rStyle w:val="FootnoteReference"/>
        </w:rPr>
        <w:footnoteRef/>
      </w:r>
      <w:r w:rsidRPr="00587B40">
        <w:t xml:space="preserve"> Sponsor comment: “The sponsor advises this statement is incorrect as although responder rates were compared using logistic regression with centre and treatment as effects, the percent change in seizure frequency was analysed using a rank analysis of covariance.”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rsidP="00E45619">
    <w:pPr>
      <w:pStyle w:val="Header"/>
    </w:pPr>
    <w:r>
      <w:t>Therapeutic Goods Administration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pPr>
      <w:rPr>
        <w:noProof/>
        <w:lang w:eastAsia="en-AU"/>
      </w:rPr>
    </w:pPr>
    <w:r>
      <w:rPr>
        <w:noProof/>
        <w:lang w:eastAsia="en-AU"/>
      </w:rPr>
      <w:drawing>
        <wp:anchor distT="0" distB="0" distL="114300" distR="114300" simplePos="0" relativeHeight="251657728" behindDoc="1" locked="0" layoutInCell="1" allowOverlap="1">
          <wp:simplePos x="0" y="0"/>
          <wp:positionH relativeFrom="column">
            <wp:posOffset>-1089660</wp:posOffset>
          </wp:positionH>
          <wp:positionV relativeFrom="paragraph">
            <wp:posOffset>-585470</wp:posOffset>
          </wp:positionV>
          <wp:extent cx="7572375" cy="10706100"/>
          <wp:effectExtent l="19050" t="0" r="9525" b="0"/>
          <wp:wrapNone/>
          <wp:docPr id="3"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herapeutic Goods Administration"/>
                  <pic:cNvPicPr>
                    <a:picLocks noChangeAspect="1" noChangeArrowheads="1"/>
                  </pic:cNvPicPr>
                </pic:nvPicPr>
                <pic:blipFill>
                  <a:blip r:embed="rId1"/>
                  <a:srcRect/>
                  <a:stretch>
                    <a:fillRect/>
                  </a:stretch>
                </pic:blipFill>
                <pic:spPr bwMode="auto">
                  <a:xfrm>
                    <a:off x="0" y="0"/>
                    <a:ext cx="7572375" cy="10706100"/>
                  </a:xfrm>
                  <a:prstGeom prst="rect">
                    <a:avLst/>
                  </a:prstGeom>
                  <a:noFill/>
                  <a:ln w="9525">
                    <a:noFill/>
                    <a:miter lim="800000"/>
                    <a:headEnd/>
                    <a:tailEnd/>
                  </a:ln>
                </pic:spPr>
              </pic:pic>
            </a:graphicData>
          </a:graphic>
        </wp:anchor>
      </w:drawing>
    </w:r>
  </w:p>
  <w:p w:rsidR="00C15742" w:rsidRDefault="00C15742" w:rsidP="00593AD1">
    <w:pPr>
      <w:pStyle w:val="HeaderNoLine"/>
    </w:pPr>
    <w:r>
      <w:rPr>
        <w:noProof/>
        <w:lang w:eastAsia="en-AU"/>
      </w:rPr>
      <w:drawing>
        <wp:inline distT="0" distB="0" distL="0" distR="0">
          <wp:extent cx="5398770" cy="7637145"/>
          <wp:effectExtent l="19050" t="0" r="0" b="0"/>
          <wp:docPr id="96" name="Picture 96"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ightblue.jpg"/>
                  <pic:cNvPicPr>
                    <a:picLocks noChangeAspect="1" noChangeArrowheads="1"/>
                  </pic:cNvPicPr>
                </pic:nvPicPr>
                <pic:blipFill>
                  <a:blip r:embed="rId2"/>
                  <a:srcRect/>
                  <a:stretch>
                    <a:fillRect/>
                  </a:stretch>
                </pic:blipFill>
                <pic:spPr bwMode="auto">
                  <a:xfrm>
                    <a:off x="0" y="0"/>
                    <a:ext cx="5398770" cy="7637145"/>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pPr>
      <w:pStyle w:val="Header"/>
    </w:pPr>
    <w:r>
      <w:t>Therapeutic Goods Administration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pPr>
      <w:pStyle w:val="Header"/>
    </w:pPr>
    <w:r>
      <w:t>Therapeutic Goods Administration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rsidP="008D770F">
    <w:pPr>
      <w:pStyle w:val="HeaderNoLin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5742" w:rsidRDefault="00C15742" w:rsidP="006E08B3">
    <w:r>
      <w:t>Therapeutic Goods Administration</w:t>
    </w:r>
  </w:p>
  <w:p w:rsidR="00C15742" w:rsidRDefault="00C15742" w:rsidP="006D03E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D866956"/>
    <w:lvl w:ilvl="0">
      <w:start w:val="1"/>
      <w:numFmt w:val="decimal"/>
      <w:lvlText w:val="%1."/>
      <w:lvlJc w:val="left"/>
      <w:pPr>
        <w:tabs>
          <w:tab w:val="num" w:pos="1492"/>
        </w:tabs>
        <w:ind w:left="1492" w:hanging="360"/>
      </w:pPr>
    </w:lvl>
  </w:abstractNum>
  <w:abstractNum w:abstractNumId="1">
    <w:nsid w:val="FFFFFF7D"/>
    <w:multiLevelType w:val="singleLevel"/>
    <w:tmpl w:val="5F98D9CE"/>
    <w:lvl w:ilvl="0">
      <w:start w:val="1"/>
      <w:numFmt w:val="decimal"/>
      <w:lvlText w:val="%1."/>
      <w:lvlJc w:val="left"/>
      <w:pPr>
        <w:tabs>
          <w:tab w:val="num" w:pos="1209"/>
        </w:tabs>
        <w:ind w:left="1209" w:hanging="360"/>
      </w:pPr>
    </w:lvl>
  </w:abstractNum>
  <w:abstractNum w:abstractNumId="2">
    <w:nsid w:val="FFFFFF7E"/>
    <w:multiLevelType w:val="singleLevel"/>
    <w:tmpl w:val="60029696"/>
    <w:lvl w:ilvl="0">
      <w:start w:val="1"/>
      <w:numFmt w:val="decimal"/>
      <w:lvlText w:val="%1."/>
      <w:lvlJc w:val="left"/>
      <w:pPr>
        <w:tabs>
          <w:tab w:val="num" w:pos="926"/>
        </w:tabs>
        <w:ind w:left="926" w:hanging="360"/>
      </w:pPr>
    </w:lvl>
  </w:abstractNum>
  <w:abstractNum w:abstractNumId="3">
    <w:nsid w:val="FFFFFF7F"/>
    <w:multiLevelType w:val="singleLevel"/>
    <w:tmpl w:val="5F0E0F4E"/>
    <w:lvl w:ilvl="0">
      <w:start w:val="1"/>
      <w:numFmt w:val="decimal"/>
      <w:lvlText w:val="%1."/>
      <w:lvlJc w:val="left"/>
      <w:pPr>
        <w:tabs>
          <w:tab w:val="num" w:pos="643"/>
        </w:tabs>
        <w:ind w:left="643" w:hanging="360"/>
      </w:pPr>
    </w:lvl>
  </w:abstractNum>
  <w:abstractNum w:abstractNumId="4">
    <w:nsid w:val="FFFFFF80"/>
    <w:multiLevelType w:val="singleLevel"/>
    <w:tmpl w:val="E614484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8B20DCA"/>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FD8C7A3A"/>
    <w:lvl w:ilvl="0">
      <w:start w:val="1"/>
      <w:numFmt w:val="decimal"/>
      <w:lvlText w:val="%1."/>
      <w:lvlJc w:val="left"/>
      <w:pPr>
        <w:tabs>
          <w:tab w:val="num" w:pos="360"/>
        </w:tabs>
        <w:ind w:left="360" w:hanging="360"/>
      </w:pPr>
    </w:lvl>
  </w:abstractNum>
  <w:abstractNum w:abstractNumId="7">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8">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
    <w:nsid w:val="3066740A"/>
    <w:multiLevelType w:val="hybridMultilevel"/>
    <w:tmpl w:val="CA54B658"/>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F">
      <w:start w:val="1"/>
      <w:numFmt w:val="decimal"/>
      <w:lvlText w:val="%2."/>
      <w:lvlJc w:val="left"/>
      <w:pPr>
        <w:tabs>
          <w:tab w:val="num" w:pos="1724"/>
        </w:tabs>
        <w:ind w:left="1724" w:hanging="360"/>
      </w:pPr>
      <w:rPr>
        <w:rFonts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8"/>
  </w:num>
  <w:num w:numId="2">
    <w:abstractNumId w:val="7"/>
  </w:num>
  <w:num w:numId="3">
    <w:abstractNumId w:val="8"/>
  </w:num>
  <w:num w:numId="4">
    <w:abstractNumId w:val="7"/>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0"/>
  </w:num>
  <w:num w:numId="6">
    <w:abstractNumId w:val="9"/>
  </w:num>
  <w:num w:numId="7">
    <w:abstractNumId w:val="5"/>
  </w:num>
  <w:num w:numId="8">
    <w:abstractNumId w:val="4"/>
  </w:num>
  <w:num w:numId="9">
    <w:abstractNumId w:val="6"/>
  </w:num>
  <w:num w:numId="10">
    <w:abstractNumId w:val="3"/>
  </w:num>
  <w:num w:numId="11">
    <w:abstractNumId w:val="2"/>
  </w:num>
  <w:num w:numId="12">
    <w:abstractNumId w:val="1"/>
  </w:num>
  <w:num w:numId="13">
    <w:abstractNumId w:val="0"/>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stylePaneFormatFilter w:val="1001"/>
  <w:stylePaneSortMethod w:val="0000"/>
  <w:defaultTabStop w:val="720"/>
  <w:defaultTableStyle w:val="TableTGAblue"/>
  <w:drawingGridHorizontalSpacing w:val="110"/>
  <w:displayHorizontalDrawingGridEvery w:val="2"/>
  <w:characterSpacingControl w:val="doNotCompress"/>
  <w:hdrShapeDefaults>
    <o:shapedefaults v:ext="edit" spidmax="57345">
      <o:colormenu v:ext="edit" fillcolor="none [3206]"/>
    </o:shapedefaults>
  </w:hdrShapeDefaults>
  <w:footnotePr>
    <w:footnote w:id="-1"/>
    <w:footnote w:id="0"/>
  </w:footnotePr>
  <w:endnotePr>
    <w:endnote w:id="-1"/>
    <w:endnote w:id="0"/>
  </w:endnotePr>
  <w:compat/>
  <w:rsids>
    <w:rsidRoot w:val="0017078F"/>
    <w:rsid w:val="00002031"/>
    <w:rsid w:val="00004734"/>
    <w:rsid w:val="00006B22"/>
    <w:rsid w:val="00010F7B"/>
    <w:rsid w:val="0001276A"/>
    <w:rsid w:val="000158BD"/>
    <w:rsid w:val="0001675F"/>
    <w:rsid w:val="00017DD1"/>
    <w:rsid w:val="000214D2"/>
    <w:rsid w:val="000246AE"/>
    <w:rsid w:val="00025C67"/>
    <w:rsid w:val="00026412"/>
    <w:rsid w:val="00026E97"/>
    <w:rsid w:val="000328CD"/>
    <w:rsid w:val="00034284"/>
    <w:rsid w:val="00034B78"/>
    <w:rsid w:val="00040ACB"/>
    <w:rsid w:val="00040BAE"/>
    <w:rsid w:val="00042913"/>
    <w:rsid w:val="00044DB9"/>
    <w:rsid w:val="0005025A"/>
    <w:rsid w:val="0005559E"/>
    <w:rsid w:val="00077775"/>
    <w:rsid w:val="00090471"/>
    <w:rsid w:val="0009093D"/>
    <w:rsid w:val="00093E2F"/>
    <w:rsid w:val="000A3AED"/>
    <w:rsid w:val="000A63AF"/>
    <w:rsid w:val="000A6E9B"/>
    <w:rsid w:val="000B29B0"/>
    <w:rsid w:val="000B3532"/>
    <w:rsid w:val="000B3A75"/>
    <w:rsid w:val="000B6CF8"/>
    <w:rsid w:val="000B7AA4"/>
    <w:rsid w:val="000C282B"/>
    <w:rsid w:val="000C690F"/>
    <w:rsid w:val="000D1295"/>
    <w:rsid w:val="000D260D"/>
    <w:rsid w:val="000D391B"/>
    <w:rsid w:val="000D3D6D"/>
    <w:rsid w:val="000D4FC7"/>
    <w:rsid w:val="000E2A87"/>
    <w:rsid w:val="000E361F"/>
    <w:rsid w:val="000E3C55"/>
    <w:rsid w:val="000E3E4F"/>
    <w:rsid w:val="000E4E57"/>
    <w:rsid w:val="000E508A"/>
    <w:rsid w:val="000E5496"/>
    <w:rsid w:val="000F02BA"/>
    <w:rsid w:val="000F02F9"/>
    <w:rsid w:val="000F0787"/>
    <w:rsid w:val="000F09FA"/>
    <w:rsid w:val="000F1D58"/>
    <w:rsid w:val="000F3EE3"/>
    <w:rsid w:val="000F4869"/>
    <w:rsid w:val="000F5B42"/>
    <w:rsid w:val="000F6E6F"/>
    <w:rsid w:val="00104613"/>
    <w:rsid w:val="0010601F"/>
    <w:rsid w:val="0010788A"/>
    <w:rsid w:val="00107A31"/>
    <w:rsid w:val="00110EA5"/>
    <w:rsid w:val="00112D47"/>
    <w:rsid w:val="00112F56"/>
    <w:rsid w:val="00120A7B"/>
    <w:rsid w:val="001232DE"/>
    <w:rsid w:val="00124571"/>
    <w:rsid w:val="00124C94"/>
    <w:rsid w:val="00125318"/>
    <w:rsid w:val="00126AAC"/>
    <w:rsid w:val="00126E2D"/>
    <w:rsid w:val="00126FF9"/>
    <w:rsid w:val="00127BD5"/>
    <w:rsid w:val="001305A2"/>
    <w:rsid w:val="00133238"/>
    <w:rsid w:val="001344C0"/>
    <w:rsid w:val="0014197B"/>
    <w:rsid w:val="001447CD"/>
    <w:rsid w:val="0014589D"/>
    <w:rsid w:val="001516B1"/>
    <w:rsid w:val="00152413"/>
    <w:rsid w:val="00153112"/>
    <w:rsid w:val="00154EBB"/>
    <w:rsid w:val="00156316"/>
    <w:rsid w:val="00156F88"/>
    <w:rsid w:val="00165389"/>
    <w:rsid w:val="0017078F"/>
    <w:rsid w:val="001728FA"/>
    <w:rsid w:val="00172D03"/>
    <w:rsid w:val="0017693F"/>
    <w:rsid w:val="00176EB7"/>
    <w:rsid w:val="00176EED"/>
    <w:rsid w:val="0018110E"/>
    <w:rsid w:val="00181684"/>
    <w:rsid w:val="001843C6"/>
    <w:rsid w:val="001850E0"/>
    <w:rsid w:val="001861BA"/>
    <w:rsid w:val="00192263"/>
    <w:rsid w:val="0019273D"/>
    <w:rsid w:val="00194659"/>
    <w:rsid w:val="00196907"/>
    <w:rsid w:val="001A2158"/>
    <w:rsid w:val="001A2385"/>
    <w:rsid w:val="001A3F60"/>
    <w:rsid w:val="001A525F"/>
    <w:rsid w:val="001A7654"/>
    <w:rsid w:val="001B09F9"/>
    <w:rsid w:val="001B56C2"/>
    <w:rsid w:val="001B6448"/>
    <w:rsid w:val="001B7556"/>
    <w:rsid w:val="001C5411"/>
    <w:rsid w:val="001C7FED"/>
    <w:rsid w:val="001D58B4"/>
    <w:rsid w:val="001E07CF"/>
    <w:rsid w:val="001E4548"/>
    <w:rsid w:val="001E59F1"/>
    <w:rsid w:val="001E5DC6"/>
    <w:rsid w:val="001F0B64"/>
    <w:rsid w:val="001F435C"/>
    <w:rsid w:val="001F49EB"/>
    <w:rsid w:val="001F6CBA"/>
    <w:rsid w:val="00201D4E"/>
    <w:rsid w:val="00204D78"/>
    <w:rsid w:val="002076C9"/>
    <w:rsid w:val="002077D9"/>
    <w:rsid w:val="00214787"/>
    <w:rsid w:val="00215C13"/>
    <w:rsid w:val="00220B8A"/>
    <w:rsid w:val="002217C7"/>
    <w:rsid w:val="00221BAA"/>
    <w:rsid w:val="00223171"/>
    <w:rsid w:val="00224EC7"/>
    <w:rsid w:val="002257F3"/>
    <w:rsid w:val="002276D9"/>
    <w:rsid w:val="00233456"/>
    <w:rsid w:val="002339A5"/>
    <w:rsid w:val="0024200C"/>
    <w:rsid w:val="00245951"/>
    <w:rsid w:val="002459AC"/>
    <w:rsid w:val="00253954"/>
    <w:rsid w:val="00254E05"/>
    <w:rsid w:val="00255C31"/>
    <w:rsid w:val="00256E3A"/>
    <w:rsid w:val="002576E4"/>
    <w:rsid w:val="00257848"/>
    <w:rsid w:val="00265158"/>
    <w:rsid w:val="002666AC"/>
    <w:rsid w:val="0027084A"/>
    <w:rsid w:val="0027229C"/>
    <w:rsid w:val="002745D2"/>
    <w:rsid w:val="00281659"/>
    <w:rsid w:val="00286434"/>
    <w:rsid w:val="00286C59"/>
    <w:rsid w:val="002903B5"/>
    <w:rsid w:val="002942D1"/>
    <w:rsid w:val="0029501A"/>
    <w:rsid w:val="00296983"/>
    <w:rsid w:val="002A04CF"/>
    <w:rsid w:val="002A1BB7"/>
    <w:rsid w:val="002A580A"/>
    <w:rsid w:val="002B1638"/>
    <w:rsid w:val="002B1EA0"/>
    <w:rsid w:val="002B505B"/>
    <w:rsid w:val="002B60BC"/>
    <w:rsid w:val="002B6FBD"/>
    <w:rsid w:val="002B7761"/>
    <w:rsid w:val="002C2212"/>
    <w:rsid w:val="002C5AED"/>
    <w:rsid w:val="002C63ED"/>
    <w:rsid w:val="002C6AB5"/>
    <w:rsid w:val="002D0C92"/>
    <w:rsid w:val="002D3934"/>
    <w:rsid w:val="002D6161"/>
    <w:rsid w:val="002D7DA8"/>
    <w:rsid w:val="002E4539"/>
    <w:rsid w:val="002E4C9A"/>
    <w:rsid w:val="002E5472"/>
    <w:rsid w:val="002F11F8"/>
    <w:rsid w:val="002F218F"/>
    <w:rsid w:val="002F3F56"/>
    <w:rsid w:val="002F44B5"/>
    <w:rsid w:val="003000C6"/>
    <w:rsid w:val="00301F06"/>
    <w:rsid w:val="003058F5"/>
    <w:rsid w:val="00306F1B"/>
    <w:rsid w:val="00310A05"/>
    <w:rsid w:val="00311AC0"/>
    <w:rsid w:val="0031388C"/>
    <w:rsid w:val="003174C0"/>
    <w:rsid w:val="0032583B"/>
    <w:rsid w:val="003263DD"/>
    <w:rsid w:val="00326592"/>
    <w:rsid w:val="00327883"/>
    <w:rsid w:val="00335504"/>
    <w:rsid w:val="00340150"/>
    <w:rsid w:val="003431EE"/>
    <w:rsid w:val="0034466B"/>
    <w:rsid w:val="00350DD5"/>
    <w:rsid w:val="0035137A"/>
    <w:rsid w:val="003521E8"/>
    <w:rsid w:val="00356BCB"/>
    <w:rsid w:val="00364365"/>
    <w:rsid w:val="0036489B"/>
    <w:rsid w:val="00367783"/>
    <w:rsid w:val="003728F3"/>
    <w:rsid w:val="0037496E"/>
    <w:rsid w:val="0037623D"/>
    <w:rsid w:val="00386150"/>
    <w:rsid w:val="003874CE"/>
    <w:rsid w:val="00390900"/>
    <w:rsid w:val="0039203B"/>
    <w:rsid w:val="00396F5C"/>
    <w:rsid w:val="003A67A0"/>
    <w:rsid w:val="003A7F6C"/>
    <w:rsid w:val="003B0932"/>
    <w:rsid w:val="003B1113"/>
    <w:rsid w:val="003B4D60"/>
    <w:rsid w:val="003B7E39"/>
    <w:rsid w:val="003C58DC"/>
    <w:rsid w:val="003C6BC2"/>
    <w:rsid w:val="003D0A3B"/>
    <w:rsid w:val="003D1E62"/>
    <w:rsid w:val="003D38EA"/>
    <w:rsid w:val="003D714A"/>
    <w:rsid w:val="003E0B97"/>
    <w:rsid w:val="003E1800"/>
    <w:rsid w:val="003E1801"/>
    <w:rsid w:val="003E2486"/>
    <w:rsid w:val="003E3208"/>
    <w:rsid w:val="003F0B04"/>
    <w:rsid w:val="003F7085"/>
    <w:rsid w:val="0040134E"/>
    <w:rsid w:val="00401A8A"/>
    <w:rsid w:val="00406E26"/>
    <w:rsid w:val="00410E0B"/>
    <w:rsid w:val="004129D1"/>
    <w:rsid w:val="00415D59"/>
    <w:rsid w:val="004304AE"/>
    <w:rsid w:val="004310CB"/>
    <w:rsid w:val="0043247A"/>
    <w:rsid w:val="0043293A"/>
    <w:rsid w:val="0043310F"/>
    <w:rsid w:val="004361C7"/>
    <w:rsid w:val="0043797D"/>
    <w:rsid w:val="00440A2D"/>
    <w:rsid w:val="004478D5"/>
    <w:rsid w:val="004551E7"/>
    <w:rsid w:val="004564A7"/>
    <w:rsid w:val="00460458"/>
    <w:rsid w:val="00460F24"/>
    <w:rsid w:val="004617BF"/>
    <w:rsid w:val="00462C46"/>
    <w:rsid w:val="00463658"/>
    <w:rsid w:val="00466999"/>
    <w:rsid w:val="00466F56"/>
    <w:rsid w:val="00470FE1"/>
    <w:rsid w:val="004722CC"/>
    <w:rsid w:val="00473F2E"/>
    <w:rsid w:val="00473FEE"/>
    <w:rsid w:val="004742B3"/>
    <w:rsid w:val="004821A1"/>
    <w:rsid w:val="00492A97"/>
    <w:rsid w:val="004936E4"/>
    <w:rsid w:val="00494E60"/>
    <w:rsid w:val="00495F11"/>
    <w:rsid w:val="00497487"/>
    <w:rsid w:val="00497498"/>
    <w:rsid w:val="004975C7"/>
    <w:rsid w:val="004A1C07"/>
    <w:rsid w:val="004A43CC"/>
    <w:rsid w:val="004A7E13"/>
    <w:rsid w:val="004B592D"/>
    <w:rsid w:val="004B7B76"/>
    <w:rsid w:val="004C2DCA"/>
    <w:rsid w:val="004C6F72"/>
    <w:rsid w:val="004D3020"/>
    <w:rsid w:val="004F0F38"/>
    <w:rsid w:val="004F646B"/>
    <w:rsid w:val="00501921"/>
    <w:rsid w:val="00503C2A"/>
    <w:rsid w:val="00507419"/>
    <w:rsid w:val="00512A3E"/>
    <w:rsid w:val="005228BE"/>
    <w:rsid w:val="00523305"/>
    <w:rsid w:val="00530354"/>
    <w:rsid w:val="0053625B"/>
    <w:rsid w:val="00541C9C"/>
    <w:rsid w:val="00542C7D"/>
    <w:rsid w:val="005434C6"/>
    <w:rsid w:val="00543B39"/>
    <w:rsid w:val="005449FB"/>
    <w:rsid w:val="005462B4"/>
    <w:rsid w:val="00550096"/>
    <w:rsid w:val="00552E02"/>
    <w:rsid w:val="00555F17"/>
    <w:rsid w:val="00557FF9"/>
    <w:rsid w:val="0056081D"/>
    <w:rsid w:val="005614A3"/>
    <w:rsid w:val="00563927"/>
    <w:rsid w:val="005658B4"/>
    <w:rsid w:val="00572E9E"/>
    <w:rsid w:val="005738CB"/>
    <w:rsid w:val="00576378"/>
    <w:rsid w:val="00577945"/>
    <w:rsid w:val="00577E38"/>
    <w:rsid w:val="005815B9"/>
    <w:rsid w:val="00582AA9"/>
    <w:rsid w:val="005830BE"/>
    <w:rsid w:val="00585322"/>
    <w:rsid w:val="005857C6"/>
    <w:rsid w:val="005865AE"/>
    <w:rsid w:val="00586F98"/>
    <w:rsid w:val="00587B40"/>
    <w:rsid w:val="00592F6E"/>
    <w:rsid w:val="00593AD1"/>
    <w:rsid w:val="00597252"/>
    <w:rsid w:val="005A247E"/>
    <w:rsid w:val="005A483B"/>
    <w:rsid w:val="005A6560"/>
    <w:rsid w:val="005A68B6"/>
    <w:rsid w:val="005B1170"/>
    <w:rsid w:val="005B375F"/>
    <w:rsid w:val="005B3860"/>
    <w:rsid w:val="005C5570"/>
    <w:rsid w:val="005C79A4"/>
    <w:rsid w:val="005D116B"/>
    <w:rsid w:val="005D2A66"/>
    <w:rsid w:val="005D33A4"/>
    <w:rsid w:val="005D5442"/>
    <w:rsid w:val="005D7373"/>
    <w:rsid w:val="005E3862"/>
    <w:rsid w:val="005E5B06"/>
    <w:rsid w:val="005F3628"/>
    <w:rsid w:val="005F5B36"/>
    <w:rsid w:val="005F69F9"/>
    <w:rsid w:val="006017A3"/>
    <w:rsid w:val="006017AC"/>
    <w:rsid w:val="00602B52"/>
    <w:rsid w:val="006031E3"/>
    <w:rsid w:val="00603F32"/>
    <w:rsid w:val="006064DA"/>
    <w:rsid w:val="00613590"/>
    <w:rsid w:val="00620719"/>
    <w:rsid w:val="006220D1"/>
    <w:rsid w:val="0062354D"/>
    <w:rsid w:val="006263C0"/>
    <w:rsid w:val="00626738"/>
    <w:rsid w:val="0063156D"/>
    <w:rsid w:val="00632398"/>
    <w:rsid w:val="00634593"/>
    <w:rsid w:val="00640FC3"/>
    <w:rsid w:val="00642020"/>
    <w:rsid w:val="00642538"/>
    <w:rsid w:val="00646206"/>
    <w:rsid w:val="006512CA"/>
    <w:rsid w:val="0065337B"/>
    <w:rsid w:val="0065419D"/>
    <w:rsid w:val="00655D4A"/>
    <w:rsid w:val="006604D8"/>
    <w:rsid w:val="0066392A"/>
    <w:rsid w:val="00664A5B"/>
    <w:rsid w:val="006704D6"/>
    <w:rsid w:val="00670E76"/>
    <w:rsid w:val="006763D2"/>
    <w:rsid w:val="006769B6"/>
    <w:rsid w:val="006807F1"/>
    <w:rsid w:val="00680C08"/>
    <w:rsid w:val="00683BE5"/>
    <w:rsid w:val="00685E52"/>
    <w:rsid w:val="00686962"/>
    <w:rsid w:val="006917DC"/>
    <w:rsid w:val="006931B1"/>
    <w:rsid w:val="006A06B0"/>
    <w:rsid w:val="006A15C0"/>
    <w:rsid w:val="006A328B"/>
    <w:rsid w:val="006B3F84"/>
    <w:rsid w:val="006B64A6"/>
    <w:rsid w:val="006B6EA4"/>
    <w:rsid w:val="006B7E5F"/>
    <w:rsid w:val="006C0B9E"/>
    <w:rsid w:val="006C130C"/>
    <w:rsid w:val="006C3E2A"/>
    <w:rsid w:val="006C642F"/>
    <w:rsid w:val="006D03E5"/>
    <w:rsid w:val="006D5D3E"/>
    <w:rsid w:val="006D7D0F"/>
    <w:rsid w:val="006E08B3"/>
    <w:rsid w:val="006E11E9"/>
    <w:rsid w:val="006E1251"/>
    <w:rsid w:val="006F14FE"/>
    <w:rsid w:val="006F17AC"/>
    <w:rsid w:val="006F2796"/>
    <w:rsid w:val="006F572E"/>
    <w:rsid w:val="00700A2D"/>
    <w:rsid w:val="007044FD"/>
    <w:rsid w:val="007046D6"/>
    <w:rsid w:val="00705DB0"/>
    <w:rsid w:val="007101E3"/>
    <w:rsid w:val="00715A2B"/>
    <w:rsid w:val="00716311"/>
    <w:rsid w:val="007215E6"/>
    <w:rsid w:val="00722B57"/>
    <w:rsid w:val="00732318"/>
    <w:rsid w:val="0074253D"/>
    <w:rsid w:val="0074429B"/>
    <w:rsid w:val="007448DC"/>
    <w:rsid w:val="007513B4"/>
    <w:rsid w:val="007529C1"/>
    <w:rsid w:val="0075369B"/>
    <w:rsid w:val="00756AEF"/>
    <w:rsid w:val="007615BC"/>
    <w:rsid w:val="00762F05"/>
    <w:rsid w:val="007652FF"/>
    <w:rsid w:val="0076559F"/>
    <w:rsid w:val="00770EF1"/>
    <w:rsid w:val="00772FB0"/>
    <w:rsid w:val="00773889"/>
    <w:rsid w:val="00773EF7"/>
    <w:rsid w:val="00773F63"/>
    <w:rsid w:val="00774E1D"/>
    <w:rsid w:val="0077675A"/>
    <w:rsid w:val="00780355"/>
    <w:rsid w:val="00785721"/>
    <w:rsid w:val="0078689B"/>
    <w:rsid w:val="0079038F"/>
    <w:rsid w:val="007933D8"/>
    <w:rsid w:val="00793A59"/>
    <w:rsid w:val="00794EBF"/>
    <w:rsid w:val="00795BFD"/>
    <w:rsid w:val="007A2DF1"/>
    <w:rsid w:val="007A5D7C"/>
    <w:rsid w:val="007A71C1"/>
    <w:rsid w:val="007B149D"/>
    <w:rsid w:val="007B32B8"/>
    <w:rsid w:val="007B5068"/>
    <w:rsid w:val="007B5B53"/>
    <w:rsid w:val="007B6D9D"/>
    <w:rsid w:val="007B6E9F"/>
    <w:rsid w:val="007C1216"/>
    <w:rsid w:val="007C1AF7"/>
    <w:rsid w:val="007D509E"/>
    <w:rsid w:val="007D551A"/>
    <w:rsid w:val="007D69A8"/>
    <w:rsid w:val="007D6CD1"/>
    <w:rsid w:val="007D7E1C"/>
    <w:rsid w:val="007E0A4D"/>
    <w:rsid w:val="007E509B"/>
    <w:rsid w:val="007E6E27"/>
    <w:rsid w:val="007F0527"/>
    <w:rsid w:val="007F5008"/>
    <w:rsid w:val="00805888"/>
    <w:rsid w:val="00805D27"/>
    <w:rsid w:val="00805F57"/>
    <w:rsid w:val="0081187D"/>
    <w:rsid w:val="00813A82"/>
    <w:rsid w:val="008148D9"/>
    <w:rsid w:val="00817424"/>
    <w:rsid w:val="00821776"/>
    <w:rsid w:val="00826340"/>
    <w:rsid w:val="0082736B"/>
    <w:rsid w:val="008321F5"/>
    <w:rsid w:val="00832369"/>
    <w:rsid w:val="00834660"/>
    <w:rsid w:val="00836BC2"/>
    <w:rsid w:val="008378FB"/>
    <w:rsid w:val="008414A0"/>
    <w:rsid w:val="00843DB2"/>
    <w:rsid w:val="008459D8"/>
    <w:rsid w:val="008536DC"/>
    <w:rsid w:val="0085641B"/>
    <w:rsid w:val="0085642A"/>
    <w:rsid w:val="00857136"/>
    <w:rsid w:val="00863912"/>
    <w:rsid w:val="00864E65"/>
    <w:rsid w:val="00865079"/>
    <w:rsid w:val="00870486"/>
    <w:rsid w:val="008707A6"/>
    <w:rsid w:val="008745E9"/>
    <w:rsid w:val="00877120"/>
    <w:rsid w:val="008819DD"/>
    <w:rsid w:val="00886D15"/>
    <w:rsid w:val="00887DD8"/>
    <w:rsid w:val="00896018"/>
    <w:rsid w:val="008960DD"/>
    <w:rsid w:val="0089635C"/>
    <w:rsid w:val="0089642A"/>
    <w:rsid w:val="008A2B9D"/>
    <w:rsid w:val="008A5E0B"/>
    <w:rsid w:val="008A6D59"/>
    <w:rsid w:val="008A6F29"/>
    <w:rsid w:val="008B4B03"/>
    <w:rsid w:val="008B596F"/>
    <w:rsid w:val="008B5A3E"/>
    <w:rsid w:val="008C159F"/>
    <w:rsid w:val="008C1623"/>
    <w:rsid w:val="008C1850"/>
    <w:rsid w:val="008C29AE"/>
    <w:rsid w:val="008C51A9"/>
    <w:rsid w:val="008C70C4"/>
    <w:rsid w:val="008D684B"/>
    <w:rsid w:val="008D770F"/>
    <w:rsid w:val="008E5A7D"/>
    <w:rsid w:val="008E7846"/>
    <w:rsid w:val="008F1CCC"/>
    <w:rsid w:val="008F2967"/>
    <w:rsid w:val="008F63F9"/>
    <w:rsid w:val="008F6943"/>
    <w:rsid w:val="00902A21"/>
    <w:rsid w:val="00907383"/>
    <w:rsid w:val="00917E84"/>
    <w:rsid w:val="00920330"/>
    <w:rsid w:val="009219D7"/>
    <w:rsid w:val="00922D53"/>
    <w:rsid w:val="00923B70"/>
    <w:rsid w:val="00924482"/>
    <w:rsid w:val="00927604"/>
    <w:rsid w:val="009300D3"/>
    <w:rsid w:val="00930237"/>
    <w:rsid w:val="00934CC8"/>
    <w:rsid w:val="0094027A"/>
    <w:rsid w:val="00946EA5"/>
    <w:rsid w:val="0095160F"/>
    <w:rsid w:val="00963BCE"/>
    <w:rsid w:val="00963C08"/>
    <w:rsid w:val="00972AA5"/>
    <w:rsid w:val="009801DB"/>
    <w:rsid w:val="00981234"/>
    <w:rsid w:val="0098585A"/>
    <w:rsid w:val="0098669D"/>
    <w:rsid w:val="00992FE3"/>
    <w:rsid w:val="009954AD"/>
    <w:rsid w:val="009A1216"/>
    <w:rsid w:val="009A2516"/>
    <w:rsid w:val="009A2C50"/>
    <w:rsid w:val="009A4CED"/>
    <w:rsid w:val="009A6272"/>
    <w:rsid w:val="009A690D"/>
    <w:rsid w:val="009B1D12"/>
    <w:rsid w:val="009B2210"/>
    <w:rsid w:val="009B416B"/>
    <w:rsid w:val="009C444A"/>
    <w:rsid w:val="009C4BD5"/>
    <w:rsid w:val="009D0E81"/>
    <w:rsid w:val="009D40EA"/>
    <w:rsid w:val="009D4974"/>
    <w:rsid w:val="009D6876"/>
    <w:rsid w:val="009D7B77"/>
    <w:rsid w:val="009E0BB0"/>
    <w:rsid w:val="009E2E28"/>
    <w:rsid w:val="009E3FBB"/>
    <w:rsid w:val="009E6A80"/>
    <w:rsid w:val="00A00612"/>
    <w:rsid w:val="00A0082A"/>
    <w:rsid w:val="00A03BAD"/>
    <w:rsid w:val="00A053C1"/>
    <w:rsid w:val="00A0575C"/>
    <w:rsid w:val="00A102E4"/>
    <w:rsid w:val="00A11387"/>
    <w:rsid w:val="00A12C42"/>
    <w:rsid w:val="00A14DF7"/>
    <w:rsid w:val="00A2068F"/>
    <w:rsid w:val="00A2189B"/>
    <w:rsid w:val="00A229DD"/>
    <w:rsid w:val="00A235D9"/>
    <w:rsid w:val="00A273BA"/>
    <w:rsid w:val="00A3246D"/>
    <w:rsid w:val="00A36FA7"/>
    <w:rsid w:val="00A37BB2"/>
    <w:rsid w:val="00A4040A"/>
    <w:rsid w:val="00A43F0D"/>
    <w:rsid w:val="00A44114"/>
    <w:rsid w:val="00A4499C"/>
    <w:rsid w:val="00A465E6"/>
    <w:rsid w:val="00A475B7"/>
    <w:rsid w:val="00A47AF7"/>
    <w:rsid w:val="00A47C3E"/>
    <w:rsid w:val="00A50226"/>
    <w:rsid w:val="00A516C3"/>
    <w:rsid w:val="00A57F36"/>
    <w:rsid w:val="00A60BAD"/>
    <w:rsid w:val="00A6198C"/>
    <w:rsid w:val="00A61AFC"/>
    <w:rsid w:val="00A653E6"/>
    <w:rsid w:val="00A728C0"/>
    <w:rsid w:val="00A73A33"/>
    <w:rsid w:val="00A8221F"/>
    <w:rsid w:val="00A87E1A"/>
    <w:rsid w:val="00A911AA"/>
    <w:rsid w:val="00A964D1"/>
    <w:rsid w:val="00A96549"/>
    <w:rsid w:val="00AA0ED0"/>
    <w:rsid w:val="00AA3499"/>
    <w:rsid w:val="00AA4E62"/>
    <w:rsid w:val="00AA7D12"/>
    <w:rsid w:val="00AC1A03"/>
    <w:rsid w:val="00AC2B40"/>
    <w:rsid w:val="00AC2BB2"/>
    <w:rsid w:val="00AC2C3C"/>
    <w:rsid w:val="00AC3D44"/>
    <w:rsid w:val="00AC512D"/>
    <w:rsid w:val="00AD0F48"/>
    <w:rsid w:val="00AD4E40"/>
    <w:rsid w:val="00AD689F"/>
    <w:rsid w:val="00AE01C2"/>
    <w:rsid w:val="00AE65EB"/>
    <w:rsid w:val="00AE67A7"/>
    <w:rsid w:val="00AF1D94"/>
    <w:rsid w:val="00AF2500"/>
    <w:rsid w:val="00AF463C"/>
    <w:rsid w:val="00AF60C5"/>
    <w:rsid w:val="00AF7598"/>
    <w:rsid w:val="00B009C6"/>
    <w:rsid w:val="00B01548"/>
    <w:rsid w:val="00B01DDB"/>
    <w:rsid w:val="00B02208"/>
    <w:rsid w:val="00B038DB"/>
    <w:rsid w:val="00B111CE"/>
    <w:rsid w:val="00B118DD"/>
    <w:rsid w:val="00B1425E"/>
    <w:rsid w:val="00B21D29"/>
    <w:rsid w:val="00B23E4D"/>
    <w:rsid w:val="00B24B2F"/>
    <w:rsid w:val="00B25034"/>
    <w:rsid w:val="00B26421"/>
    <w:rsid w:val="00B26498"/>
    <w:rsid w:val="00B27F1E"/>
    <w:rsid w:val="00B317A3"/>
    <w:rsid w:val="00B33588"/>
    <w:rsid w:val="00B33863"/>
    <w:rsid w:val="00B35F9A"/>
    <w:rsid w:val="00B37D17"/>
    <w:rsid w:val="00B4175E"/>
    <w:rsid w:val="00B444E1"/>
    <w:rsid w:val="00B4450C"/>
    <w:rsid w:val="00B446A9"/>
    <w:rsid w:val="00B452CE"/>
    <w:rsid w:val="00B5290E"/>
    <w:rsid w:val="00B54C25"/>
    <w:rsid w:val="00B60CFE"/>
    <w:rsid w:val="00B65354"/>
    <w:rsid w:val="00B76B91"/>
    <w:rsid w:val="00B771C3"/>
    <w:rsid w:val="00B7754A"/>
    <w:rsid w:val="00B77EB1"/>
    <w:rsid w:val="00B811C6"/>
    <w:rsid w:val="00B83836"/>
    <w:rsid w:val="00B85A87"/>
    <w:rsid w:val="00B92E08"/>
    <w:rsid w:val="00B938DD"/>
    <w:rsid w:val="00B93C82"/>
    <w:rsid w:val="00B94D63"/>
    <w:rsid w:val="00B96EBE"/>
    <w:rsid w:val="00B96F40"/>
    <w:rsid w:val="00BB2796"/>
    <w:rsid w:val="00BB2BDE"/>
    <w:rsid w:val="00BB6EDC"/>
    <w:rsid w:val="00BB727E"/>
    <w:rsid w:val="00BC0ECD"/>
    <w:rsid w:val="00BC622A"/>
    <w:rsid w:val="00BC7F72"/>
    <w:rsid w:val="00BD31CC"/>
    <w:rsid w:val="00BD45E3"/>
    <w:rsid w:val="00BD6F21"/>
    <w:rsid w:val="00BE0A78"/>
    <w:rsid w:val="00BE5FF1"/>
    <w:rsid w:val="00BE6252"/>
    <w:rsid w:val="00BE6DC0"/>
    <w:rsid w:val="00BE79F0"/>
    <w:rsid w:val="00BF046D"/>
    <w:rsid w:val="00BF1190"/>
    <w:rsid w:val="00BF5D04"/>
    <w:rsid w:val="00C047A2"/>
    <w:rsid w:val="00C0578E"/>
    <w:rsid w:val="00C1164D"/>
    <w:rsid w:val="00C1370C"/>
    <w:rsid w:val="00C1502F"/>
    <w:rsid w:val="00C15742"/>
    <w:rsid w:val="00C15D6D"/>
    <w:rsid w:val="00C16861"/>
    <w:rsid w:val="00C20FAA"/>
    <w:rsid w:val="00C22678"/>
    <w:rsid w:val="00C230CD"/>
    <w:rsid w:val="00C31A27"/>
    <w:rsid w:val="00C37DD7"/>
    <w:rsid w:val="00C40239"/>
    <w:rsid w:val="00C404A6"/>
    <w:rsid w:val="00C40A36"/>
    <w:rsid w:val="00C417F5"/>
    <w:rsid w:val="00C44419"/>
    <w:rsid w:val="00C45641"/>
    <w:rsid w:val="00C45E7B"/>
    <w:rsid w:val="00C471B1"/>
    <w:rsid w:val="00C5635D"/>
    <w:rsid w:val="00C56DAF"/>
    <w:rsid w:val="00C60626"/>
    <w:rsid w:val="00C618F7"/>
    <w:rsid w:val="00C6316B"/>
    <w:rsid w:val="00C634A9"/>
    <w:rsid w:val="00C64586"/>
    <w:rsid w:val="00C70D53"/>
    <w:rsid w:val="00C7161E"/>
    <w:rsid w:val="00C73D0B"/>
    <w:rsid w:val="00C772FF"/>
    <w:rsid w:val="00C801AF"/>
    <w:rsid w:val="00C80256"/>
    <w:rsid w:val="00C811C0"/>
    <w:rsid w:val="00C87A99"/>
    <w:rsid w:val="00C9175E"/>
    <w:rsid w:val="00C91DA4"/>
    <w:rsid w:val="00C960D9"/>
    <w:rsid w:val="00C9752D"/>
    <w:rsid w:val="00CA22C1"/>
    <w:rsid w:val="00CA62F7"/>
    <w:rsid w:val="00CB36CA"/>
    <w:rsid w:val="00CB6BC0"/>
    <w:rsid w:val="00CC1B7C"/>
    <w:rsid w:val="00CC727F"/>
    <w:rsid w:val="00CD1E19"/>
    <w:rsid w:val="00CD22B2"/>
    <w:rsid w:val="00CD5E20"/>
    <w:rsid w:val="00CE687A"/>
    <w:rsid w:val="00CF15C3"/>
    <w:rsid w:val="00CF193C"/>
    <w:rsid w:val="00CF2B6F"/>
    <w:rsid w:val="00CF52DB"/>
    <w:rsid w:val="00CF58B6"/>
    <w:rsid w:val="00CF67FB"/>
    <w:rsid w:val="00D017ED"/>
    <w:rsid w:val="00D04092"/>
    <w:rsid w:val="00D040D3"/>
    <w:rsid w:val="00D04C65"/>
    <w:rsid w:val="00D127F9"/>
    <w:rsid w:val="00D151AF"/>
    <w:rsid w:val="00D207B4"/>
    <w:rsid w:val="00D224FE"/>
    <w:rsid w:val="00D24496"/>
    <w:rsid w:val="00D30CB9"/>
    <w:rsid w:val="00D40B96"/>
    <w:rsid w:val="00D43E9C"/>
    <w:rsid w:val="00D5348D"/>
    <w:rsid w:val="00D53A31"/>
    <w:rsid w:val="00D54C7B"/>
    <w:rsid w:val="00D56F12"/>
    <w:rsid w:val="00D61FAF"/>
    <w:rsid w:val="00D6493E"/>
    <w:rsid w:val="00D7301E"/>
    <w:rsid w:val="00D74F3A"/>
    <w:rsid w:val="00D83AE1"/>
    <w:rsid w:val="00D855D4"/>
    <w:rsid w:val="00D91AD8"/>
    <w:rsid w:val="00D93466"/>
    <w:rsid w:val="00DA03FA"/>
    <w:rsid w:val="00DA1124"/>
    <w:rsid w:val="00DA36AD"/>
    <w:rsid w:val="00DA6E05"/>
    <w:rsid w:val="00DA7454"/>
    <w:rsid w:val="00DB21DF"/>
    <w:rsid w:val="00DB3799"/>
    <w:rsid w:val="00DB75B7"/>
    <w:rsid w:val="00DC106E"/>
    <w:rsid w:val="00DC6E02"/>
    <w:rsid w:val="00DC75D7"/>
    <w:rsid w:val="00DE02AE"/>
    <w:rsid w:val="00DE312A"/>
    <w:rsid w:val="00DF1D7F"/>
    <w:rsid w:val="00DF4BE4"/>
    <w:rsid w:val="00DF7811"/>
    <w:rsid w:val="00E01C05"/>
    <w:rsid w:val="00E02D9F"/>
    <w:rsid w:val="00E02FB4"/>
    <w:rsid w:val="00E05123"/>
    <w:rsid w:val="00E0588A"/>
    <w:rsid w:val="00E0769A"/>
    <w:rsid w:val="00E07F15"/>
    <w:rsid w:val="00E1546F"/>
    <w:rsid w:val="00E20571"/>
    <w:rsid w:val="00E235F7"/>
    <w:rsid w:val="00E23659"/>
    <w:rsid w:val="00E239D4"/>
    <w:rsid w:val="00E26130"/>
    <w:rsid w:val="00E2741C"/>
    <w:rsid w:val="00E30114"/>
    <w:rsid w:val="00E32FCA"/>
    <w:rsid w:val="00E40B22"/>
    <w:rsid w:val="00E435B5"/>
    <w:rsid w:val="00E45619"/>
    <w:rsid w:val="00E4588F"/>
    <w:rsid w:val="00E4653B"/>
    <w:rsid w:val="00E46DA3"/>
    <w:rsid w:val="00E51BB1"/>
    <w:rsid w:val="00E557DA"/>
    <w:rsid w:val="00E61BBD"/>
    <w:rsid w:val="00E624A5"/>
    <w:rsid w:val="00E63090"/>
    <w:rsid w:val="00E67D48"/>
    <w:rsid w:val="00E7344E"/>
    <w:rsid w:val="00E92BBD"/>
    <w:rsid w:val="00EA0A5E"/>
    <w:rsid w:val="00EB0798"/>
    <w:rsid w:val="00EB40AD"/>
    <w:rsid w:val="00EB586E"/>
    <w:rsid w:val="00EB5FC8"/>
    <w:rsid w:val="00EB769F"/>
    <w:rsid w:val="00EC2D9D"/>
    <w:rsid w:val="00EC76B2"/>
    <w:rsid w:val="00ED3CAD"/>
    <w:rsid w:val="00ED3CD6"/>
    <w:rsid w:val="00ED5A41"/>
    <w:rsid w:val="00EE173C"/>
    <w:rsid w:val="00EE1B0A"/>
    <w:rsid w:val="00EE1DE8"/>
    <w:rsid w:val="00EE5FCB"/>
    <w:rsid w:val="00EF04E9"/>
    <w:rsid w:val="00EF0692"/>
    <w:rsid w:val="00EF249A"/>
    <w:rsid w:val="00EF4EFC"/>
    <w:rsid w:val="00EF5FC5"/>
    <w:rsid w:val="00F021CF"/>
    <w:rsid w:val="00F033EC"/>
    <w:rsid w:val="00F04F68"/>
    <w:rsid w:val="00F05583"/>
    <w:rsid w:val="00F07F7D"/>
    <w:rsid w:val="00F110E9"/>
    <w:rsid w:val="00F12670"/>
    <w:rsid w:val="00F14594"/>
    <w:rsid w:val="00F14B27"/>
    <w:rsid w:val="00F17B41"/>
    <w:rsid w:val="00F21210"/>
    <w:rsid w:val="00F2547D"/>
    <w:rsid w:val="00F27A0B"/>
    <w:rsid w:val="00F3148D"/>
    <w:rsid w:val="00F325C5"/>
    <w:rsid w:val="00F32FE0"/>
    <w:rsid w:val="00F34277"/>
    <w:rsid w:val="00F35298"/>
    <w:rsid w:val="00F36252"/>
    <w:rsid w:val="00F4466D"/>
    <w:rsid w:val="00F47333"/>
    <w:rsid w:val="00F47E37"/>
    <w:rsid w:val="00F524AD"/>
    <w:rsid w:val="00F53C07"/>
    <w:rsid w:val="00F54B65"/>
    <w:rsid w:val="00F54E2B"/>
    <w:rsid w:val="00F57884"/>
    <w:rsid w:val="00F605B5"/>
    <w:rsid w:val="00F611F7"/>
    <w:rsid w:val="00F640B6"/>
    <w:rsid w:val="00F80E40"/>
    <w:rsid w:val="00F848D9"/>
    <w:rsid w:val="00F903A3"/>
    <w:rsid w:val="00F938A1"/>
    <w:rsid w:val="00FA0267"/>
    <w:rsid w:val="00FA0515"/>
    <w:rsid w:val="00FA5B82"/>
    <w:rsid w:val="00FA639E"/>
    <w:rsid w:val="00FB3894"/>
    <w:rsid w:val="00FB4905"/>
    <w:rsid w:val="00FC25E4"/>
    <w:rsid w:val="00FC4EF7"/>
    <w:rsid w:val="00FD581C"/>
    <w:rsid w:val="00FD70DB"/>
    <w:rsid w:val="00FE1DEE"/>
    <w:rsid w:val="00FE5589"/>
    <w:rsid w:val="00FE78C0"/>
    <w:rsid w:val="00FF0BD0"/>
    <w:rsid w:val="00FF2126"/>
    <w:rsid w:val="00FF23EE"/>
    <w:rsid w:val="00FF5755"/>
    <w:rsid w:val="00FF69BE"/>
    <w:rsid w:val="00FF7B9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7345">
      <o:colormenu v:ext="edit" fillcolor="none [3206]"/>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F63F9"/>
    <w:pPr>
      <w:spacing w:before="120" w:after="120" w:line="240" w:lineRule="atLeast"/>
    </w:pPr>
    <w:rPr>
      <w:sz w:val="22"/>
      <w:szCs w:val="22"/>
      <w:lang w:eastAsia="en-US"/>
    </w:rPr>
  </w:style>
  <w:style w:type="paragraph" w:styleId="Heading1">
    <w:name w:val="heading 1"/>
    <w:basedOn w:val="Heading2"/>
    <w:next w:val="Normal"/>
    <w:link w:val="Heading1Char"/>
    <w:qFormat/>
    <w:rsid w:val="000C690F"/>
    <w:pPr>
      <w:spacing w:before="120" w:after="360"/>
      <w:outlineLvl w:val="0"/>
    </w:pPr>
    <w:rPr>
      <w:rFonts w:cs="Arial"/>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rsid w:val="000F02F9"/>
    <w:pPr>
      <w:keepNext/>
      <w:numPr>
        <w:ilvl w:val="5"/>
        <w:numId w:val="5"/>
      </w:numPr>
      <w:spacing w:after="60" w:line="180" w:lineRule="atLeast"/>
      <w:ind w:left="1984" w:hanging="1644"/>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Arial" w:eastAsia="Times New Roman" w:hAnsi="Arial" w:cs="Arial"/>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b/>
      <w:bCs/>
      <w:sz w:val="22"/>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eastAsia="MS Mincho"/>
      <w:b/>
      <w:bCs/>
      <w:sz w:val="22"/>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eastAsia="Times New Roman"/>
      <w:b/>
      <w:bCs/>
      <w:i/>
      <w:color w:val="001523"/>
      <w:sz w:val="22"/>
      <w:szCs w:val="21"/>
      <w:lang w:eastAsia="en-US"/>
    </w:rPr>
  </w:style>
  <w:style w:type="character" w:customStyle="1" w:styleId="Heading6Char">
    <w:name w:val="Heading 6 Char"/>
    <w:basedOn w:val="DefaultParagraphFont"/>
    <w:link w:val="Heading6"/>
    <w:uiPriority w:val="9"/>
    <w:rsid w:val="000F02F9"/>
    <w:rPr>
      <w:rFonts w:eastAsia="Times New Roman"/>
      <w:bCs/>
      <w:i/>
      <w:sz w:val="22"/>
      <w:szCs w:val="21"/>
      <w:lang w:eastAsia="en-US"/>
    </w:rPr>
  </w:style>
  <w:style w:type="character" w:customStyle="1" w:styleId="Heading7Char">
    <w:name w:val="Heading 7 Char"/>
    <w:basedOn w:val="DefaultParagraphFont"/>
    <w:link w:val="Heading7"/>
    <w:uiPriority w:val="9"/>
    <w:rsid w:val="000F02F9"/>
    <w:rPr>
      <w:rFonts w:eastAsia="Times New Roman"/>
      <w:bCs/>
      <w:sz w:val="18"/>
      <w:szCs w:val="24"/>
      <w:lang w:eastAsia="en-US"/>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ind w:left="170" w:right="170"/>
    </w:pPr>
    <w:rPr>
      <w:color w:val="000000"/>
      <w:szCs w:val="21"/>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sz w:val="22"/>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ind w:left="170" w:right="170"/>
    </w:pPr>
    <w:rPr>
      <w:color w:val="000000"/>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sz w:val="22"/>
      </w:rPr>
      <w:tbl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770EF1"/>
    <w:pPr>
      <w:keepNext/>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contextualSpacing/>
    </w:pPr>
    <w:rPr>
      <w:rFonts w:ascii="Arial" w:eastAsia="Times New Roman" w:hAnsi="Arial"/>
      <w:spacing w:val="5"/>
      <w:kern w:val="28"/>
      <w:sz w:val="52"/>
      <w:szCs w:val="52"/>
      <w:lang w:eastAsia="en-US"/>
    </w:rPr>
  </w:style>
  <w:style w:type="character" w:customStyle="1" w:styleId="TitleChar">
    <w:name w:val="Title Char"/>
    <w:basedOn w:val="DefaultParagraphFont"/>
    <w:link w:val="Title"/>
    <w:uiPriority w:val="10"/>
    <w:rsid w:val="00F3148D"/>
    <w:rPr>
      <w:rFonts w:ascii="Arial" w:eastAsia="Times New Roman" w:hAnsi="Arial"/>
      <w:spacing w:val="5"/>
      <w:kern w:val="28"/>
      <w:sz w:val="52"/>
      <w:szCs w:val="52"/>
      <w:lang w:val="en-AU" w:eastAsia="en-US" w:bidi="ar-SA"/>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imes New Roman"/>
      <w:color w:val="002035"/>
      <w:sz w:val="28"/>
      <w:lang w:val="en-US"/>
    </w:rPr>
  </w:style>
  <w:style w:type="paragraph" w:customStyle="1" w:styleId="Bullet1">
    <w:name w:val="Bullet 1"/>
    <w:basedOn w:val="Normal"/>
    <w:rsid w:val="001F435C"/>
    <w:pPr>
      <w:numPr>
        <w:numId w:val="6"/>
      </w:numPr>
      <w:spacing w:after="0" w:line="240" w:lineRule="auto"/>
    </w:pPr>
    <w:rPr>
      <w:rFonts w:eastAsia="Times New Roman"/>
      <w:kern w:val="24"/>
      <w:szCs w:val="24"/>
      <w:lang w:eastAsia="en-AU"/>
    </w:rPr>
  </w:style>
  <w:style w:type="paragraph" w:styleId="FootnoteText">
    <w:name w:val="footnote text"/>
    <w:basedOn w:val="Normal"/>
    <w:link w:val="FootnoteTextChar"/>
    <w:uiPriority w:val="99"/>
    <w:unhideWhenUsed/>
    <w:rsid w:val="00017DD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017DD1"/>
    <w:rPr>
      <w:lang w:eastAsia="en-US"/>
    </w:rPr>
  </w:style>
  <w:style w:type="character" w:styleId="FootnoteReference">
    <w:name w:val="footnote reference"/>
    <w:basedOn w:val="DefaultParagraphFont"/>
    <w:uiPriority w:val="99"/>
    <w:semiHidden/>
    <w:unhideWhenUsed/>
    <w:rsid w:val="00473F2E"/>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eader" Target="header8.xm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header" Target="header5.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jpeg"/><Relationship Id="rId110" Type="http://schemas.openxmlformats.org/officeDocument/2006/relationships/header" Target="header4.xml"/><Relationship Id="rId115"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footer" Target="footer3.xml"/><Relationship Id="rId118" Type="http://schemas.openxmlformats.org/officeDocument/2006/relationships/footer" Target="footer5.xml"/><Relationship Id="rId8" Type="http://schemas.openxmlformats.org/officeDocument/2006/relationships/hyperlink" Target="http://www.tga.gov.au"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footer" Target="footer4.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header" Target="header6.xml"/><Relationship Id="rId119" Type="http://schemas.openxmlformats.org/officeDocument/2006/relationships/fontTable" Target="fontTable.xml"/><Relationship Id="rId10" Type="http://schemas.openxmlformats.org/officeDocument/2006/relationships/hyperlink" Target="mailto:tga.copyright@tga.gov.au"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hyperlink" Target="http://www.tga.gov.au/hp/information-medicines-pi.htm" TargetMode="External"/><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eader" Target="header3.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s>
</file>

<file path=word/_rels/footer4.xml.rels><?xml version="1.0" encoding="UTF-8" standalone="yes"?>
<Relationships xmlns="http://schemas.openxmlformats.org/package/2006/relationships"><Relationship Id="rId2" Type="http://schemas.openxmlformats.org/officeDocument/2006/relationships/hyperlink" Target="http://www.tga.gov.au" TargetMode="External"/><Relationship Id="rId1" Type="http://schemas.openxmlformats.org/officeDocument/2006/relationships/hyperlink" Target="mailto:info@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22A200-95A2-488A-8B0A-97548E64C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89</Pages>
  <Words>23184</Words>
  <Characters>132153</Characters>
  <Application>Microsoft Office Word</Application>
  <DocSecurity>0</DocSecurity>
  <Lines>1101</Lines>
  <Paragraphs>310</Paragraphs>
  <ScaleCrop>false</ScaleCrop>
  <HeadingPairs>
    <vt:vector size="2" baseType="variant">
      <vt:variant>
        <vt:lpstr>Title</vt:lpstr>
      </vt:variant>
      <vt:variant>
        <vt:i4>1</vt:i4>
      </vt:variant>
    </vt:vector>
  </HeadingPairs>
  <TitlesOfParts>
    <vt:vector size="1" baseType="lpstr">
      <vt:lpstr>Extract from the Clinical Evaluation Report for Retigabine</vt:lpstr>
    </vt:vector>
  </TitlesOfParts>
  <Company>Department of Health Therapeutic Goods Administration</Company>
  <LinksUpToDate>false</LinksUpToDate>
  <CharactersWithSpaces>155027</CharactersWithSpaces>
  <SharedDoc>false</SharedDoc>
  <HLinks>
    <vt:vector size="294" baseType="variant">
      <vt:variant>
        <vt:i4>1245245</vt:i4>
      </vt:variant>
      <vt:variant>
        <vt:i4>269</vt:i4>
      </vt:variant>
      <vt:variant>
        <vt:i4>0</vt:i4>
      </vt:variant>
      <vt:variant>
        <vt:i4>5</vt:i4>
      </vt:variant>
      <vt:variant>
        <vt:lpwstr/>
      </vt:variant>
      <vt:variant>
        <vt:lpwstr>_Toc365636824</vt:lpwstr>
      </vt:variant>
      <vt:variant>
        <vt:i4>1245245</vt:i4>
      </vt:variant>
      <vt:variant>
        <vt:i4>263</vt:i4>
      </vt:variant>
      <vt:variant>
        <vt:i4>0</vt:i4>
      </vt:variant>
      <vt:variant>
        <vt:i4>5</vt:i4>
      </vt:variant>
      <vt:variant>
        <vt:lpwstr/>
      </vt:variant>
      <vt:variant>
        <vt:lpwstr>_Toc365636823</vt:lpwstr>
      </vt:variant>
      <vt:variant>
        <vt:i4>1245245</vt:i4>
      </vt:variant>
      <vt:variant>
        <vt:i4>257</vt:i4>
      </vt:variant>
      <vt:variant>
        <vt:i4>0</vt:i4>
      </vt:variant>
      <vt:variant>
        <vt:i4>5</vt:i4>
      </vt:variant>
      <vt:variant>
        <vt:lpwstr/>
      </vt:variant>
      <vt:variant>
        <vt:lpwstr>_Toc365636822</vt:lpwstr>
      </vt:variant>
      <vt:variant>
        <vt:i4>1245245</vt:i4>
      </vt:variant>
      <vt:variant>
        <vt:i4>251</vt:i4>
      </vt:variant>
      <vt:variant>
        <vt:i4>0</vt:i4>
      </vt:variant>
      <vt:variant>
        <vt:i4>5</vt:i4>
      </vt:variant>
      <vt:variant>
        <vt:lpwstr/>
      </vt:variant>
      <vt:variant>
        <vt:lpwstr>_Toc365636821</vt:lpwstr>
      </vt:variant>
      <vt:variant>
        <vt:i4>1245245</vt:i4>
      </vt:variant>
      <vt:variant>
        <vt:i4>245</vt:i4>
      </vt:variant>
      <vt:variant>
        <vt:i4>0</vt:i4>
      </vt:variant>
      <vt:variant>
        <vt:i4>5</vt:i4>
      </vt:variant>
      <vt:variant>
        <vt:lpwstr/>
      </vt:variant>
      <vt:variant>
        <vt:lpwstr>_Toc365636820</vt:lpwstr>
      </vt:variant>
      <vt:variant>
        <vt:i4>1048637</vt:i4>
      </vt:variant>
      <vt:variant>
        <vt:i4>239</vt:i4>
      </vt:variant>
      <vt:variant>
        <vt:i4>0</vt:i4>
      </vt:variant>
      <vt:variant>
        <vt:i4>5</vt:i4>
      </vt:variant>
      <vt:variant>
        <vt:lpwstr/>
      </vt:variant>
      <vt:variant>
        <vt:lpwstr>_Toc365636819</vt:lpwstr>
      </vt:variant>
      <vt:variant>
        <vt:i4>1048637</vt:i4>
      </vt:variant>
      <vt:variant>
        <vt:i4>233</vt:i4>
      </vt:variant>
      <vt:variant>
        <vt:i4>0</vt:i4>
      </vt:variant>
      <vt:variant>
        <vt:i4>5</vt:i4>
      </vt:variant>
      <vt:variant>
        <vt:lpwstr/>
      </vt:variant>
      <vt:variant>
        <vt:lpwstr>_Toc365636818</vt:lpwstr>
      </vt:variant>
      <vt:variant>
        <vt:i4>1048637</vt:i4>
      </vt:variant>
      <vt:variant>
        <vt:i4>227</vt:i4>
      </vt:variant>
      <vt:variant>
        <vt:i4>0</vt:i4>
      </vt:variant>
      <vt:variant>
        <vt:i4>5</vt:i4>
      </vt:variant>
      <vt:variant>
        <vt:lpwstr/>
      </vt:variant>
      <vt:variant>
        <vt:lpwstr>_Toc365636817</vt:lpwstr>
      </vt:variant>
      <vt:variant>
        <vt:i4>1048637</vt:i4>
      </vt:variant>
      <vt:variant>
        <vt:i4>221</vt:i4>
      </vt:variant>
      <vt:variant>
        <vt:i4>0</vt:i4>
      </vt:variant>
      <vt:variant>
        <vt:i4>5</vt:i4>
      </vt:variant>
      <vt:variant>
        <vt:lpwstr/>
      </vt:variant>
      <vt:variant>
        <vt:lpwstr>_Toc365636816</vt:lpwstr>
      </vt:variant>
      <vt:variant>
        <vt:i4>1048637</vt:i4>
      </vt:variant>
      <vt:variant>
        <vt:i4>215</vt:i4>
      </vt:variant>
      <vt:variant>
        <vt:i4>0</vt:i4>
      </vt:variant>
      <vt:variant>
        <vt:i4>5</vt:i4>
      </vt:variant>
      <vt:variant>
        <vt:lpwstr/>
      </vt:variant>
      <vt:variant>
        <vt:lpwstr>_Toc365636815</vt:lpwstr>
      </vt:variant>
      <vt:variant>
        <vt:i4>1048637</vt:i4>
      </vt:variant>
      <vt:variant>
        <vt:i4>209</vt:i4>
      </vt:variant>
      <vt:variant>
        <vt:i4>0</vt:i4>
      </vt:variant>
      <vt:variant>
        <vt:i4>5</vt:i4>
      </vt:variant>
      <vt:variant>
        <vt:lpwstr/>
      </vt:variant>
      <vt:variant>
        <vt:lpwstr>_Toc365636814</vt:lpwstr>
      </vt:variant>
      <vt:variant>
        <vt:i4>1048637</vt:i4>
      </vt:variant>
      <vt:variant>
        <vt:i4>203</vt:i4>
      </vt:variant>
      <vt:variant>
        <vt:i4>0</vt:i4>
      </vt:variant>
      <vt:variant>
        <vt:i4>5</vt:i4>
      </vt:variant>
      <vt:variant>
        <vt:lpwstr/>
      </vt:variant>
      <vt:variant>
        <vt:lpwstr>_Toc365636813</vt:lpwstr>
      </vt:variant>
      <vt:variant>
        <vt:i4>1048637</vt:i4>
      </vt:variant>
      <vt:variant>
        <vt:i4>197</vt:i4>
      </vt:variant>
      <vt:variant>
        <vt:i4>0</vt:i4>
      </vt:variant>
      <vt:variant>
        <vt:i4>5</vt:i4>
      </vt:variant>
      <vt:variant>
        <vt:lpwstr/>
      </vt:variant>
      <vt:variant>
        <vt:lpwstr>_Toc365636812</vt:lpwstr>
      </vt:variant>
      <vt:variant>
        <vt:i4>1048637</vt:i4>
      </vt:variant>
      <vt:variant>
        <vt:i4>191</vt:i4>
      </vt:variant>
      <vt:variant>
        <vt:i4>0</vt:i4>
      </vt:variant>
      <vt:variant>
        <vt:i4>5</vt:i4>
      </vt:variant>
      <vt:variant>
        <vt:lpwstr/>
      </vt:variant>
      <vt:variant>
        <vt:lpwstr>_Toc365636811</vt:lpwstr>
      </vt:variant>
      <vt:variant>
        <vt:i4>1048637</vt:i4>
      </vt:variant>
      <vt:variant>
        <vt:i4>185</vt:i4>
      </vt:variant>
      <vt:variant>
        <vt:i4>0</vt:i4>
      </vt:variant>
      <vt:variant>
        <vt:i4>5</vt:i4>
      </vt:variant>
      <vt:variant>
        <vt:lpwstr/>
      </vt:variant>
      <vt:variant>
        <vt:lpwstr>_Toc365636810</vt:lpwstr>
      </vt:variant>
      <vt:variant>
        <vt:i4>1114173</vt:i4>
      </vt:variant>
      <vt:variant>
        <vt:i4>179</vt:i4>
      </vt:variant>
      <vt:variant>
        <vt:i4>0</vt:i4>
      </vt:variant>
      <vt:variant>
        <vt:i4>5</vt:i4>
      </vt:variant>
      <vt:variant>
        <vt:lpwstr/>
      </vt:variant>
      <vt:variant>
        <vt:lpwstr>_Toc365636809</vt:lpwstr>
      </vt:variant>
      <vt:variant>
        <vt:i4>1114173</vt:i4>
      </vt:variant>
      <vt:variant>
        <vt:i4>173</vt:i4>
      </vt:variant>
      <vt:variant>
        <vt:i4>0</vt:i4>
      </vt:variant>
      <vt:variant>
        <vt:i4>5</vt:i4>
      </vt:variant>
      <vt:variant>
        <vt:lpwstr/>
      </vt:variant>
      <vt:variant>
        <vt:lpwstr>_Toc365636808</vt:lpwstr>
      </vt:variant>
      <vt:variant>
        <vt:i4>1114173</vt:i4>
      </vt:variant>
      <vt:variant>
        <vt:i4>167</vt:i4>
      </vt:variant>
      <vt:variant>
        <vt:i4>0</vt:i4>
      </vt:variant>
      <vt:variant>
        <vt:i4>5</vt:i4>
      </vt:variant>
      <vt:variant>
        <vt:lpwstr/>
      </vt:variant>
      <vt:variant>
        <vt:lpwstr>_Toc365636807</vt:lpwstr>
      </vt:variant>
      <vt:variant>
        <vt:i4>1114173</vt:i4>
      </vt:variant>
      <vt:variant>
        <vt:i4>161</vt:i4>
      </vt:variant>
      <vt:variant>
        <vt:i4>0</vt:i4>
      </vt:variant>
      <vt:variant>
        <vt:i4>5</vt:i4>
      </vt:variant>
      <vt:variant>
        <vt:lpwstr/>
      </vt:variant>
      <vt:variant>
        <vt:lpwstr>_Toc365636806</vt:lpwstr>
      </vt:variant>
      <vt:variant>
        <vt:i4>1114173</vt:i4>
      </vt:variant>
      <vt:variant>
        <vt:i4>155</vt:i4>
      </vt:variant>
      <vt:variant>
        <vt:i4>0</vt:i4>
      </vt:variant>
      <vt:variant>
        <vt:i4>5</vt:i4>
      </vt:variant>
      <vt:variant>
        <vt:lpwstr/>
      </vt:variant>
      <vt:variant>
        <vt:lpwstr>_Toc365636805</vt:lpwstr>
      </vt:variant>
      <vt:variant>
        <vt:i4>1114173</vt:i4>
      </vt:variant>
      <vt:variant>
        <vt:i4>149</vt:i4>
      </vt:variant>
      <vt:variant>
        <vt:i4>0</vt:i4>
      </vt:variant>
      <vt:variant>
        <vt:i4>5</vt:i4>
      </vt:variant>
      <vt:variant>
        <vt:lpwstr/>
      </vt:variant>
      <vt:variant>
        <vt:lpwstr>_Toc365636804</vt:lpwstr>
      </vt:variant>
      <vt:variant>
        <vt:i4>1114173</vt:i4>
      </vt:variant>
      <vt:variant>
        <vt:i4>143</vt:i4>
      </vt:variant>
      <vt:variant>
        <vt:i4>0</vt:i4>
      </vt:variant>
      <vt:variant>
        <vt:i4>5</vt:i4>
      </vt:variant>
      <vt:variant>
        <vt:lpwstr/>
      </vt:variant>
      <vt:variant>
        <vt:lpwstr>_Toc365636803</vt:lpwstr>
      </vt:variant>
      <vt:variant>
        <vt:i4>1114173</vt:i4>
      </vt:variant>
      <vt:variant>
        <vt:i4>137</vt:i4>
      </vt:variant>
      <vt:variant>
        <vt:i4>0</vt:i4>
      </vt:variant>
      <vt:variant>
        <vt:i4>5</vt:i4>
      </vt:variant>
      <vt:variant>
        <vt:lpwstr/>
      </vt:variant>
      <vt:variant>
        <vt:lpwstr>_Toc365636802</vt:lpwstr>
      </vt:variant>
      <vt:variant>
        <vt:i4>1114173</vt:i4>
      </vt:variant>
      <vt:variant>
        <vt:i4>131</vt:i4>
      </vt:variant>
      <vt:variant>
        <vt:i4>0</vt:i4>
      </vt:variant>
      <vt:variant>
        <vt:i4>5</vt:i4>
      </vt:variant>
      <vt:variant>
        <vt:lpwstr/>
      </vt:variant>
      <vt:variant>
        <vt:lpwstr>_Toc365636801</vt:lpwstr>
      </vt:variant>
      <vt:variant>
        <vt:i4>1114173</vt:i4>
      </vt:variant>
      <vt:variant>
        <vt:i4>125</vt:i4>
      </vt:variant>
      <vt:variant>
        <vt:i4>0</vt:i4>
      </vt:variant>
      <vt:variant>
        <vt:i4>5</vt:i4>
      </vt:variant>
      <vt:variant>
        <vt:lpwstr/>
      </vt:variant>
      <vt:variant>
        <vt:lpwstr>_Toc365636800</vt:lpwstr>
      </vt:variant>
      <vt:variant>
        <vt:i4>1572914</vt:i4>
      </vt:variant>
      <vt:variant>
        <vt:i4>119</vt:i4>
      </vt:variant>
      <vt:variant>
        <vt:i4>0</vt:i4>
      </vt:variant>
      <vt:variant>
        <vt:i4>5</vt:i4>
      </vt:variant>
      <vt:variant>
        <vt:lpwstr/>
      </vt:variant>
      <vt:variant>
        <vt:lpwstr>_Toc365636799</vt:lpwstr>
      </vt:variant>
      <vt:variant>
        <vt:i4>1572914</vt:i4>
      </vt:variant>
      <vt:variant>
        <vt:i4>113</vt:i4>
      </vt:variant>
      <vt:variant>
        <vt:i4>0</vt:i4>
      </vt:variant>
      <vt:variant>
        <vt:i4>5</vt:i4>
      </vt:variant>
      <vt:variant>
        <vt:lpwstr/>
      </vt:variant>
      <vt:variant>
        <vt:lpwstr>_Toc365636798</vt:lpwstr>
      </vt:variant>
      <vt:variant>
        <vt:i4>1572914</vt:i4>
      </vt:variant>
      <vt:variant>
        <vt:i4>107</vt:i4>
      </vt:variant>
      <vt:variant>
        <vt:i4>0</vt:i4>
      </vt:variant>
      <vt:variant>
        <vt:i4>5</vt:i4>
      </vt:variant>
      <vt:variant>
        <vt:lpwstr/>
      </vt:variant>
      <vt:variant>
        <vt:lpwstr>_Toc365636797</vt:lpwstr>
      </vt:variant>
      <vt:variant>
        <vt:i4>1572914</vt:i4>
      </vt:variant>
      <vt:variant>
        <vt:i4>101</vt:i4>
      </vt:variant>
      <vt:variant>
        <vt:i4>0</vt:i4>
      </vt:variant>
      <vt:variant>
        <vt:i4>5</vt:i4>
      </vt:variant>
      <vt:variant>
        <vt:lpwstr/>
      </vt:variant>
      <vt:variant>
        <vt:lpwstr>_Toc365636796</vt:lpwstr>
      </vt:variant>
      <vt:variant>
        <vt:i4>1572914</vt:i4>
      </vt:variant>
      <vt:variant>
        <vt:i4>95</vt:i4>
      </vt:variant>
      <vt:variant>
        <vt:i4>0</vt:i4>
      </vt:variant>
      <vt:variant>
        <vt:i4>5</vt:i4>
      </vt:variant>
      <vt:variant>
        <vt:lpwstr/>
      </vt:variant>
      <vt:variant>
        <vt:lpwstr>_Toc365636795</vt:lpwstr>
      </vt:variant>
      <vt:variant>
        <vt:i4>1572914</vt:i4>
      </vt:variant>
      <vt:variant>
        <vt:i4>89</vt:i4>
      </vt:variant>
      <vt:variant>
        <vt:i4>0</vt:i4>
      </vt:variant>
      <vt:variant>
        <vt:i4>5</vt:i4>
      </vt:variant>
      <vt:variant>
        <vt:lpwstr/>
      </vt:variant>
      <vt:variant>
        <vt:lpwstr>_Toc365636794</vt:lpwstr>
      </vt:variant>
      <vt:variant>
        <vt:i4>1572914</vt:i4>
      </vt:variant>
      <vt:variant>
        <vt:i4>83</vt:i4>
      </vt:variant>
      <vt:variant>
        <vt:i4>0</vt:i4>
      </vt:variant>
      <vt:variant>
        <vt:i4>5</vt:i4>
      </vt:variant>
      <vt:variant>
        <vt:lpwstr/>
      </vt:variant>
      <vt:variant>
        <vt:lpwstr>_Toc365636793</vt:lpwstr>
      </vt:variant>
      <vt:variant>
        <vt:i4>1572914</vt:i4>
      </vt:variant>
      <vt:variant>
        <vt:i4>77</vt:i4>
      </vt:variant>
      <vt:variant>
        <vt:i4>0</vt:i4>
      </vt:variant>
      <vt:variant>
        <vt:i4>5</vt:i4>
      </vt:variant>
      <vt:variant>
        <vt:lpwstr/>
      </vt:variant>
      <vt:variant>
        <vt:lpwstr>_Toc365636792</vt:lpwstr>
      </vt:variant>
      <vt:variant>
        <vt:i4>1572914</vt:i4>
      </vt:variant>
      <vt:variant>
        <vt:i4>71</vt:i4>
      </vt:variant>
      <vt:variant>
        <vt:i4>0</vt:i4>
      </vt:variant>
      <vt:variant>
        <vt:i4>5</vt:i4>
      </vt:variant>
      <vt:variant>
        <vt:lpwstr/>
      </vt:variant>
      <vt:variant>
        <vt:lpwstr>_Toc365636791</vt:lpwstr>
      </vt:variant>
      <vt:variant>
        <vt:i4>1572914</vt:i4>
      </vt:variant>
      <vt:variant>
        <vt:i4>65</vt:i4>
      </vt:variant>
      <vt:variant>
        <vt:i4>0</vt:i4>
      </vt:variant>
      <vt:variant>
        <vt:i4>5</vt:i4>
      </vt:variant>
      <vt:variant>
        <vt:lpwstr/>
      </vt:variant>
      <vt:variant>
        <vt:lpwstr>_Toc365636790</vt:lpwstr>
      </vt:variant>
      <vt:variant>
        <vt:i4>1638450</vt:i4>
      </vt:variant>
      <vt:variant>
        <vt:i4>59</vt:i4>
      </vt:variant>
      <vt:variant>
        <vt:i4>0</vt:i4>
      </vt:variant>
      <vt:variant>
        <vt:i4>5</vt:i4>
      </vt:variant>
      <vt:variant>
        <vt:lpwstr/>
      </vt:variant>
      <vt:variant>
        <vt:lpwstr>_Toc365636789</vt:lpwstr>
      </vt:variant>
      <vt:variant>
        <vt:i4>1638450</vt:i4>
      </vt:variant>
      <vt:variant>
        <vt:i4>53</vt:i4>
      </vt:variant>
      <vt:variant>
        <vt:i4>0</vt:i4>
      </vt:variant>
      <vt:variant>
        <vt:i4>5</vt:i4>
      </vt:variant>
      <vt:variant>
        <vt:lpwstr/>
      </vt:variant>
      <vt:variant>
        <vt:lpwstr>_Toc365636788</vt:lpwstr>
      </vt:variant>
      <vt:variant>
        <vt:i4>1638450</vt:i4>
      </vt:variant>
      <vt:variant>
        <vt:i4>47</vt:i4>
      </vt:variant>
      <vt:variant>
        <vt:i4>0</vt:i4>
      </vt:variant>
      <vt:variant>
        <vt:i4>5</vt:i4>
      </vt:variant>
      <vt:variant>
        <vt:lpwstr/>
      </vt:variant>
      <vt:variant>
        <vt:lpwstr>_Toc365636787</vt:lpwstr>
      </vt:variant>
      <vt:variant>
        <vt:i4>1638450</vt:i4>
      </vt:variant>
      <vt:variant>
        <vt:i4>41</vt:i4>
      </vt:variant>
      <vt:variant>
        <vt:i4>0</vt:i4>
      </vt:variant>
      <vt:variant>
        <vt:i4>5</vt:i4>
      </vt:variant>
      <vt:variant>
        <vt:lpwstr/>
      </vt:variant>
      <vt:variant>
        <vt:lpwstr>_Toc365636786</vt:lpwstr>
      </vt:variant>
      <vt:variant>
        <vt:i4>1638450</vt:i4>
      </vt:variant>
      <vt:variant>
        <vt:i4>35</vt:i4>
      </vt:variant>
      <vt:variant>
        <vt:i4>0</vt:i4>
      </vt:variant>
      <vt:variant>
        <vt:i4>5</vt:i4>
      </vt:variant>
      <vt:variant>
        <vt:lpwstr/>
      </vt:variant>
      <vt:variant>
        <vt:lpwstr>_Toc365636785</vt:lpwstr>
      </vt:variant>
      <vt:variant>
        <vt:i4>1638450</vt:i4>
      </vt:variant>
      <vt:variant>
        <vt:i4>29</vt:i4>
      </vt:variant>
      <vt:variant>
        <vt:i4>0</vt:i4>
      </vt:variant>
      <vt:variant>
        <vt:i4>5</vt:i4>
      </vt:variant>
      <vt:variant>
        <vt:lpwstr/>
      </vt:variant>
      <vt:variant>
        <vt:lpwstr>_Toc365636784</vt:lpwstr>
      </vt:variant>
      <vt:variant>
        <vt:i4>1638450</vt:i4>
      </vt:variant>
      <vt:variant>
        <vt:i4>23</vt:i4>
      </vt:variant>
      <vt:variant>
        <vt:i4>0</vt:i4>
      </vt:variant>
      <vt:variant>
        <vt:i4>5</vt:i4>
      </vt:variant>
      <vt:variant>
        <vt:lpwstr/>
      </vt:variant>
      <vt:variant>
        <vt:lpwstr>_Toc365636783</vt:lpwstr>
      </vt:variant>
      <vt:variant>
        <vt:i4>1638450</vt:i4>
      </vt:variant>
      <vt:variant>
        <vt:i4>17</vt:i4>
      </vt:variant>
      <vt:variant>
        <vt:i4>0</vt:i4>
      </vt:variant>
      <vt:variant>
        <vt:i4>5</vt:i4>
      </vt:variant>
      <vt:variant>
        <vt:lpwstr/>
      </vt:variant>
      <vt:variant>
        <vt:lpwstr>_Toc365636782</vt:lpwstr>
      </vt:variant>
      <vt:variant>
        <vt:i4>1638450</vt:i4>
      </vt:variant>
      <vt:variant>
        <vt:i4>11</vt:i4>
      </vt:variant>
      <vt:variant>
        <vt:i4>0</vt:i4>
      </vt:variant>
      <vt:variant>
        <vt:i4>5</vt:i4>
      </vt:variant>
      <vt:variant>
        <vt:lpwstr/>
      </vt:variant>
      <vt:variant>
        <vt:lpwstr>_Toc365636781</vt:lpwstr>
      </vt:variant>
      <vt:variant>
        <vt:i4>6291548</vt:i4>
      </vt:variant>
      <vt:variant>
        <vt:i4>6</vt:i4>
      </vt:variant>
      <vt:variant>
        <vt:i4>0</vt:i4>
      </vt:variant>
      <vt:variant>
        <vt:i4>5</vt:i4>
      </vt:variant>
      <vt:variant>
        <vt:lpwstr>mailto:tga.copyright@tga.gov.au</vt:lpwstr>
      </vt:variant>
      <vt:variant>
        <vt:lpwstr/>
      </vt:variant>
      <vt:variant>
        <vt:i4>5701660</vt:i4>
      </vt:variant>
      <vt:variant>
        <vt:i4>3</vt:i4>
      </vt:variant>
      <vt:variant>
        <vt:i4>0</vt:i4>
      </vt:variant>
      <vt:variant>
        <vt:i4>5</vt:i4>
      </vt:variant>
      <vt:variant>
        <vt:lpwstr>http://www.tga.gov.au/hp/information-medicines-pi.htm</vt:lpwstr>
      </vt:variant>
      <vt:variant>
        <vt:lpwstr/>
      </vt:variant>
      <vt:variant>
        <vt:i4>6357037</vt:i4>
      </vt:variant>
      <vt:variant>
        <vt:i4>0</vt:i4>
      </vt:variant>
      <vt:variant>
        <vt:i4>0</vt:i4>
      </vt:variant>
      <vt:variant>
        <vt:i4>5</vt:i4>
      </vt:variant>
      <vt:variant>
        <vt:lpwstr>http://www.tga.gov.au/</vt:lpwstr>
      </vt:variant>
      <vt:variant>
        <vt:lpwstr/>
      </vt:variant>
      <vt:variant>
        <vt:i4>6357037</vt:i4>
      </vt:variant>
      <vt:variant>
        <vt:i4>18</vt:i4>
      </vt:variant>
      <vt:variant>
        <vt:i4>0</vt:i4>
      </vt:variant>
      <vt:variant>
        <vt:i4>5</vt:i4>
      </vt:variant>
      <vt:variant>
        <vt:lpwstr>http://www.tga.gov.au/</vt:lpwstr>
      </vt:variant>
      <vt:variant>
        <vt:lpwstr/>
      </vt:variant>
      <vt:variant>
        <vt:i4>5242926</vt:i4>
      </vt:variant>
      <vt:variant>
        <vt:i4>15</vt:i4>
      </vt:variant>
      <vt:variant>
        <vt:i4>0</vt:i4>
      </vt:variant>
      <vt:variant>
        <vt:i4>5</vt:i4>
      </vt:variant>
      <vt:variant>
        <vt:lpwstr>mailto:info@tga.gov.au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the Clinical Evaluation Report for Retigabine</dc:title>
  <dc:subject>prescription medicine regulation</dc:subject>
  <dc:creator>Therapeutic Goods Administration</dc:creator>
  <cp:keywords>clinical, evaluation, report, medicine, assessment, regulation, australia, retigabine, trobalt, glaxosmithkline</cp:keywords>
  <cp:lastModifiedBy>dixonj</cp:lastModifiedBy>
  <cp:revision>30</cp:revision>
  <cp:lastPrinted>2010-12-20T21:59:00Z</cp:lastPrinted>
  <dcterms:created xsi:type="dcterms:W3CDTF">2013-11-05T05:32:00Z</dcterms:created>
  <dcterms:modified xsi:type="dcterms:W3CDTF">2013-11-07T03:56:00Z</dcterms:modified>
  <cp:category>External publication</cp:category>
</cp:coreProperties>
</file>