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73D59" w:rsidP="007053E5">
            <w:pPr>
              <w:rPr>
                <w:rFonts w:ascii="Arial" w:hAnsi="Arial" w:cs="Arial"/>
                <w:b/>
                <w:color w:val="002C47"/>
                <w:sz w:val="36"/>
                <w:szCs w:val="36"/>
              </w:rPr>
            </w:pPr>
            <w:r>
              <w:rPr>
                <w:rFonts w:ascii="Arial" w:hAnsi="Arial" w:cs="Arial"/>
                <w:b/>
                <w:color w:val="002C47"/>
                <w:sz w:val="36"/>
                <w:szCs w:val="36"/>
              </w:rPr>
              <w:t>November</w:t>
            </w:r>
            <w:r w:rsidR="007053E5">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053E5" w:rsidRPr="007053E5">
              <w:rPr>
                <w:color w:val="FFFFFF" w:themeColor="background1"/>
              </w:rPr>
              <w:t>Retapamulin</w:t>
            </w:r>
          </w:p>
        </w:tc>
      </w:tr>
      <w:tr w:rsidR="0032583B" w:rsidRPr="00B64760" w:rsidTr="0032583B">
        <w:tc>
          <w:tcPr>
            <w:tcW w:w="9079" w:type="dxa"/>
          </w:tcPr>
          <w:p w:rsidR="0032583B" w:rsidRPr="008E7846" w:rsidRDefault="0032583B" w:rsidP="007053E5">
            <w:pPr>
              <w:pStyle w:val="Subtitle"/>
              <w:rPr>
                <w:color w:val="FFFFFF" w:themeColor="background1"/>
              </w:rPr>
            </w:pPr>
            <w:r w:rsidRPr="008E7846">
              <w:rPr>
                <w:color w:val="FFFFFF" w:themeColor="background1"/>
              </w:rPr>
              <w:t xml:space="preserve">Proprietary Product Name: </w:t>
            </w:r>
            <w:proofErr w:type="spellStart"/>
            <w:r w:rsidR="007053E5">
              <w:rPr>
                <w:color w:val="FFFFFF" w:themeColor="background1"/>
              </w:rPr>
              <w:t>Altargo</w:t>
            </w:r>
            <w:proofErr w:type="spellEnd"/>
          </w:p>
        </w:tc>
      </w:tr>
      <w:tr w:rsidR="0032583B" w:rsidRPr="00B64760" w:rsidTr="0032583B">
        <w:trPr>
          <w:trHeight w:val="486"/>
        </w:trPr>
        <w:tc>
          <w:tcPr>
            <w:tcW w:w="9079" w:type="dxa"/>
          </w:tcPr>
          <w:p w:rsidR="0032583B" w:rsidRPr="008E7846" w:rsidRDefault="0032583B" w:rsidP="007053E5">
            <w:pPr>
              <w:pStyle w:val="Subtitle"/>
              <w:rPr>
                <w:color w:val="FFFFFF" w:themeColor="background1"/>
              </w:rPr>
            </w:pPr>
            <w:r w:rsidRPr="008E7846">
              <w:rPr>
                <w:color w:val="FFFFFF" w:themeColor="background1"/>
              </w:rPr>
              <w:t xml:space="preserve">Sponsor: </w:t>
            </w:r>
            <w:r w:rsidR="007053E5" w:rsidRPr="007053E5">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72F53">
      <w:pPr>
        <w:pStyle w:val="ListBullet"/>
        <w:numPr>
          <w:ilvl w:val="0"/>
          <w:numId w:val="1"/>
        </w:numPr>
        <w:ind w:left="357" w:hanging="357"/>
      </w:pPr>
      <w:r>
        <w:t xml:space="preserve">The Therapeutic Goods Administration (TGA) is </w:t>
      </w:r>
      <w:r w:rsidR="00E624A5">
        <w:t xml:space="preserve">part </w:t>
      </w:r>
      <w:r>
        <w:t>of the Australian</w:t>
      </w:r>
      <w:r w:rsidR="007D2C14">
        <w:t xml:space="preserve"> Government Department of Health</w:t>
      </w:r>
      <w:r>
        <w:t>, and is responsible for regulating medicines and medical devices.</w:t>
      </w:r>
    </w:p>
    <w:p w:rsidR="008E7846" w:rsidRDefault="00C80137" w:rsidP="00C72F5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72F5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72F5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72F53">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BE7DCF" w:rsidRPr="00D56402">
          <w:rPr>
            <w:rStyle w:val="Hyperlink"/>
          </w:rPr>
          <w:t>http://www.tga.gov.au</w:t>
        </w:r>
      </w:hyperlink>
      <w:r w:rsidR="00112F56">
        <w:t>&gt;</w:t>
      </w:r>
      <w:r>
        <w:t>.</w:t>
      </w:r>
    </w:p>
    <w:p w:rsidR="008E7846" w:rsidRDefault="008E7846" w:rsidP="008E7846">
      <w:pPr>
        <w:pStyle w:val="NonTOCHeading2"/>
      </w:pPr>
      <w:r>
        <w:t>About AusPARs</w:t>
      </w:r>
    </w:p>
    <w:p w:rsidR="008E7846" w:rsidRDefault="008E7846" w:rsidP="00C72F53">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E7DCF">
        <w:t>escription medicine submission.</w:t>
      </w:r>
    </w:p>
    <w:p w:rsidR="008E7846" w:rsidRDefault="008E7846" w:rsidP="00C72F53">
      <w:pPr>
        <w:pStyle w:val="ListBullet"/>
        <w:numPr>
          <w:ilvl w:val="0"/>
          <w:numId w:val="1"/>
        </w:numPr>
        <w:ind w:left="357" w:hanging="357"/>
      </w:pPr>
      <w:r>
        <w:t>AusPARs are prepared and published by the TGA.</w:t>
      </w:r>
    </w:p>
    <w:p w:rsidR="008E7846" w:rsidRDefault="008E7846" w:rsidP="00C72F5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C72F53">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C72F5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ED4A30">
          <w:headerReference w:type="default" r:id="rId10"/>
          <w:footerReference w:type="default" r:id="rId11"/>
          <w:headerReference w:type="first" r:id="rId12"/>
          <w:pgSz w:w="11906" w:h="16838" w:code="9"/>
          <w:pgMar w:top="426" w:right="1701" w:bottom="0" w:left="1701" w:header="907" w:footer="142"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A5EC6" w:rsidRDefault="00976703">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71925734" w:history="1">
            <w:r w:rsidR="002A5EC6" w:rsidRPr="008E23B9">
              <w:rPr>
                <w:rStyle w:val="Hyperlink"/>
                <w:noProof/>
              </w:rPr>
              <w:t>I. Introduction to product submission</w:t>
            </w:r>
            <w:r w:rsidR="002A5EC6">
              <w:rPr>
                <w:noProof/>
                <w:webHidden/>
              </w:rPr>
              <w:tab/>
            </w:r>
            <w:r>
              <w:rPr>
                <w:noProof/>
                <w:webHidden/>
              </w:rPr>
              <w:fldChar w:fldCharType="begin"/>
            </w:r>
            <w:r w:rsidR="002A5EC6">
              <w:rPr>
                <w:noProof/>
                <w:webHidden/>
              </w:rPr>
              <w:instrText xml:space="preserve"> PAGEREF _Toc371925734 \h </w:instrText>
            </w:r>
            <w:r>
              <w:rPr>
                <w:noProof/>
                <w:webHidden/>
              </w:rPr>
            </w:r>
            <w:r>
              <w:rPr>
                <w:noProof/>
                <w:webHidden/>
              </w:rPr>
              <w:fldChar w:fldCharType="separate"/>
            </w:r>
            <w:r w:rsidR="006565A3">
              <w:rPr>
                <w:noProof/>
                <w:webHidden/>
              </w:rPr>
              <w:t>5</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35" w:history="1">
            <w:r w:rsidR="002A5EC6" w:rsidRPr="008E23B9">
              <w:rPr>
                <w:rStyle w:val="Hyperlink"/>
                <w:noProof/>
                <w:lang w:eastAsia="en-AU"/>
              </w:rPr>
              <w:t>Submission details</w:t>
            </w:r>
            <w:r w:rsidR="002A5EC6">
              <w:rPr>
                <w:noProof/>
                <w:webHidden/>
              </w:rPr>
              <w:tab/>
            </w:r>
            <w:r>
              <w:rPr>
                <w:noProof/>
                <w:webHidden/>
              </w:rPr>
              <w:fldChar w:fldCharType="begin"/>
            </w:r>
            <w:r w:rsidR="002A5EC6">
              <w:rPr>
                <w:noProof/>
                <w:webHidden/>
              </w:rPr>
              <w:instrText xml:space="preserve"> PAGEREF _Toc371925735 \h </w:instrText>
            </w:r>
            <w:r>
              <w:rPr>
                <w:noProof/>
                <w:webHidden/>
              </w:rPr>
            </w:r>
            <w:r>
              <w:rPr>
                <w:noProof/>
                <w:webHidden/>
              </w:rPr>
              <w:fldChar w:fldCharType="separate"/>
            </w:r>
            <w:r w:rsidR="006565A3">
              <w:rPr>
                <w:noProof/>
                <w:webHidden/>
              </w:rPr>
              <w:t>5</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36" w:history="1">
            <w:r w:rsidR="002A5EC6" w:rsidRPr="008E23B9">
              <w:rPr>
                <w:rStyle w:val="Hyperlink"/>
                <w:noProof/>
              </w:rPr>
              <w:t>Product background</w:t>
            </w:r>
            <w:r w:rsidR="002A5EC6">
              <w:rPr>
                <w:noProof/>
                <w:webHidden/>
              </w:rPr>
              <w:tab/>
            </w:r>
            <w:r>
              <w:rPr>
                <w:noProof/>
                <w:webHidden/>
              </w:rPr>
              <w:fldChar w:fldCharType="begin"/>
            </w:r>
            <w:r w:rsidR="002A5EC6">
              <w:rPr>
                <w:noProof/>
                <w:webHidden/>
              </w:rPr>
              <w:instrText xml:space="preserve"> PAGEREF _Toc371925736 \h </w:instrText>
            </w:r>
            <w:r>
              <w:rPr>
                <w:noProof/>
                <w:webHidden/>
              </w:rPr>
            </w:r>
            <w:r>
              <w:rPr>
                <w:noProof/>
                <w:webHidden/>
              </w:rPr>
              <w:fldChar w:fldCharType="separate"/>
            </w:r>
            <w:r w:rsidR="006565A3">
              <w:rPr>
                <w:noProof/>
                <w:webHidden/>
              </w:rPr>
              <w:t>6</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37" w:history="1">
            <w:r w:rsidR="002A5EC6" w:rsidRPr="008E23B9">
              <w:rPr>
                <w:rStyle w:val="Hyperlink"/>
                <w:noProof/>
              </w:rPr>
              <w:t>Regulatory status</w:t>
            </w:r>
            <w:r w:rsidR="002A5EC6">
              <w:rPr>
                <w:noProof/>
                <w:webHidden/>
              </w:rPr>
              <w:tab/>
            </w:r>
            <w:r>
              <w:rPr>
                <w:noProof/>
                <w:webHidden/>
              </w:rPr>
              <w:fldChar w:fldCharType="begin"/>
            </w:r>
            <w:r w:rsidR="002A5EC6">
              <w:rPr>
                <w:noProof/>
                <w:webHidden/>
              </w:rPr>
              <w:instrText xml:space="preserve"> PAGEREF _Toc371925737 \h </w:instrText>
            </w:r>
            <w:r>
              <w:rPr>
                <w:noProof/>
                <w:webHidden/>
              </w:rPr>
            </w:r>
            <w:r>
              <w:rPr>
                <w:noProof/>
                <w:webHidden/>
              </w:rPr>
              <w:fldChar w:fldCharType="separate"/>
            </w:r>
            <w:r w:rsidR="006565A3">
              <w:rPr>
                <w:noProof/>
                <w:webHidden/>
              </w:rPr>
              <w:t>6</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38" w:history="1">
            <w:r w:rsidR="002A5EC6" w:rsidRPr="008E23B9">
              <w:rPr>
                <w:rStyle w:val="Hyperlink"/>
                <w:noProof/>
              </w:rPr>
              <w:t>Product Information</w:t>
            </w:r>
            <w:r w:rsidR="002A5EC6">
              <w:rPr>
                <w:noProof/>
                <w:webHidden/>
              </w:rPr>
              <w:tab/>
            </w:r>
            <w:r>
              <w:rPr>
                <w:noProof/>
                <w:webHidden/>
              </w:rPr>
              <w:fldChar w:fldCharType="begin"/>
            </w:r>
            <w:r w:rsidR="002A5EC6">
              <w:rPr>
                <w:noProof/>
                <w:webHidden/>
              </w:rPr>
              <w:instrText xml:space="preserve"> PAGEREF _Toc371925738 \h </w:instrText>
            </w:r>
            <w:r>
              <w:rPr>
                <w:noProof/>
                <w:webHidden/>
              </w:rPr>
            </w:r>
            <w:r>
              <w:rPr>
                <w:noProof/>
                <w:webHidden/>
              </w:rPr>
              <w:fldChar w:fldCharType="separate"/>
            </w:r>
            <w:r w:rsidR="006565A3">
              <w:rPr>
                <w:noProof/>
                <w:webHidden/>
              </w:rPr>
              <w:t>6</w:t>
            </w:r>
            <w:r>
              <w:rPr>
                <w:noProof/>
                <w:webHidden/>
              </w:rPr>
              <w:fldChar w:fldCharType="end"/>
            </w:r>
          </w:hyperlink>
        </w:p>
        <w:p w:rsidR="002A5EC6" w:rsidRDefault="00976703">
          <w:pPr>
            <w:pStyle w:val="TOC2"/>
            <w:rPr>
              <w:rFonts w:asciiTheme="minorHAnsi" w:eastAsiaTheme="minorEastAsia" w:hAnsiTheme="minorHAnsi" w:cstheme="minorBidi"/>
              <w:b w:val="0"/>
              <w:noProof/>
              <w:sz w:val="22"/>
              <w:lang w:eastAsia="en-AU" w:bidi="lo-LA"/>
            </w:rPr>
          </w:pPr>
          <w:hyperlink w:anchor="_Toc371925739" w:history="1">
            <w:r w:rsidR="002A5EC6" w:rsidRPr="008E23B9">
              <w:rPr>
                <w:rStyle w:val="Hyperlink"/>
                <w:noProof/>
              </w:rPr>
              <w:t>II. Quality findings</w:t>
            </w:r>
            <w:r w:rsidR="002A5EC6">
              <w:rPr>
                <w:noProof/>
                <w:webHidden/>
              </w:rPr>
              <w:tab/>
            </w:r>
            <w:r>
              <w:rPr>
                <w:noProof/>
                <w:webHidden/>
              </w:rPr>
              <w:fldChar w:fldCharType="begin"/>
            </w:r>
            <w:r w:rsidR="002A5EC6">
              <w:rPr>
                <w:noProof/>
                <w:webHidden/>
              </w:rPr>
              <w:instrText xml:space="preserve"> PAGEREF _Toc371925739 \h </w:instrText>
            </w:r>
            <w:r>
              <w:rPr>
                <w:noProof/>
                <w:webHidden/>
              </w:rPr>
            </w:r>
            <w:r>
              <w:rPr>
                <w:noProof/>
                <w:webHidden/>
              </w:rPr>
              <w:fldChar w:fldCharType="separate"/>
            </w:r>
            <w:r w:rsidR="006565A3">
              <w:rPr>
                <w:noProof/>
                <w:webHidden/>
              </w:rPr>
              <w:t>6</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0" w:history="1">
            <w:r w:rsidR="002A5EC6" w:rsidRPr="008E23B9">
              <w:rPr>
                <w:rStyle w:val="Hyperlink"/>
                <w:noProof/>
              </w:rPr>
              <w:t>Drug substance (active ingredient)</w:t>
            </w:r>
            <w:r w:rsidR="002A5EC6">
              <w:rPr>
                <w:noProof/>
                <w:webHidden/>
              </w:rPr>
              <w:tab/>
            </w:r>
            <w:r>
              <w:rPr>
                <w:noProof/>
                <w:webHidden/>
              </w:rPr>
              <w:fldChar w:fldCharType="begin"/>
            </w:r>
            <w:r w:rsidR="002A5EC6">
              <w:rPr>
                <w:noProof/>
                <w:webHidden/>
              </w:rPr>
              <w:instrText xml:space="preserve"> PAGEREF _Toc371925740 \h </w:instrText>
            </w:r>
            <w:r>
              <w:rPr>
                <w:noProof/>
                <w:webHidden/>
              </w:rPr>
            </w:r>
            <w:r>
              <w:rPr>
                <w:noProof/>
                <w:webHidden/>
              </w:rPr>
              <w:fldChar w:fldCharType="separate"/>
            </w:r>
            <w:r w:rsidR="006565A3">
              <w:rPr>
                <w:noProof/>
                <w:webHidden/>
              </w:rPr>
              <w:t>6</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1" w:history="1">
            <w:r w:rsidR="002A5EC6" w:rsidRPr="008E23B9">
              <w:rPr>
                <w:rStyle w:val="Hyperlink"/>
                <w:noProof/>
              </w:rPr>
              <w:t>Drug product</w:t>
            </w:r>
            <w:r w:rsidR="002A5EC6">
              <w:rPr>
                <w:noProof/>
                <w:webHidden/>
              </w:rPr>
              <w:tab/>
            </w:r>
            <w:r>
              <w:rPr>
                <w:noProof/>
                <w:webHidden/>
              </w:rPr>
              <w:fldChar w:fldCharType="begin"/>
            </w:r>
            <w:r w:rsidR="002A5EC6">
              <w:rPr>
                <w:noProof/>
                <w:webHidden/>
              </w:rPr>
              <w:instrText xml:space="preserve"> PAGEREF _Toc371925741 \h </w:instrText>
            </w:r>
            <w:r>
              <w:rPr>
                <w:noProof/>
                <w:webHidden/>
              </w:rPr>
            </w:r>
            <w:r>
              <w:rPr>
                <w:noProof/>
                <w:webHidden/>
              </w:rPr>
              <w:fldChar w:fldCharType="separate"/>
            </w:r>
            <w:r w:rsidR="006565A3">
              <w:rPr>
                <w:noProof/>
                <w:webHidden/>
              </w:rPr>
              <w:t>7</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2" w:history="1">
            <w:r w:rsidR="002A5EC6" w:rsidRPr="008E23B9">
              <w:rPr>
                <w:rStyle w:val="Hyperlink"/>
                <w:noProof/>
              </w:rPr>
              <w:t>Biopharmaceutics</w:t>
            </w:r>
            <w:r w:rsidR="002A5EC6">
              <w:rPr>
                <w:noProof/>
                <w:webHidden/>
              </w:rPr>
              <w:tab/>
            </w:r>
            <w:r>
              <w:rPr>
                <w:noProof/>
                <w:webHidden/>
              </w:rPr>
              <w:fldChar w:fldCharType="begin"/>
            </w:r>
            <w:r w:rsidR="002A5EC6">
              <w:rPr>
                <w:noProof/>
                <w:webHidden/>
              </w:rPr>
              <w:instrText xml:space="preserve"> PAGEREF _Toc371925742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3" w:history="1">
            <w:r w:rsidR="002A5EC6" w:rsidRPr="008E23B9">
              <w:rPr>
                <w:rStyle w:val="Hyperlink"/>
                <w:noProof/>
              </w:rPr>
              <w:t>Advisory committee considerations</w:t>
            </w:r>
            <w:r w:rsidR="002A5EC6">
              <w:rPr>
                <w:noProof/>
                <w:webHidden/>
              </w:rPr>
              <w:tab/>
            </w:r>
            <w:r>
              <w:rPr>
                <w:noProof/>
                <w:webHidden/>
              </w:rPr>
              <w:fldChar w:fldCharType="begin"/>
            </w:r>
            <w:r w:rsidR="002A5EC6">
              <w:rPr>
                <w:noProof/>
                <w:webHidden/>
              </w:rPr>
              <w:instrText xml:space="preserve"> PAGEREF _Toc371925743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4" w:history="1">
            <w:r w:rsidR="002A5EC6" w:rsidRPr="008E23B9">
              <w:rPr>
                <w:rStyle w:val="Hyperlink"/>
                <w:noProof/>
              </w:rPr>
              <w:t>Quality summary and conclusions</w:t>
            </w:r>
            <w:r w:rsidR="002A5EC6">
              <w:rPr>
                <w:noProof/>
                <w:webHidden/>
              </w:rPr>
              <w:tab/>
            </w:r>
            <w:r>
              <w:rPr>
                <w:noProof/>
                <w:webHidden/>
              </w:rPr>
              <w:fldChar w:fldCharType="begin"/>
            </w:r>
            <w:r w:rsidR="002A5EC6">
              <w:rPr>
                <w:noProof/>
                <w:webHidden/>
              </w:rPr>
              <w:instrText xml:space="preserve"> PAGEREF _Toc371925744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2"/>
            <w:rPr>
              <w:rFonts w:asciiTheme="minorHAnsi" w:eastAsiaTheme="minorEastAsia" w:hAnsiTheme="minorHAnsi" w:cstheme="minorBidi"/>
              <w:b w:val="0"/>
              <w:noProof/>
              <w:sz w:val="22"/>
              <w:lang w:eastAsia="en-AU" w:bidi="lo-LA"/>
            </w:rPr>
          </w:pPr>
          <w:hyperlink w:anchor="_Toc371925745" w:history="1">
            <w:r w:rsidR="002A5EC6" w:rsidRPr="008E23B9">
              <w:rPr>
                <w:rStyle w:val="Hyperlink"/>
                <w:noProof/>
              </w:rPr>
              <w:t>III. Nonclinical findings</w:t>
            </w:r>
            <w:r w:rsidR="002A5EC6">
              <w:rPr>
                <w:noProof/>
                <w:webHidden/>
              </w:rPr>
              <w:tab/>
            </w:r>
            <w:r>
              <w:rPr>
                <w:noProof/>
                <w:webHidden/>
              </w:rPr>
              <w:fldChar w:fldCharType="begin"/>
            </w:r>
            <w:r w:rsidR="002A5EC6">
              <w:rPr>
                <w:noProof/>
                <w:webHidden/>
              </w:rPr>
              <w:instrText xml:space="preserve"> PAGEREF _Toc371925745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6" w:history="1">
            <w:r w:rsidR="002A5EC6" w:rsidRPr="008E23B9">
              <w:rPr>
                <w:rStyle w:val="Hyperlink"/>
                <w:noProof/>
              </w:rPr>
              <w:t>Introduction</w:t>
            </w:r>
            <w:r w:rsidR="002A5EC6">
              <w:rPr>
                <w:noProof/>
                <w:webHidden/>
              </w:rPr>
              <w:tab/>
            </w:r>
            <w:r>
              <w:rPr>
                <w:noProof/>
                <w:webHidden/>
              </w:rPr>
              <w:fldChar w:fldCharType="begin"/>
            </w:r>
            <w:r w:rsidR="002A5EC6">
              <w:rPr>
                <w:noProof/>
                <w:webHidden/>
              </w:rPr>
              <w:instrText xml:space="preserve"> PAGEREF _Toc371925746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7" w:history="1">
            <w:r w:rsidR="002A5EC6" w:rsidRPr="008E23B9">
              <w:rPr>
                <w:rStyle w:val="Hyperlink"/>
                <w:noProof/>
              </w:rPr>
              <w:t>Pharmacology</w:t>
            </w:r>
            <w:r w:rsidR="002A5EC6">
              <w:rPr>
                <w:noProof/>
                <w:webHidden/>
              </w:rPr>
              <w:tab/>
            </w:r>
            <w:r>
              <w:rPr>
                <w:noProof/>
                <w:webHidden/>
              </w:rPr>
              <w:fldChar w:fldCharType="begin"/>
            </w:r>
            <w:r w:rsidR="002A5EC6">
              <w:rPr>
                <w:noProof/>
                <w:webHidden/>
              </w:rPr>
              <w:instrText xml:space="preserve"> PAGEREF _Toc371925747 \h </w:instrText>
            </w:r>
            <w:r>
              <w:rPr>
                <w:noProof/>
                <w:webHidden/>
              </w:rPr>
            </w:r>
            <w:r>
              <w:rPr>
                <w:noProof/>
                <w:webHidden/>
              </w:rPr>
              <w:fldChar w:fldCharType="separate"/>
            </w:r>
            <w:r w:rsidR="006565A3">
              <w:rPr>
                <w:noProof/>
                <w:webHidden/>
              </w:rPr>
              <w:t>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8" w:history="1">
            <w:r w:rsidR="002A5EC6" w:rsidRPr="008E23B9">
              <w:rPr>
                <w:rStyle w:val="Hyperlink"/>
                <w:noProof/>
              </w:rPr>
              <w:t>Pharmacokinetics</w:t>
            </w:r>
            <w:r w:rsidR="002A5EC6">
              <w:rPr>
                <w:noProof/>
                <w:webHidden/>
              </w:rPr>
              <w:tab/>
            </w:r>
            <w:r>
              <w:rPr>
                <w:noProof/>
                <w:webHidden/>
              </w:rPr>
              <w:fldChar w:fldCharType="begin"/>
            </w:r>
            <w:r w:rsidR="002A5EC6">
              <w:rPr>
                <w:noProof/>
                <w:webHidden/>
              </w:rPr>
              <w:instrText xml:space="preserve"> PAGEREF _Toc371925748 \h </w:instrText>
            </w:r>
            <w:r>
              <w:rPr>
                <w:noProof/>
                <w:webHidden/>
              </w:rPr>
            </w:r>
            <w:r>
              <w:rPr>
                <w:noProof/>
                <w:webHidden/>
              </w:rPr>
              <w:fldChar w:fldCharType="separate"/>
            </w:r>
            <w:r w:rsidR="006565A3">
              <w:rPr>
                <w:noProof/>
                <w:webHidden/>
              </w:rPr>
              <w:t>13</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49" w:history="1">
            <w:r w:rsidR="002A5EC6" w:rsidRPr="008E23B9">
              <w:rPr>
                <w:rStyle w:val="Hyperlink"/>
                <w:noProof/>
              </w:rPr>
              <w:t>Toxicology</w:t>
            </w:r>
            <w:r w:rsidR="002A5EC6">
              <w:rPr>
                <w:noProof/>
                <w:webHidden/>
              </w:rPr>
              <w:tab/>
            </w:r>
            <w:r>
              <w:rPr>
                <w:noProof/>
                <w:webHidden/>
              </w:rPr>
              <w:fldChar w:fldCharType="begin"/>
            </w:r>
            <w:r w:rsidR="002A5EC6">
              <w:rPr>
                <w:noProof/>
                <w:webHidden/>
              </w:rPr>
              <w:instrText xml:space="preserve"> PAGEREF _Toc371925749 \h </w:instrText>
            </w:r>
            <w:r>
              <w:rPr>
                <w:noProof/>
                <w:webHidden/>
              </w:rPr>
            </w:r>
            <w:r>
              <w:rPr>
                <w:noProof/>
                <w:webHidden/>
              </w:rPr>
              <w:fldChar w:fldCharType="separate"/>
            </w:r>
            <w:r w:rsidR="006565A3">
              <w:rPr>
                <w:noProof/>
                <w:webHidden/>
              </w:rPr>
              <w:t>17</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0" w:history="1">
            <w:r w:rsidR="002A5EC6" w:rsidRPr="008E23B9">
              <w:rPr>
                <w:rStyle w:val="Hyperlink"/>
                <w:noProof/>
              </w:rPr>
              <w:t>Nonclinical summary and conclusions</w:t>
            </w:r>
            <w:r w:rsidR="002A5EC6">
              <w:rPr>
                <w:noProof/>
                <w:webHidden/>
              </w:rPr>
              <w:tab/>
            </w:r>
            <w:r>
              <w:rPr>
                <w:noProof/>
                <w:webHidden/>
              </w:rPr>
              <w:fldChar w:fldCharType="begin"/>
            </w:r>
            <w:r w:rsidR="002A5EC6">
              <w:rPr>
                <w:noProof/>
                <w:webHidden/>
              </w:rPr>
              <w:instrText xml:space="preserve"> PAGEREF _Toc371925750 \h </w:instrText>
            </w:r>
            <w:r>
              <w:rPr>
                <w:noProof/>
                <w:webHidden/>
              </w:rPr>
            </w:r>
            <w:r>
              <w:rPr>
                <w:noProof/>
                <w:webHidden/>
              </w:rPr>
              <w:fldChar w:fldCharType="separate"/>
            </w:r>
            <w:r w:rsidR="006565A3">
              <w:rPr>
                <w:noProof/>
                <w:webHidden/>
              </w:rPr>
              <w:t>22</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1" w:history="1">
            <w:r w:rsidR="002A5EC6" w:rsidRPr="008E23B9">
              <w:rPr>
                <w:rStyle w:val="Hyperlink"/>
                <w:noProof/>
              </w:rPr>
              <w:t>Recommendation</w:t>
            </w:r>
            <w:r w:rsidR="002A5EC6">
              <w:rPr>
                <w:noProof/>
                <w:webHidden/>
              </w:rPr>
              <w:tab/>
            </w:r>
            <w:r>
              <w:rPr>
                <w:noProof/>
                <w:webHidden/>
              </w:rPr>
              <w:fldChar w:fldCharType="begin"/>
            </w:r>
            <w:r w:rsidR="002A5EC6">
              <w:rPr>
                <w:noProof/>
                <w:webHidden/>
              </w:rPr>
              <w:instrText xml:space="preserve"> PAGEREF _Toc371925751 \h </w:instrText>
            </w:r>
            <w:r>
              <w:rPr>
                <w:noProof/>
                <w:webHidden/>
              </w:rPr>
            </w:r>
            <w:r>
              <w:rPr>
                <w:noProof/>
                <w:webHidden/>
              </w:rPr>
              <w:fldChar w:fldCharType="separate"/>
            </w:r>
            <w:r w:rsidR="006565A3">
              <w:rPr>
                <w:noProof/>
                <w:webHidden/>
              </w:rPr>
              <w:t>24</w:t>
            </w:r>
            <w:r>
              <w:rPr>
                <w:noProof/>
                <w:webHidden/>
              </w:rPr>
              <w:fldChar w:fldCharType="end"/>
            </w:r>
          </w:hyperlink>
        </w:p>
        <w:p w:rsidR="002A5EC6" w:rsidRDefault="00976703">
          <w:pPr>
            <w:pStyle w:val="TOC2"/>
            <w:rPr>
              <w:rFonts w:asciiTheme="minorHAnsi" w:eastAsiaTheme="minorEastAsia" w:hAnsiTheme="minorHAnsi" w:cstheme="minorBidi"/>
              <w:b w:val="0"/>
              <w:noProof/>
              <w:sz w:val="22"/>
              <w:lang w:eastAsia="en-AU" w:bidi="lo-LA"/>
            </w:rPr>
          </w:pPr>
          <w:hyperlink w:anchor="_Toc371925752" w:history="1">
            <w:r w:rsidR="002A5EC6" w:rsidRPr="008E23B9">
              <w:rPr>
                <w:rStyle w:val="Hyperlink"/>
                <w:noProof/>
              </w:rPr>
              <w:t>IV. Clinical findings</w:t>
            </w:r>
            <w:r w:rsidR="002A5EC6">
              <w:rPr>
                <w:noProof/>
                <w:webHidden/>
              </w:rPr>
              <w:tab/>
            </w:r>
            <w:r>
              <w:rPr>
                <w:noProof/>
                <w:webHidden/>
              </w:rPr>
              <w:fldChar w:fldCharType="begin"/>
            </w:r>
            <w:r w:rsidR="002A5EC6">
              <w:rPr>
                <w:noProof/>
                <w:webHidden/>
              </w:rPr>
              <w:instrText xml:space="preserve"> PAGEREF _Toc371925752 \h </w:instrText>
            </w:r>
            <w:r>
              <w:rPr>
                <w:noProof/>
                <w:webHidden/>
              </w:rPr>
            </w:r>
            <w:r>
              <w:rPr>
                <w:noProof/>
                <w:webHidden/>
              </w:rPr>
              <w:fldChar w:fldCharType="separate"/>
            </w:r>
            <w:r w:rsidR="006565A3">
              <w:rPr>
                <w:noProof/>
                <w:webHidden/>
              </w:rPr>
              <w:t>25</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3" w:history="1">
            <w:r w:rsidR="002A5EC6" w:rsidRPr="008E23B9">
              <w:rPr>
                <w:rStyle w:val="Hyperlink"/>
                <w:noProof/>
              </w:rPr>
              <w:t>Introduction</w:t>
            </w:r>
            <w:r w:rsidR="002A5EC6">
              <w:rPr>
                <w:noProof/>
                <w:webHidden/>
              </w:rPr>
              <w:tab/>
            </w:r>
            <w:r>
              <w:rPr>
                <w:noProof/>
                <w:webHidden/>
              </w:rPr>
              <w:fldChar w:fldCharType="begin"/>
            </w:r>
            <w:r w:rsidR="002A5EC6">
              <w:rPr>
                <w:noProof/>
                <w:webHidden/>
              </w:rPr>
              <w:instrText xml:space="preserve"> PAGEREF _Toc371925753 \h </w:instrText>
            </w:r>
            <w:r>
              <w:rPr>
                <w:noProof/>
                <w:webHidden/>
              </w:rPr>
            </w:r>
            <w:r>
              <w:rPr>
                <w:noProof/>
                <w:webHidden/>
              </w:rPr>
              <w:fldChar w:fldCharType="separate"/>
            </w:r>
            <w:r w:rsidR="006565A3">
              <w:rPr>
                <w:noProof/>
                <w:webHidden/>
              </w:rPr>
              <w:t>25</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4" w:history="1">
            <w:r w:rsidR="002A5EC6" w:rsidRPr="008E23B9">
              <w:rPr>
                <w:rStyle w:val="Hyperlink"/>
                <w:noProof/>
              </w:rPr>
              <w:t>Pharmacokinetics</w:t>
            </w:r>
            <w:r w:rsidR="002A5EC6">
              <w:rPr>
                <w:noProof/>
                <w:webHidden/>
              </w:rPr>
              <w:tab/>
            </w:r>
            <w:r>
              <w:rPr>
                <w:noProof/>
                <w:webHidden/>
              </w:rPr>
              <w:fldChar w:fldCharType="begin"/>
            </w:r>
            <w:r w:rsidR="002A5EC6">
              <w:rPr>
                <w:noProof/>
                <w:webHidden/>
              </w:rPr>
              <w:instrText xml:space="preserve"> PAGEREF _Toc371925754 \h </w:instrText>
            </w:r>
            <w:r>
              <w:rPr>
                <w:noProof/>
                <w:webHidden/>
              </w:rPr>
            </w:r>
            <w:r>
              <w:rPr>
                <w:noProof/>
                <w:webHidden/>
              </w:rPr>
              <w:fldChar w:fldCharType="separate"/>
            </w:r>
            <w:r w:rsidR="006565A3">
              <w:rPr>
                <w:noProof/>
                <w:webHidden/>
              </w:rPr>
              <w:t>32</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5" w:history="1">
            <w:r w:rsidR="002A5EC6" w:rsidRPr="008E23B9">
              <w:rPr>
                <w:rStyle w:val="Hyperlink"/>
                <w:noProof/>
              </w:rPr>
              <w:t>Pharmacodynamics</w:t>
            </w:r>
            <w:r w:rsidR="002A5EC6">
              <w:rPr>
                <w:noProof/>
                <w:webHidden/>
              </w:rPr>
              <w:tab/>
            </w:r>
            <w:r>
              <w:rPr>
                <w:noProof/>
                <w:webHidden/>
              </w:rPr>
              <w:fldChar w:fldCharType="begin"/>
            </w:r>
            <w:r w:rsidR="002A5EC6">
              <w:rPr>
                <w:noProof/>
                <w:webHidden/>
              </w:rPr>
              <w:instrText xml:space="preserve"> PAGEREF _Toc371925755 \h </w:instrText>
            </w:r>
            <w:r>
              <w:rPr>
                <w:noProof/>
                <w:webHidden/>
              </w:rPr>
            </w:r>
            <w:r>
              <w:rPr>
                <w:noProof/>
                <w:webHidden/>
              </w:rPr>
              <w:fldChar w:fldCharType="separate"/>
            </w:r>
            <w:r w:rsidR="006565A3">
              <w:rPr>
                <w:noProof/>
                <w:webHidden/>
              </w:rPr>
              <w:t>33</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6" w:history="1">
            <w:r w:rsidR="002A5EC6" w:rsidRPr="008E23B9">
              <w:rPr>
                <w:rStyle w:val="Hyperlink"/>
                <w:noProof/>
              </w:rPr>
              <w:t>Efficacy</w:t>
            </w:r>
            <w:r w:rsidR="002A5EC6">
              <w:rPr>
                <w:noProof/>
                <w:webHidden/>
              </w:rPr>
              <w:tab/>
            </w:r>
            <w:r>
              <w:rPr>
                <w:noProof/>
                <w:webHidden/>
              </w:rPr>
              <w:fldChar w:fldCharType="begin"/>
            </w:r>
            <w:r w:rsidR="002A5EC6">
              <w:rPr>
                <w:noProof/>
                <w:webHidden/>
              </w:rPr>
              <w:instrText xml:space="preserve"> PAGEREF _Toc371925756 \h </w:instrText>
            </w:r>
            <w:r>
              <w:rPr>
                <w:noProof/>
                <w:webHidden/>
              </w:rPr>
            </w:r>
            <w:r>
              <w:rPr>
                <w:noProof/>
                <w:webHidden/>
              </w:rPr>
              <w:fldChar w:fldCharType="separate"/>
            </w:r>
            <w:r w:rsidR="006565A3">
              <w:rPr>
                <w:noProof/>
                <w:webHidden/>
              </w:rPr>
              <w:t>34</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7" w:history="1">
            <w:r w:rsidR="002A5EC6" w:rsidRPr="008E23B9">
              <w:rPr>
                <w:rStyle w:val="Hyperlink"/>
                <w:noProof/>
              </w:rPr>
              <w:t>Safety</w:t>
            </w:r>
            <w:r w:rsidR="002A5EC6">
              <w:rPr>
                <w:noProof/>
                <w:webHidden/>
              </w:rPr>
              <w:tab/>
            </w:r>
            <w:r>
              <w:rPr>
                <w:noProof/>
                <w:webHidden/>
              </w:rPr>
              <w:fldChar w:fldCharType="begin"/>
            </w:r>
            <w:r w:rsidR="002A5EC6">
              <w:rPr>
                <w:noProof/>
                <w:webHidden/>
              </w:rPr>
              <w:instrText xml:space="preserve"> PAGEREF _Toc371925757 \h </w:instrText>
            </w:r>
            <w:r>
              <w:rPr>
                <w:noProof/>
                <w:webHidden/>
              </w:rPr>
            </w:r>
            <w:r>
              <w:rPr>
                <w:noProof/>
                <w:webHidden/>
              </w:rPr>
              <w:fldChar w:fldCharType="separate"/>
            </w:r>
            <w:r w:rsidR="006565A3">
              <w:rPr>
                <w:noProof/>
                <w:webHidden/>
              </w:rPr>
              <w:t>37</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8" w:history="1">
            <w:r w:rsidR="002A5EC6" w:rsidRPr="008E23B9">
              <w:rPr>
                <w:rStyle w:val="Hyperlink"/>
                <w:noProof/>
              </w:rPr>
              <w:t>First round benefit-risk assessment</w:t>
            </w:r>
            <w:r w:rsidR="002A5EC6">
              <w:rPr>
                <w:noProof/>
                <w:webHidden/>
              </w:rPr>
              <w:tab/>
            </w:r>
            <w:r>
              <w:rPr>
                <w:noProof/>
                <w:webHidden/>
              </w:rPr>
              <w:fldChar w:fldCharType="begin"/>
            </w:r>
            <w:r w:rsidR="002A5EC6">
              <w:rPr>
                <w:noProof/>
                <w:webHidden/>
              </w:rPr>
              <w:instrText xml:space="preserve"> PAGEREF _Toc371925758 \h </w:instrText>
            </w:r>
            <w:r>
              <w:rPr>
                <w:noProof/>
                <w:webHidden/>
              </w:rPr>
            </w:r>
            <w:r>
              <w:rPr>
                <w:noProof/>
                <w:webHidden/>
              </w:rPr>
              <w:fldChar w:fldCharType="separate"/>
            </w:r>
            <w:r w:rsidR="006565A3">
              <w:rPr>
                <w:noProof/>
                <w:webHidden/>
              </w:rPr>
              <w:t>40</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59" w:history="1">
            <w:r w:rsidR="002A5EC6" w:rsidRPr="008E23B9">
              <w:rPr>
                <w:rStyle w:val="Hyperlink"/>
                <w:noProof/>
              </w:rPr>
              <w:t>Clinical questions</w:t>
            </w:r>
            <w:r w:rsidR="002A5EC6">
              <w:rPr>
                <w:noProof/>
                <w:webHidden/>
              </w:rPr>
              <w:tab/>
            </w:r>
            <w:r>
              <w:rPr>
                <w:noProof/>
                <w:webHidden/>
              </w:rPr>
              <w:fldChar w:fldCharType="begin"/>
            </w:r>
            <w:r w:rsidR="002A5EC6">
              <w:rPr>
                <w:noProof/>
                <w:webHidden/>
              </w:rPr>
              <w:instrText xml:space="preserve"> PAGEREF _Toc371925759 \h </w:instrText>
            </w:r>
            <w:r>
              <w:rPr>
                <w:noProof/>
                <w:webHidden/>
              </w:rPr>
            </w:r>
            <w:r>
              <w:rPr>
                <w:noProof/>
                <w:webHidden/>
              </w:rPr>
              <w:fldChar w:fldCharType="separate"/>
            </w:r>
            <w:r w:rsidR="006565A3">
              <w:rPr>
                <w:noProof/>
                <w:webHidden/>
              </w:rPr>
              <w:t>41</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0" w:history="1">
            <w:r w:rsidR="002A5EC6" w:rsidRPr="008E23B9">
              <w:rPr>
                <w:rStyle w:val="Hyperlink"/>
                <w:noProof/>
              </w:rPr>
              <w:t>Recommendation regarding authorisation</w:t>
            </w:r>
            <w:r w:rsidR="002A5EC6">
              <w:rPr>
                <w:noProof/>
                <w:webHidden/>
              </w:rPr>
              <w:tab/>
            </w:r>
            <w:r>
              <w:rPr>
                <w:noProof/>
                <w:webHidden/>
              </w:rPr>
              <w:fldChar w:fldCharType="begin"/>
            </w:r>
            <w:r w:rsidR="002A5EC6">
              <w:rPr>
                <w:noProof/>
                <w:webHidden/>
              </w:rPr>
              <w:instrText xml:space="preserve"> PAGEREF _Toc371925760 \h </w:instrText>
            </w:r>
            <w:r>
              <w:rPr>
                <w:noProof/>
                <w:webHidden/>
              </w:rPr>
            </w:r>
            <w:r>
              <w:rPr>
                <w:noProof/>
                <w:webHidden/>
              </w:rPr>
              <w:fldChar w:fldCharType="separate"/>
            </w:r>
            <w:r w:rsidR="006565A3">
              <w:rPr>
                <w:noProof/>
                <w:webHidden/>
              </w:rPr>
              <w:t>41</w:t>
            </w:r>
            <w:r>
              <w:rPr>
                <w:noProof/>
                <w:webHidden/>
              </w:rPr>
              <w:fldChar w:fldCharType="end"/>
            </w:r>
          </w:hyperlink>
        </w:p>
        <w:p w:rsidR="002A5EC6" w:rsidRDefault="00976703">
          <w:pPr>
            <w:pStyle w:val="TOC2"/>
            <w:rPr>
              <w:rFonts w:asciiTheme="minorHAnsi" w:eastAsiaTheme="minorEastAsia" w:hAnsiTheme="minorHAnsi" w:cstheme="minorBidi"/>
              <w:b w:val="0"/>
              <w:noProof/>
              <w:sz w:val="22"/>
              <w:lang w:eastAsia="en-AU" w:bidi="lo-LA"/>
            </w:rPr>
          </w:pPr>
          <w:hyperlink w:anchor="_Toc371925761" w:history="1">
            <w:r w:rsidR="002A5EC6" w:rsidRPr="008E23B9">
              <w:rPr>
                <w:rStyle w:val="Hyperlink"/>
                <w:noProof/>
              </w:rPr>
              <w:t>V. Pharmacovigilance findings</w:t>
            </w:r>
            <w:r w:rsidR="002A5EC6">
              <w:rPr>
                <w:noProof/>
                <w:webHidden/>
              </w:rPr>
              <w:tab/>
            </w:r>
            <w:r>
              <w:rPr>
                <w:noProof/>
                <w:webHidden/>
              </w:rPr>
              <w:fldChar w:fldCharType="begin"/>
            </w:r>
            <w:r w:rsidR="002A5EC6">
              <w:rPr>
                <w:noProof/>
                <w:webHidden/>
              </w:rPr>
              <w:instrText xml:space="preserve"> PAGEREF _Toc371925761 \h </w:instrText>
            </w:r>
            <w:r>
              <w:rPr>
                <w:noProof/>
                <w:webHidden/>
              </w:rPr>
            </w:r>
            <w:r>
              <w:rPr>
                <w:noProof/>
                <w:webHidden/>
              </w:rPr>
              <w:fldChar w:fldCharType="separate"/>
            </w:r>
            <w:r w:rsidR="006565A3">
              <w:rPr>
                <w:noProof/>
                <w:webHidden/>
              </w:rPr>
              <w:t>41</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2" w:history="1">
            <w:r w:rsidR="002A5EC6" w:rsidRPr="008E23B9">
              <w:rPr>
                <w:rStyle w:val="Hyperlink"/>
                <w:noProof/>
                <w:lang w:eastAsia="en-AU"/>
              </w:rPr>
              <w:t>Risk management plan</w:t>
            </w:r>
            <w:r w:rsidR="002A5EC6">
              <w:rPr>
                <w:noProof/>
                <w:webHidden/>
              </w:rPr>
              <w:tab/>
            </w:r>
            <w:r>
              <w:rPr>
                <w:noProof/>
                <w:webHidden/>
              </w:rPr>
              <w:fldChar w:fldCharType="begin"/>
            </w:r>
            <w:r w:rsidR="002A5EC6">
              <w:rPr>
                <w:noProof/>
                <w:webHidden/>
              </w:rPr>
              <w:instrText xml:space="preserve"> PAGEREF _Toc371925762 \h </w:instrText>
            </w:r>
            <w:r>
              <w:rPr>
                <w:noProof/>
                <w:webHidden/>
              </w:rPr>
            </w:r>
            <w:r>
              <w:rPr>
                <w:noProof/>
                <w:webHidden/>
              </w:rPr>
              <w:fldChar w:fldCharType="separate"/>
            </w:r>
            <w:r w:rsidR="006565A3">
              <w:rPr>
                <w:noProof/>
                <w:webHidden/>
              </w:rPr>
              <w:t>41</w:t>
            </w:r>
            <w:r>
              <w:rPr>
                <w:noProof/>
                <w:webHidden/>
              </w:rPr>
              <w:fldChar w:fldCharType="end"/>
            </w:r>
          </w:hyperlink>
        </w:p>
        <w:p w:rsidR="002A5EC6" w:rsidRDefault="00976703">
          <w:pPr>
            <w:pStyle w:val="TOC2"/>
            <w:rPr>
              <w:rFonts w:asciiTheme="minorHAnsi" w:eastAsiaTheme="minorEastAsia" w:hAnsiTheme="minorHAnsi" w:cstheme="minorBidi"/>
              <w:b w:val="0"/>
              <w:noProof/>
              <w:sz w:val="22"/>
              <w:lang w:eastAsia="en-AU" w:bidi="lo-LA"/>
            </w:rPr>
          </w:pPr>
          <w:hyperlink w:anchor="_Toc371925763" w:history="1">
            <w:r w:rsidR="002A5EC6" w:rsidRPr="008E23B9">
              <w:rPr>
                <w:rStyle w:val="Hyperlink"/>
                <w:noProof/>
              </w:rPr>
              <w:t>VI. Overall conclusion and risk/benefit assessment</w:t>
            </w:r>
            <w:r w:rsidR="002A5EC6">
              <w:rPr>
                <w:noProof/>
                <w:webHidden/>
              </w:rPr>
              <w:tab/>
            </w:r>
            <w:r>
              <w:rPr>
                <w:noProof/>
                <w:webHidden/>
              </w:rPr>
              <w:fldChar w:fldCharType="begin"/>
            </w:r>
            <w:r w:rsidR="002A5EC6">
              <w:rPr>
                <w:noProof/>
                <w:webHidden/>
              </w:rPr>
              <w:instrText xml:space="preserve"> PAGEREF _Toc371925763 \h </w:instrText>
            </w:r>
            <w:r>
              <w:rPr>
                <w:noProof/>
                <w:webHidden/>
              </w:rPr>
            </w:r>
            <w:r>
              <w:rPr>
                <w:noProof/>
                <w:webHidden/>
              </w:rPr>
              <w:fldChar w:fldCharType="separate"/>
            </w:r>
            <w:r w:rsidR="006565A3">
              <w:rPr>
                <w:noProof/>
                <w:webHidden/>
              </w:rPr>
              <w:t>45</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4" w:history="1">
            <w:r w:rsidR="002A5EC6" w:rsidRPr="008E23B9">
              <w:rPr>
                <w:rStyle w:val="Hyperlink"/>
                <w:noProof/>
              </w:rPr>
              <w:t>Quality</w:t>
            </w:r>
            <w:r w:rsidR="002A5EC6">
              <w:rPr>
                <w:noProof/>
                <w:webHidden/>
              </w:rPr>
              <w:tab/>
            </w:r>
            <w:r>
              <w:rPr>
                <w:noProof/>
                <w:webHidden/>
              </w:rPr>
              <w:fldChar w:fldCharType="begin"/>
            </w:r>
            <w:r w:rsidR="002A5EC6">
              <w:rPr>
                <w:noProof/>
                <w:webHidden/>
              </w:rPr>
              <w:instrText xml:space="preserve"> PAGEREF _Toc371925764 \h </w:instrText>
            </w:r>
            <w:r>
              <w:rPr>
                <w:noProof/>
                <w:webHidden/>
              </w:rPr>
            </w:r>
            <w:r>
              <w:rPr>
                <w:noProof/>
                <w:webHidden/>
              </w:rPr>
              <w:fldChar w:fldCharType="separate"/>
            </w:r>
            <w:r w:rsidR="006565A3">
              <w:rPr>
                <w:noProof/>
                <w:webHidden/>
              </w:rPr>
              <w:t>46</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5" w:history="1">
            <w:r w:rsidR="002A5EC6" w:rsidRPr="008E23B9">
              <w:rPr>
                <w:rStyle w:val="Hyperlink"/>
                <w:noProof/>
              </w:rPr>
              <w:t>Nonclinical</w:t>
            </w:r>
            <w:r w:rsidR="002A5EC6">
              <w:rPr>
                <w:noProof/>
                <w:webHidden/>
              </w:rPr>
              <w:tab/>
            </w:r>
            <w:r>
              <w:rPr>
                <w:noProof/>
                <w:webHidden/>
              </w:rPr>
              <w:fldChar w:fldCharType="begin"/>
            </w:r>
            <w:r w:rsidR="002A5EC6">
              <w:rPr>
                <w:noProof/>
                <w:webHidden/>
              </w:rPr>
              <w:instrText xml:space="preserve"> PAGEREF _Toc371925765 \h </w:instrText>
            </w:r>
            <w:r>
              <w:rPr>
                <w:noProof/>
                <w:webHidden/>
              </w:rPr>
            </w:r>
            <w:r>
              <w:rPr>
                <w:noProof/>
                <w:webHidden/>
              </w:rPr>
              <w:fldChar w:fldCharType="separate"/>
            </w:r>
            <w:r w:rsidR="006565A3">
              <w:rPr>
                <w:noProof/>
                <w:webHidden/>
              </w:rPr>
              <w:t>47</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6" w:history="1">
            <w:r w:rsidR="002A5EC6" w:rsidRPr="008E23B9">
              <w:rPr>
                <w:rStyle w:val="Hyperlink"/>
                <w:noProof/>
              </w:rPr>
              <w:t>Clinical</w:t>
            </w:r>
            <w:r w:rsidR="002A5EC6">
              <w:rPr>
                <w:noProof/>
                <w:webHidden/>
              </w:rPr>
              <w:tab/>
            </w:r>
            <w:r>
              <w:rPr>
                <w:noProof/>
                <w:webHidden/>
              </w:rPr>
              <w:fldChar w:fldCharType="begin"/>
            </w:r>
            <w:r w:rsidR="002A5EC6">
              <w:rPr>
                <w:noProof/>
                <w:webHidden/>
              </w:rPr>
              <w:instrText xml:space="preserve"> PAGEREF _Toc371925766 \h </w:instrText>
            </w:r>
            <w:r>
              <w:rPr>
                <w:noProof/>
                <w:webHidden/>
              </w:rPr>
            </w:r>
            <w:r>
              <w:rPr>
                <w:noProof/>
                <w:webHidden/>
              </w:rPr>
              <w:fldChar w:fldCharType="separate"/>
            </w:r>
            <w:r w:rsidR="006565A3">
              <w:rPr>
                <w:noProof/>
                <w:webHidden/>
              </w:rPr>
              <w:t>47</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7" w:history="1">
            <w:r w:rsidR="002A5EC6" w:rsidRPr="008E23B9">
              <w:rPr>
                <w:rStyle w:val="Hyperlink"/>
                <w:noProof/>
              </w:rPr>
              <w:t>Risk Management Plan</w:t>
            </w:r>
            <w:r w:rsidR="002A5EC6">
              <w:rPr>
                <w:noProof/>
                <w:webHidden/>
              </w:rPr>
              <w:tab/>
            </w:r>
            <w:r>
              <w:rPr>
                <w:noProof/>
                <w:webHidden/>
              </w:rPr>
              <w:fldChar w:fldCharType="begin"/>
            </w:r>
            <w:r w:rsidR="002A5EC6">
              <w:rPr>
                <w:noProof/>
                <w:webHidden/>
              </w:rPr>
              <w:instrText xml:space="preserve"> PAGEREF _Toc371925767 \h </w:instrText>
            </w:r>
            <w:r>
              <w:rPr>
                <w:noProof/>
                <w:webHidden/>
              </w:rPr>
            </w:r>
            <w:r>
              <w:rPr>
                <w:noProof/>
                <w:webHidden/>
              </w:rPr>
              <w:fldChar w:fldCharType="separate"/>
            </w:r>
            <w:r w:rsidR="006565A3">
              <w:rPr>
                <w:noProof/>
                <w:webHidden/>
              </w:rPr>
              <w:t>58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8" w:history="1">
            <w:r w:rsidR="002A5EC6" w:rsidRPr="008E23B9">
              <w:rPr>
                <w:rStyle w:val="Hyperlink"/>
                <w:noProof/>
              </w:rPr>
              <w:t>Risk-benefit analysis</w:t>
            </w:r>
            <w:r w:rsidR="002A5EC6">
              <w:rPr>
                <w:noProof/>
                <w:webHidden/>
              </w:rPr>
              <w:tab/>
            </w:r>
            <w:r>
              <w:rPr>
                <w:noProof/>
                <w:webHidden/>
              </w:rPr>
              <w:fldChar w:fldCharType="begin"/>
            </w:r>
            <w:r w:rsidR="002A5EC6">
              <w:rPr>
                <w:noProof/>
                <w:webHidden/>
              </w:rPr>
              <w:instrText xml:space="preserve"> PAGEREF _Toc371925768 \h </w:instrText>
            </w:r>
            <w:r>
              <w:rPr>
                <w:noProof/>
                <w:webHidden/>
              </w:rPr>
            </w:r>
            <w:r>
              <w:rPr>
                <w:noProof/>
                <w:webHidden/>
              </w:rPr>
              <w:fldChar w:fldCharType="separate"/>
            </w:r>
            <w:r w:rsidR="006565A3">
              <w:rPr>
                <w:noProof/>
                <w:webHidden/>
              </w:rPr>
              <w:t>58</w:t>
            </w:r>
            <w:r>
              <w:rPr>
                <w:noProof/>
                <w:webHidden/>
              </w:rPr>
              <w:fldChar w:fldCharType="end"/>
            </w:r>
          </w:hyperlink>
        </w:p>
        <w:p w:rsidR="002A5EC6" w:rsidRDefault="00976703">
          <w:pPr>
            <w:pStyle w:val="TOC3"/>
            <w:rPr>
              <w:rFonts w:asciiTheme="minorHAnsi" w:eastAsiaTheme="minorEastAsia" w:hAnsiTheme="minorHAnsi" w:cstheme="minorBidi"/>
              <w:noProof/>
              <w:lang w:eastAsia="en-AU" w:bidi="lo-LA"/>
            </w:rPr>
          </w:pPr>
          <w:hyperlink w:anchor="_Toc371925769" w:history="1">
            <w:r w:rsidR="002A5EC6" w:rsidRPr="008E23B9">
              <w:rPr>
                <w:rStyle w:val="Hyperlink"/>
                <w:noProof/>
              </w:rPr>
              <w:t>Outcome</w:t>
            </w:r>
            <w:r w:rsidR="002A5EC6">
              <w:rPr>
                <w:noProof/>
                <w:webHidden/>
              </w:rPr>
              <w:tab/>
            </w:r>
            <w:r>
              <w:rPr>
                <w:noProof/>
                <w:webHidden/>
              </w:rPr>
              <w:fldChar w:fldCharType="begin"/>
            </w:r>
            <w:r w:rsidR="002A5EC6">
              <w:rPr>
                <w:noProof/>
                <w:webHidden/>
              </w:rPr>
              <w:instrText xml:space="preserve"> PAGEREF _Toc371925769 \h </w:instrText>
            </w:r>
            <w:r>
              <w:rPr>
                <w:noProof/>
                <w:webHidden/>
              </w:rPr>
            </w:r>
            <w:r>
              <w:rPr>
                <w:noProof/>
                <w:webHidden/>
              </w:rPr>
              <w:fldChar w:fldCharType="separate"/>
            </w:r>
            <w:r w:rsidR="006565A3">
              <w:rPr>
                <w:noProof/>
                <w:webHidden/>
              </w:rPr>
              <w:t>67</w:t>
            </w:r>
            <w:r>
              <w:rPr>
                <w:noProof/>
                <w:webHidden/>
              </w:rPr>
              <w:fldChar w:fldCharType="end"/>
            </w:r>
          </w:hyperlink>
        </w:p>
        <w:p w:rsidR="002A5EC6" w:rsidRDefault="00976703">
          <w:pPr>
            <w:pStyle w:val="TOC2"/>
            <w:tabs>
              <w:tab w:val="left" w:pos="2448"/>
            </w:tabs>
            <w:rPr>
              <w:rFonts w:asciiTheme="minorHAnsi" w:eastAsiaTheme="minorEastAsia" w:hAnsiTheme="minorHAnsi" w:cstheme="minorBidi"/>
              <w:b w:val="0"/>
              <w:noProof/>
              <w:sz w:val="22"/>
              <w:lang w:eastAsia="en-AU" w:bidi="lo-LA"/>
            </w:rPr>
          </w:pPr>
          <w:hyperlink w:anchor="_Toc371925770" w:history="1">
            <w:r w:rsidR="002A5EC6" w:rsidRPr="008E23B9">
              <w:rPr>
                <w:rStyle w:val="Hyperlink"/>
                <w:noProof/>
              </w:rPr>
              <w:t>Attachment 1.</w:t>
            </w:r>
            <w:r w:rsidR="002A5EC6">
              <w:rPr>
                <w:rFonts w:asciiTheme="minorHAnsi" w:eastAsiaTheme="minorEastAsia" w:hAnsiTheme="minorHAnsi" w:cstheme="minorBidi"/>
                <w:b w:val="0"/>
                <w:noProof/>
                <w:sz w:val="22"/>
                <w:lang w:eastAsia="en-AU" w:bidi="lo-LA"/>
              </w:rPr>
              <w:tab/>
            </w:r>
            <w:r w:rsidR="002A5EC6" w:rsidRPr="008E23B9">
              <w:rPr>
                <w:rStyle w:val="Hyperlink"/>
                <w:noProof/>
              </w:rPr>
              <w:t>Product Information</w:t>
            </w:r>
            <w:r w:rsidR="002A5EC6">
              <w:rPr>
                <w:noProof/>
                <w:webHidden/>
              </w:rPr>
              <w:tab/>
            </w:r>
            <w:r>
              <w:rPr>
                <w:noProof/>
                <w:webHidden/>
              </w:rPr>
              <w:fldChar w:fldCharType="begin"/>
            </w:r>
            <w:r w:rsidR="002A5EC6">
              <w:rPr>
                <w:noProof/>
                <w:webHidden/>
              </w:rPr>
              <w:instrText xml:space="preserve"> PAGEREF _Toc371925770 \h </w:instrText>
            </w:r>
            <w:r>
              <w:rPr>
                <w:noProof/>
                <w:webHidden/>
              </w:rPr>
            </w:r>
            <w:r>
              <w:rPr>
                <w:noProof/>
                <w:webHidden/>
              </w:rPr>
              <w:fldChar w:fldCharType="separate"/>
            </w:r>
            <w:r w:rsidR="006565A3">
              <w:rPr>
                <w:noProof/>
                <w:webHidden/>
              </w:rPr>
              <w:t>67</w:t>
            </w:r>
            <w:r>
              <w:rPr>
                <w:noProof/>
                <w:webHidden/>
              </w:rPr>
              <w:fldChar w:fldCharType="end"/>
            </w:r>
          </w:hyperlink>
        </w:p>
        <w:p w:rsidR="002A5EC6" w:rsidRDefault="00976703">
          <w:pPr>
            <w:pStyle w:val="TOC2"/>
            <w:tabs>
              <w:tab w:val="left" w:pos="2448"/>
            </w:tabs>
            <w:rPr>
              <w:rFonts w:asciiTheme="minorHAnsi" w:eastAsiaTheme="minorEastAsia" w:hAnsiTheme="minorHAnsi" w:cstheme="minorBidi"/>
              <w:b w:val="0"/>
              <w:noProof/>
              <w:sz w:val="22"/>
              <w:lang w:eastAsia="en-AU" w:bidi="lo-LA"/>
            </w:rPr>
          </w:pPr>
          <w:hyperlink w:anchor="_Toc371925771" w:history="1">
            <w:r w:rsidR="002A5EC6" w:rsidRPr="008E23B9">
              <w:rPr>
                <w:rStyle w:val="Hyperlink"/>
                <w:noProof/>
                <w:lang w:eastAsia="en-AU"/>
              </w:rPr>
              <w:t>Attachment 2.</w:t>
            </w:r>
            <w:r w:rsidR="002A5EC6">
              <w:rPr>
                <w:rFonts w:asciiTheme="minorHAnsi" w:eastAsiaTheme="minorEastAsia" w:hAnsiTheme="minorHAnsi" w:cstheme="minorBidi"/>
                <w:b w:val="0"/>
                <w:noProof/>
                <w:sz w:val="22"/>
                <w:lang w:eastAsia="en-AU" w:bidi="lo-LA"/>
              </w:rPr>
              <w:tab/>
            </w:r>
            <w:r w:rsidR="002A5EC6" w:rsidRPr="008E23B9">
              <w:rPr>
                <w:rStyle w:val="Hyperlink"/>
                <w:noProof/>
                <w:lang w:eastAsia="en-AU"/>
              </w:rPr>
              <w:t>Extract from the Clinical Evaluation Report</w:t>
            </w:r>
            <w:r w:rsidR="002A5EC6">
              <w:rPr>
                <w:noProof/>
                <w:webHidden/>
              </w:rPr>
              <w:tab/>
            </w:r>
            <w:r>
              <w:rPr>
                <w:noProof/>
                <w:webHidden/>
              </w:rPr>
              <w:fldChar w:fldCharType="begin"/>
            </w:r>
            <w:r w:rsidR="002A5EC6">
              <w:rPr>
                <w:noProof/>
                <w:webHidden/>
              </w:rPr>
              <w:instrText xml:space="preserve"> PAGEREF _Toc371925771 \h </w:instrText>
            </w:r>
            <w:r>
              <w:rPr>
                <w:noProof/>
                <w:webHidden/>
              </w:rPr>
            </w:r>
            <w:r>
              <w:rPr>
                <w:noProof/>
                <w:webHidden/>
              </w:rPr>
              <w:fldChar w:fldCharType="separate"/>
            </w:r>
            <w:r w:rsidR="006565A3">
              <w:rPr>
                <w:noProof/>
                <w:webHidden/>
              </w:rPr>
              <w:t>67</w:t>
            </w:r>
            <w:r>
              <w:rPr>
                <w:noProof/>
                <w:webHidden/>
              </w:rPr>
              <w:fldChar w:fldCharType="end"/>
            </w:r>
          </w:hyperlink>
        </w:p>
        <w:p w:rsidR="003A7F6C" w:rsidRPr="00B811C6" w:rsidRDefault="00976703" w:rsidP="00B811C6">
          <w:pPr>
            <w:pStyle w:val="TOC2"/>
          </w:pPr>
          <w:r>
            <w:fldChar w:fldCharType="end"/>
          </w:r>
        </w:p>
      </w:sdtContent>
    </w:sdt>
    <w:bookmarkStart w:id="2" w:name="_Toc314842482" w:displacedByCustomXml="prev"/>
    <w:p w:rsidR="007053E5" w:rsidRDefault="007053E5">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71925734"/>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7192573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BE7DCF" w:rsidP="003D1E62">
            <w:pPr>
              <w:rPr>
                <w:i/>
              </w:rPr>
            </w:pPr>
            <w:r>
              <w:rPr>
                <w:i/>
              </w:rPr>
              <w:t>Type of s</w:t>
            </w:r>
            <w:r w:rsidR="008E7846" w:rsidRPr="003D1E62">
              <w:rPr>
                <w:i/>
              </w:rPr>
              <w:t>ubmission</w:t>
            </w:r>
            <w:r w:rsidR="007053E5">
              <w:rPr>
                <w:i/>
              </w:rPr>
              <w:t>:</w:t>
            </w:r>
          </w:p>
        </w:tc>
        <w:tc>
          <w:tcPr>
            <w:tcW w:w="6590" w:type="dxa"/>
          </w:tcPr>
          <w:p w:rsidR="008E7846" w:rsidRPr="003D1E62" w:rsidRDefault="008E7846" w:rsidP="007053E5">
            <w:r w:rsidRPr="003D1E62">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7053E5">
            <w:r w:rsidRPr="003D1E62">
              <w:t>Approved</w:t>
            </w:r>
          </w:p>
        </w:tc>
      </w:tr>
      <w:tr w:rsidR="008E7846" w:rsidRPr="003D1E62" w:rsidTr="0089635C">
        <w:trPr>
          <w:trHeight w:hRule="exact" w:val="454"/>
        </w:trPr>
        <w:tc>
          <w:tcPr>
            <w:tcW w:w="2907" w:type="dxa"/>
          </w:tcPr>
          <w:p w:rsidR="008E7846" w:rsidRPr="003D1E62" w:rsidRDefault="00BE7DCF" w:rsidP="003D1E62">
            <w:pPr>
              <w:rPr>
                <w:i/>
              </w:rPr>
            </w:pPr>
            <w:r>
              <w:rPr>
                <w:i/>
              </w:rPr>
              <w:t>Date of d</w:t>
            </w:r>
            <w:r w:rsidR="008E7846" w:rsidRPr="003D1E62">
              <w:rPr>
                <w:i/>
              </w:rPr>
              <w:t>ecision:</w:t>
            </w:r>
          </w:p>
        </w:tc>
        <w:tc>
          <w:tcPr>
            <w:tcW w:w="6590" w:type="dxa"/>
          </w:tcPr>
          <w:p w:rsidR="008E7846" w:rsidRPr="003D1E62" w:rsidRDefault="007053E5" w:rsidP="003D1E62">
            <w:r>
              <w:t>19 July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7053E5" w:rsidP="007053E5">
            <w:pPr>
              <w:rPr>
                <w:i/>
              </w:rPr>
            </w:pPr>
            <w:r>
              <w:rPr>
                <w:i/>
              </w:rPr>
              <w:t>Active ingredient</w:t>
            </w:r>
            <w:r w:rsidR="008E7846" w:rsidRPr="00487162">
              <w:rPr>
                <w:i/>
              </w:rPr>
              <w:t>:</w:t>
            </w:r>
          </w:p>
        </w:tc>
        <w:tc>
          <w:tcPr>
            <w:tcW w:w="6307" w:type="dxa"/>
          </w:tcPr>
          <w:p w:rsidR="008E7846" w:rsidRPr="00487162" w:rsidRDefault="007053E5" w:rsidP="00E45619">
            <w:r w:rsidRPr="007053E5">
              <w:t>Retapamulin</w:t>
            </w:r>
          </w:p>
        </w:tc>
      </w:tr>
      <w:tr w:rsidR="008E7846" w:rsidRPr="00487162" w:rsidTr="00BF1190">
        <w:tc>
          <w:tcPr>
            <w:tcW w:w="2907" w:type="dxa"/>
          </w:tcPr>
          <w:p w:rsidR="008E7846" w:rsidRPr="00487162" w:rsidRDefault="007053E5" w:rsidP="00BE7DCF">
            <w:pPr>
              <w:rPr>
                <w:i/>
              </w:rPr>
            </w:pPr>
            <w:r>
              <w:rPr>
                <w:i/>
              </w:rPr>
              <w:t xml:space="preserve">Product </w:t>
            </w:r>
            <w:r w:rsidR="00BE7DCF">
              <w:rPr>
                <w:i/>
              </w:rPr>
              <w:t>n</w:t>
            </w:r>
            <w:r>
              <w:rPr>
                <w:i/>
              </w:rPr>
              <w:t>ame</w:t>
            </w:r>
            <w:r w:rsidR="008E7846" w:rsidRPr="00487162">
              <w:rPr>
                <w:i/>
              </w:rPr>
              <w:t>:</w:t>
            </w:r>
          </w:p>
        </w:tc>
        <w:tc>
          <w:tcPr>
            <w:tcW w:w="6307" w:type="dxa"/>
          </w:tcPr>
          <w:p w:rsidR="008E7846" w:rsidRPr="00487162" w:rsidRDefault="007053E5" w:rsidP="00E45619">
            <w:r>
              <w:t>Altargo</w:t>
            </w:r>
          </w:p>
        </w:tc>
      </w:tr>
      <w:tr w:rsidR="008E7846" w:rsidRPr="00487162" w:rsidTr="00BF1190">
        <w:tc>
          <w:tcPr>
            <w:tcW w:w="2907" w:type="dxa"/>
          </w:tcPr>
          <w:p w:rsidR="008E7846" w:rsidRPr="00487162" w:rsidRDefault="00BE7DCF" w:rsidP="00BE7DCF">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846" w:rsidRPr="00487162" w:rsidRDefault="007053E5" w:rsidP="00106C84">
            <w:r w:rsidRPr="007053E5">
              <w:t>GlaxoSmithKline Australia Pty Ltd</w:t>
            </w:r>
            <w:r>
              <w:br/>
            </w:r>
            <w:r w:rsidR="00106C84" w:rsidRPr="00106C84">
              <w:t>Level 4, 436 Johnston Street</w:t>
            </w:r>
            <w:r w:rsidR="00106C84">
              <w:br/>
            </w:r>
            <w:r w:rsidR="00106C84" w:rsidRPr="00106C84">
              <w:t xml:space="preserve">Abbotsford </w:t>
            </w:r>
            <w:r w:rsidR="00106C84">
              <w:t xml:space="preserve"> VIC  </w:t>
            </w:r>
            <w:r w:rsidR="00106C84" w:rsidRPr="00106C84">
              <w:t>3067</w:t>
            </w:r>
          </w:p>
        </w:tc>
      </w:tr>
      <w:tr w:rsidR="008E7846" w:rsidRPr="00487162" w:rsidTr="00BF1190">
        <w:tc>
          <w:tcPr>
            <w:tcW w:w="2907" w:type="dxa"/>
          </w:tcPr>
          <w:p w:rsidR="008E7846" w:rsidRPr="00487162" w:rsidRDefault="007053E5" w:rsidP="00E45619">
            <w:pPr>
              <w:rPr>
                <w:i/>
              </w:rPr>
            </w:pPr>
            <w:r>
              <w:rPr>
                <w:i/>
              </w:rPr>
              <w:t>Dose form</w:t>
            </w:r>
            <w:r w:rsidR="008E7846" w:rsidRPr="00487162">
              <w:rPr>
                <w:i/>
              </w:rPr>
              <w:t>:</w:t>
            </w:r>
          </w:p>
        </w:tc>
        <w:tc>
          <w:tcPr>
            <w:tcW w:w="6307" w:type="dxa"/>
          </w:tcPr>
          <w:p w:rsidR="008E7846" w:rsidRPr="00487162" w:rsidRDefault="00E02DE1" w:rsidP="00E02DE1">
            <w:r>
              <w:t>Topical o</w:t>
            </w:r>
            <w:r w:rsidR="007053E5">
              <w:t>intment</w:t>
            </w:r>
          </w:p>
        </w:tc>
      </w:tr>
      <w:tr w:rsidR="008E7846" w:rsidRPr="00487162" w:rsidTr="00BF1190">
        <w:tc>
          <w:tcPr>
            <w:tcW w:w="2907" w:type="dxa"/>
          </w:tcPr>
          <w:p w:rsidR="008E7846" w:rsidRPr="00487162" w:rsidRDefault="007053E5" w:rsidP="00E45619">
            <w:pPr>
              <w:rPr>
                <w:i/>
              </w:rPr>
            </w:pPr>
            <w:r>
              <w:rPr>
                <w:i/>
              </w:rPr>
              <w:t>Strength</w:t>
            </w:r>
            <w:r w:rsidR="008E7846" w:rsidRPr="00487162">
              <w:rPr>
                <w:i/>
              </w:rPr>
              <w:t>:</w:t>
            </w:r>
          </w:p>
        </w:tc>
        <w:tc>
          <w:tcPr>
            <w:tcW w:w="6307" w:type="dxa"/>
          </w:tcPr>
          <w:p w:rsidR="008E7846" w:rsidRPr="00487162" w:rsidRDefault="007053E5" w:rsidP="007053E5">
            <w:r>
              <w:t>1% weight/weight</w:t>
            </w:r>
          </w:p>
        </w:tc>
      </w:tr>
      <w:tr w:rsidR="008E7846" w:rsidRPr="00487162" w:rsidTr="00BF1190">
        <w:tc>
          <w:tcPr>
            <w:tcW w:w="2907" w:type="dxa"/>
          </w:tcPr>
          <w:p w:rsidR="008E7846" w:rsidRPr="00487162" w:rsidRDefault="007053E5" w:rsidP="00E45619">
            <w:pPr>
              <w:rPr>
                <w:i/>
              </w:rPr>
            </w:pPr>
            <w:r>
              <w:rPr>
                <w:i/>
              </w:rPr>
              <w:t>Container</w:t>
            </w:r>
            <w:r w:rsidR="008E7846" w:rsidRPr="00487162">
              <w:rPr>
                <w:i/>
              </w:rPr>
              <w:t>:</w:t>
            </w:r>
          </w:p>
        </w:tc>
        <w:tc>
          <w:tcPr>
            <w:tcW w:w="6307" w:type="dxa"/>
          </w:tcPr>
          <w:p w:rsidR="008E7846" w:rsidRPr="00487162" w:rsidRDefault="007053E5" w:rsidP="00E45619">
            <w:r>
              <w:t>Tube</w:t>
            </w:r>
          </w:p>
        </w:tc>
      </w:tr>
      <w:tr w:rsidR="008E7846" w:rsidRPr="00487162" w:rsidTr="00BF1190">
        <w:tc>
          <w:tcPr>
            <w:tcW w:w="2907" w:type="dxa"/>
          </w:tcPr>
          <w:p w:rsidR="008E7846" w:rsidRPr="00487162" w:rsidRDefault="007053E5" w:rsidP="007053E5">
            <w:pPr>
              <w:rPr>
                <w:i/>
              </w:rPr>
            </w:pPr>
            <w:r>
              <w:rPr>
                <w:i/>
              </w:rPr>
              <w:t>Pack size</w:t>
            </w:r>
            <w:r w:rsidR="008E7846" w:rsidRPr="00487162">
              <w:rPr>
                <w:i/>
              </w:rPr>
              <w:t>s:</w:t>
            </w:r>
          </w:p>
        </w:tc>
        <w:tc>
          <w:tcPr>
            <w:tcW w:w="6307" w:type="dxa"/>
          </w:tcPr>
          <w:p w:rsidR="008E7846" w:rsidRPr="00487162" w:rsidRDefault="007053E5" w:rsidP="00E45619">
            <w:r>
              <w:t>2.5, 5, 10 and 15 g</w:t>
            </w:r>
          </w:p>
        </w:tc>
      </w:tr>
      <w:tr w:rsidR="008E7846" w:rsidRPr="00487162" w:rsidTr="00BF1190">
        <w:tc>
          <w:tcPr>
            <w:tcW w:w="2907" w:type="dxa"/>
          </w:tcPr>
          <w:p w:rsidR="008E7846" w:rsidRPr="00487162" w:rsidRDefault="00BE7DCF" w:rsidP="00E45619">
            <w:pPr>
              <w:rPr>
                <w:i/>
              </w:rPr>
            </w:pPr>
            <w:r>
              <w:rPr>
                <w:i/>
              </w:rPr>
              <w:t>Approved t</w:t>
            </w:r>
            <w:r w:rsidR="008E7846" w:rsidRPr="00487162">
              <w:rPr>
                <w:i/>
              </w:rPr>
              <w:t>herapeutic use:</w:t>
            </w:r>
          </w:p>
        </w:tc>
        <w:tc>
          <w:tcPr>
            <w:tcW w:w="6307" w:type="dxa"/>
          </w:tcPr>
          <w:p w:rsidR="007053E5" w:rsidRDefault="007053E5" w:rsidP="007053E5">
            <w:r>
              <w:t xml:space="preserve">Altargo is indicated for the short term treatment of superficial skin infections (including impetigo, infected small lacerations, abrasions, sutured wounds, and secondarily infected </w:t>
            </w:r>
            <w:proofErr w:type="spellStart"/>
            <w:r>
              <w:t>dermatoses</w:t>
            </w:r>
            <w:proofErr w:type="spellEnd"/>
            <w:r>
              <w:t xml:space="preserve">) in adults, adolescents, children and infants aged from 9 months, in the absence of abscess formation and infections due to </w:t>
            </w:r>
            <w:proofErr w:type="spellStart"/>
            <w:r w:rsidR="000A4449" w:rsidRPr="000A4449">
              <w:t>methicillin</w:t>
            </w:r>
            <w:proofErr w:type="spellEnd"/>
            <w:r w:rsidR="000A4449" w:rsidRPr="000A4449">
              <w:t xml:space="preserve">-resistant </w:t>
            </w:r>
            <w:r w:rsidR="000A4449" w:rsidRPr="000A4449">
              <w:rPr>
                <w:i/>
              </w:rPr>
              <w:t>Staphylococcus</w:t>
            </w:r>
            <w:r w:rsidR="000A4449" w:rsidRPr="000A4449">
              <w:rPr>
                <w:i/>
                <w:iCs/>
              </w:rPr>
              <w:t xml:space="preserve"> </w:t>
            </w:r>
            <w:proofErr w:type="spellStart"/>
            <w:r w:rsidR="000A4449" w:rsidRPr="000A4449">
              <w:rPr>
                <w:i/>
                <w:iCs/>
              </w:rPr>
              <w:t>aureus</w:t>
            </w:r>
            <w:proofErr w:type="spellEnd"/>
            <w:r w:rsidR="000A4449" w:rsidRPr="000A4449">
              <w:t xml:space="preserve"> </w:t>
            </w:r>
            <w:r w:rsidR="000A4449">
              <w:t>(</w:t>
            </w:r>
            <w:r>
              <w:t>MRSA</w:t>
            </w:r>
            <w:r w:rsidR="000A4449">
              <w:t>)</w:t>
            </w:r>
            <w:r>
              <w:t>.</w:t>
            </w:r>
          </w:p>
          <w:p w:rsidR="008E7846" w:rsidRPr="00487162" w:rsidRDefault="007053E5" w:rsidP="007053E5">
            <w:pPr>
              <w:rPr>
                <w:rFonts w:eastAsia="MS Mincho"/>
                <w:lang w:eastAsia="ja-JP"/>
              </w:rPr>
            </w:pPr>
            <w:r>
              <w:t xml:space="preserve">The </w:t>
            </w:r>
            <w:r w:rsidRPr="007053E5">
              <w:rPr>
                <w:i/>
                <w:iCs/>
              </w:rPr>
              <w:t>in vitro</w:t>
            </w:r>
            <w:r>
              <w:t xml:space="preserve"> susceptibility to antibiotics varies geographically and with time; the local situation must always be considered when selecting antibiotic therapy.</w:t>
            </w:r>
          </w:p>
        </w:tc>
      </w:tr>
      <w:tr w:rsidR="008E7846" w:rsidRPr="00487162" w:rsidTr="00BF1190">
        <w:tc>
          <w:tcPr>
            <w:tcW w:w="2907" w:type="dxa"/>
          </w:tcPr>
          <w:p w:rsidR="008E7846" w:rsidRPr="00487162" w:rsidRDefault="007053E5" w:rsidP="00E45619">
            <w:pPr>
              <w:rPr>
                <w:i/>
              </w:rPr>
            </w:pPr>
            <w:r>
              <w:rPr>
                <w:i/>
              </w:rPr>
              <w:t>Route</w:t>
            </w:r>
            <w:r w:rsidR="008E7846" w:rsidRPr="00487162">
              <w:rPr>
                <w:i/>
              </w:rPr>
              <w:t xml:space="preserve"> of administration:</w:t>
            </w:r>
          </w:p>
        </w:tc>
        <w:tc>
          <w:tcPr>
            <w:tcW w:w="6307" w:type="dxa"/>
          </w:tcPr>
          <w:p w:rsidR="008E7846" w:rsidRPr="00487162" w:rsidRDefault="007053E5" w:rsidP="00E45619">
            <w:r>
              <w:t>Topical</w:t>
            </w:r>
          </w:p>
        </w:tc>
      </w:tr>
      <w:tr w:rsidR="008E7846" w:rsidRPr="00487162" w:rsidTr="00BF1190">
        <w:tc>
          <w:tcPr>
            <w:tcW w:w="2907" w:type="dxa"/>
          </w:tcPr>
          <w:p w:rsidR="008E7846" w:rsidRPr="00487162" w:rsidRDefault="008E7846" w:rsidP="00E45619">
            <w:pPr>
              <w:rPr>
                <w:i/>
              </w:rPr>
            </w:pPr>
            <w:r w:rsidRPr="00487162">
              <w:rPr>
                <w:i/>
              </w:rPr>
              <w:t>Dosage</w:t>
            </w:r>
            <w:r w:rsidR="002A4B9D">
              <w:rPr>
                <w:i/>
              </w:rPr>
              <w:t xml:space="preserve"> (abbreviated)</w:t>
            </w:r>
            <w:r w:rsidRPr="00487162">
              <w:rPr>
                <w:i/>
              </w:rPr>
              <w:t>:</w:t>
            </w:r>
          </w:p>
        </w:tc>
        <w:tc>
          <w:tcPr>
            <w:tcW w:w="6307" w:type="dxa"/>
          </w:tcPr>
          <w:p w:rsidR="002A4B9D" w:rsidRDefault="002A4B9D" w:rsidP="00C97BBE">
            <w:pPr>
              <w:spacing w:before="0" w:after="0"/>
            </w:pPr>
            <w:r>
              <w:t>A thin layer of ointment should be applied to the affected area twice daily for five days. The area treated may be covered with sterile bandage or gauze dressing if desired. Patients not showing a clinical response within three to four days should be re-evaluated.</w:t>
            </w:r>
          </w:p>
          <w:p w:rsidR="002A4B9D" w:rsidRDefault="002A4B9D" w:rsidP="00C97BBE">
            <w:pPr>
              <w:spacing w:before="0" w:after="0"/>
            </w:pPr>
            <w:r>
              <w:t>Safety and efficacy has not been established in secondarily infected traumatic lesions more than 10 cm in length or 100 cm</w:t>
            </w:r>
            <w:r w:rsidRPr="002A4B9D">
              <w:rPr>
                <w:vertAlign w:val="superscript"/>
              </w:rPr>
              <w:t>2</w:t>
            </w:r>
            <w:r>
              <w:t xml:space="preserve"> in surface area, or in secondarily infected </w:t>
            </w:r>
            <w:proofErr w:type="spellStart"/>
            <w:r>
              <w:t>dermatoses</w:t>
            </w:r>
            <w:proofErr w:type="spellEnd"/>
            <w:r>
              <w:t xml:space="preserve"> or primary impetigo affecting more than 100 cm</w:t>
            </w:r>
            <w:r w:rsidRPr="002A4B9D">
              <w:rPr>
                <w:vertAlign w:val="superscript"/>
              </w:rPr>
              <w:t>2</w:t>
            </w:r>
            <w:r>
              <w:t xml:space="preserve"> in surface area (or exceeding 2% of body surface area in paediatric patients).</w:t>
            </w:r>
          </w:p>
          <w:p w:rsidR="008E7846" w:rsidRPr="00487162" w:rsidRDefault="002A4B9D" w:rsidP="00C97BBE">
            <w:pPr>
              <w:spacing w:before="0" w:after="0"/>
            </w:pPr>
            <w:r>
              <w:t>For topical application only.</w:t>
            </w:r>
          </w:p>
        </w:tc>
      </w:tr>
      <w:tr w:rsidR="008E7846" w:rsidRPr="00487162" w:rsidTr="00BF1190">
        <w:tc>
          <w:tcPr>
            <w:tcW w:w="2907" w:type="dxa"/>
          </w:tcPr>
          <w:p w:rsidR="008E7846" w:rsidRPr="00487162" w:rsidRDefault="00BE7DCF" w:rsidP="00E45619">
            <w:pPr>
              <w:rPr>
                <w:i/>
              </w:rPr>
            </w:pPr>
            <w:r>
              <w:rPr>
                <w:i/>
              </w:rPr>
              <w:t>ARTG n</w:t>
            </w:r>
            <w:r w:rsidR="008E7846" w:rsidRPr="00487162">
              <w:rPr>
                <w:i/>
              </w:rPr>
              <w:t>umber</w:t>
            </w:r>
            <w:r w:rsidR="007053E5">
              <w:rPr>
                <w:i/>
              </w:rPr>
              <w:t>:</w:t>
            </w:r>
          </w:p>
        </w:tc>
        <w:tc>
          <w:tcPr>
            <w:tcW w:w="6307" w:type="dxa"/>
          </w:tcPr>
          <w:p w:rsidR="008E7846" w:rsidRPr="00487162" w:rsidRDefault="007053E5" w:rsidP="00E45619">
            <w:r w:rsidRPr="007053E5">
              <w:t>198947</w:t>
            </w:r>
          </w:p>
        </w:tc>
      </w:tr>
    </w:tbl>
    <w:p w:rsidR="008E7846" w:rsidRDefault="008E7846" w:rsidP="008E7846">
      <w:pPr>
        <w:pStyle w:val="Heading3"/>
      </w:pPr>
      <w:bookmarkStart w:id="7" w:name="_Toc247691503"/>
      <w:bookmarkStart w:id="8" w:name="_Toc314842484"/>
      <w:bookmarkStart w:id="9" w:name="_Toc371925736"/>
      <w:r>
        <w:lastRenderedPageBreak/>
        <w:t>Product background</w:t>
      </w:r>
      <w:bookmarkEnd w:id="7"/>
      <w:bookmarkEnd w:id="8"/>
      <w:bookmarkEnd w:id="9"/>
    </w:p>
    <w:p w:rsidR="00C74A65" w:rsidRPr="00C74A65" w:rsidRDefault="00C74A65" w:rsidP="00C74A65">
      <w:r w:rsidRPr="00C74A65">
        <w:t xml:space="preserve">Retapamulin is an antibacterial agent with a novel structure </w:t>
      </w:r>
      <w:r>
        <w:t xml:space="preserve">and a distinct mode of action. </w:t>
      </w:r>
      <w:r w:rsidRPr="00C74A65">
        <w:t xml:space="preserve">It is a member of a new chemical class of antibacterial agents for human use known as </w:t>
      </w:r>
      <w:proofErr w:type="spellStart"/>
      <w:r w:rsidRPr="00C74A65">
        <w:t>pleuromutilins</w:t>
      </w:r>
      <w:proofErr w:type="spellEnd"/>
      <w:r w:rsidRPr="00C74A65">
        <w:t>.</w:t>
      </w:r>
      <w:r>
        <w:t xml:space="preserve"> </w:t>
      </w:r>
      <w:proofErr w:type="spellStart"/>
      <w:r w:rsidRPr="00C74A65">
        <w:t>Retapamulin</w:t>
      </w:r>
      <w:proofErr w:type="spellEnd"/>
      <w:r w:rsidRPr="00C74A65">
        <w:t xml:space="preserve"> is a </w:t>
      </w:r>
      <w:proofErr w:type="spellStart"/>
      <w:r w:rsidRPr="00C74A65">
        <w:t>semisynthetic</w:t>
      </w:r>
      <w:proofErr w:type="spellEnd"/>
      <w:r w:rsidRPr="00C74A65">
        <w:t xml:space="preserve"> derivative of the compound </w:t>
      </w:r>
      <w:proofErr w:type="spellStart"/>
      <w:r w:rsidRPr="00C74A65">
        <w:t>pleuromutilin</w:t>
      </w:r>
      <w:proofErr w:type="spellEnd"/>
      <w:r w:rsidRPr="00C74A65">
        <w:t xml:space="preserve">, which is isolated through fermentation from </w:t>
      </w:r>
      <w:proofErr w:type="spellStart"/>
      <w:r w:rsidRPr="00C74A65">
        <w:rPr>
          <w:i/>
          <w:iCs/>
        </w:rPr>
        <w:t>Clitopilus</w:t>
      </w:r>
      <w:proofErr w:type="spellEnd"/>
      <w:r w:rsidRPr="00C74A65">
        <w:rPr>
          <w:i/>
          <w:iCs/>
        </w:rPr>
        <w:t xml:space="preserve"> </w:t>
      </w:r>
      <w:proofErr w:type="spellStart"/>
      <w:r w:rsidRPr="00C74A65">
        <w:rPr>
          <w:i/>
          <w:iCs/>
        </w:rPr>
        <w:t>passeckerianus</w:t>
      </w:r>
      <w:proofErr w:type="spellEnd"/>
      <w:r w:rsidRPr="00C74A65">
        <w:t xml:space="preserve">. </w:t>
      </w:r>
    </w:p>
    <w:p w:rsidR="00C74A65" w:rsidRPr="00C74A65" w:rsidRDefault="00C74A65" w:rsidP="00C74A65">
      <w:r w:rsidRPr="00C74A65">
        <w:t>Retapamulin selectively inhibits bacterial protein synthesis by interacting with the 50</w:t>
      </w:r>
      <w:r w:rsidR="00FB1D5C">
        <w:t>s</w:t>
      </w:r>
      <w:r w:rsidRPr="00C74A65">
        <w:t xml:space="preserve"> subunit of the bacterial ribosome in a way that is distinct from that of other non-</w:t>
      </w:r>
      <w:proofErr w:type="spellStart"/>
      <w:r w:rsidRPr="00C74A65">
        <w:t>pleuromutilin</w:t>
      </w:r>
      <w:proofErr w:type="spellEnd"/>
      <w:r w:rsidRPr="00C74A65">
        <w:t xml:space="preserve"> antibiotics that interact with the ribosome. </w:t>
      </w:r>
    </w:p>
    <w:p w:rsidR="00C74A65" w:rsidRDefault="00C74A65" w:rsidP="00C74A65">
      <w:r>
        <w:t xml:space="preserve">This AusPAR describes the application by </w:t>
      </w:r>
      <w:r w:rsidRPr="00C74A65">
        <w:t>GlaxoSmithKline Australia Pty Ltd</w:t>
      </w:r>
      <w:r>
        <w:t xml:space="preserve"> (the sponsor) to register r</w:t>
      </w:r>
      <w:r w:rsidRPr="00C74A65">
        <w:t>etapamulin</w:t>
      </w:r>
      <w:r>
        <w:t xml:space="preserve"> as a 1% weight/weight (w/w) topical ointment (Altargo) for the following indication</w:t>
      </w:r>
      <w:r w:rsidR="00A07BC7">
        <w:t xml:space="preserve">s </w:t>
      </w:r>
      <w:r w:rsidR="00A07BC7" w:rsidRPr="00A07BC7">
        <w:t>in adults, children and infants aged nine months and over</w:t>
      </w:r>
      <w:r>
        <w:t>:</w:t>
      </w:r>
    </w:p>
    <w:p w:rsidR="00C74A65" w:rsidRPr="00C74A65" w:rsidRDefault="00C74A65" w:rsidP="00C74A65">
      <w:pPr>
        <w:ind w:left="360"/>
        <w:rPr>
          <w:i/>
          <w:iCs/>
        </w:rPr>
      </w:pPr>
      <w:r w:rsidRPr="00C74A65">
        <w:rPr>
          <w:i/>
          <w:iCs/>
        </w:rPr>
        <w:t>Altargo is indicated for the topical treatment of the following bacterial skin and skin structure infections (SSSI):</w:t>
      </w:r>
    </w:p>
    <w:p w:rsidR="00C74A65" w:rsidRPr="00C74A65" w:rsidRDefault="00C74A65" w:rsidP="00C74A65">
      <w:pPr>
        <w:pStyle w:val="ListBullet"/>
        <w:ind w:left="720"/>
        <w:rPr>
          <w:i/>
          <w:iCs/>
        </w:rPr>
      </w:pPr>
      <w:r w:rsidRPr="00C74A65">
        <w:rPr>
          <w:i/>
          <w:iCs/>
        </w:rPr>
        <w:t>primary impetigo</w:t>
      </w:r>
    </w:p>
    <w:p w:rsidR="00C74A65" w:rsidRPr="00C74A65" w:rsidRDefault="00C74A65" w:rsidP="00C74A65">
      <w:pPr>
        <w:pStyle w:val="ListBullet"/>
        <w:ind w:left="720"/>
        <w:rPr>
          <w:i/>
          <w:iCs/>
        </w:rPr>
      </w:pPr>
      <w:r w:rsidRPr="00C74A65">
        <w:rPr>
          <w:i/>
          <w:iCs/>
        </w:rPr>
        <w:t>secondarily infected traumatic lesions e.g. small lacerations, abrasions, sutured wounds</w:t>
      </w:r>
    </w:p>
    <w:p w:rsidR="00C74A65" w:rsidRPr="00C74A65" w:rsidRDefault="00C74A65" w:rsidP="00C74A65">
      <w:pPr>
        <w:pStyle w:val="ListBullet"/>
        <w:ind w:left="720"/>
        <w:rPr>
          <w:i/>
          <w:iCs/>
        </w:rPr>
      </w:pPr>
      <w:r w:rsidRPr="00C74A65">
        <w:rPr>
          <w:i/>
          <w:iCs/>
        </w:rPr>
        <w:t xml:space="preserve">secondarily infected </w:t>
      </w:r>
      <w:proofErr w:type="spellStart"/>
      <w:r w:rsidRPr="00C74A65">
        <w:rPr>
          <w:i/>
          <w:iCs/>
        </w:rPr>
        <w:t>dermatoses</w:t>
      </w:r>
      <w:proofErr w:type="spellEnd"/>
      <w:r w:rsidRPr="00C74A65">
        <w:rPr>
          <w:i/>
          <w:iCs/>
        </w:rPr>
        <w:t xml:space="preserve"> including infected psoriasis, infected atopic dermatitis and infected contact dermatitis</w:t>
      </w:r>
    </w:p>
    <w:p w:rsidR="00C74A65" w:rsidRPr="00C74A65" w:rsidRDefault="00C74A65" w:rsidP="00C74A65">
      <w:pPr>
        <w:ind w:left="360"/>
        <w:rPr>
          <w:i/>
          <w:iCs/>
        </w:rPr>
      </w:pPr>
      <w:r w:rsidRPr="00C74A65">
        <w:rPr>
          <w:i/>
          <w:iCs/>
        </w:rPr>
        <w:t xml:space="preserve">The in vitro susceptibility to antibiotics varies geographically and with time; the local situation must always be considered when selecting antibiotic therapy. </w:t>
      </w:r>
    </w:p>
    <w:p w:rsidR="00C74A65" w:rsidRPr="00C74A65" w:rsidRDefault="00C74A65" w:rsidP="00C74A65">
      <w:pPr>
        <w:ind w:left="360"/>
        <w:rPr>
          <w:i/>
          <w:iCs/>
        </w:rPr>
      </w:pPr>
      <w:r w:rsidRPr="00C74A65">
        <w:rPr>
          <w:i/>
          <w:iCs/>
        </w:rPr>
        <w:t>For a list of susceptible microorganisms (see Pharmacodynamics).</w:t>
      </w:r>
    </w:p>
    <w:p w:rsidR="00A07BC7" w:rsidRPr="00A07BC7" w:rsidRDefault="00FB1D5C" w:rsidP="00A07BC7">
      <w:r w:rsidRPr="00FB1D5C">
        <w:t xml:space="preserve">The primary pathogens </w:t>
      </w:r>
      <w:r>
        <w:t xml:space="preserve">in </w:t>
      </w:r>
      <w:r w:rsidRPr="00FB1D5C">
        <w:t xml:space="preserve">impetigo, secondarily-infected traumatic lesions (SITL) and secondarily-infected </w:t>
      </w:r>
      <w:proofErr w:type="spellStart"/>
      <w:r w:rsidRPr="00FB1D5C">
        <w:t>dermatoses</w:t>
      </w:r>
      <w:proofErr w:type="spellEnd"/>
      <w:r w:rsidRPr="00FB1D5C">
        <w:t xml:space="preserve"> (SID)</w:t>
      </w:r>
      <w:r>
        <w:t xml:space="preserve"> </w:t>
      </w:r>
      <w:r w:rsidRPr="00FB1D5C">
        <w:t xml:space="preserve">are usually </w:t>
      </w:r>
      <w:r w:rsidRPr="00FB1D5C">
        <w:rPr>
          <w:i/>
          <w:iCs/>
        </w:rPr>
        <w:t>Staphylococcus aureus</w:t>
      </w:r>
      <w:r>
        <w:rPr>
          <w:i/>
          <w:iCs/>
        </w:rPr>
        <w:t xml:space="preserve"> (S. </w:t>
      </w:r>
      <w:proofErr w:type="spellStart"/>
      <w:r>
        <w:rPr>
          <w:i/>
          <w:iCs/>
        </w:rPr>
        <w:t>aureus</w:t>
      </w:r>
      <w:proofErr w:type="spellEnd"/>
      <w:r>
        <w:rPr>
          <w:i/>
          <w:iCs/>
        </w:rPr>
        <w:t>)</w:t>
      </w:r>
      <w:r w:rsidRPr="00FB1D5C">
        <w:t xml:space="preserve">, </w:t>
      </w:r>
      <w:proofErr w:type="spellStart"/>
      <w:r w:rsidRPr="00FB1D5C">
        <w:t>methicillin</w:t>
      </w:r>
      <w:proofErr w:type="spellEnd"/>
      <w:r w:rsidRPr="00FB1D5C">
        <w:t xml:space="preserve">-resistant </w:t>
      </w:r>
      <w:r w:rsidRPr="00FB1D5C">
        <w:rPr>
          <w:i/>
          <w:iCs/>
        </w:rPr>
        <w:t>S. aureus</w:t>
      </w:r>
      <w:r w:rsidRPr="00FB1D5C">
        <w:t xml:space="preserve"> </w:t>
      </w:r>
      <w:r>
        <w:t xml:space="preserve">(MRSA) </w:t>
      </w:r>
      <w:r w:rsidRPr="00FB1D5C">
        <w:t xml:space="preserve">and </w:t>
      </w:r>
      <w:r w:rsidRPr="00FB1D5C">
        <w:rPr>
          <w:i/>
          <w:iCs/>
        </w:rPr>
        <w:t>Streptococcus pyogenes</w:t>
      </w:r>
      <w:r w:rsidR="00336ED8">
        <w:rPr>
          <w:i/>
          <w:iCs/>
        </w:rPr>
        <w:t xml:space="preserve"> </w:t>
      </w:r>
      <w:r w:rsidR="000A4449">
        <w:t>(</w:t>
      </w:r>
      <w:r w:rsidR="000A4449" w:rsidRPr="000A4449">
        <w:rPr>
          <w:i/>
        </w:rPr>
        <w:t>S</w:t>
      </w:r>
      <w:r w:rsidR="000A4449">
        <w:rPr>
          <w:i/>
        </w:rPr>
        <w:t>.</w:t>
      </w:r>
      <w:r w:rsidR="000A4449" w:rsidRPr="000A4449">
        <w:rPr>
          <w:i/>
        </w:rPr>
        <w:t xml:space="preserve"> pyogenes</w:t>
      </w:r>
      <w:r w:rsidR="000A4449" w:rsidRPr="000A4449">
        <w:rPr>
          <w:iCs/>
        </w:rPr>
        <w:t>)</w:t>
      </w:r>
      <w:r w:rsidR="00336ED8">
        <w:rPr>
          <w:iCs/>
        </w:rPr>
        <w:t xml:space="preserve"> </w:t>
      </w:r>
      <w:r w:rsidR="00A07BC7" w:rsidRPr="00A07BC7">
        <w:t>in both adult and paediatric patients.</w:t>
      </w:r>
    </w:p>
    <w:p w:rsidR="00C74A65" w:rsidRDefault="00C74A65" w:rsidP="00C74A65">
      <w:r>
        <w:t xml:space="preserve">The proposed dosage instructions </w:t>
      </w:r>
      <w:r w:rsidR="00DA50F7">
        <w:t xml:space="preserve">for Altargo </w:t>
      </w:r>
      <w:r>
        <w:t>state (in part) that a thin layer of ointment should be applied to the affected area twice daily for five days.</w:t>
      </w:r>
    </w:p>
    <w:p w:rsidR="008E7846" w:rsidRPr="003F31A2" w:rsidRDefault="00386150" w:rsidP="008E7846">
      <w:pPr>
        <w:pStyle w:val="Heading3"/>
      </w:pPr>
      <w:bookmarkStart w:id="10" w:name="_Toc314842485"/>
      <w:bookmarkStart w:id="11" w:name="_Toc371925737"/>
      <w:bookmarkStart w:id="12" w:name="_Toc247691504"/>
      <w:r>
        <w:t>Regulatory s</w:t>
      </w:r>
      <w:r w:rsidR="008E7846">
        <w:t>tatus</w:t>
      </w:r>
      <w:bookmarkEnd w:id="10"/>
      <w:bookmarkEnd w:id="11"/>
      <w:bookmarkEnd w:id="12"/>
    </w:p>
    <w:p w:rsidR="008E7846" w:rsidRDefault="008E7846" w:rsidP="00E7344E">
      <w:r>
        <w:t xml:space="preserve">The product received initial </w:t>
      </w:r>
      <w:r w:rsidR="00D35641">
        <w:t>registration on the Australian Register of Therapeutic Goods (</w:t>
      </w:r>
      <w:r>
        <w:t>ARTG</w:t>
      </w:r>
      <w:r w:rsidR="00D35641">
        <w:t>)</w:t>
      </w:r>
      <w:r>
        <w:t xml:space="preserve"> on</w:t>
      </w:r>
      <w:r w:rsidR="007053E5">
        <w:t xml:space="preserve"> 24 July 2013</w:t>
      </w:r>
      <w:r w:rsidR="00D35641">
        <w:t>.</w:t>
      </w:r>
    </w:p>
    <w:p w:rsidR="008E7846" w:rsidRDefault="008E7846" w:rsidP="008E7846">
      <w:r w:rsidRPr="00C27667">
        <w:t>A</w:t>
      </w:r>
      <w:r w:rsidR="00C97BBE">
        <w:t>t the time this application was considered by the TGA, a</w:t>
      </w:r>
      <w:r w:rsidRPr="00C27667">
        <w:t xml:space="preserve"> similar application has been </w:t>
      </w:r>
      <w:r w:rsidR="00C97BBE">
        <w:t xml:space="preserve">approved </w:t>
      </w:r>
      <w:r w:rsidR="000D3BA8">
        <w:t xml:space="preserve">in approximately </w:t>
      </w:r>
      <w:r w:rsidR="000D3BA8" w:rsidRPr="000D3BA8">
        <w:t xml:space="preserve">60 countries </w:t>
      </w:r>
      <w:r w:rsidR="000D3BA8">
        <w:t xml:space="preserve">including </w:t>
      </w:r>
      <w:r w:rsidR="00C97BBE">
        <w:t>Canada (March 2008), the USA (April 2007), the European Union (EU; May 2007)</w:t>
      </w:r>
      <w:r w:rsidR="000D3BA8">
        <w:t xml:space="preserve"> and </w:t>
      </w:r>
      <w:r w:rsidR="00C97BBE">
        <w:t>Switzerland (August 2009).</w:t>
      </w:r>
    </w:p>
    <w:p w:rsidR="008E7846" w:rsidRDefault="008E7846" w:rsidP="008E7846">
      <w:pPr>
        <w:pStyle w:val="Heading3"/>
      </w:pPr>
      <w:bookmarkStart w:id="13" w:name="_Toc247691505"/>
      <w:bookmarkStart w:id="14" w:name="_Toc314842486"/>
      <w:bookmarkStart w:id="15" w:name="_Toc371925738"/>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1925739"/>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71925740"/>
      <w:r w:rsidRPr="008751DC">
        <w:t xml:space="preserve">Drug </w:t>
      </w:r>
      <w:r>
        <w:t>s</w:t>
      </w:r>
      <w:r w:rsidRPr="008751DC">
        <w:t>ubstance</w:t>
      </w:r>
      <w:r>
        <w:t xml:space="preserve"> (active ingredient)</w:t>
      </w:r>
      <w:bookmarkEnd w:id="19"/>
      <w:bookmarkEnd w:id="20"/>
      <w:bookmarkEnd w:id="21"/>
    </w:p>
    <w:p w:rsidR="00226A9C" w:rsidRDefault="00226A9C" w:rsidP="00F5285D">
      <w:r w:rsidRPr="00F5285D">
        <w:t>The drug substance, retapamulin, has the following structure:</w:t>
      </w:r>
    </w:p>
    <w:p w:rsidR="00F5285D" w:rsidRPr="00F5285D" w:rsidRDefault="00F5285D" w:rsidP="00C74A65">
      <w:pPr>
        <w:pStyle w:val="FigureTitle"/>
        <w:keepNext/>
      </w:pPr>
      <w:proofErr w:type="gramStart"/>
      <w:r>
        <w:lastRenderedPageBreak/>
        <w:t>Figure 1.</w:t>
      </w:r>
      <w:proofErr w:type="gramEnd"/>
      <w:r>
        <w:t xml:space="preserve"> Structure of retapamulin</w:t>
      </w:r>
    </w:p>
    <w:p w:rsidR="00226A9C" w:rsidRPr="00226A9C" w:rsidRDefault="00226A9C" w:rsidP="00226A9C">
      <w:r w:rsidRPr="00226A9C">
        <w:rPr>
          <w:noProof/>
          <w:lang w:eastAsia="en-AU"/>
        </w:rPr>
        <w:drawing>
          <wp:inline distT="0" distB="0" distL="0" distR="0">
            <wp:extent cx="3276600" cy="1943100"/>
            <wp:effectExtent l="19050" t="0" r="0" b="0"/>
            <wp:docPr id="12" name="Picture 10" descr="Figure 1. Structure of retapam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276600" cy="1943100"/>
                    </a:xfrm>
                    <a:prstGeom prst="rect">
                      <a:avLst/>
                    </a:prstGeom>
                    <a:noFill/>
                    <a:ln w="9525">
                      <a:noFill/>
                      <a:miter lim="800000"/>
                      <a:headEnd/>
                      <a:tailEnd/>
                    </a:ln>
                  </pic:spPr>
                </pic:pic>
              </a:graphicData>
            </a:graphic>
          </wp:inline>
        </w:drawing>
      </w:r>
    </w:p>
    <w:p w:rsidR="00226A9C" w:rsidRPr="00F5285D" w:rsidRDefault="00226A9C" w:rsidP="00F5285D">
      <w:r w:rsidRPr="00F5285D">
        <w:t xml:space="preserve">Retapamulin is a semi-synthetic antibiotic derived from the fermentation of </w:t>
      </w:r>
      <w:proofErr w:type="spellStart"/>
      <w:r w:rsidRPr="00EE5B1A">
        <w:rPr>
          <w:i/>
          <w:iCs/>
        </w:rPr>
        <w:t>Cliopilus</w:t>
      </w:r>
      <w:proofErr w:type="spellEnd"/>
      <w:r w:rsidRPr="00EE5B1A">
        <w:rPr>
          <w:i/>
          <w:iCs/>
        </w:rPr>
        <w:t xml:space="preserve"> </w:t>
      </w:r>
      <w:proofErr w:type="spellStart"/>
      <w:r w:rsidRPr="00EE5B1A">
        <w:rPr>
          <w:i/>
          <w:iCs/>
        </w:rPr>
        <w:t>passecterianus</w:t>
      </w:r>
      <w:proofErr w:type="spellEnd"/>
      <w:r w:rsidRPr="00F5285D">
        <w:t xml:space="preserve">. The product of the fermentation process is </w:t>
      </w:r>
      <w:proofErr w:type="spellStart"/>
      <w:r w:rsidRPr="00F5285D">
        <w:t>pleuromutalin</w:t>
      </w:r>
      <w:proofErr w:type="spellEnd"/>
      <w:r w:rsidRPr="00F5285D">
        <w:t xml:space="preserve"> which is synthetically transformed and coupled </w:t>
      </w:r>
      <w:r w:rsidR="008F5C87">
        <w:t xml:space="preserve">to produce </w:t>
      </w:r>
      <w:proofErr w:type="spellStart"/>
      <w:r w:rsidR="008F5C87">
        <w:t>retapamulin</w:t>
      </w:r>
      <w:proofErr w:type="spellEnd"/>
      <w:r w:rsidR="008F5C87">
        <w:t>.</w:t>
      </w:r>
    </w:p>
    <w:p w:rsidR="00226A9C" w:rsidRPr="00EE5B1A" w:rsidRDefault="00226A9C" w:rsidP="00EE5B1A">
      <w:r w:rsidRPr="00EE5B1A">
        <w:t xml:space="preserve">The stereochemistry of the </w:t>
      </w:r>
      <w:proofErr w:type="spellStart"/>
      <w:r w:rsidRPr="00EE5B1A">
        <w:t>pleuromutilin</w:t>
      </w:r>
      <w:proofErr w:type="spellEnd"/>
      <w:r w:rsidRPr="00EE5B1A">
        <w:t xml:space="preserve"> nucleus is fixed by biosynthesis and remains unchanged during t</w:t>
      </w:r>
      <w:r w:rsidR="00EE5B1A" w:rsidRPr="00EE5B1A">
        <w:t xml:space="preserve">he subsequent synthetic steps. </w:t>
      </w:r>
      <w:r w:rsidR="00EE5B1A">
        <w:t>R</w:t>
      </w:r>
      <w:r w:rsidRPr="00EE5B1A">
        <w:t xml:space="preserve">etapamulin </w:t>
      </w:r>
      <w:r w:rsidR="00EE5B1A">
        <w:t>i</w:t>
      </w:r>
      <w:r w:rsidRPr="00EE5B1A">
        <w:t xml:space="preserve">s </w:t>
      </w:r>
      <w:r w:rsidR="00EE5B1A">
        <w:t xml:space="preserve">produced as </w:t>
      </w:r>
      <w:r w:rsidRPr="00EE5B1A">
        <w:t>a single stereoisomer.</w:t>
      </w:r>
    </w:p>
    <w:p w:rsidR="00226A9C" w:rsidRPr="00EE5B1A" w:rsidRDefault="00226A9C" w:rsidP="00EE5B1A">
      <w:r w:rsidRPr="00EE5B1A">
        <w:t xml:space="preserve">Retapamulin drug substance is a white to </w:t>
      </w:r>
      <w:r w:rsidR="00EE5B1A" w:rsidRPr="00EE5B1A">
        <w:t xml:space="preserve">pale yellow crystalline solid. </w:t>
      </w:r>
      <w:r w:rsidRPr="00EE5B1A">
        <w:t>Two polymorphic forms of ret</w:t>
      </w:r>
      <w:r w:rsidR="00EE5B1A" w:rsidRPr="00EE5B1A">
        <w:t xml:space="preserve">apamulin have been identified. </w:t>
      </w:r>
      <w:r w:rsidRPr="00EE5B1A">
        <w:t xml:space="preserve">The </w:t>
      </w:r>
      <w:r w:rsidR="00DA50F7">
        <w:t xml:space="preserve">sponsor </w:t>
      </w:r>
      <w:r w:rsidRPr="00EE5B1A">
        <w:t>has adequately justified the</w:t>
      </w:r>
      <w:r w:rsidR="00DA50F7">
        <w:t xml:space="preserve"> </w:t>
      </w:r>
      <w:r w:rsidRPr="00EE5B1A">
        <w:t xml:space="preserve">selection of Form </w:t>
      </w:r>
      <w:r w:rsidR="00EE5B1A" w:rsidRPr="00EE5B1A">
        <w:t xml:space="preserve">1 for use in the drug product. </w:t>
      </w:r>
      <w:r w:rsidRPr="00EE5B1A">
        <w:t>It is controlled in the drug substance and no inter-conversion between Form 1 and 2 wa</w:t>
      </w:r>
      <w:r w:rsidR="008F5C87">
        <w:t>s observed in the drug product.</w:t>
      </w:r>
    </w:p>
    <w:p w:rsidR="00226A9C" w:rsidRPr="00226A9C" w:rsidRDefault="00226A9C" w:rsidP="00226A9C">
      <w:r w:rsidRPr="00226A9C">
        <w:t>Retapamulin is soluble in acidic aqueous solutions and is practically insoluble</w:t>
      </w:r>
      <w:r w:rsidR="008F5C87">
        <w:t xml:space="preserve"> in water and basic solutions.</w:t>
      </w:r>
    </w:p>
    <w:p w:rsidR="00226A9C" w:rsidRPr="00EE5B1A" w:rsidRDefault="00226A9C" w:rsidP="00EE5B1A">
      <w:r w:rsidRPr="00EE5B1A">
        <w:t>The drug substance is milled and the particle size is controlled.</w:t>
      </w:r>
    </w:p>
    <w:p w:rsidR="008E7846" w:rsidRDefault="00226A9C" w:rsidP="008E7846">
      <w:r w:rsidRPr="00EE5B1A">
        <w:t xml:space="preserve">Limits for four impurities that exceed the qualification threshold </w:t>
      </w:r>
      <w:r w:rsidR="007C7BE6">
        <w:t xml:space="preserve">according to the relevant International Conference of Harmonisation (ICH) guideline </w:t>
      </w:r>
      <w:r w:rsidRPr="00EE5B1A">
        <w:t>have been referred to the Toxicology Section for assessment</w:t>
      </w:r>
      <w:r w:rsidR="008F5C87">
        <w:t>.</w:t>
      </w:r>
    </w:p>
    <w:p w:rsidR="008E7846" w:rsidRDefault="008E7846" w:rsidP="008E7846">
      <w:pPr>
        <w:pStyle w:val="Heading3"/>
      </w:pPr>
      <w:bookmarkStart w:id="22" w:name="_Toc247691508"/>
      <w:bookmarkStart w:id="23" w:name="_Toc314842490"/>
      <w:bookmarkStart w:id="24" w:name="_Toc371925741"/>
      <w:r w:rsidRPr="008751DC">
        <w:t xml:space="preserve">Drug </w:t>
      </w:r>
      <w:r>
        <w:t>p</w:t>
      </w:r>
      <w:r w:rsidRPr="008751DC">
        <w:t>roduct</w:t>
      </w:r>
      <w:bookmarkEnd w:id="22"/>
      <w:bookmarkEnd w:id="23"/>
      <w:bookmarkEnd w:id="24"/>
    </w:p>
    <w:p w:rsidR="00226A9C" w:rsidRPr="00EE5B1A" w:rsidRDefault="00226A9C" w:rsidP="00EE5B1A">
      <w:r w:rsidRPr="00EE5B1A">
        <w:t>A</w:t>
      </w:r>
      <w:r w:rsidR="00EE5B1A" w:rsidRPr="00EE5B1A">
        <w:t xml:space="preserve">ltargo </w:t>
      </w:r>
      <w:r w:rsidRPr="00EE5B1A">
        <w:t xml:space="preserve">is </w:t>
      </w:r>
      <w:proofErr w:type="gramStart"/>
      <w:r w:rsidRPr="00EE5B1A">
        <w:t>an off</w:t>
      </w:r>
      <w:proofErr w:type="gramEnd"/>
      <w:r w:rsidRPr="00EE5B1A">
        <w:t xml:space="preserve">-white, smooth ointment </w:t>
      </w:r>
      <w:r w:rsidR="00EE5B1A" w:rsidRPr="00EE5B1A">
        <w:t xml:space="preserve">containing retapamulin 1% </w:t>
      </w:r>
      <w:r w:rsidR="00EE5B1A">
        <w:t>w/w</w:t>
      </w:r>
      <w:r w:rsidR="00EE5B1A" w:rsidRPr="00EE5B1A">
        <w:t xml:space="preserve">. </w:t>
      </w:r>
      <w:r w:rsidRPr="00EE5B1A">
        <w:t>It contains the drug substance dispersed in solid form into white soft paraffin and may also contain traces of the antioxid</w:t>
      </w:r>
      <w:r w:rsidR="00EE5B1A">
        <w:t xml:space="preserve">ant </w:t>
      </w:r>
      <w:proofErr w:type="spellStart"/>
      <w:r w:rsidR="00EE5B1A">
        <w:t>butylated</w:t>
      </w:r>
      <w:proofErr w:type="spellEnd"/>
      <w:r w:rsidR="00EE5B1A">
        <w:t xml:space="preserve"> </w:t>
      </w:r>
      <w:proofErr w:type="spellStart"/>
      <w:r w:rsidR="00EE5B1A">
        <w:t>hydroxytoluene</w:t>
      </w:r>
      <w:proofErr w:type="spellEnd"/>
      <w:r w:rsidR="00EE5B1A">
        <w:t xml:space="preserve">. </w:t>
      </w:r>
      <w:r w:rsidRPr="00EE5B1A">
        <w:t>It is non-sterile, and typically for an ointment, contains no antimicrobial preservative.</w:t>
      </w:r>
    </w:p>
    <w:p w:rsidR="00226A9C" w:rsidRPr="00EE5B1A" w:rsidRDefault="00226A9C" w:rsidP="00EE5B1A">
      <w:r w:rsidRPr="00EE5B1A">
        <w:t xml:space="preserve">The ointment is packaged into epoxy </w:t>
      </w:r>
      <w:proofErr w:type="spellStart"/>
      <w:r w:rsidRPr="00EE5B1A">
        <w:t>phenolic</w:t>
      </w:r>
      <w:proofErr w:type="spellEnd"/>
      <w:r w:rsidRPr="00EE5B1A">
        <w:t xml:space="preserve"> lacquered aluminium tubes with polyethylene or polypropylene caps in packs of 2.5 g, 5 g, 10 g and 15 g.</w:t>
      </w:r>
    </w:p>
    <w:p w:rsidR="00226A9C" w:rsidRPr="00226A9C" w:rsidRDefault="00226A9C" w:rsidP="00226A9C">
      <w:pPr>
        <w:autoSpaceDE w:val="0"/>
        <w:autoSpaceDN w:val="0"/>
        <w:adjustRightInd w:val="0"/>
        <w:rPr>
          <w:rFonts w:eastAsia="MS Mincho"/>
          <w:lang w:eastAsia="ja-JP"/>
        </w:rPr>
      </w:pPr>
      <w:r w:rsidRPr="00226A9C">
        <w:rPr>
          <w:rFonts w:eastAsia="MS Mincho"/>
          <w:lang w:eastAsia="ja-JP"/>
        </w:rPr>
        <w:t>Adequate data was provided to show that the polymorphic form and particle size of the dispersed drug substance in the ointment does not c</w:t>
      </w:r>
      <w:r w:rsidR="00EE5B1A">
        <w:rPr>
          <w:rFonts w:eastAsia="MS Mincho"/>
          <w:lang w:eastAsia="ja-JP"/>
        </w:rPr>
        <w:t xml:space="preserve">hange over 24 months. </w:t>
      </w:r>
      <w:r w:rsidRPr="00EE5B1A">
        <w:rPr>
          <w:rFonts w:eastAsia="MS Mincho"/>
          <w:i/>
          <w:iCs/>
          <w:lang w:eastAsia="ja-JP"/>
        </w:rPr>
        <w:t>In</w:t>
      </w:r>
      <w:r w:rsidR="00EE5B1A" w:rsidRPr="00EE5B1A">
        <w:rPr>
          <w:rFonts w:eastAsia="MS Mincho"/>
          <w:i/>
          <w:iCs/>
          <w:lang w:eastAsia="ja-JP"/>
        </w:rPr>
        <w:t xml:space="preserve"> </w:t>
      </w:r>
      <w:r w:rsidRPr="00EE5B1A">
        <w:rPr>
          <w:rFonts w:eastAsia="MS Mincho"/>
          <w:i/>
          <w:iCs/>
          <w:lang w:eastAsia="ja-JP"/>
        </w:rPr>
        <w:t>vitro</w:t>
      </w:r>
      <w:r w:rsidRPr="00226A9C">
        <w:rPr>
          <w:rFonts w:eastAsia="MS Mincho"/>
          <w:lang w:eastAsia="ja-JP"/>
        </w:rPr>
        <w:t xml:space="preserve"> release rate testing data of stability batches and Phase </w:t>
      </w:r>
      <w:r w:rsidR="00EE5B1A">
        <w:rPr>
          <w:rFonts w:eastAsia="MS Mincho"/>
          <w:lang w:eastAsia="ja-JP"/>
        </w:rPr>
        <w:t>I</w:t>
      </w:r>
      <w:r w:rsidRPr="00226A9C">
        <w:rPr>
          <w:rFonts w:eastAsia="MS Mincho"/>
          <w:lang w:eastAsia="ja-JP"/>
        </w:rPr>
        <w:t xml:space="preserve"> and Phase </w:t>
      </w:r>
      <w:r w:rsidR="00EE5B1A">
        <w:rPr>
          <w:rFonts w:eastAsia="MS Mincho"/>
          <w:lang w:eastAsia="ja-JP"/>
        </w:rPr>
        <w:t>III</w:t>
      </w:r>
      <w:r w:rsidRPr="00226A9C">
        <w:rPr>
          <w:rFonts w:eastAsia="MS Mincho"/>
          <w:lang w:eastAsia="ja-JP"/>
        </w:rPr>
        <w:t xml:space="preserve"> clinical trial batches support the proposed drug s</w:t>
      </w:r>
      <w:r w:rsidR="008F5C87">
        <w:rPr>
          <w:rFonts w:eastAsia="MS Mincho"/>
          <w:lang w:eastAsia="ja-JP"/>
        </w:rPr>
        <w:t>ubstance particle size limits.</w:t>
      </w:r>
    </w:p>
    <w:p w:rsidR="00226A9C" w:rsidRPr="00226A9C" w:rsidRDefault="00226A9C" w:rsidP="00226A9C">
      <w:pPr>
        <w:autoSpaceDE w:val="0"/>
        <w:autoSpaceDN w:val="0"/>
        <w:adjustRightInd w:val="0"/>
        <w:rPr>
          <w:rFonts w:eastAsia="MS Mincho"/>
          <w:lang w:eastAsia="ja-JP"/>
        </w:rPr>
      </w:pPr>
      <w:r w:rsidRPr="00226A9C">
        <w:rPr>
          <w:rFonts w:eastAsia="MS Mincho"/>
          <w:lang w:eastAsia="ja-JP"/>
        </w:rPr>
        <w:t xml:space="preserve">The finished product specifications include impurity limits within the relevant ICH </w:t>
      </w:r>
      <w:r w:rsidR="007C7BE6" w:rsidRPr="007C7BE6">
        <w:rPr>
          <w:rFonts w:eastAsia="MS Mincho"/>
          <w:i/>
          <w:iCs/>
          <w:lang w:eastAsia="ja-JP"/>
        </w:rPr>
        <w:t>Guidance for Industry</w:t>
      </w:r>
      <w:r w:rsidR="007C7BE6">
        <w:rPr>
          <w:rFonts w:eastAsia="MS Mincho"/>
          <w:lang w:eastAsia="ja-JP"/>
        </w:rPr>
        <w:t xml:space="preserve"> </w:t>
      </w:r>
      <w:r w:rsidRPr="00226A9C">
        <w:rPr>
          <w:rFonts w:eastAsia="MS Mincho"/>
          <w:lang w:eastAsia="ja-JP"/>
        </w:rPr>
        <w:t xml:space="preserve">Q3B </w:t>
      </w:r>
      <w:r w:rsidR="007C7BE6">
        <w:rPr>
          <w:rFonts w:eastAsia="MS Mincho"/>
          <w:lang w:eastAsia="ja-JP"/>
        </w:rPr>
        <w:t>(</w:t>
      </w:r>
      <w:r w:rsidR="007C7BE6" w:rsidRPr="007C7BE6">
        <w:rPr>
          <w:rFonts w:eastAsia="MS Mincho"/>
          <w:i/>
          <w:iCs/>
          <w:lang w:eastAsia="ja-JP"/>
        </w:rPr>
        <w:t>Impurities in New Drug Products</w:t>
      </w:r>
      <w:r w:rsidR="007C7BE6">
        <w:rPr>
          <w:rFonts w:eastAsia="MS Mincho"/>
          <w:lang w:eastAsia="ja-JP"/>
        </w:rPr>
        <w:t xml:space="preserve">) </w:t>
      </w:r>
      <w:r w:rsidRPr="00226A9C">
        <w:rPr>
          <w:rFonts w:eastAsia="MS Mincho"/>
          <w:lang w:eastAsia="ja-JP"/>
        </w:rPr>
        <w:t>thresholds.</w:t>
      </w:r>
    </w:p>
    <w:p w:rsidR="008E7846" w:rsidRDefault="00226A9C" w:rsidP="00EE5B1A">
      <w:pPr>
        <w:autoSpaceDE w:val="0"/>
        <w:autoSpaceDN w:val="0"/>
        <w:adjustRightInd w:val="0"/>
      </w:pPr>
      <w:r w:rsidRPr="00226A9C">
        <w:rPr>
          <w:rFonts w:eastAsia="MS Mincho"/>
          <w:lang w:eastAsia="ja-JP"/>
        </w:rPr>
        <w:t>The ointment failed specification limits under accelerated conditions (40</w:t>
      </w:r>
      <w:r w:rsidR="00EE5B1A">
        <w:rPr>
          <w:rFonts w:eastAsia="MS Mincho"/>
          <w:lang w:eastAsia="ja-JP"/>
        </w:rPr>
        <w:t>°</w:t>
      </w:r>
      <w:r w:rsidRPr="00226A9C">
        <w:rPr>
          <w:rFonts w:eastAsia="MS Mincho"/>
          <w:lang w:eastAsia="ja-JP"/>
        </w:rPr>
        <w:t>C/75%</w:t>
      </w:r>
      <w:r w:rsidR="00EE5B1A">
        <w:rPr>
          <w:rFonts w:eastAsia="MS Mincho"/>
          <w:lang w:eastAsia="ja-JP"/>
        </w:rPr>
        <w:t xml:space="preserve"> relative humidity (</w:t>
      </w:r>
      <w:r w:rsidRPr="00226A9C">
        <w:rPr>
          <w:rFonts w:eastAsia="MS Mincho"/>
          <w:lang w:eastAsia="ja-JP"/>
        </w:rPr>
        <w:t>RH</w:t>
      </w:r>
      <w:r w:rsidR="00EE5B1A">
        <w:rPr>
          <w:rFonts w:eastAsia="MS Mincho"/>
          <w:lang w:eastAsia="ja-JP"/>
        </w:rPr>
        <w:t>)</w:t>
      </w:r>
      <w:r w:rsidRPr="00226A9C">
        <w:rPr>
          <w:rFonts w:eastAsia="MS Mincho"/>
          <w:lang w:eastAsia="ja-JP"/>
        </w:rPr>
        <w:t xml:space="preserve">) due to the low </w:t>
      </w:r>
      <w:r w:rsidR="00EE5B1A">
        <w:rPr>
          <w:rFonts w:eastAsia="MS Mincho"/>
          <w:lang w:eastAsia="ja-JP"/>
        </w:rPr>
        <w:t xml:space="preserve">melting point of the paraffin. </w:t>
      </w:r>
      <w:r w:rsidRPr="00226A9C">
        <w:rPr>
          <w:rFonts w:eastAsia="MS Mincho"/>
          <w:lang w:eastAsia="ja-JP"/>
        </w:rPr>
        <w:t>However, satisfactory data generated at 30</w:t>
      </w:r>
      <w:r w:rsidR="00EE5B1A">
        <w:rPr>
          <w:rFonts w:eastAsia="MS Mincho"/>
          <w:lang w:eastAsia="ja-JP"/>
        </w:rPr>
        <w:t>°</w:t>
      </w:r>
      <w:r w:rsidRPr="00226A9C">
        <w:rPr>
          <w:rFonts w:eastAsia="MS Mincho"/>
          <w:lang w:eastAsia="ja-JP"/>
        </w:rPr>
        <w:t>C/65% RH and 25</w:t>
      </w:r>
      <w:r w:rsidR="00EE5B1A">
        <w:rPr>
          <w:rFonts w:eastAsia="MS Mincho"/>
          <w:lang w:eastAsia="ja-JP"/>
        </w:rPr>
        <w:t>°</w:t>
      </w:r>
      <w:r w:rsidRPr="00226A9C">
        <w:rPr>
          <w:rFonts w:eastAsia="MS Mincho"/>
          <w:lang w:eastAsia="ja-JP"/>
        </w:rPr>
        <w:t>C/60 RH support the claimed shelf-life of 24 months below 25</w:t>
      </w:r>
      <w:r w:rsidR="00EE5B1A">
        <w:rPr>
          <w:rFonts w:eastAsia="MS Mincho"/>
          <w:lang w:eastAsia="ja-JP"/>
        </w:rPr>
        <w:t>°</w:t>
      </w:r>
      <w:r w:rsidRPr="00226A9C">
        <w:rPr>
          <w:rFonts w:eastAsia="MS Mincho"/>
          <w:lang w:eastAsia="ja-JP"/>
        </w:rPr>
        <w:t>C.</w:t>
      </w:r>
    </w:p>
    <w:p w:rsidR="008E7846" w:rsidRDefault="008E7846" w:rsidP="008E7846">
      <w:pPr>
        <w:pStyle w:val="Heading3"/>
      </w:pPr>
      <w:bookmarkStart w:id="25" w:name="_Toc314842491"/>
      <w:bookmarkStart w:id="26" w:name="_Toc371925742"/>
      <w:proofErr w:type="spellStart"/>
      <w:r>
        <w:lastRenderedPageBreak/>
        <w:t>Biopharmaceutics</w:t>
      </w:r>
      <w:bookmarkEnd w:id="25"/>
      <w:bookmarkEnd w:id="26"/>
      <w:proofErr w:type="spellEnd"/>
    </w:p>
    <w:p w:rsidR="008E7846" w:rsidRDefault="00226A9C" w:rsidP="008E7846">
      <w:r w:rsidRPr="00226A9C">
        <w:rPr>
          <w:rFonts w:eastAsia="MS Mincho"/>
          <w:lang w:eastAsia="ja-JP"/>
        </w:rPr>
        <w:t>No bioavailability data have been evaluated as the product is a topical ointment.</w:t>
      </w:r>
    </w:p>
    <w:p w:rsidR="008E7846" w:rsidRDefault="008E7846" w:rsidP="008E7846">
      <w:pPr>
        <w:pStyle w:val="Heading3"/>
      </w:pPr>
      <w:bookmarkStart w:id="27" w:name="_Toc314842492"/>
      <w:bookmarkStart w:id="28" w:name="_Toc371925743"/>
      <w:r>
        <w:t>Advisory committee considerations</w:t>
      </w:r>
      <w:bookmarkEnd w:id="27"/>
      <w:bookmarkEnd w:id="28"/>
    </w:p>
    <w:p w:rsidR="008E7846" w:rsidRPr="0079091D" w:rsidRDefault="00226A9C" w:rsidP="0079091D">
      <w:r w:rsidRPr="0079091D">
        <w:t xml:space="preserve">The submission was considered by the Pharmaceutical Subcommittee </w:t>
      </w:r>
      <w:r w:rsidR="00EE5B1A" w:rsidRPr="0079091D">
        <w:t xml:space="preserve">(PSC) </w:t>
      </w:r>
      <w:r w:rsidRPr="0079091D">
        <w:t xml:space="preserve">of the </w:t>
      </w:r>
      <w:r w:rsidR="00EE5B1A" w:rsidRPr="0079091D">
        <w:t>Advisory Committee on Prescription Medicines (</w:t>
      </w:r>
      <w:r w:rsidRPr="0079091D">
        <w:t>ACPM</w:t>
      </w:r>
      <w:r w:rsidR="00EE5B1A" w:rsidRPr="0079091D">
        <w:t>)</w:t>
      </w:r>
      <w:r w:rsidRPr="0079091D">
        <w:t xml:space="preserve"> at its 149</w:t>
      </w:r>
      <w:r w:rsidRPr="0079091D">
        <w:rPr>
          <w:vertAlign w:val="superscript"/>
        </w:rPr>
        <w:t>th</w:t>
      </w:r>
      <w:r w:rsidR="0079091D">
        <w:t xml:space="preserve"> </w:t>
      </w:r>
      <w:r w:rsidR="00EE5B1A" w:rsidRPr="0079091D">
        <w:t xml:space="preserve">meeting </w:t>
      </w:r>
      <w:r w:rsidR="0079091D">
        <w:t xml:space="preserve">in </w:t>
      </w:r>
      <w:r w:rsidR="00EE5B1A" w:rsidRPr="0079091D">
        <w:t xml:space="preserve">January 2013. </w:t>
      </w:r>
      <w:r w:rsidRPr="0079091D">
        <w:t>The subcommittee endorsed the issues raised by the TGA.</w:t>
      </w:r>
    </w:p>
    <w:p w:rsidR="008E7846" w:rsidRPr="008751DC" w:rsidRDefault="008E7846" w:rsidP="008E7846">
      <w:pPr>
        <w:pStyle w:val="Heading3"/>
      </w:pPr>
      <w:bookmarkStart w:id="29" w:name="_Toc247691509"/>
      <w:bookmarkStart w:id="30" w:name="_Toc314842493"/>
      <w:bookmarkStart w:id="31" w:name="_Toc371925744"/>
      <w:r>
        <w:t>Quality s</w:t>
      </w:r>
      <w:r w:rsidRPr="008751DC">
        <w:t>ummary</w:t>
      </w:r>
      <w:r>
        <w:t xml:space="preserve"> and conclusions</w:t>
      </w:r>
      <w:bookmarkEnd w:id="29"/>
      <w:bookmarkEnd w:id="30"/>
      <w:bookmarkEnd w:id="31"/>
    </w:p>
    <w:p w:rsidR="00226A9C" w:rsidRPr="00226A9C" w:rsidRDefault="00226A9C" w:rsidP="00226A9C">
      <w:r w:rsidRPr="00226A9C">
        <w:t xml:space="preserve">All issues have been satisfactorily resolved by the </w:t>
      </w:r>
      <w:r w:rsidR="00DA50F7">
        <w:t>sponsor</w:t>
      </w:r>
      <w:r w:rsidRPr="00226A9C">
        <w:t>.</w:t>
      </w:r>
    </w:p>
    <w:p w:rsidR="008E7846" w:rsidRDefault="00226A9C" w:rsidP="008E7846">
      <w:r w:rsidRPr="00226A9C">
        <w:t>There are no objections to the registration of retapamulin 1% w/w ointment from a pharmaceutical chemistry perspective.</w:t>
      </w:r>
    </w:p>
    <w:p w:rsidR="008E7846" w:rsidRDefault="008E7846" w:rsidP="008E7846">
      <w:pPr>
        <w:pStyle w:val="Heading2"/>
      </w:pPr>
      <w:bookmarkStart w:id="32" w:name="_Toc196046439"/>
      <w:bookmarkStart w:id="33" w:name="_Toc247691510"/>
      <w:bookmarkStart w:id="34" w:name="_Toc314842494"/>
      <w:bookmarkStart w:id="35" w:name="_Toc371925745"/>
      <w:r>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71925746"/>
      <w:r>
        <w:t>Introduction</w:t>
      </w:r>
      <w:bookmarkEnd w:id="36"/>
      <w:bookmarkEnd w:id="37"/>
      <w:bookmarkEnd w:id="38"/>
    </w:p>
    <w:p w:rsidR="00D35641" w:rsidRPr="00D35641" w:rsidRDefault="00D35641" w:rsidP="008F5C87">
      <w:pPr>
        <w:pStyle w:val="Heading4"/>
        <w:rPr>
          <w:kern w:val="22"/>
        </w:rPr>
      </w:pPr>
      <w:bookmarkStart w:id="39" w:name="_Toc294861722"/>
      <w:bookmarkStart w:id="40" w:name="_Toc295290864"/>
      <w:bookmarkStart w:id="41" w:name="_Toc352238568"/>
      <w:r w:rsidRPr="00D35641">
        <w:rPr>
          <w:kern w:val="22"/>
        </w:rPr>
        <w:t>General comments</w:t>
      </w:r>
      <w:bookmarkEnd w:id="39"/>
      <w:bookmarkEnd w:id="40"/>
      <w:bookmarkEnd w:id="41"/>
    </w:p>
    <w:p w:rsidR="00D35641" w:rsidRPr="00D35641" w:rsidRDefault="00D35641" w:rsidP="00D35641">
      <w:pPr>
        <w:rPr>
          <w:kern w:val="22"/>
        </w:rPr>
      </w:pPr>
      <w:proofErr w:type="spellStart"/>
      <w:r w:rsidRPr="00D35641">
        <w:rPr>
          <w:kern w:val="22"/>
        </w:rPr>
        <w:t>Pleuromutilins</w:t>
      </w:r>
      <w:proofErr w:type="spellEnd"/>
      <w:r w:rsidRPr="00D35641">
        <w:rPr>
          <w:kern w:val="22"/>
        </w:rPr>
        <w:t xml:space="preserve"> were first discovered in 1950 and have been used orally in veterinary medicine since 1979 (</w:t>
      </w:r>
      <w:proofErr w:type="spellStart"/>
      <w:r w:rsidRPr="00D35641">
        <w:rPr>
          <w:kern w:val="22"/>
        </w:rPr>
        <w:t>tiamulin</w:t>
      </w:r>
      <w:proofErr w:type="spellEnd"/>
      <w:r w:rsidRPr="00D35641">
        <w:rPr>
          <w:kern w:val="22"/>
        </w:rPr>
        <w:t xml:space="preserve">, </w:t>
      </w:r>
      <w:proofErr w:type="spellStart"/>
      <w:r w:rsidRPr="00D35641">
        <w:rPr>
          <w:kern w:val="22"/>
        </w:rPr>
        <w:t>valnemulin</w:t>
      </w:r>
      <w:proofErr w:type="spellEnd"/>
      <w:r w:rsidRPr="00D35641">
        <w:rPr>
          <w:kern w:val="22"/>
        </w:rPr>
        <w:t xml:space="preserve">) in Europe. Retapamulin is the first </w:t>
      </w:r>
      <w:proofErr w:type="spellStart"/>
      <w:r w:rsidRPr="00D35641">
        <w:rPr>
          <w:kern w:val="22"/>
        </w:rPr>
        <w:t>pleuromutilin</w:t>
      </w:r>
      <w:proofErr w:type="spellEnd"/>
      <w:r w:rsidRPr="00D35641">
        <w:rPr>
          <w:kern w:val="22"/>
        </w:rPr>
        <w:t xml:space="preserve"> that was approved for human use (2007, Europe; and 2008, USA). </w:t>
      </w:r>
      <w:r w:rsidR="00DA50F7">
        <w:rPr>
          <w:kern w:val="22"/>
        </w:rPr>
        <w:t>T</w:t>
      </w:r>
      <w:r w:rsidRPr="00D35641">
        <w:rPr>
          <w:kern w:val="22"/>
        </w:rPr>
        <w:t>o date</w:t>
      </w:r>
      <w:r w:rsidR="00DA50F7">
        <w:rPr>
          <w:kern w:val="22"/>
        </w:rPr>
        <w:t>,</w:t>
      </w:r>
      <w:r w:rsidRPr="00D35641">
        <w:rPr>
          <w:kern w:val="22"/>
        </w:rPr>
        <w:t xml:space="preserve"> no </w:t>
      </w:r>
      <w:proofErr w:type="spellStart"/>
      <w:r w:rsidRPr="00D35641">
        <w:rPr>
          <w:kern w:val="22"/>
        </w:rPr>
        <w:t>pleuromutilin</w:t>
      </w:r>
      <w:proofErr w:type="spellEnd"/>
      <w:r w:rsidRPr="00D35641">
        <w:rPr>
          <w:kern w:val="22"/>
        </w:rPr>
        <w:t xml:space="preserve"> antibiotic is registered on the ARTG.</w:t>
      </w:r>
    </w:p>
    <w:p w:rsidR="00D35641" w:rsidRPr="00D35641" w:rsidRDefault="00D35641" w:rsidP="00D35641">
      <w:pPr>
        <w:rPr>
          <w:kern w:val="22"/>
        </w:rPr>
      </w:pPr>
      <w:r w:rsidRPr="00D35641">
        <w:rPr>
          <w:kern w:val="22"/>
        </w:rPr>
        <w:t>Nonclinical data consisted of primary (microbiology), secondary and safety pharmacology, dermal irritancy, repeat-dose and repr</w:t>
      </w:r>
      <w:r w:rsidR="00491E38">
        <w:rPr>
          <w:kern w:val="22"/>
        </w:rPr>
        <w:t>oductive toxicity, skin sensitis</w:t>
      </w:r>
      <w:r w:rsidRPr="00D35641">
        <w:rPr>
          <w:kern w:val="22"/>
        </w:rPr>
        <w:t xml:space="preserve">ation and genotoxicity studies. Repeat-dose oral studies up to 2-weeks duration were conducted in rats and monkeys at higher systemic exposures than those attained by dermal administration. Paediatric use was </w:t>
      </w:r>
      <w:r w:rsidRPr="005F11BC">
        <w:t xml:space="preserve">supported by studies in neonatal rats and juvenile </w:t>
      </w:r>
      <w:proofErr w:type="spellStart"/>
      <w:r w:rsidRPr="005F11BC">
        <w:t>minipigs</w:t>
      </w:r>
      <w:proofErr w:type="spellEnd"/>
      <w:r w:rsidRPr="005F11BC">
        <w:t xml:space="preserve">. An Australian </w:t>
      </w:r>
      <w:r w:rsidR="005F11BC" w:rsidRPr="005F11BC">
        <w:rPr>
          <w:i/>
          <w:iCs/>
        </w:rPr>
        <w:t xml:space="preserve">Risk Assessment of Microbial Resistance </w:t>
      </w:r>
      <w:r w:rsidR="005F11BC" w:rsidRPr="005F11BC">
        <w:t>[for]</w:t>
      </w:r>
      <w:r w:rsidR="005F11BC" w:rsidRPr="005F11BC">
        <w:rPr>
          <w:i/>
          <w:iCs/>
        </w:rPr>
        <w:t xml:space="preserve"> Altargo 1% Ointment</w:t>
      </w:r>
      <w:r w:rsidR="005F11BC" w:rsidRPr="005F11BC">
        <w:t xml:space="preserve"> </w:t>
      </w:r>
      <w:r w:rsidRPr="005F11BC">
        <w:t xml:space="preserve">was provided. Pivotal toxicity studies were </w:t>
      </w:r>
      <w:r w:rsidR="00491E38" w:rsidRPr="005F11BC">
        <w:t>compliant with principles of good laboratory practice (</w:t>
      </w:r>
      <w:r w:rsidRPr="005F11BC">
        <w:t>GLP-compliant</w:t>
      </w:r>
      <w:r w:rsidR="00491E38" w:rsidRPr="005F11BC">
        <w:t>)</w:t>
      </w:r>
      <w:r w:rsidRPr="005F11BC">
        <w:t xml:space="preserve">. </w:t>
      </w:r>
      <w:proofErr w:type="spellStart"/>
      <w:r w:rsidRPr="005F11BC">
        <w:t>Toxicokinetic</w:t>
      </w:r>
      <w:proofErr w:type="spellEnd"/>
      <w:r w:rsidRPr="005F11BC">
        <w:t xml:space="preserve"> data were</w:t>
      </w:r>
      <w:r w:rsidRPr="00D35641">
        <w:rPr>
          <w:kern w:val="22"/>
        </w:rPr>
        <w:t xml:space="preserve"> provided for pivotal toxicity studies. A number of repeat dose toxicity studies investigating local toxicity after intranasal application </w:t>
      </w:r>
      <w:r w:rsidR="00491E38">
        <w:rPr>
          <w:kern w:val="22"/>
        </w:rPr>
        <w:t xml:space="preserve">were provided </w:t>
      </w:r>
      <w:r w:rsidRPr="00D35641">
        <w:rPr>
          <w:kern w:val="22"/>
        </w:rPr>
        <w:t xml:space="preserve">but were not considered relevant to the current intended use on infected skin and therefore </w:t>
      </w:r>
      <w:r w:rsidR="00491E38">
        <w:rPr>
          <w:kern w:val="22"/>
        </w:rPr>
        <w:t xml:space="preserve">were </w:t>
      </w:r>
      <w:r w:rsidRPr="00D35641">
        <w:rPr>
          <w:kern w:val="22"/>
        </w:rPr>
        <w:t>not evaluated.</w:t>
      </w:r>
    </w:p>
    <w:p w:rsidR="008E7846" w:rsidRDefault="008E7846" w:rsidP="008E7846">
      <w:pPr>
        <w:pStyle w:val="Heading3"/>
      </w:pPr>
      <w:bookmarkStart w:id="42" w:name="_Toc247691512"/>
      <w:bookmarkStart w:id="43" w:name="_Toc314842496"/>
      <w:bookmarkStart w:id="44" w:name="_Toc371925747"/>
      <w:r w:rsidRPr="00020030">
        <w:t>Pharmacology</w:t>
      </w:r>
      <w:bookmarkEnd w:id="42"/>
      <w:bookmarkEnd w:id="43"/>
      <w:bookmarkEnd w:id="44"/>
    </w:p>
    <w:p w:rsidR="00D35641" w:rsidRPr="00D35641" w:rsidRDefault="00D35641" w:rsidP="00491E38">
      <w:pPr>
        <w:pStyle w:val="Heading4"/>
        <w:rPr>
          <w:kern w:val="22"/>
        </w:rPr>
      </w:pPr>
      <w:r w:rsidRPr="00D35641">
        <w:rPr>
          <w:kern w:val="22"/>
        </w:rPr>
        <w:t>Primary pharmacology</w:t>
      </w:r>
    </w:p>
    <w:p w:rsidR="00D35641" w:rsidRPr="00D35641" w:rsidRDefault="00D35641" w:rsidP="00491E38">
      <w:pPr>
        <w:pStyle w:val="Heading5"/>
        <w:rPr>
          <w:kern w:val="22"/>
        </w:rPr>
      </w:pPr>
      <w:r w:rsidRPr="00D35641">
        <w:rPr>
          <w:kern w:val="22"/>
        </w:rPr>
        <w:t>Mechanism of action</w:t>
      </w:r>
    </w:p>
    <w:p w:rsidR="00D35641" w:rsidRPr="000A4449" w:rsidRDefault="00D35641" w:rsidP="00D35641">
      <w:r w:rsidRPr="00D35641">
        <w:rPr>
          <w:kern w:val="22"/>
        </w:rPr>
        <w:t xml:space="preserve">Retapamulin is a semi synthetic </w:t>
      </w:r>
      <w:proofErr w:type="spellStart"/>
      <w:r w:rsidRPr="00D35641">
        <w:rPr>
          <w:kern w:val="22"/>
        </w:rPr>
        <w:t>pleuromutilin</w:t>
      </w:r>
      <w:proofErr w:type="spellEnd"/>
      <w:r w:rsidRPr="00D35641">
        <w:rPr>
          <w:kern w:val="22"/>
        </w:rPr>
        <w:t xml:space="preserve"> antibiotic. The mechanism of action of this drug class is the inhibition of protein synthesis by interaction with the 50S prokaryotic ribosomal unit. The site of retapamulin interaction is different from other antibiotics (</w:t>
      </w:r>
      <w:proofErr w:type="spellStart"/>
      <w:r w:rsidRPr="00D35641">
        <w:rPr>
          <w:kern w:val="22"/>
        </w:rPr>
        <w:t>Borrza</w:t>
      </w:r>
      <w:proofErr w:type="spellEnd"/>
      <w:r w:rsidRPr="00D35641">
        <w:rPr>
          <w:kern w:val="22"/>
        </w:rPr>
        <w:t xml:space="preserve"> 2008</w:t>
      </w:r>
      <w:r w:rsidR="00491E38">
        <w:rPr>
          <w:rStyle w:val="FootnoteReference"/>
          <w:kern w:val="22"/>
        </w:rPr>
        <w:footnoteReference w:id="1"/>
      </w:r>
      <w:r w:rsidRPr="00D35641">
        <w:rPr>
          <w:kern w:val="22"/>
        </w:rPr>
        <w:t xml:space="preserve">). </w:t>
      </w:r>
      <w:proofErr w:type="spellStart"/>
      <w:r w:rsidRPr="00D35641">
        <w:rPr>
          <w:kern w:val="22"/>
        </w:rPr>
        <w:t>Pleuromutilins</w:t>
      </w:r>
      <w:proofErr w:type="spellEnd"/>
      <w:r w:rsidRPr="00D35641">
        <w:rPr>
          <w:kern w:val="22"/>
        </w:rPr>
        <w:t xml:space="preserve"> do not bind to eukaryotic </w:t>
      </w:r>
      <w:proofErr w:type="spellStart"/>
      <w:r w:rsidRPr="00D35641">
        <w:rPr>
          <w:kern w:val="22"/>
        </w:rPr>
        <w:t>ribosomes</w:t>
      </w:r>
      <w:proofErr w:type="spellEnd"/>
      <w:r w:rsidRPr="00D35641">
        <w:rPr>
          <w:kern w:val="22"/>
        </w:rPr>
        <w:t xml:space="preserve"> and do not inhibit mammalian protein </w:t>
      </w:r>
      <w:r w:rsidRPr="00D35641">
        <w:rPr>
          <w:kern w:val="22"/>
        </w:rPr>
        <w:lastRenderedPageBreak/>
        <w:t>synthesis (Novak 2011</w:t>
      </w:r>
      <w:r w:rsidR="00491E38">
        <w:rPr>
          <w:rStyle w:val="FootnoteReference"/>
          <w:kern w:val="22"/>
        </w:rPr>
        <w:footnoteReference w:id="2"/>
      </w:r>
      <w:r w:rsidRPr="00D35641">
        <w:rPr>
          <w:kern w:val="22"/>
        </w:rPr>
        <w:t>, Tang and Liu 2012</w:t>
      </w:r>
      <w:r w:rsidR="00491E38">
        <w:rPr>
          <w:rStyle w:val="FootnoteReference"/>
          <w:kern w:val="22"/>
        </w:rPr>
        <w:footnoteReference w:id="3"/>
      </w:r>
      <w:r w:rsidRPr="00D35641">
        <w:rPr>
          <w:kern w:val="22"/>
        </w:rPr>
        <w:t xml:space="preserve">). Retapamulin was shown to be </w:t>
      </w:r>
      <w:proofErr w:type="spellStart"/>
      <w:r w:rsidRPr="00D35641">
        <w:rPr>
          <w:kern w:val="22"/>
        </w:rPr>
        <w:t>bacteriostatic</w:t>
      </w:r>
      <w:proofErr w:type="spellEnd"/>
      <w:r w:rsidRPr="00D35641">
        <w:rPr>
          <w:kern w:val="22"/>
        </w:rPr>
        <w:t xml:space="preserve"> against </w:t>
      </w:r>
      <w:r w:rsidRPr="00D35641">
        <w:rPr>
          <w:i/>
          <w:iCs/>
          <w:kern w:val="22"/>
        </w:rPr>
        <w:t>S. aureu</w:t>
      </w:r>
      <w:r w:rsidRPr="00D35641">
        <w:rPr>
          <w:kern w:val="22"/>
        </w:rPr>
        <w:t xml:space="preserve">s and </w:t>
      </w:r>
      <w:r w:rsidRPr="00D35641">
        <w:rPr>
          <w:i/>
          <w:kern w:val="22"/>
        </w:rPr>
        <w:t>S.</w:t>
      </w:r>
      <w:r w:rsidR="000A4449">
        <w:rPr>
          <w:i/>
          <w:kern w:val="22"/>
        </w:rPr>
        <w:t xml:space="preserve"> </w:t>
      </w:r>
      <w:r w:rsidRPr="00D35641">
        <w:rPr>
          <w:i/>
          <w:kern w:val="22"/>
        </w:rPr>
        <w:t>pyogenes</w:t>
      </w:r>
      <w:r w:rsidRPr="00D35641">
        <w:rPr>
          <w:kern w:val="22"/>
        </w:rPr>
        <w:t>. The minimum bactericidal concentration (MBC</w:t>
      </w:r>
      <w:r w:rsidRPr="00D35641">
        <w:rPr>
          <w:kern w:val="22"/>
          <w:vertAlign w:val="subscript"/>
        </w:rPr>
        <w:t>90</w:t>
      </w:r>
      <w:r w:rsidRPr="00D35641">
        <w:rPr>
          <w:kern w:val="22"/>
        </w:rPr>
        <w:t xml:space="preserve">) against </w:t>
      </w:r>
      <w:r w:rsidRPr="00D35641">
        <w:rPr>
          <w:i/>
          <w:iCs/>
          <w:kern w:val="22"/>
        </w:rPr>
        <w:t>S. aureu</w:t>
      </w:r>
      <w:r w:rsidRPr="00D35641">
        <w:rPr>
          <w:kern w:val="22"/>
        </w:rPr>
        <w:t xml:space="preserve">s and </w:t>
      </w:r>
      <w:r w:rsidRPr="00D35641">
        <w:rPr>
          <w:i/>
          <w:iCs/>
          <w:kern w:val="22"/>
        </w:rPr>
        <w:t>S. pyogene</w:t>
      </w:r>
      <w:r w:rsidRPr="00D35641">
        <w:rPr>
          <w:kern w:val="22"/>
        </w:rPr>
        <w:t xml:space="preserve">s was 512 and 1024-fold the </w:t>
      </w:r>
      <w:r w:rsidR="00042313" w:rsidRPr="00042313">
        <w:rPr>
          <w:kern w:val="22"/>
        </w:rPr>
        <w:t xml:space="preserve">minimum inhibitory concentration </w:t>
      </w:r>
      <w:r w:rsidR="00042313">
        <w:rPr>
          <w:kern w:val="22"/>
        </w:rPr>
        <w:t>(</w:t>
      </w:r>
      <w:r w:rsidRPr="00D35641">
        <w:rPr>
          <w:kern w:val="22"/>
        </w:rPr>
        <w:t>MIC</w:t>
      </w:r>
      <w:r w:rsidR="00042313">
        <w:rPr>
          <w:kern w:val="22"/>
        </w:rPr>
        <w:t>) required to inhibit the growth of 90% of organisms (MIC</w:t>
      </w:r>
      <w:r w:rsidRPr="00D35641">
        <w:rPr>
          <w:kern w:val="22"/>
          <w:vertAlign w:val="subscript"/>
        </w:rPr>
        <w:t>90</w:t>
      </w:r>
      <w:r w:rsidR="00042313">
        <w:rPr>
          <w:kern w:val="22"/>
        </w:rPr>
        <w:t xml:space="preserve">). </w:t>
      </w:r>
      <w:r w:rsidRPr="00D35641">
        <w:rPr>
          <w:kern w:val="22"/>
        </w:rPr>
        <w:t xml:space="preserve">However, retapamulin demonstrated bactericidal </w:t>
      </w:r>
      <w:r w:rsidRPr="000A4449">
        <w:t xml:space="preserve">activity against </w:t>
      </w:r>
      <w:r w:rsidR="000A4449" w:rsidRPr="000A4449">
        <w:rPr>
          <w:i/>
          <w:iCs/>
        </w:rPr>
        <w:t xml:space="preserve">Streptococcus </w:t>
      </w:r>
      <w:proofErr w:type="spellStart"/>
      <w:r w:rsidR="000A4449" w:rsidRPr="000A4449">
        <w:rPr>
          <w:i/>
          <w:iCs/>
        </w:rPr>
        <w:t>pneumoniae</w:t>
      </w:r>
      <w:proofErr w:type="spellEnd"/>
      <w:r w:rsidR="000A4449" w:rsidRPr="000A4449">
        <w:t xml:space="preserve">, </w:t>
      </w:r>
      <w:proofErr w:type="spellStart"/>
      <w:r w:rsidR="000A4449" w:rsidRPr="000A4449">
        <w:rPr>
          <w:i/>
          <w:iCs/>
        </w:rPr>
        <w:t>Haemophilus</w:t>
      </w:r>
      <w:proofErr w:type="spellEnd"/>
      <w:r w:rsidR="000A4449" w:rsidRPr="000A4449">
        <w:rPr>
          <w:i/>
          <w:iCs/>
        </w:rPr>
        <w:t xml:space="preserve"> </w:t>
      </w:r>
      <w:r w:rsidR="000A4449">
        <w:rPr>
          <w:i/>
          <w:iCs/>
        </w:rPr>
        <w:t xml:space="preserve">influenza </w:t>
      </w:r>
      <w:r w:rsidR="000A4449" w:rsidRPr="000A4449">
        <w:t xml:space="preserve">and </w:t>
      </w:r>
      <w:proofErr w:type="spellStart"/>
      <w:r w:rsidR="000A4449" w:rsidRPr="000A4449">
        <w:rPr>
          <w:i/>
          <w:iCs/>
        </w:rPr>
        <w:t>Moraxella</w:t>
      </w:r>
      <w:proofErr w:type="spellEnd"/>
      <w:r w:rsidR="000A4449" w:rsidRPr="000A4449">
        <w:rPr>
          <w:i/>
          <w:iCs/>
        </w:rPr>
        <w:t xml:space="preserve"> </w:t>
      </w:r>
      <w:proofErr w:type="spellStart"/>
      <w:r w:rsidR="000A4449" w:rsidRPr="000A4449">
        <w:rPr>
          <w:i/>
          <w:iCs/>
        </w:rPr>
        <w:t>catarrhalis</w:t>
      </w:r>
      <w:proofErr w:type="spellEnd"/>
      <w:r w:rsidR="000A4449" w:rsidRPr="000A4449">
        <w:t xml:space="preserve"> </w:t>
      </w:r>
      <w:r w:rsidRPr="000A4449">
        <w:t>at concentrations 0.03 to 2</w:t>
      </w:r>
      <w:r w:rsidR="000A4449">
        <w:t> </w:t>
      </w:r>
      <w:r w:rsidR="008F5C87">
        <w:t>µg/</w:t>
      </w:r>
      <w:proofErr w:type="spellStart"/>
      <w:r w:rsidR="008F5C87">
        <w:t>mL.</w:t>
      </w:r>
      <w:proofErr w:type="spellEnd"/>
    </w:p>
    <w:p w:rsidR="00D35641" w:rsidRPr="00D35641" w:rsidRDefault="00D35641" w:rsidP="006A0E86">
      <w:pPr>
        <w:pStyle w:val="Heading5"/>
        <w:rPr>
          <w:kern w:val="22"/>
        </w:rPr>
      </w:pPr>
      <w:r w:rsidRPr="00D35641">
        <w:rPr>
          <w:kern w:val="22"/>
        </w:rPr>
        <w:t>Antibacterial activity</w:t>
      </w:r>
    </w:p>
    <w:p w:rsidR="00D35641" w:rsidRPr="00D35641" w:rsidRDefault="00D35641" w:rsidP="00D35641">
      <w:pPr>
        <w:rPr>
          <w:kern w:val="22"/>
        </w:rPr>
      </w:pPr>
      <w:r w:rsidRPr="00D35641">
        <w:rPr>
          <w:kern w:val="22"/>
        </w:rPr>
        <w:t xml:space="preserve">A range of </w:t>
      </w:r>
      <w:r w:rsidRPr="00D35641">
        <w:rPr>
          <w:i/>
          <w:kern w:val="22"/>
        </w:rPr>
        <w:t>in vitro</w:t>
      </w:r>
      <w:r w:rsidRPr="00D35641">
        <w:rPr>
          <w:kern w:val="22"/>
        </w:rPr>
        <w:t xml:space="preserve"> studies investigated the antibacterial action of retapamulin against target Gram positive bacteria (focussing on S</w:t>
      </w:r>
      <w:r w:rsidRPr="00D35641">
        <w:rPr>
          <w:i/>
          <w:kern w:val="22"/>
        </w:rPr>
        <w:t>. aureus</w:t>
      </w:r>
      <w:r w:rsidRPr="00D35641">
        <w:rPr>
          <w:kern w:val="22"/>
        </w:rPr>
        <w:t xml:space="preserve">, drug resistant </w:t>
      </w:r>
      <w:r w:rsidRPr="00D35641">
        <w:rPr>
          <w:i/>
          <w:kern w:val="22"/>
        </w:rPr>
        <w:t>S. aureus</w:t>
      </w:r>
      <w:r w:rsidRPr="00D35641">
        <w:rPr>
          <w:kern w:val="22"/>
        </w:rPr>
        <w:t xml:space="preserve"> and </w:t>
      </w:r>
      <w:r w:rsidRPr="00D35641">
        <w:rPr>
          <w:i/>
          <w:kern w:val="22"/>
        </w:rPr>
        <w:t>S. pyogenes</w:t>
      </w:r>
      <w:r w:rsidRPr="00D35641">
        <w:rPr>
          <w:kern w:val="22"/>
        </w:rPr>
        <w:t xml:space="preserve">) as well as other Gram positive aerobes, anaerobes, Gram negative aerobes and </w:t>
      </w:r>
      <w:proofErr w:type="spellStart"/>
      <w:r w:rsidRPr="00D35641">
        <w:rPr>
          <w:kern w:val="22"/>
        </w:rPr>
        <w:t>biothreat</w:t>
      </w:r>
      <w:proofErr w:type="spellEnd"/>
      <w:r w:rsidRPr="00D35641">
        <w:rPr>
          <w:kern w:val="22"/>
        </w:rPr>
        <w:t xml:space="preserve"> organisms. The activity of retapamulin was compared with antibiotics that are currently in use. Retapamulin was effective against skin and skin structure organisms including </w:t>
      </w:r>
      <w:r w:rsidRPr="00D35641">
        <w:rPr>
          <w:i/>
          <w:kern w:val="22"/>
        </w:rPr>
        <w:t>S. aureus</w:t>
      </w:r>
      <w:r w:rsidRPr="00D35641">
        <w:rPr>
          <w:kern w:val="22"/>
        </w:rPr>
        <w:t xml:space="preserve"> and </w:t>
      </w:r>
      <w:r w:rsidRPr="00D35641">
        <w:rPr>
          <w:i/>
          <w:kern w:val="22"/>
        </w:rPr>
        <w:t>S. pyogenes</w:t>
      </w:r>
      <w:r w:rsidRPr="00D35641">
        <w:rPr>
          <w:kern w:val="22"/>
        </w:rPr>
        <w:t>. In &gt;16</w:t>
      </w:r>
      <w:r w:rsidR="00DA50F7">
        <w:rPr>
          <w:kern w:val="22"/>
        </w:rPr>
        <w:t>,</w:t>
      </w:r>
      <w:r w:rsidRPr="00D35641">
        <w:rPr>
          <w:kern w:val="22"/>
        </w:rPr>
        <w:t xml:space="preserve">000 </w:t>
      </w:r>
      <w:r w:rsidRPr="00D35641">
        <w:rPr>
          <w:i/>
          <w:kern w:val="22"/>
        </w:rPr>
        <w:t>S. aureus</w:t>
      </w:r>
      <w:r w:rsidRPr="00D35641">
        <w:rPr>
          <w:kern w:val="22"/>
        </w:rPr>
        <w:t xml:space="preserve"> or </w:t>
      </w:r>
      <w:r w:rsidRPr="00D35641">
        <w:rPr>
          <w:i/>
          <w:kern w:val="22"/>
        </w:rPr>
        <w:t>S. pyogenes</w:t>
      </w:r>
      <w:r w:rsidRPr="00D35641">
        <w:rPr>
          <w:kern w:val="22"/>
        </w:rPr>
        <w:t xml:space="preserve"> isolates tested in </w:t>
      </w:r>
      <w:proofErr w:type="spellStart"/>
      <w:r w:rsidRPr="00D35641">
        <w:rPr>
          <w:i/>
          <w:kern w:val="22"/>
        </w:rPr>
        <w:t>in</w:t>
      </w:r>
      <w:proofErr w:type="spellEnd"/>
      <w:r w:rsidRPr="00D35641">
        <w:rPr>
          <w:i/>
          <w:kern w:val="22"/>
        </w:rPr>
        <w:t xml:space="preserve"> vitro</w:t>
      </w:r>
      <w:r w:rsidRPr="00D35641">
        <w:rPr>
          <w:kern w:val="22"/>
        </w:rPr>
        <w:t xml:space="preserve"> studies and clinical trials, &gt;99% were inhibited by a </w:t>
      </w:r>
      <w:r w:rsidR="000A4449">
        <w:rPr>
          <w:kern w:val="22"/>
        </w:rPr>
        <w:t>retapamulin concentration of &lt;2 </w:t>
      </w:r>
      <w:r w:rsidRPr="00D35641">
        <w:rPr>
          <w:kern w:val="22"/>
        </w:rPr>
        <w:t>μg/mL. Retapamulin was also shown to be effective against most single or multi drug resistant isolates including resistance to β-</w:t>
      </w:r>
      <w:proofErr w:type="spellStart"/>
      <w:r w:rsidRPr="00D35641">
        <w:rPr>
          <w:kern w:val="22"/>
        </w:rPr>
        <w:t>lactams</w:t>
      </w:r>
      <w:proofErr w:type="spellEnd"/>
      <w:r w:rsidRPr="00D35641">
        <w:rPr>
          <w:kern w:val="22"/>
        </w:rPr>
        <w:t xml:space="preserve">, </w:t>
      </w:r>
      <w:proofErr w:type="spellStart"/>
      <w:r w:rsidRPr="00D35641">
        <w:rPr>
          <w:kern w:val="22"/>
        </w:rPr>
        <w:t>macrolides</w:t>
      </w:r>
      <w:proofErr w:type="spellEnd"/>
      <w:r w:rsidRPr="00D35641">
        <w:rPr>
          <w:kern w:val="22"/>
        </w:rPr>
        <w:t xml:space="preserve">, </w:t>
      </w:r>
      <w:proofErr w:type="spellStart"/>
      <w:r w:rsidRPr="00D35641">
        <w:rPr>
          <w:kern w:val="22"/>
        </w:rPr>
        <w:t>quinolones</w:t>
      </w:r>
      <w:proofErr w:type="spellEnd"/>
      <w:r w:rsidRPr="00D35641">
        <w:rPr>
          <w:kern w:val="22"/>
        </w:rPr>
        <w:t xml:space="preserve">, </w:t>
      </w:r>
      <w:proofErr w:type="spellStart"/>
      <w:r w:rsidRPr="00D35641">
        <w:rPr>
          <w:kern w:val="22"/>
        </w:rPr>
        <w:t>fusidic</w:t>
      </w:r>
      <w:proofErr w:type="spellEnd"/>
      <w:r w:rsidRPr="00D35641">
        <w:rPr>
          <w:kern w:val="22"/>
        </w:rPr>
        <w:t xml:space="preserve">-acid and </w:t>
      </w:r>
      <w:proofErr w:type="spellStart"/>
      <w:r w:rsidRPr="00D35641">
        <w:rPr>
          <w:kern w:val="22"/>
        </w:rPr>
        <w:t>mupirocin</w:t>
      </w:r>
      <w:proofErr w:type="spellEnd"/>
      <w:r w:rsidRPr="00D35641">
        <w:rPr>
          <w:kern w:val="22"/>
        </w:rPr>
        <w:t xml:space="preserve">. All </w:t>
      </w:r>
      <w:proofErr w:type="spellStart"/>
      <w:r w:rsidR="000A4449" w:rsidRPr="000A4449">
        <w:rPr>
          <w:kern w:val="22"/>
        </w:rPr>
        <w:t>methicillin</w:t>
      </w:r>
      <w:proofErr w:type="spellEnd"/>
      <w:r w:rsidR="000A4449" w:rsidRPr="000A4449">
        <w:rPr>
          <w:kern w:val="22"/>
        </w:rPr>
        <w:t xml:space="preserve">-resistant </w:t>
      </w:r>
      <w:r w:rsidR="000A4449" w:rsidRPr="000A4449">
        <w:rPr>
          <w:i/>
          <w:iCs/>
          <w:kern w:val="22"/>
        </w:rPr>
        <w:t>S. aureus</w:t>
      </w:r>
      <w:r w:rsidR="000A4449" w:rsidRPr="000A4449">
        <w:rPr>
          <w:kern w:val="22"/>
        </w:rPr>
        <w:t xml:space="preserve"> </w:t>
      </w:r>
      <w:r w:rsidR="000A4449">
        <w:rPr>
          <w:kern w:val="22"/>
        </w:rPr>
        <w:t>(</w:t>
      </w:r>
      <w:r w:rsidRPr="00D35641">
        <w:rPr>
          <w:kern w:val="22"/>
        </w:rPr>
        <w:t>MRSA</w:t>
      </w:r>
      <w:r w:rsidR="000A4449">
        <w:rPr>
          <w:kern w:val="22"/>
        </w:rPr>
        <w:t>)</w:t>
      </w:r>
      <w:r w:rsidRPr="00D35641">
        <w:rPr>
          <w:kern w:val="22"/>
        </w:rPr>
        <w:t xml:space="preserve"> isolates tested were inhibited by </w:t>
      </w:r>
      <w:r w:rsidR="009D1E2A">
        <w:rPr>
          <w:kern w:val="22"/>
        </w:rPr>
        <w:t>≤</w:t>
      </w:r>
      <w:r w:rsidRPr="00D35641">
        <w:rPr>
          <w:kern w:val="22"/>
        </w:rPr>
        <w:t xml:space="preserve">0.25 µg/mL of retapamulin. A total of 19 </w:t>
      </w:r>
      <w:r w:rsidRPr="00D35641">
        <w:rPr>
          <w:i/>
          <w:kern w:val="22"/>
        </w:rPr>
        <w:t>S. aureus</w:t>
      </w:r>
      <w:r w:rsidRPr="00D35641">
        <w:rPr>
          <w:kern w:val="22"/>
        </w:rPr>
        <w:t xml:space="preserve"> or </w:t>
      </w:r>
      <w:r w:rsidRPr="00D35641">
        <w:rPr>
          <w:i/>
          <w:kern w:val="22"/>
        </w:rPr>
        <w:t>S. pyogenes</w:t>
      </w:r>
      <w:r w:rsidR="000A4449">
        <w:rPr>
          <w:kern w:val="22"/>
        </w:rPr>
        <w:t xml:space="preserve"> isolates with MICs of ≥ 2 </w:t>
      </w:r>
      <w:r w:rsidRPr="00D35641">
        <w:rPr>
          <w:kern w:val="22"/>
        </w:rPr>
        <w:t xml:space="preserve">µg/mL were identified. The mechanism of resistance for these isolates was shown to be efflux for 9 isolates, </w:t>
      </w:r>
      <w:proofErr w:type="spellStart"/>
      <w:r w:rsidRPr="00D35641">
        <w:rPr>
          <w:kern w:val="22"/>
        </w:rPr>
        <w:t>methyltransferase</w:t>
      </w:r>
      <w:proofErr w:type="spellEnd"/>
      <w:r w:rsidRPr="00D35641">
        <w:rPr>
          <w:kern w:val="22"/>
        </w:rPr>
        <w:t xml:space="preserve"> for 1 isolate, and is unknown</w:t>
      </w:r>
      <w:r w:rsidR="008F5C87">
        <w:rPr>
          <w:kern w:val="22"/>
        </w:rPr>
        <w:t xml:space="preserve"> for the remaining 9 isolates.</w:t>
      </w:r>
    </w:p>
    <w:p w:rsidR="00D35641" w:rsidRPr="00D35641" w:rsidRDefault="00D35641" w:rsidP="00D35641">
      <w:pPr>
        <w:rPr>
          <w:kern w:val="22"/>
        </w:rPr>
      </w:pPr>
      <w:r w:rsidRPr="00D35641">
        <w:rPr>
          <w:kern w:val="22"/>
        </w:rPr>
        <w:t xml:space="preserve">The </w:t>
      </w:r>
      <w:r w:rsidR="009D1E2A">
        <w:rPr>
          <w:kern w:val="22"/>
        </w:rPr>
        <w:t xml:space="preserve">sponsor’s </w:t>
      </w:r>
      <w:r w:rsidR="005F11BC" w:rsidRPr="005F11BC">
        <w:rPr>
          <w:i/>
          <w:iCs/>
          <w:kern w:val="22"/>
        </w:rPr>
        <w:t>Risk Assessment of Microbial Resistance</w:t>
      </w:r>
      <w:r w:rsidR="005F11BC">
        <w:rPr>
          <w:kern w:val="22"/>
        </w:rPr>
        <w:t xml:space="preserve"> </w:t>
      </w:r>
      <w:r w:rsidRPr="00D35641">
        <w:rPr>
          <w:kern w:val="22"/>
        </w:rPr>
        <w:t xml:space="preserve">included 2 </w:t>
      </w:r>
      <w:r w:rsidRPr="00D35641">
        <w:rPr>
          <w:i/>
          <w:kern w:val="22"/>
        </w:rPr>
        <w:t>in vitro</w:t>
      </w:r>
      <w:r w:rsidRPr="00D35641">
        <w:rPr>
          <w:kern w:val="22"/>
        </w:rPr>
        <w:t xml:space="preserve"> studies of Australian clinical isolates. The first study tested retapamulin activity against 1,166 </w:t>
      </w:r>
      <w:r w:rsidRPr="00D35641">
        <w:rPr>
          <w:i/>
          <w:kern w:val="22"/>
        </w:rPr>
        <w:t xml:space="preserve">S. </w:t>
      </w:r>
      <w:proofErr w:type="spellStart"/>
      <w:r w:rsidRPr="00D35641">
        <w:rPr>
          <w:i/>
          <w:kern w:val="22"/>
        </w:rPr>
        <w:t>aureus</w:t>
      </w:r>
      <w:proofErr w:type="spellEnd"/>
      <w:r w:rsidRPr="00D35641">
        <w:rPr>
          <w:kern w:val="22"/>
        </w:rPr>
        <w:t xml:space="preserve">, 23 </w:t>
      </w:r>
      <w:proofErr w:type="spellStart"/>
      <w:r w:rsidRPr="00D35641">
        <w:rPr>
          <w:kern w:val="22"/>
        </w:rPr>
        <w:t>coagulase</w:t>
      </w:r>
      <w:proofErr w:type="spellEnd"/>
      <w:r w:rsidRPr="00D35641">
        <w:rPr>
          <w:kern w:val="22"/>
        </w:rPr>
        <w:t>-negative staphylococcal (</w:t>
      </w:r>
      <w:proofErr w:type="spellStart"/>
      <w:r w:rsidRPr="00D35641">
        <w:rPr>
          <w:kern w:val="22"/>
        </w:rPr>
        <w:t>CoNS</w:t>
      </w:r>
      <w:proofErr w:type="spellEnd"/>
      <w:r w:rsidRPr="00D35641">
        <w:rPr>
          <w:kern w:val="22"/>
        </w:rPr>
        <w:t xml:space="preserve">) and 111 </w:t>
      </w:r>
      <w:r w:rsidRPr="00D35641">
        <w:rPr>
          <w:i/>
          <w:kern w:val="22"/>
        </w:rPr>
        <w:t>S. pyogenes</w:t>
      </w:r>
      <w:r w:rsidRPr="00D35641">
        <w:rPr>
          <w:kern w:val="22"/>
        </w:rPr>
        <w:t xml:space="preserve"> clinical isolates recovered from hospitalised patients with documented infection in Australia, collected as part of the SENTRY surveillance program for 2009-2010. Retapamulin was active against all </w:t>
      </w:r>
      <w:r w:rsidRPr="00D35641">
        <w:rPr>
          <w:i/>
          <w:kern w:val="22"/>
        </w:rPr>
        <w:t>S. aureus</w:t>
      </w:r>
      <w:r w:rsidRPr="00D35641">
        <w:rPr>
          <w:kern w:val="22"/>
        </w:rPr>
        <w:t xml:space="preserve"> isolates (MIC</w:t>
      </w:r>
      <w:r w:rsidRPr="00D35641">
        <w:rPr>
          <w:kern w:val="22"/>
          <w:vertAlign w:val="subscript"/>
        </w:rPr>
        <w:t xml:space="preserve">50/90 </w:t>
      </w:r>
      <w:r w:rsidRPr="00D35641">
        <w:rPr>
          <w:kern w:val="22"/>
        </w:rPr>
        <w:t xml:space="preserve">= 0.06/0.12 mg/L), regardless of susceptibility to </w:t>
      </w:r>
      <w:proofErr w:type="spellStart"/>
      <w:r w:rsidRPr="00D35641">
        <w:rPr>
          <w:kern w:val="22"/>
        </w:rPr>
        <w:t>oxacillin</w:t>
      </w:r>
      <w:proofErr w:type="spellEnd"/>
      <w:r w:rsidRPr="00D35641">
        <w:rPr>
          <w:kern w:val="22"/>
        </w:rPr>
        <w:t xml:space="preserve"> or </w:t>
      </w:r>
      <w:proofErr w:type="spellStart"/>
      <w:r w:rsidRPr="00D35641">
        <w:rPr>
          <w:kern w:val="22"/>
        </w:rPr>
        <w:t>mupirocin</w:t>
      </w:r>
      <w:proofErr w:type="spellEnd"/>
      <w:r w:rsidRPr="00D35641">
        <w:rPr>
          <w:kern w:val="22"/>
        </w:rPr>
        <w:t>, and inhibited all strains at ≥0.25 mg/L (modal MIC = 0.06 mg/L), except for 2 strains with reproducible MICs of 2 mg/L. MIC</w:t>
      </w:r>
      <w:r w:rsidRPr="00D35641">
        <w:rPr>
          <w:kern w:val="22"/>
          <w:vertAlign w:val="subscript"/>
        </w:rPr>
        <w:t>50/90</w:t>
      </w:r>
      <w:r w:rsidRPr="00D35641">
        <w:rPr>
          <w:kern w:val="22"/>
        </w:rPr>
        <w:t xml:space="preserve"> values against </w:t>
      </w:r>
      <w:proofErr w:type="spellStart"/>
      <w:r w:rsidRPr="00D35641">
        <w:rPr>
          <w:kern w:val="22"/>
        </w:rPr>
        <w:t>CoNS</w:t>
      </w:r>
      <w:proofErr w:type="spellEnd"/>
      <w:r w:rsidRPr="00D35641">
        <w:rPr>
          <w:kern w:val="22"/>
        </w:rPr>
        <w:t xml:space="preserve"> strains were 0.06/0.12 mg/L. Higher MIC</w:t>
      </w:r>
      <w:r w:rsidRPr="00D35641">
        <w:rPr>
          <w:kern w:val="22"/>
          <w:vertAlign w:val="subscript"/>
        </w:rPr>
        <w:t>90</w:t>
      </w:r>
      <w:r w:rsidR="00042313">
        <w:rPr>
          <w:kern w:val="22"/>
        </w:rPr>
        <w:t xml:space="preserve"> </w:t>
      </w:r>
      <w:r w:rsidRPr="00D35641">
        <w:rPr>
          <w:kern w:val="22"/>
        </w:rPr>
        <w:t>values were observed due to a small sample size (23 isolates) and detection of 3 isolates with non-</w:t>
      </w:r>
      <w:proofErr w:type="spellStart"/>
      <w:r w:rsidRPr="00D35641">
        <w:rPr>
          <w:kern w:val="22"/>
        </w:rPr>
        <w:t>wildtype</w:t>
      </w:r>
      <w:proofErr w:type="spellEnd"/>
      <w:r w:rsidRPr="00D35641">
        <w:rPr>
          <w:kern w:val="22"/>
        </w:rPr>
        <w:t xml:space="preserve"> MICs (0.5-32 mg/L). Retapamulin MIC</w:t>
      </w:r>
      <w:r w:rsidRPr="00D35641">
        <w:rPr>
          <w:kern w:val="22"/>
          <w:vertAlign w:val="subscript"/>
        </w:rPr>
        <w:t xml:space="preserve">50/90 </w:t>
      </w:r>
      <w:r w:rsidRPr="00D35641">
        <w:rPr>
          <w:kern w:val="22"/>
        </w:rPr>
        <w:t xml:space="preserve">values against </w:t>
      </w:r>
      <w:r w:rsidRPr="00D35641">
        <w:rPr>
          <w:i/>
          <w:kern w:val="22"/>
        </w:rPr>
        <w:t>S. pyogenes</w:t>
      </w:r>
      <w:r w:rsidRPr="00D35641">
        <w:rPr>
          <w:kern w:val="22"/>
        </w:rPr>
        <w:t xml:space="preserve"> were ≤0.015/≤0.015 mg/L (111 isolates). The second study showed that retapamulin at concentrations of ≤1 mg/L was active against all 111 </w:t>
      </w:r>
      <w:proofErr w:type="spellStart"/>
      <w:r w:rsidRPr="00D35641">
        <w:rPr>
          <w:i/>
          <w:kern w:val="22"/>
        </w:rPr>
        <w:t>Propionibacterium</w:t>
      </w:r>
      <w:proofErr w:type="spellEnd"/>
      <w:r w:rsidRPr="00D35641">
        <w:rPr>
          <w:i/>
          <w:kern w:val="22"/>
        </w:rPr>
        <w:t xml:space="preserve"> </w:t>
      </w:r>
      <w:r w:rsidR="00042313">
        <w:rPr>
          <w:i/>
          <w:kern w:val="22"/>
        </w:rPr>
        <w:t xml:space="preserve">(P.) </w:t>
      </w:r>
      <w:r w:rsidRPr="00D35641">
        <w:rPr>
          <w:i/>
          <w:kern w:val="22"/>
        </w:rPr>
        <w:t>acnes</w:t>
      </w:r>
      <w:r w:rsidRPr="00D35641">
        <w:rPr>
          <w:kern w:val="22"/>
        </w:rPr>
        <w:t xml:space="preserve"> clinical isolates collected in Australia from acne </w:t>
      </w:r>
      <w:r w:rsidR="008F5C87">
        <w:rPr>
          <w:kern w:val="22"/>
        </w:rPr>
        <w:t>skin (86.9%) and blood (13.1%).</w:t>
      </w:r>
    </w:p>
    <w:p w:rsidR="00D35641" w:rsidRPr="00042313" w:rsidRDefault="00D35641" w:rsidP="00042313">
      <w:r w:rsidRPr="00042313">
        <w:t xml:space="preserve">Retapamulin also showed </w:t>
      </w:r>
      <w:r w:rsidRPr="00042313">
        <w:rPr>
          <w:i/>
          <w:iCs/>
        </w:rPr>
        <w:t>in vitro</w:t>
      </w:r>
      <w:r w:rsidRPr="00042313">
        <w:t xml:space="preserve"> activity against most strains of </w:t>
      </w:r>
      <w:r w:rsidRPr="00042313">
        <w:rPr>
          <w:i/>
          <w:iCs/>
        </w:rPr>
        <w:t xml:space="preserve">Staphylococcus </w:t>
      </w:r>
      <w:proofErr w:type="spellStart"/>
      <w:r w:rsidRPr="00042313">
        <w:rPr>
          <w:i/>
          <w:iCs/>
        </w:rPr>
        <w:t>epidermidis</w:t>
      </w:r>
      <w:proofErr w:type="spellEnd"/>
      <w:r w:rsidRPr="00042313">
        <w:t xml:space="preserve">, </w:t>
      </w:r>
      <w:r w:rsidRPr="00042313">
        <w:rPr>
          <w:i/>
          <w:iCs/>
        </w:rPr>
        <w:t xml:space="preserve">Streptococcus </w:t>
      </w:r>
      <w:proofErr w:type="spellStart"/>
      <w:r w:rsidRPr="00042313">
        <w:rPr>
          <w:i/>
          <w:iCs/>
        </w:rPr>
        <w:t>agalactiae</w:t>
      </w:r>
      <w:proofErr w:type="spellEnd"/>
      <w:r w:rsidRPr="00042313">
        <w:t xml:space="preserve">, </w:t>
      </w:r>
      <w:proofErr w:type="spellStart"/>
      <w:r w:rsidRPr="00042313">
        <w:rPr>
          <w:i/>
          <w:iCs/>
        </w:rPr>
        <w:t>viridans</w:t>
      </w:r>
      <w:proofErr w:type="spellEnd"/>
      <w:r w:rsidRPr="00042313">
        <w:rPr>
          <w:i/>
          <w:iCs/>
        </w:rPr>
        <w:t xml:space="preserve"> </w:t>
      </w:r>
      <w:r w:rsidRPr="00042313">
        <w:t xml:space="preserve">streptococci, </w:t>
      </w:r>
      <w:r w:rsidRPr="00042313">
        <w:rPr>
          <w:i/>
          <w:iCs/>
        </w:rPr>
        <w:t>P. acnes</w:t>
      </w:r>
      <w:r w:rsidRPr="00042313">
        <w:t xml:space="preserve">, </w:t>
      </w:r>
      <w:proofErr w:type="spellStart"/>
      <w:r w:rsidRPr="00042313">
        <w:rPr>
          <w:i/>
          <w:iCs/>
        </w:rPr>
        <w:t>Peptostreptococcus</w:t>
      </w:r>
      <w:proofErr w:type="spellEnd"/>
      <w:r w:rsidRPr="00042313">
        <w:rPr>
          <w:i/>
          <w:iCs/>
        </w:rPr>
        <w:t xml:space="preserve"> </w:t>
      </w:r>
      <w:r w:rsidRPr="00042313">
        <w:t xml:space="preserve">species, </w:t>
      </w:r>
      <w:proofErr w:type="spellStart"/>
      <w:r w:rsidRPr="00042313">
        <w:rPr>
          <w:i/>
          <w:iCs/>
        </w:rPr>
        <w:t>Prevotella</w:t>
      </w:r>
      <w:proofErr w:type="spellEnd"/>
      <w:r w:rsidRPr="00042313">
        <w:t xml:space="preserve"> species, </w:t>
      </w:r>
      <w:proofErr w:type="spellStart"/>
      <w:r w:rsidRPr="00042313">
        <w:rPr>
          <w:i/>
          <w:iCs/>
        </w:rPr>
        <w:t>Fusobacterium</w:t>
      </w:r>
      <w:proofErr w:type="spellEnd"/>
      <w:r w:rsidRPr="00042313">
        <w:t xml:space="preserve"> species, and </w:t>
      </w:r>
      <w:proofErr w:type="spellStart"/>
      <w:r w:rsidRPr="00042313">
        <w:rPr>
          <w:i/>
          <w:iCs/>
        </w:rPr>
        <w:t>Porphyromonas</w:t>
      </w:r>
      <w:proofErr w:type="spellEnd"/>
      <w:r w:rsidRPr="00042313">
        <w:t xml:space="preserve"> species, the clinical significance of these </w:t>
      </w:r>
      <w:r w:rsidRPr="00042313">
        <w:rPr>
          <w:i/>
          <w:iCs/>
        </w:rPr>
        <w:t>in vitro</w:t>
      </w:r>
      <w:r w:rsidR="008F5C87">
        <w:t xml:space="preserve"> findings is not known.</w:t>
      </w:r>
    </w:p>
    <w:p w:rsidR="00D35641" w:rsidRPr="00D35641" w:rsidRDefault="00D35641" w:rsidP="00D35641">
      <w:pPr>
        <w:rPr>
          <w:kern w:val="22"/>
        </w:rPr>
      </w:pPr>
      <w:r w:rsidRPr="00D35641">
        <w:rPr>
          <w:kern w:val="22"/>
        </w:rPr>
        <w:t xml:space="preserve">In an </w:t>
      </w:r>
      <w:r w:rsidRPr="00D35641">
        <w:rPr>
          <w:i/>
          <w:kern w:val="22"/>
        </w:rPr>
        <w:t>in</w:t>
      </w:r>
      <w:r w:rsidRPr="00D35641">
        <w:rPr>
          <w:kern w:val="22"/>
        </w:rPr>
        <w:t xml:space="preserve"> </w:t>
      </w:r>
      <w:r w:rsidRPr="00D35641">
        <w:rPr>
          <w:i/>
          <w:kern w:val="22"/>
        </w:rPr>
        <w:t>vivo</w:t>
      </w:r>
      <w:r w:rsidRPr="00D35641">
        <w:rPr>
          <w:kern w:val="22"/>
        </w:rPr>
        <w:t xml:space="preserve"> </w:t>
      </w:r>
      <w:r w:rsidR="00A50AA7">
        <w:rPr>
          <w:kern w:val="22"/>
        </w:rPr>
        <w:t>ex</w:t>
      </w:r>
      <w:r w:rsidRPr="00D35641">
        <w:rPr>
          <w:kern w:val="22"/>
        </w:rPr>
        <w:t>perimental surgical wound infection model</w:t>
      </w:r>
      <w:r w:rsidR="00A50AA7">
        <w:rPr>
          <w:kern w:val="22"/>
        </w:rPr>
        <w:t xml:space="preserve"> in mice</w:t>
      </w:r>
      <w:r w:rsidRPr="00D35641">
        <w:rPr>
          <w:kern w:val="22"/>
        </w:rPr>
        <w:t xml:space="preserve">, </w:t>
      </w:r>
      <w:r w:rsidR="00042313">
        <w:rPr>
          <w:kern w:val="22"/>
        </w:rPr>
        <w:t>twice daily (</w:t>
      </w:r>
      <w:r w:rsidRPr="00D35641">
        <w:rPr>
          <w:kern w:val="22"/>
        </w:rPr>
        <w:t>BD</w:t>
      </w:r>
      <w:r w:rsidR="00042313">
        <w:rPr>
          <w:kern w:val="22"/>
        </w:rPr>
        <w:t>)</w:t>
      </w:r>
      <w:r w:rsidRPr="00D35641">
        <w:rPr>
          <w:kern w:val="22"/>
        </w:rPr>
        <w:t xml:space="preserve"> or </w:t>
      </w:r>
      <w:r w:rsidR="00042313">
        <w:rPr>
          <w:kern w:val="22"/>
        </w:rPr>
        <w:t>three times daily (</w:t>
      </w:r>
      <w:r w:rsidRPr="00D35641">
        <w:rPr>
          <w:kern w:val="22"/>
        </w:rPr>
        <w:t>TID</w:t>
      </w:r>
      <w:r w:rsidR="00042313">
        <w:rPr>
          <w:kern w:val="22"/>
        </w:rPr>
        <w:t>)</w:t>
      </w:r>
      <w:r w:rsidRPr="00D35641">
        <w:rPr>
          <w:kern w:val="22"/>
        </w:rPr>
        <w:t xml:space="preserve"> application of retapamulin as a 1% w/w ointment for 4 days was effective against </w:t>
      </w:r>
      <w:r w:rsidR="00042313">
        <w:rPr>
          <w:i/>
          <w:kern w:val="22"/>
        </w:rPr>
        <w:t>S</w:t>
      </w:r>
      <w:r w:rsidR="00DA50F7">
        <w:rPr>
          <w:i/>
          <w:kern w:val="22"/>
        </w:rPr>
        <w:t xml:space="preserve">. </w:t>
      </w:r>
      <w:proofErr w:type="spellStart"/>
      <w:r w:rsidRPr="00D35641">
        <w:rPr>
          <w:i/>
          <w:kern w:val="22"/>
        </w:rPr>
        <w:t>aureus</w:t>
      </w:r>
      <w:proofErr w:type="spellEnd"/>
      <w:r w:rsidRPr="00D35641">
        <w:rPr>
          <w:i/>
          <w:kern w:val="22"/>
        </w:rPr>
        <w:t xml:space="preserve"> </w:t>
      </w:r>
      <w:proofErr w:type="spellStart"/>
      <w:r w:rsidRPr="00D35641">
        <w:rPr>
          <w:kern w:val="22"/>
        </w:rPr>
        <w:t>methicillin</w:t>
      </w:r>
      <w:proofErr w:type="spellEnd"/>
      <w:r w:rsidRPr="00D35641">
        <w:rPr>
          <w:kern w:val="22"/>
        </w:rPr>
        <w:t>-</w:t>
      </w:r>
      <w:r w:rsidR="00E02DE1" w:rsidRPr="00E02DE1">
        <w:rPr>
          <w:kern w:val="22"/>
        </w:rPr>
        <w:t>resistant</w:t>
      </w:r>
      <w:r w:rsidRPr="00D35641">
        <w:rPr>
          <w:kern w:val="22"/>
        </w:rPr>
        <w:t xml:space="preserve"> and low or high level </w:t>
      </w:r>
      <w:proofErr w:type="spellStart"/>
      <w:r w:rsidRPr="00D35641">
        <w:rPr>
          <w:kern w:val="22"/>
        </w:rPr>
        <w:t>mupirocin</w:t>
      </w:r>
      <w:proofErr w:type="spellEnd"/>
      <w:r w:rsidRPr="00D35641">
        <w:rPr>
          <w:kern w:val="22"/>
        </w:rPr>
        <w:t xml:space="preserve">-resistant isolates of </w:t>
      </w:r>
      <w:r w:rsidRPr="00D35641">
        <w:rPr>
          <w:i/>
          <w:iCs/>
          <w:kern w:val="22"/>
        </w:rPr>
        <w:t xml:space="preserve">S. aureus </w:t>
      </w:r>
      <w:r w:rsidRPr="00D35641">
        <w:rPr>
          <w:kern w:val="22"/>
        </w:rPr>
        <w:t>as well as</w:t>
      </w:r>
      <w:r w:rsidRPr="00D35641">
        <w:rPr>
          <w:iCs/>
          <w:kern w:val="22"/>
        </w:rPr>
        <w:t xml:space="preserve"> </w:t>
      </w:r>
      <w:r w:rsidRPr="00D35641">
        <w:rPr>
          <w:i/>
          <w:iCs/>
          <w:kern w:val="22"/>
        </w:rPr>
        <w:t>S. pyogenes 257</w:t>
      </w:r>
      <w:r w:rsidRPr="00D35641">
        <w:rPr>
          <w:kern w:val="22"/>
        </w:rPr>
        <w:t xml:space="preserve">. The efficacy of 1% retapamulin was similar to or better than that obtained with TID application of </w:t>
      </w:r>
      <w:proofErr w:type="spellStart"/>
      <w:r w:rsidRPr="00D35641">
        <w:rPr>
          <w:kern w:val="22"/>
        </w:rPr>
        <w:t>mupirocin</w:t>
      </w:r>
      <w:proofErr w:type="spellEnd"/>
      <w:r w:rsidRPr="00D35641">
        <w:rPr>
          <w:kern w:val="22"/>
        </w:rPr>
        <w:t xml:space="preserve"> (1% or 2% w/w ointment) or </w:t>
      </w:r>
      <w:proofErr w:type="spellStart"/>
      <w:r w:rsidRPr="00D35641">
        <w:rPr>
          <w:kern w:val="22"/>
        </w:rPr>
        <w:t>fusidic</w:t>
      </w:r>
      <w:proofErr w:type="spellEnd"/>
      <w:r w:rsidRPr="00D35641">
        <w:rPr>
          <w:kern w:val="22"/>
        </w:rPr>
        <w:t xml:space="preserve"> acid (2% w/w cream). Local skin concentrations of retapamulin were not measured. Other animal models of skin infection were not assessed. These results were considered to support the proposed use in the treatment of patients with uncomplicated bacterial skin infections which are caused by infection with </w:t>
      </w:r>
      <w:r w:rsidRPr="00D35641">
        <w:rPr>
          <w:i/>
          <w:kern w:val="22"/>
        </w:rPr>
        <w:t>S</w:t>
      </w:r>
      <w:r w:rsidR="0033471F">
        <w:rPr>
          <w:i/>
          <w:kern w:val="22"/>
        </w:rPr>
        <w:t xml:space="preserve">. </w:t>
      </w:r>
      <w:r w:rsidRPr="00D35641">
        <w:rPr>
          <w:i/>
          <w:kern w:val="22"/>
        </w:rPr>
        <w:t>aureus</w:t>
      </w:r>
      <w:r w:rsidRPr="00D35641">
        <w:rPr>
          <w:kern w:val="22"/>
        </w:rPr>
        <w:t xml:space="preserve"> or </w:t>
      </w:r>
      <w:r w:rsidR="0033471F" w:rsidRPr="0033471F">
        <w:rPr>
          <w:i/>
          <w:iCs/>
          <w:kern w:val="22"/>
        </w:rPr>
        <w:t>S.</w:t>
      </w:r>
      <w:r w:rsidR="0033471F">
        <w:rPr>
          <w:i/>
          <w:iCs/>
          <w:kern w:val="22"/>
        </w:rPr>
        <w:t> </w:t>
      </w:r>
      <w:r w:rsidRPr="00D35641">
        <w:rPr>
          <w:i/>
          <w:kern w:val="22"/>
        </w:rPr>
        <w:t>pyogenes</w:t>
      </w:r>
      <w:r w:rsidRPr="00D35641">
        <w:rPr>
          <w:kern w:val="22"/>
        </w:rPr>
        <w:t>.</w:t>
      </w:r>
    </w:p>
    <w:p w:rsidR="00D35641" w:rsidRPr="00D35641" w:rsidRDefault="00D35641" w:rsidP="006A0E86">
      <w:pPr>
        <w:pStyle w:val="Heading5"/>
        <w:rPr>
          <w:kern w:val="22"/>
        </w:rPr>
      </w:pPr>
      <w:r w:rsidRPr="00D35641">
        <w:rPr>
          <w:kern w:val="22"/>
        </w:rPr>
        <w:lastRenderedPageBreak/>
        <w:t>Interaction with other antibiotics</w:t>
      </w:r>
    </w:p>
    <w:p w:rsidR="00D35641" w:rsidRPr="00D35641" w:rsidRDefault="00D35641" w:rsidP="00D35641">
      <w:pPr>
        <w:rPr>
          <w:kern w:val="22"/>
        </w:rPr>
      </w:pPr>
      <w:r w:rsidRPr="00D35641">
        <w:rPr>
          <w:kern w:val="22"/>
        </w:rPr>
        <w:t xml:space="preserve">The </w:t>
      </w:r>
      <w:r w:rsidRPr="00D35641">
        <w:rPr>
          <w:i/>
          <w:kern w:val="22"/>
        </w:rPr>
        <w:t>in vitro</w:t>
      </w:r>
      <w:r w:rsidRPr="00D35641">
        <w:rPr>
          <w:kern w:val="22"/>
        </w:rPr>
        <w:t xml:space="preserve"> bactericidal activity of retapamulin alone and in combination with each of 8 antibiotics from different classes (</w:t>
      </w:r>
      <w:proofErr w:type="spellStart"/>
      <w:r w:rsidRPr="00D35641">
        <w:rPr>
          <w:kern w:val="22"/>
        </w:rPr>
        <w:t>bacitracin</w:t>
      </w:r>
      <w:proofErr w:type="spellEnd"/>
      <w:r w:rsidRPr="00D35641">
        <w:rPr>
          <w:kern w:val="22"/>
        </w:rPr>
        <w:t xml:space="preserve">, </w:t>
      </w:r>
      <w:proofErr w:type="spellStart"/>
      <w:r w:rsidRPr="00D35641">
        <w:rPr>
          <w:kern w:val="22"/>
        </w:rPr>
        <w:t>clindamycin</w:t>
      </w:r>
      <w:proofErr w:type="spellEnd"/>
      <w:r w:rsidRPr="00D35641">
        <w:rPr>
          <w:kern w:val="22"/>
        </w:rPr>
        <w:t xml:space="preserve">, ciprofloxacin, </w:t>
      </w:r>
      <w:proofErr w:type="spellStart"/>
      <w:r w:rsidRPr="00D35641">
        <w:rPr>
          <w:kern w:val="22"/>
        </w:rPr>
        <w:t>cephalothin</w:t>
      </w:r>
      <w:proofErr w:type="spellEnd"/>
      <w:r w:rsidRPr="00D35641">
        <w:rPr>
          <w:kern w:val="22"/>
        </w:rPr>
        <w:t xml:space="preserve">, erythromycin, </w:t>
      </w:r>
      <w:proofErr w:type="spellStart"/>
      <w:r w:rsidRPr="00D35641">
        <w:rPr>
          <w:kern w:val="22"/>
        </w:rPr>
        <w:t>gentamicin</w:t>
      </w:r>
      <w:proofErr w:type="spellEnd"/>
      <w:r w:rsidRPr="00D35641">
        <w:rPr>
          <w:kern w:val="22"/>
        </w:rPr>
        <w:t xml:space="preserve">, neomycin, and tetracycline) was evaluated using time-kill methods against one isolate each of MRSA and </w:t>
      </w:r>
      <w:proofErr w:type="spellStart"/>
      <w:r w:rsidRPr="00D35641">
        <w:rPr>
          <w:kern w:val="22"/>
        </w:rPr>
        <w:t>methicillin</w:t>
      </w:r>
      <w:proofErr w:type="spellEnd"/>
      <w:r w:rsidRPr="00D35641">
        <w:rPr>
          <w:kern w:val="22"/>
        </w:rPr>
        <w:t xml:space="preserve"> sensitive </w:t>
      </w:r>
      <w:r w:rsidRPr="00D35641">
        <w:rPr>
          <w:i/>
          <w:kern w:val="22"/>
        </w:rPr>
        <w:t>S</w:t>
      </w:r>
      <w:r w:rsidR="00DA50F7">
        <w:rPr>
          <w:i/>
          <w:kern w:val="22"/>
        </w:rPr>
        <w:t xml:space="preserve">. </w:t>
      </w:r>
      <w:r w:rsidRPr="00D35641">
        <w:rPr>
          <w:i/>
          <w:kern w:val="22"/>
        </w:rPr>
        <w:t>aureus</w:t>
      </w:r>
      <w:r w:rsidRPr="00D35641">
        <w:rPr>
          <w:kern w:val="22"/>
        </w:rPr>
        <w:t xml:space="preserve"> </w:t>
      </w:r>
      <w:r w:rsidR="0033471F">
        <w:rPr>
          <w:kern w:val="22"/>
        </w:rPr>
        <w:t>(</w:t>
      </w:r>
      <w:r w:rsidRPr="00D35641">
        <w:rPr>
          <w:kern w:val="22"/>
        </w:rPr>
        <w:t>MSSA</w:t>
      </w:r>
      <w:r w:rsidR="0033471F">
        <w:rPr>
          <w:kern w:val="22"/>
        </w:rPr>
        <w:t>)</w:t>
      </w:r>
      <w:r w:rsidRPr="00D35641">
        <w:rPr>
          <w:kern w:val="22"/>
        </w:rPr>
        <w:t xml:space="preserve"> and </w:t>
      </w:r>
      <w:r w:rsidRPr="0033471F">
        <w:rPr>
          <w:i/>
          <w:iCs/>
          <w:kern w:val="22"/>
        </w:rPr>
        <w:t>S. pyogenes</w:t>
      </w:r>
      <w:r w:rsidRPr="00D35641">
        <w:rPr>
          <w:kern w:val="22"/>
        </w:rPr>
        <w:t>. All compounds were tested over the range of concentrations (</w:t>
      </w:r>
      <w:r w:rsidR="0033471F">
        <w:rPr>
          <w:kern w:val="22"/>
        </w:rPr>
        <w:t>¼</w:t>
      </w:r>
      <w:r w:rsidRPr="00D35641">
        <w:rPr>
          <w:kern w:val="22"/>
        </w:rPr>
        <w:t xml:space="preserve"> </w:t>
      </w:r>
      <w:r w:rsidR="0033471F">
        <w:rPr>
          <w:kern w:val="22"/>
        </w:rPr>
        <w:t xml:space="preserve">times the </w:t>
      </w:r>
      <w:r w:rsidRPr="00D35641">
        <w:rPr>
          <w:kern w:val="22"/>
        </w:rPr>
        <w:t xml:space="preserve">MIC, 1 </w:t>
      </w:r>
      <w:r w:rsidR="0033471F">
        <w:rPr>
          <w:kern w:val="22"/>
        </w:rPr>
        <w:t xml:space="preserve">times the </w:t>
      </w:r>
      <w:r w:rsidRPr="00D35641">
        <w:rPr>
          <w:kern w:val="22"/>
        </w:rPr>
        <w:t xml:space="preserve">MIC, 4 </w:t>
      </w:r>
      <w:proofErr w:type="gramStart"/>
      <w:r w:rsidR="0033471F">
        <w:rPr>
          <w:kern w:val="22"/>
        </w:rPr>
        <w:t>times the</w:t>
      </w:r>
      <w:proofErr w:type="gramEnd"/>
      <w:r w:rsidR="0033471F">
        <w:rPr>
          <w:kern w:val="22"/>
        </w:rPr>
        <w:t xml:space="preserve"> </w:t>
      </w:r>
      <w:r w:rsidRPr="00D35641">
        <w:rPr>
          <w:kern w:val="22"/>
        </w:rPr>
        <w:t xml:space="preserve">MIC). </w:t>
      </w:r>
      <w:r w:rsidRPr="00D35641">
        <w:rPr>
          <w:rFonts w:hint="eastAsia"/>
          <w:kern w:val="22"/>
        </w:rPr>
        <w:t xml:space="preserve">Synergy and antagonism were defined as a decrease of </w:t>
      </w:r>
      <w:r w:rsidR="0033471F">
        <w:rPr>
          <w:kern w:val="22"/>
        </w:rPr>
        <w:t>≥</w:t>
      </w:r>
      <w:r w:rsidR="00DA50F7">
        <w:rPr>
          <w:rFonts w:hint="eastAsia"/>
          <w:kern w:val="22"/>
        </w:rPr>
        <w:t>2</w:t>
      </w:r>
      <w:r w:rsidR="00DA50F7">
        <w:rPr>
          <w:kern w:val="22"/>
        </w:rPr>
        <w:t> </w:t>
      </w:r>
      <w:r w:rsidRPr="00D35641">
        <w:rPr>
          <w:rFonts w:hint="eastAsia"/>
          <w:kern w:val="22"/>
        </w:rPr>
        <w:t xml:space="preserve">log10 or increase of </w:t>
      </w:r>
      <w:r w:rsidR="0033471F">
        <w:rPr>
          <w:kern w:val="22"/>
        </w:rPr>
        <w:t>≥</w:t>
      </w:r>
      <w:r w:rsidRPr="00D35641">
        <w:rPr>
          <w:rFonts w:hint="eastAsia"/>
          <w:kern w:val="22"/>
        </w:rPr>
        <w:t>2 log10</w:t>
      </w:r>
      <w:r w:rsidRPr="00D35641">
        <w:rPr>
          <w:kern w:val="22"/>
        </w:rPr>
        <w:t>, in bacterial killing, assessed at 8 and 24 h</w:t>
      </w:r>
      <w:r w:rsidR="0033471F">
        <w:rPr>
          <w:kern w:val="22"/>
        </w:rPr>
        <w:t xml:space="preserve"> </w:t>
      </w:r>
      <w:r w:rsidRPr="00D35641">
        <w:rPr>
          <w:kern w:val="22"/>
        </w:rPr>
        <w:t xml:space="preserve">for the combination of drugs compared with the more active of the two compounds alone. Antagonism was detected after combination of retapamulin with the cell wall synthesis inhibitor </w:t>
      </w:r>
      <w:proofErr w:type="spellStart"/>
      <w:r w:rsidRPr="00D35641">
        <w:rPr>
          <w:kern w:val="22"/>
        </w:rPr>
        <w:t>cephalexin</w:t>
      </w:r>
      <w:proofErr w:type="spellEnd"/>
      <w:r w:rsidRPr="00D35641">
        <w:rPr>
          <w:kern w:val="22"/>
        </w:rPr>
        <w:t xml:space="preserve"> or the </w:t>
      </w:r>
      <w:r w:rsidR="0033471F">
        <w:rPr>
          <w:kern w:val="22"/>
        </w:rPr>
        <w:t>deoxyribonucleic acid (</w:t>
      </w:r>
      <w:r w:rsidRPr="00D35641">
        <w:rPr>
          <w:kern w:val="22"/>
        </w:rPr>
        <w:t>DNA</w:t>
      </w:r>
      <w:r w:rsidR="0033471F">
        <w:rPr>
          <w:kern w:val="22"/>
        </w:rPr>
        <w:t>)</w:t>
      </w:r>
      <w:r w:rsidRPr="00D35641">
        <w:rPr>
          <w:kern w:val="22"/>
        </w:rPr>
        <w:t xml:space="preserve"> </w:t>
      </w:r>
      <w:proofErr w:type="spellStart"/>
      <w:r w:rsidRPr="00D35641">
        <w:rPr>
          <w:kern w:val="22"/>
        </w:rPr>
        <w:t>gyrase</w:t>
      </w:r>
      <w:proofErr w:type="spellEnd"/>
      <w:r w:rsidRPr="00D35641">
        <w:rPr>
          <w:kern w:val="22"/>
        </w:rPr>
        <w:t xml:space="preserve"> inhibitor ciprofloxacin. Synergy was observed after combination of retapamulin with other antibiotics also interfering with protein synthesis, either by interaction with the 50s subunit (</w:t>
      </w:r>
      <w:proofErr w:type="spellStart"/>
      <w:r w:rsidRPr="00D35641">
        <w:rPr>
          <w:kern w:val="22"/>
        </w:rPr>
        <w:t>clindamycin</w:t>
      </w:r>
      <w:proofErr w:type="spellEnd"/>
      <w:r w:rsidRPr="00D35641">
        <w:rPr>
          <w:kern w:val="22"/>
        </w:rPr>
        <w:t>, erythromycin) or the 30s subunit (</w:t>
      </w:r>
      <w:proofErr w:type="spellStart"/>
      <w:r w:rsidRPr="00D35641">
        <w:rPr>
          <w:kern w:val="22"/>
        </w:rPr>
        <w:t>gentamicin</w:t>
      </w:r>
      <w:proofErr w:type="spellEnd"/>
      <w:r w:rsidRPr="00D35641">
        <w:rPr>
          <w:kern w:val="22"/>
        </w:rPr>
        <w:t xml:space="preserve">), as well as </w:t>
      </w:r>
      <w:proofErr w:type="spellStart"/>
      <w:r w:rsidRPr="00D35641">
        <w:rPr>
          <w:kern w:val="22"/>
        </w:rPr>
        <w:t>bacitracin</w:t>
      </w:r>
      <w:proofErr w:type="spellEnd"/>
      <w:r w:rsidRPr="00D35641">
        <w:rPr>
          <w:kern w:val="22"/>
        </w:rPr>
        <w:t xml:space="preserve"> whose antibacterial mechanism of action is inhibition of cell wall synthesis and alter</w:t>
      </w:r>
      <w:r w:rsidR="008F5C87">
        <w:rPr>
          <w:kern w:val="22"/>
        </w:rPr>
        <w:t>ation of membrane permeability.</w:t>
      </w:r>
    </w:p>
    <w:p w:rsidR="00D35641" w:rsidRPr="00D35641" w:rsidRDefault="00D35641" w:rsidP="006A0E86">
      <w:pPr>
        <w:pStyle w:val="Heading5"/>
        <w:rPr>
          <w:kern w:val="22"/>
        </w:rPr>
      </w:pPr>
      <w:r w:rsidRPr="00D35641">
        <w:rPr>
          <w:kern w:val="22"/>
        </w:rPr>
        <w:t>Resistance development</w:t>
      </w:r>
    </w:p>
    <w:p w:rsidR="00D35641" w:rsidRPr="00D35641" w:rsidRDefault="00D35641" w:rsidP="00D35641">
      <w:pPr>
        <w:rPr>
          <w:kern w:val="22"/>
        </w:rPr>
      </w:pPr>
      <w:r w:rsidRPr="00D35641">
        <w:rPr>
          <w:kern w:val="22"/>
        </w:rPr>
        <w:t>Three mechanisms of resistance have been determined for retap</w:t>
      </w:r>
      <w:r w:rsidR="00DC0D50">
        <w:rPr>
          <w:kern w:val="22"/>
        </w:rPr>
        <w:t>amulin: m</w:t>
      </w:r>
      <w:r w:rsidRPr="00D35641">
        <w:rPr>
          <w:kern w:val="22"/>
        </w:rPr>
        <w:t xml:space="preserve">utations in the ribosomal protein L3, presence of the </w:t>
      </w:r>
      <w:r w:rsidR="00DC0D50">
        <w:rPr>
          <w:kern w:val="22"/>
        </w:rPr>
        <w:t xml:space="preserve">adenosine </w:t>
      </w:r>
      <w:proofErr w:type="spellStart"/>
      <w:r w:rsidR="00DC0D50">
        <w:rPr>
          <w:kern w:val="22"/>
        </w:rPr>
        <w:t>triphosphate</w:t>
      </w:r>
      <w:proofErr w:type="spellEnd"/>
      <w:r w:rsidR="00DC0D50">
        <w:rPr>
          <w:kern w:val="22"/>
        </w:rPr>
        <w:t xml:space="preserve"> (ATP) binding cassette (</w:t>
      </w:r>
      <w:r w:rsidRPr="00D35641">
        <w:rPr>
          <w:kern w:val="22"/>
        </w:rPr>
        <w:t>ABC</w:t>
      </w:r>
      <w:r w:rsidR="00DC0D50">
        <w:rPr>
          <w:kern w:val="22"/>
        </w:rPr>
        <w:t>)</w:t>
      </w:r>
      <w:r w:rsidRPr="00D35641">
        <w:rPr>
          <w:kern w:val="22"/>
        </w:rPr>
        <w:t xml:space="preserve"> transporter </w:t>
      </w:r>
      <w:proofErr w:type="spellStart"/>
      <w:r w:rsidRPr="00DC0D50">
        <w:rPr>
          <w:i/>
          <w:iCs/>
          <w:kern w:val="22"/>
        </w:rPr>
        <w:t>vgaAv</w:t>
      </w:r>
      <w:proofErr w:type="spellEnd"/>
      <w:r w:rsidRPr="00D35641">
        <w:rPr>
          <w:kern w:val="22"/>
        </w:rPr>
        <w:t xml:space="preserve">, </w:t>
      </w:r>
      <w:r w:rsidR="00DC0D50">
        <w:rPr>
          <w:kern w:val="22"/>
        </w:rPr>
        <w:t xml:space="preserve">and </w:t>
      </w:r>
      <w:r w:rsidRPr="00D35641">
        <w:rPr>
          <w:kern w:val="22"/>
        </w:rPr>
        <w:t xml:space="preserve">presence of </w:t>
      </w:r>
      <w:proofErr w:type="spellStart"/>
      <w:r w:rsidRPr="00D35641">
        <w:rPr>
          <w:kern w:val="22"/>
        </w:rPr>
        <w:t>Cfr</w:t>
      </w:r>
      <w:proofErr w:type="spellEnd"/>
      <w:r w:rsidRPr="00D35641">
        <w:rPr>
          <w:kern w:val="22"/>
        </w:rPr>
        <w:t xml:space="preserve"> </w:t>
      </w:r>
      <w:proofErr w:type="spellStart"/>
      <w:r w:rsidRPr="00D35641">
        <w:rPr>
          <w:kern w:val="22"/>
        </w:rPr>
        <w:t>methyltransferase</w:t>
      </w:r>
      <w:proofErr w:type="spellEnd"/>
      <w:r w:rsidRPr="00D35641">
        <w:rPr>
          <w:kern w:val="22"/>
        </w:rPr>
        <w:t xml:space="preserve">. The presence of </w:t>
      </w:r>
      <w:proofErr w:type="spellStart"/>
      <w:r w:rsidRPr="00D35641">
        <w:rPr>
          <w:kern w:val="22"/>
        </w:rPr>
        <w:t>Cfr</w:t>
      </w:r>
      <w:proofErr w:type="spellEnd"/>
      <w:r w:rsidRPr="00D35641">
        <w:rPr>
          <w:kern w:val="22"/>
        </w:rPr>
        <w:t xml:space="preserve"> </w:t>
      </w:r>
      <w:proofErr w:type="spellStart"/>
      <w:r w:rsidRPr="00D35641">
        <w:rPr>
          <w:kern w:val="22"/>
        </w:rPr>
        <w:t>methyltransferase</w:t>
      </w:r>
      <w:proofErr w:type="spellEnd"/>
      <w:r w:rsidRPr="00D35641">
        <w:rPr>
          <w:kern w:val="22"/>
        </w:rPr>
        <w:t xml:space="preserve"> has been shown to confer resistance to </w:t>
      </w:r>
      <w:proofErr w:type="spellStart"/>
      <w:r w:rsidRPr="00D35641">
        <w:rPr>
          <w:kern w:val="22"/>
        </w:rPr>
        <w:t>phenicols</w:t>
      </w:r>
      <w:proofErr w:type="spellEnd"/>
      <w:r w:rsidRPr="00D35641">
        <w:rPr>
          <w:kern w:val="22"/>
        </w:rPr>
        <w:t xml:space="preserve">, </w:t>
      </w:r>
      <w:proofErr w:type="spellStart"/>
      <w:r w:rsidRPr="00D35641">
        <w:rPr>
          <w:kern w:val="22"/>
        </w:rPr>
        <w:t>lincosamides</w:t>
      </w:r>
      <w:proofErr w:type="spellEnd"/>
      <w:r w:rsidRPr="00D35641">
        <w:rPr>
          <w:kern w:val="22"/>
        </w:rPr>
        <w:t xml:space="preserve">, </w:t>
      </w:r>
      <w:proofErr w:type="spellStart"/>
      <w:r w:rsidRPr="00D35641">
        <w:rPr>
          <w:kern w:val="22"/>
        </w:rPr>
        <w:t>oxazolidinones</w:t>
      </w:r>
      <w:proofErr w:type="spellEnd"/>
      <w:r w:rsidRPr="00D35641">
        <w:rPr>
          <w:kern w:val="22"/>
        </w:rPr>
        <w:t xml:space="preserve">, </w:t>
      </w:r>
      <w:proofErr w:type="spellStart"/>
      <w:r w:rsidRPr="00D35641">
        <w:rPr>
          <w:kern w:val="22"/>
        </w:rPr>
        <w:t>pleuromutilins</w:t>
      </w:r>
      <w:proofErr w:type="spellEnd"/>
      <w:r w:rsidRPr="00D35641">
        <w:rPr>
          <w:kern w:val="22"/>
        </w:rPr>
        <w:t xml:space="preserve"> and </w:t>
      </w:r>
      <w:proofErr w:type="spellStart"/>
      <w:r w:rsidRPr="00D35641">
        <w:rPr>
          <w:kern w:val="22"/>
        </w:rPr>
        <w:t>streptogramin</w:t>
      </w:r>
      <w:proofErr w:type="spellEnd"/>
      <w:r w:rsidRPr="00D35641">
        <w:rPr>
          <w:kern w:val="22"/>
        </w:rPr>
        <w:t xml:space="preserve"> A, through decreased drug binding to </w:t>
      </w:r>
      <w:proofErr w:type="spellStart"/>
      <w:r w:rsidRPr="00D35641">
        <w:rPr>
          <w:kern w:val="22"/>
        </w:rPr>
        <w:t>Cfr-methylated</w:t>
      </w:r>
      <w:proofErr w:type="spellEnd"/>
      <w:r w:rsidRPr="00D35641">
        <w:rPr>
          <w:kern w:val="22"/>
        </w:rPr>
        <w:t xml:space="preserve"> </w:t>
      </w:r>
      <w:proofErr w:type="spellStart"/>
      <w:r w:rsidRPr="00D35641">
        <w:rPr>
          <w:kern w:val="22"/>
        </w:rPr>
        <w:t>ribosomes</w:t>
      </w:r>
      <w:proofErr w:type="spellEnd"/>
      <w:r w:rsidRPr="00D35641">
        <w:rPr>
          <w:kern w:val="22"/>
        </w:rPr>
        <w:t xml:space="preserve">. The sponsor reported that no clinical </w:t>
      </w:r>
      <w:r w:rsidRPr="00D35641">
        <w:rPr>
          <w:i/>
          <w:kern w:val="22"/>
        </w:rPr>
        <w:t>S. aureus</w:t>
      </w:r>
      <w:r w:rsidRPr="00D35641">
        <w:rPr>
          <w:kern w:val="22"/>
        </w:rPr>
        <w:t xml:space="preserve"> or </w:t>
      </w:r>
      <w:r w:rsidRPr="00D35641">
        <w:rPr>
          <w:i/>
          <w:kern w:val="22"/>
        </w:rPr>
        <w:t>S. pyogenes</w:t>
      </w:r>
      <w:r w:rsidRPr="00D35641">
        <w:rPr>
          <w:kern w:val="22"/>
        </w:rPr>
        <w:t xml:space="preserve"> isolates with mutations in ribosomal protein L3 were detected clinically and that isolates possessing the </w:t>
      </w:r>
      <w:proofErr w:type="spellStart"/>
      <w:r w:rsidRPr="00D35641">
        <w:rPr>
          <w:i/>
          <w:kern w:val="22"/>
        </w:rPr>
        <w:t>vgaAv</w:t>
      </w:r>
      <w:proofErr w:type="spellEnd"/>
      <w:r w:rsidRPr="00D35641">
        <w:rPr>
          <w:i/>
          <w:kern w:val="22"/>
        </w:rPr>
        <w:t xml:space="preserve"> </w:t>
      </w:r>
      <w:r w:rsidRPr="00D35641">
        <w:rPr>
          <w:kern w:val="22"/>
        </w:rPr>
        <w:t xml:space="preserve">or </w:t>
      </w:r>
      <w:proofErr w:type="spellStart"/>
      <w:r w:rsidRPr="00D35641">
        <w:rPr>
          <w:i/>
          <w:kern w:val="22"/>
        </w:rPr>
        <w:t>cfr</w:t>
      </w:r>
      <w:proofErr w:type="spellEnd"/>
      <w:r w:rsidR="008F5C87">
        <w:rPr>
          <w:kern w:val="22"/>
        </w:rPr>
        <w:t xml:space="preserve"> genes appeared to be rare.</w:t>
      </w:r>
    </w:p>
    <w:p w:rsidR="00D35641" w:rsidRPr="00D35641" w:rsidRDefault="00D35641" w:rsidP="00D35641">
      <w:pPr>
        <w:rPr>
          <w:kern w:val="22"/>
        </w:rPr>
      </w:pPr>
      <w:r w:rsidRPr="00D35641">
        <w:rPr>
          <w:kern w:val="22"/>
        </w:rPr>
        <w:t xml:space="preserve">Retapamulin exhibited a low potential for spontaneous resistance development, including resistance of </w:t>
      </w:r>
      <w:r w:rsidRPr="00D35641">
        <w:rPr>
          <w:i/>
          <w:kern w:val="22"/>
        </w:rPr>
        <w:t>S. aureus</w:t>
      </w:r>
      <w:r w:rsidRPr="00D35641">
        <w:rPr>
          <w:kern w:val="22"/>
        </w:rPr>
        <w:t xml:space="preserve"> and </w:t>
      </w:r>
      <w:r w:rsidRPr="00D35641">
        <w:rPr>
          <w:i/>
          <w:kern w:val="22"/>
        </w:rPr>
        <w:t xml:space="preserve">S. pyogenes, </w:t>
      </w:r>
      <w:r w:rsidRPr="00D35641">
        <w:rPr>
          <w:kern w:val="22"/>
        </w:rPr>
        <w:t xml:space="preserve">shown in serial passage and spontaneous resistance development studies. The highest MIC of clones subjected to serial passage in the presence of sub-MIC retapamulin concentrations was </w:t>
      </w:r>
      <w:proofErr w:type="gramStart"/>
      <w:r w:rsidRPr="00D35641">
        <w:rPr>
          <w:kern w:val="22"/>
        </w:rPr>
        <w:t>2 µg/mL</w:t>
      </w:r>
      <w:proofErr w:type="gramEnd"/>
      <w:r w:rsidRPr="00D35641">
        <w:rPr>
          <w:kern w:val="22"/>
        </w:rPr>
        <w:t xml:space="preserve">. The frequency of spontaneous resistance of </w:t>
      </w:r>
      <w:r w:rsidRPr="00D35641">
        <w:rPr>
          <w:i/>
          <w:kern w:val="22"/>
        </w:rPr>
        <w:t>S. aureus</w:t>
      </w:r>
      <w:r w:rsidRPr="00D35641">
        <w:rPr>
          <w:kern w:val="22"/>
        </w:rPr>
        <w:t xml:space="preserve"> and </w:t>
      </w:r>
      <w:r w:rsidRPr="00D35641">
        <w:rPr>
          <w:i/>
          <w:kern w:val="22"/>
        </w:rPr>
        <w:t>S. pyogenes</w:t>
      </w:r>
      <w:r w:rsidRPr="00D35641">
        <w:rPr>
          <w:kern w:val="22"/>
        </w:rPr>
        <w:t xml:space="preserve"> to retapamulin was lower than observed with </w:t>
      </w:r>
      <w:proofErr w:type="spellStart"/>
      <w:r w:rsidRPr="00D35641">
        <w:rPr>
          <w:kern w:val="22"/>
        </w:rPr>
        <w:t>cephalexin</w:t>
      </w:r>
      <w:proofErr w:type="spellEnd"/>
      <w:r w:rsidRPr="00D35641">
        <w:rPr>
          <w:kern w:val="22"/>
        </w:rPr>
        <w:t>, erythr</w:t>
      </w:r>
      <w:r w:rsidR="003E19F2">
        <w:rPr>
          <w:kern w:val="22"/>
        </w:rPr>
        <w:t xml:space="preserve">omycin, </w:t>
      </w:r>
      <w:proofErr w:type="spellStart"/>
      <w:r w:rsidR="003E19F2">
        <w:rPr>
          <w:kern w:val="22"/>
        </w:rPr>
        <w:t>mupirocin</w:t>
      </w:r>
      <w:proofErr w:type="spellEnd"/>
      <w:r w:rsidR="003E19F2">
        <w:rPr>
          <w:kern w:val="22"/>
        </w:rPr>
        <w:t xml:space="preserve">, </w:t>
      </w:r>
      <w:proofErr w:type="spellStart"/>
      <w:r w:rsidR="003E19F2">
        <w:rPr>
          <w:kern w:val="22"/>
        </w:rPr>
        <w:t>quinupristin-</w:t>
      </w:r>
      <w:r w:rsidRPr="00D35641">
        <w:rPr>
          <w:kern w:val="22"/>
        </w:rPr>
        <w:t>dalfopristin</w:t>
      </w:r>
      <w:proofErr w:type="spellEnd"/>
      <w:r w:rsidRPr="00D35641">
        <w:rPr>
          <w:kern w:val="22"/>
        </w:rPr>
        <w:t xml:space="preserve">, </w:t>
      </w:r>
      <w:proofErr w:type="spellStart"/>
      <w:proofErr w:type="gramStart"/>
      <w:r w:rsidRPr="00D35641">
        <w:rPr>
          <w:kern w:val="22"/>
        </w:rPr>
        <w:t>vancomycin</w:t>
      </w:r>
      <w:proofErr w:type="spellEnd"/>
      <w:proofErr w:type="gramEnd"/>
      <w:r w:rsidRPr="00D35641">
        <w:rPr>
          <w:kern w:val="22"/>
        </w:rPr>
        <w:t xml:space="preserve">. Treatment with </w:t>
      </w:r>
      <w:proofErr w:type="spellStart"/>
      <w:r w:rsidRPr="00D35641">
        <w:rPr>
          <w:kern w:val="22"/>
        </w:rPr>
        <w:t>fusidic</w:t>
      </w:r>
      <w:proofErr w:type="spellEnd"/>
      <w:r w:rsidRPr="00D35641">
        <w:rPr>
          <w:kern w:val="22"/>
        </w:rPr>
        <w:t xml:space="preserve"> acid also induced higher frequencies of resistance in </w:t>
      </w:r>
      <w:r w:rsidRPr="00D35641">
        <w:rPr>
          <w:i/>
          <w:kern w:val="22"/>
        </w:rPr>
        <w:t>S. aureus</w:t>
      </w:r>
      <w:r w:rsidRPr="00D35641">
        <w:rPr>
          <w:kern w:val="22"/>
        </w:rPr>
        <w:t xml:space="preserve"> than retapamulin. Only </w:t>
      </w:r>
      <w:proofErr w:type="spellStart"/>
      <w:r w:rsidRPr="00D35641">
        <w:rPr>
          <w:kern w:val="22"/>
        </w:rPr>
        <w:t>linezolid</w:t>
      </w:r>
      <w:proofErr w:type="spellEnd"/>
      <w:r w:rsidRPr="00D35641">
        <w:rPr>
          <w:kern w:val="22"/>
        </w:rPr>
        <w:t xml:space="preserve"> exhibited a lower frequency of spontaneous resistance development. No clinical isolates of </w:t>
      </w:r>
      <w:r w:rsidRPr="00D35641">
        <w:rPr>
          <w:i/>
          <w:iCs/>
          <w:kern w:val="22"/>
        </w:rPr>
        <w:t xml:space="preserve">S. aureus </w:t>
      </w:r>
      <w:r w:rsidRPr="00D35641">
        <w:rPr>
          <w:kern w:val="22"/>
        </w:rPr>
        <w:t xml:space="preserve">or </w:t>
      </w:r>
      <w:r w:rsidRPr="00D35641">
        <w:rPr>
          <w:i/>
          <w:iCs/>
          <w:kern w:val="22"/>
        </w:rPr>
        <w:t xml:space="preserve">S. pyogenes </w:t>
      </w:r>
      <w:r w:rsidRPr="00D35641">
        <w:rPr>
          <w:kern w:val="22"/>
        </w:rPr>
        <w:t xml:space="preserve">with a mutation in ribosomal protein L3 were reported. Isolates carrying the </w:t>
      </w:r>
      <w:proofErr w:type="spellStart"/>
      <w:r w:rsidRPr="00D35641">
        <w:rPr>
          <w:i/>
          <w:iCs/>
          <w:kern w:val="22"/>
        </w:rPr>
        <w:t>vgaAv</w:t>
      </w:r>
      <w:proofErr w:type="spellEnd"/>
      <w:r w:rsidRPr="00D35641">
        <w:rPr>
          <w:i/>
          <w:iCs/>
          <w:kern w:val="22"/>
        </w:rPr>
        <w:t xml:space="preserve"> </w:t>
      </w:r>
      <w:r w:rsidRPr="00D35641">
        <w:rPr>
          <w:kern w:val="22"/>
        </w:rPr>
        <w:t xml:space="preserve">or </w:t>
      </w:r>
      <w:proofErr w:type="spellStart"/>
      <w:r w:rsidRPr="00D35641">
        <w:rPr>
          <w:i/>
          <w:iCs/>
          <w:kern w:val="22"/>
        </w:rPr>
        <w:t>cfr</w:t>
      </w:r>
      <w:proofErr w:type="spellEnd"/>
      <w:r w:rsidRPr="00D35641">
        <w:rPr>
          <w:i/>
          <w:iCs/>
          <w:kern w:val="22"/>
        </w:rPr>
        <w:t xml:space="preserve"> </w:t>
      </w:r>
      <w:r w:rsidRPr="00D35641">
        <w:rPr>
          <w:kern w:val="22"/>
        </w:rPr>
        <w:t xml:space="preserve">genes appear to be rare since &gt;99% of the &gt;16000 tested </w:t>
      </w:r>
      <w:r w:rsidRPr="00D35641">
        <w:rPr>
          <w:i/>
          <w:kern w:val="22"/>
        </w:rPr>
        <w:t>S. aureus</w:t>
      </w:r>
      <w:r w:rsidRPr="00D35641">
        <w:rPr>
          <w:kern w:val="22"/>
        </w:rPr>
        <w:t xml:space="preserve"> or </w:t>
      </w:r>
      <w:r w:rsidRPr="00D35641">
        <w:rPr>
          <w:i/>
          <w:kern w:val="22"/>
        </w:rPr>
        <w:t>S. pyogenes</w:t>
      </w:r>
      <w:r w:rsidRPr="00D35641">
        <w:rPr>
          <w:kern w:val="22"/>
        </w:rPr>
        <w:t xml:space="preserve"> isolates were inhibited by a retapamulin concentration of &lt;2 </w:t>
      </w:r>
      <w:proofErr w:type="spellStart"/>
      <w:r w:rsidRPr="00D35641">
        <w:rPr>
          <w:kern w:val="22"/>
        </w:rPr>
        <w:t>μg</w:t>
      </w:r>
      <w:proofErr w:type="spellEnd"/>
      <w:r w:rsidRPr="00D35641">
        <w:rPr>
          <w:kern w:val="22"/>
        </w:rPr>
        <w:t>/</w:t>
      </w:r>
      <w:proofErr w:type="spellStart"/>
      <w:r w:rsidRPr="00D35641">
        <w:rPr>
          <w:kern w:val="22"/>
        </w:rPr>
        <w:t>mL</w:t>
      </w:r>
      <w:r w:rsidR="008F5C87">
        <w:rPr>
          <w:kern w:val="22"/>
        </w:rPr>
        <w:t>.</w:t>
      </w:r>
      <w:proofErr w:type="spellEnd"/>
    </w:p>
    <w:p w:rsidR="00D35641" w:rsidRPr="00D35641" w:rsidRDefault="00D35641" w:rsidP="00D35641">
      <w:pPr>
        <w:rPr>
          <w:kern w:val="22"/>
        </w:rPr>
      </w:pPr>
      <w:r w:rsidRPr="00D35641">
        <w:rPr>
          <w:kern w:val="22"/>
        </w:rPr>
        <w:t xml:space="preserve">The percentage of MRSA determined in a global surveillance study was 32.8% globally, 36.9% in North America, 29.8% in Europe, and 18.4% in International (12 sites located in Australia, India, Singapore, and South Africa). Resistance to </w:t>
      </w:r>
      <w:proofErr w:type="spellStart"/>
      <w:r w:rsidRPr="00D35641">
        <w:rPr>
          <w:kern w:val="22"/>
        </w:rPr>
        <w:t>mupirocin</w:t>
      </w:r>
      <w:proofErr w:type="spellEnd"/>
      <w:r w:rsidRPr="00D35641">
        <w:rPr>
          <w:kern w:val="22"/>
        </w:rPr>
        <w:t xml:space="preserve"> ranged from 7.3% in Europe to 20.9% in the International regions. Rates of </w:t>
      </w:r>
      <w:proofErr w:type="spellStart"/>
      <w:r w:rsidRPr="00D35641">
        <w:rPr>
          <w:kern w:val="22"/>
        </w:rPr>
        <w:t>macrolide</w:t>
      </w:r>
      <w:proofErr w:type="spellEnd"/>
      <w:r w:rsidRPr="00D35641">
        <w:rPr>
          <w:kern w:val="22"/>
        </w:rPr>
        <w:t xml:space="preserve"> resistant </w:t>
      </w:r>
      <w:r w:rsidRPr="00D35641">
        <w:rPr>
          <w:i/>
          <w:kern w:val="22"/>
        </w:rPr>
        <w:t>S. aureus</w:t>
      </w:r>
      <w:r w:rsidRPr="00D35641">
        <w:rPr>
          <w:kern w:val="22"/>
        </w:rPr>
        <w:t xml:space="preserve"> ranged from 25.7% in the International regions to 57.8% in North America. </w:t>
      </w:r>
      <w:proofErr w:type="spellStart"/>
      <w:r w:rsidRPr="00D35641">
        <w:rPr>
          <w:kern w:val="22"/>
        </w:rPr>
        <w:t>Fusidic</w:t>
      </w:r>
      <w:proofErr w:type="spellEnd"/>
      <w:r w:rsidRPr="00D35641">
        <w:rPr>
          <w:kern w:val="22"/>
        </w:rPr>
        <w:t xml:space="preserve"> acid resistance rates were 6.8% globally, 4.2% in North America, 12.6% in Europe, and 4.9% in international regions.</w:t>
      </w:r>
    </w:p>
    <w:p w:rsidR="00D35641" w:rsidRPr="00D35641" w:rsidRDefault="00D35641" w:rsidP="006A0E86">
      <w:pPr>
        <w:pStyle w:val="Heading5"/>
        <w:rPr>
          <w:kern w:val="22"/>
        </w:rPr>
      </w:pPr>
      <w:r w:rsidRPr="00D35641">
        <w:rPr>
          <w:kern w:val="22"/>
        </w:rPr>
        <w:t>Cross resistance</w:t>
      </w:r>
    </w:p>
    <w:p w:rsidR="00B97753" w:rsidRDefault="00B97753" w:rsidP="00D35641">
      <w:pPr>
        <w:rPr>
          <w:kern w:val="22"/>
        </w:rPr>
      </w:pPr>
      <w:r>
        <w:rPr>
          <w:kern w:val="22"/>
        </w:rPr>
        <w:t xml:space="preserve">The </w:t>
      </w:r>
      <w:r w:rsidR="00D35641" w:rsidRPr="00D35641">
        <w:rPr>
          <w:kern w:val="22"/>
        </w:rPr>
        <w:t xml:space="preserve">cross resistance of </w:t>
      </w:r>
      <w:r w:rsidR="00D35641" w:rsidRPr="00D35641">
        <w:rPr>
          <w:i/>
          <w:kern w:val="22"/>
        </w:rPr>
        <w:t>S. aureus</w:t>
      </w:r>
      <w:r w:rsidR="00D35641" w:rsidRPr="00D35641">
        <w:rPr>
          <w:kern w:val="22"/>
        </w:rPr>
        <w:t xml:space="preserve"> isolates with elevated retapamulin MICs and the cross resistance of these isolates identified in </w:t>
      </w:r>
      <w:proofErr w:type="spellStart"/>
      <w:r w:rsidR="00D35641" w:rsidRPr="00D35641">
        <w:rPr>
          <w:i/>
          <w:kern w:val="22"/>
        </w:rPr>
        <w:t>in</w:t>
      </w:r>
      <w:proofErr w:type="spellEnd"/>
      <w:r w:rsidR="00D35641" w:rsidRPr="00D35641">
        <w:rPr>
          <w:i/>
          <w:kern w:val="22"/>
        </w:rPr>
        <w:t xml:space="preserve"> vitro</w:t>
      </w:r>
      <w:r w:rsidR="00D35641" w:rsidRPr="00D35641">
        <w:rPr>
          <w:kern w:val="22"/>
        </w:rPr>
        <w:t xml:space="preserve"> profiling studies, surveillance studies and clinical trials with other antibiotic classes</w:t>
      </w:r>
      <w:r>
        <w:rPr>
          <w:kern w:val="22"/>
        </w:rPr>
        <w:t xml:space="preserve"> are listed in Table </w:t>
      </w:r>
      <w:r w:rsidR="00EA27D0">
        <w:rPr>
          <w:kern w:val="22"/>
        </w:rPr>
        <w:t>1</w:t>
      </w:r>
      <w:r w:rsidR="00D35641" w:rsidRPr="00D35641">
        <w:rPr>
          <w:kern w:val="22"/>
        </w:rPr>
        <w:t>.</w:t>
      </w:r>
    </w:p>
    <w:p w:rsidR="00B97753" w:rsidRDefault="00EA27D0" w:rsidP="008F5C87">
      <w:pPr>
        <w:pStyle w:val="TableTitle"/>
        <w:rPr>
          <w:kern w:val="22"/>
        </w:rPr>
      </w:pPr>
      <w:proofErr w:type="gramStart"/>
      <w:r>
        <w:rPr>
          <w:kern w:val="22"/>
        </w:rPr>
        <w:lastRenderedPageBreak/>
        <w:t>Table 1</w:t>
      </w:r>
      <w:r w:rsidR="00B97753">
        <w:rPr>
          <w:kern w:val="22"/>
        </w:rPr>
        <w:t>.</w:t>
      </w:r>
      <w:proofErr w:type="gramEnd"/>
      <w:r w:rsidR="00B97753">
        <w:rPr>
          <w:kern w:val="22"/>
        </w:rPr>
        <w:t xml:space="preserve"> Summary of cross resistance for </w:t>
      </w:r>
      <w:r w:rsidR="00B97753" w:rsidRPr="00877B92">
        <w:rPr>
          <w:i/>
          <w:iCs/>
          <w:kern w:val="22"/>
        </w:rPr>
        <w:t>S. aureus</w:t>
      </w:r>
      <w:r w:rsidR="00B97753">
        <w:rPr>
          <w:kern w:val="22"/>
        </w:rPr>
        <w:t xml:space="preserve"> isolates with elevated retapamulin MICs</w:t>
      </w:r>
    </w:p>
    <w:p w:rsidR="00D35641" w:rsidRPr="00D35641" w:rsidRDefault="00B97753" w:rsidP="00D35641">
      <w:pPr>
        <w:rPr>
          <w:kern w:val="22"/>
        </w:rPr>
      </w:pPr>
      <w:r>
        <w:rPr>
          <w:noProof/>
          <w:kern w:val="22"/>
          <w:lang w:eastAsia="en-AU"/>
        </w:rPr>
        <w:drawing>
          <wp:inline distT="0" distB="0" distL="0" distR="0">
            <wp:extent cx="4077697" cy="4150659"/>
            <wp:effectExtent l="19050" t="0" r="0" b="0"/>
            <wp:docPr id="31" name="Picture 31" descr="Table 1. Summary of cross resistance for S. aureus isolates with elevated retapamulin 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078660" cy="4151639"/>
                    </a:xfrm>
                    <a:prstGeom prst="rect">
                      <a:avLst/>
                    </a:prstGeom>
                    <a:noFill/>
                    <a:ln w="9525">
                      <a:noFill/>
                      <a:miter lim="800000"/>
                      <a:headEnd/>
                      <a:tailEnd/>
                    </a:ln>
                  </pic:spPr>
                </pic:pic>
              </a:graphicData>
            </a:graphic>
          </wp:inline>
        </w:drawing>
      </w:r>
      <w:r w:rsidR="00D35641" w:rsidRPr="00D35641">
        <w:rPr>
          <w:kern w:val="22"/>
        </w:rPr>
        <w:t xml:space="preserve"> </w:t>
      </w:r>
    </w:p>
    <w:p w:rsidR="00D35641" w:rsidRPr="00D35641" w:rsidRDefault="00D35641" w:rsidP="006A0E86">
      <w:pPr>
        <w:pStyle w:val="Heading5"/>
        <w:rPr>
          <w:kern w:val="22"/>
        </w:rPr>
      </w:pPr>
      <w:r w:rsidRPr="00D35641">
        <w:rPr>
          <w:kern w:val="22"/>
        </w:rPr>
        <w:t xml:space="preserve">Post </w:t>
      </w:r>
      <w:r w:rsidR="00EA27D0">
        <w:rPr>
          <w:kern w:val="22"/>
        </w:rPr>
        <w:t>a</w:t>
      </w:r>
      <w:r w:rsidRPr="00D35641">
        <w:rPr>
          <w:kern w:val="22"/>
        </w:rPr>
        <w:t xml:space="preserve">ntibiotic </w:t>
      </w:r>
      <w:r w:rsidR="00EA27D0">
        <w:rPr>
          <w:kern w:val="22"/>
        </w:rPr>
        <w:t>e</w:t>
      </w:r>
      <w:r w:rsidRPr="00D35641">
        <w:rPr>
          <w:kern w:val="22"/>
        </w:rPr>
        <w:t>ffect</w:t>
      </w:r>
    </w:p>
    <w:p w:rsidR="00D35641" w:rsidRPr="00D35641" w:rsidRDefault="00D35641" w:rsidP="00D35641">
      <w:pPr>
        <w:rPr>
          <w:i/>
          <w:kern w:val="22"/>
        </w:rPr>
      </w:pPr>
      <w:r w:rsidRPr="00D35641">
        <w:rPr>
          <w:kern w:val="22"/>
        </w:rPr>
        <w:t xml:space="preserve">The post-antibiotic effect (PAE) of an antimicrobial is the persistent suppression of bacterial growth after short microbial exposure and removal of the antibiotic. The PAE was calculated as PAE = T-C, where T is the time in hours </w:t>
      </w:r>
      <w:r w:rsidR="00EA27D0">
        <w:rPr>
          <w:kern w:val="22"/>
        </w:rPr>
        <w:t xml:space="preserve">(h) </w:t>
      </w:r>
      <w:r w:rsidRPr="00D35641">
        <w:rPr>
          <w:kern w:val="22"/>
        </w:rPr>
        <w:t xml:space="preserve">taken for a treated culture to increase by 10-fold after removal of the antibiotic and C is the time for an untreated culture to increase by 10-fold. The post antibiotic effect against </w:t>
      </w:r>
      <w:r w:rsidRPr="00D35641">
        <w:rPr>
          <w:i/>
          <w:kern w:val="22"/>
        </w:rPr>
        <w:t>S. aureus</w:t>
      </w:r>
      <w:r w:rsidRPr="00D35641">
        <w:rPr>
          <w:kern w:val="22"/>
        </w:rPr>
        <w:t xml:space="preserve"> at 4</w:t>
      </w:r>
      <w:r w:rsidR="006A0E86">
        <w:rPr>
          <w:kern w:val="22"/>
        </w:rPr>
        <w:t xml:space="preserve">times the </w:t>
      </w:r>
      <w:r w:rsidRPr="00D35641">
        <w:rPr>
          <w:kern w:val="22"/>
        </w:rPr>
        <w:t>MIC was 3.1</w:t>
      </w:r>
      <w:r w:rsidR="006A0E86">
        <w:rPr>
          <w:kern w:val="22"/>
        </w:rPr>
        <w:noBreakHyphen/>
      </w:r>
      <w:r w:rsidRPr="00D35641">
        <w:rPr>
          <w:kern w:val="22"/>
        </w:rPr>
        <w:t>3.4</w:t>
      </w:r>
      <w:r w:rsidR="006A0E86">
        <w:rPr>
          <w:kern w:val="22"/>
        </w:rPr>
        <w:t xml:space="preserve"> </w:t>
      </w:r>
      <w:r w:rsidRPr="00D35641">
        <w:rPr>
          <w:kern w:val="22"/>
        </w:rPr>
        <w:t xml:space="preserve">h, and against </w:t>
      </w:r>
      <w:r w:rsidRPr="006A0E86">
        <w:rPr>
          <w:i/>
          <w:iCs/>
          <w:kern w:val="22"/>
        </w:rPr>
        <w:t>S. pyogenes</w:t>
      </w:r>
      <w:r w:rsidRPr="00D35641">
        <w:rPr>
          <w:kern w:val="22"/>
        </w:rPr>
        <w:t xml:space="preserve"> 3.5-4.2</w:t>
      </w:r>
      <w:r w:rsidR="00EA27D0">
        <w:rPr>
          <w:kern w:val="22"/>
        </w:rPr>
        <w:t xml:space="preserve"> </w:t>
      </w:r>
      <w:r w:rsidRPr="00D35641">
        <w:rPr>
          <w:kern w:val="22"/>
        </w:rPr>
        <w:t>h.</w:t>
      </w:r>
    </w:p>
    <w:p w:rsidR="00D35641" w:rsidRPr="00D35641" w:rsidRDefault="00D35641" w:rsidP="006A0E86">
      <w:pPr>
        <w:pStyle w:val="Heading4"/>
        <w:rPr>
          <w:kern w:val="22"/>
        </w:rPr>
      </w:pPr>
      <w:r w:rsidRPr="00D35641">
        <w:rPr>
          <w:kern w:val="22"/>
        </w:rPr>
        <w:t>Secondary pharmacodynamics and safety pharmacology</w:t>
      </w:r>
    </w:p>
    <w:p w:rsidR="00D35641" w:rsidRPr="00D35641" w:rsidRDefault="00D35641" w:rsidP="00D35641">
      <w:pPr>
        <w:rPr>
          <w:kern w:val="22"/>
        </w:rPr>
      </w:pPr>
      <w:r w:rsidRPr="00D35641">
        <w:rPr>
          <w:kern w:val="22"/>
        </w:rPr>
        <w:t xml:space="preserve">Retapamulin was tested for secondary activity at 55 receptors ion channels and enzymes </w:t>
      </w:r>
      <w:r w:rsidRPr="00D35641">
        <w:rPr>
          <w:i/>
          <w:kern w:val="22"/>
        </w:rPr>
        <w:t>in vitro</w:t>
      </w:r>
      <w:r w:rsidRPr="00D35641">
        <w:rPr>
          <w:kern w:val="22"/>
        </w:rPr>
        <w:t xml:space="preserve">. </w:t>
      </w:r>
      <w:proofErr w:type="spellStart"/>
      <w:r w:rsidRPr="00D35641">
        <w:rPr>
          <w:kern w:val="22"/>
        </w:rPr>
        <w:t>Retapamulin</w:t>
      </w:r>
      <w:proofErr w:type="spellEnd"/>
      <w:r w:rsidRPr="00D35641">
        <w:rPr>
          <w:kern w:val="22"/>
        </w:rPr>
        <w:t xml:space="preserve"> inhibited the </w:t>
      </w:r>
      <w:proofErr w:type="spellStart"/>
      <w:r w:rsidRPr="00D35641">
        <w:rPr>
          <w:kern w:val="22"/>
        </w:rPr>
        <w:t>muscarinic</w:t>
      </w:r>
      <w:proofErr w:type="spellEnd"/>
      <w:r w:rsidRPr="00D35641">
        <w:rPr>
          <w:kern w:val="22"/>
        </w:rPr>
        <w:t xml:space="preserve"> M1 </w:t>
      </w:r>
      <w:r w:rsidR="006A0E86">
        <w:rPr>
          <w:kern w:val="22"/>
        </w:rPr>
        <w:t>receptor with a concentration causing 50% inhibition (</w:t>
      </w:r>
      <w:r w:rsidRPr="00D35641">
        <w:rPr>
          <w:kern w:val="22"/>
        </w:rPr>
        <w:t>IC</w:t>
      </w:r>
      <w:r w:rsidRPr="00D35641">
        <w:rPr>
          <w:kern w:val="22"/>
          <w:vertAlign w:val="subscript"/>
        </w:rPr>
        <w:t>50</w:t>
      </w:r>
      <w:r w:rsidR="006A0E86" w:rsidRPr="006A0E86">
        <w:rPr>
          <w:kern w:val="22"/>
        </w:rPr>
        <w:t>)</w:t>
      </w:r>
      <w:r w:rsidRPr="00D35641">
        <w:rPr>
          <w:kern w:val="22"/>
        </w:rPr>
        <w:t xml:space="preserve"> of 131 </w:t>
      </w:r>
      <w:proofErr w:type="spellStart"/>
      <w:r w:rsidRPr="00D35641">
        <w:rPr>
          <w:kern w:val="22"/>
        </w:rPr>
        <w:t>nM</w:t>
      </w:r>
      <w:proofErr w:type="spellEnd"/>
      <w:r w:rsidRPr="00D35641">
        <w:rPr>
          <w:kern w:val="22"/>
        </w:rPr>
        <w:t xml:space="preserve"> </w:t>
      </w:r>
      <w:proofErr w:type="gramStart"/>
      <w:r w:rsidRPr="00D35641">
        <w:rPr>
          <w:kern w:val="22"/>
        </w:rPr>
        <w:t>(67.8</w:t>
      </w:r>
      <w:r w:rsidR="006A0E86">
        <w:rPr>
          <w:kern w:val="22"/>
        </w:rPr>
        <w:t xml:space="preserve"> </w:t>
      </w:r>
      <w:proofErr w:type="spellStart"/>
      <w:r w:rsidR="006A0E86">
        <w:rPr>
          <w:kern w:val="22"/>
        </w:rPr>
        <w:t>ng</w:t>
      </w:r>
      <w:proofErr w:type="spellEnd"/>
      <w:r w:rsidR="0011721E">
        <w:rPr>
          <w:kern w:val="22"/>
        </w:rPr>
        <w:t>/</w:t>
      </w:r>
      <w:proofErr w:type="spellStart"/>
      <w:r w:rsidR="0011721E">
        <w:rPr>
          <w:kern w:val="22"/>
        </w:rPr>
        <w:t>mL</w:t>
      </w:r>
      <w:proofErr w:type="spellEnd"/>
      <w:r w:rsidR="0011721E">
        <w:rPr>
          <w:kern w:val="22"/>
        </w:rPr>
        <w:t>)</w:t>
      </w:r>
      <w:proofErr w:type="gramEnd"/>
      <w:r w:rsidR="0011721E">
        <w:rPr>
          <w:kern w:val="22"/>
        </w:rPr>
        <w:t xml:space="preserve">. This concentration is </w:t>
      </w:r>
      <w:r w:rsidR="006A0E86">
        <w:rPr>
          <w:kern w:val="22"/>
        </w:rPr>
        <w:t xml:space="preserve">about </w:t>
      </w:r>
      <w:r w:rsidRPr="00D35641">
        <w:rPr>
          <w:kern w:val="22"/>
        </w:rPr>
        <w:t xml:space="preserve">3-fold the clinically anticipated </w:t>
      </w:r>
      <w:r w:rsidR="006A0E86">
        <w:rPr>
          <w:kern w:val="22"/>
        </w:rPr>
        <w:t>maximum concentration (</w:t>
      </w:r>
      <w:proofErr w:type="spellStart"/>
      <w:r w:rsidRPr="006A0E86">
        <w:t>C</w:t>
      </w:r>
      <w:r w:rsidRPr="006A0E86">
        <w:rPr>
          <w:vertAlign w:val="subscript"/>
        </w:rPr>
        <w:t>max</w:t>
      </w:r>
      <w:proofErr w:type="spellEnd"/>
      <w:r w:rsidR="006A0E86">
        <w:rPr>
          <w:kern w:val="22"/>
        </w:rPr>
        <w:t>)</w:t>
      </w:r>
      <w:r w:rsidR="006A0E86" w:rsidRPr="006A0E86">
        <w:rPr>
          <w:kern w:val="22"/>
        </w:rPr>
        <w:t xml:space="preserve"> </w:t>
      </w:r>
      <w:r w:rsidR="008F5C87">
        <w:rPr>
          <w:kern w:val="22"/>
        </w:rPr>
        <w:t xml:space="preserve">of 22.1 </w:t>
      </w:r>
      <w:proofErr w:type="spellStart"/>
      <w:r w:rsidR="008F5C87">
        <w:rPr>
          <w:kern w:val="22"/>
        </w:rPr>
        <w:t>ng</w:t>
      </w:r>
      <w:proofErr w:type="spellEnd"/>
      <w:r w:rsidR="008F5C87">
        <w:rPr>
          <w:kern w:val="22"/>
        </w:rPr>
        <w:t>/</w:t>
      </w:r>
      <w:proofErr w:type="spellStart"/>
      <w:r w:rsidR="008F5C87">
        <w:rPr>
          <w:kern w:val="22"/>
        </w:rPr>
        <w:t>mL.</w:t>
      </w:r>
      <w:proofErr w:type="spellEnd"/>
    </w:p>
    <w:p w:rsidR="00D35641" w:rsidRPr="006A0E86" w:rsidRDefault="006A0E86" w:rsidP="00D35641">
      <w:proofErr w:type="spellStart"/>
      <w:r>
        <w:rPr>
          <w:kern w:val="22"/>
        </w:rPr>
        <w:t>Muscarinic</w:t>
      </w:r>
      <w:proofErr w:type="spellEnd"/>
      <w:r>
        <w:rPr>
          <w:kern w:val="22"/>
        </w:rPr>
        <w:t xml:space="preserve"> </w:t>
      </w:r>
      <w:r w:rsidR="00D35641" w:rsidRPr="00D35641">
        <w:rPr>
          <w:kern w:val="22"/>
        </w:rPr>
        <w:t xml:space="preserve">M1 receptors are mainly found in the central and peripheral nervous system. More specifically, the M1 receptor has been identified in a number of brain regions including the hippocampus, cerebral cortex, and ganglion cells, and peripherally in lung, ovary, stomach, salivary glands, prostate, and duodenum (as reported in the sponsor’s </w:t>
      </w:r>
      <w:r>
        <w:rPr>
          <w:kern w:val="22"/>
        </w:rPr>
        <w:t>response to the TGA request for information</w:t>
      </w:r>
      <w:r w:rsidR="00D35641" w:rsidRPr="00D35641">
        <w:rPr>
          <w:kern w:val="22"/>
        </w:rPr>
        <w:t xml:space="preserve">). The sponsor reported that the M1 receptor and other </w:t>
      </w:r>
      <w:proofErr w:type="spellStart"/>
      <w:r w:rsidR="00D35641" w:rsidRPr="00D35641">
        <w:rPr>
          <w:kern w:val="22"/>
        </w:rPr>
        <w:t>muscarinic</w:t>
      </w:r>
      <w:proofErr w:type="spellEnd"/>
      <w:r w:rsidR="00D35641" w:rsidRPr="00D35641">
        <w:rPr>
          <w:kern w:val="22"/>
        </w:rPr>
        <w:t xml:space="preserve"> receptors are the cholinergic receptors correlated with increased cognition, co</w:t>
      </w:r>
      <w:r w:rsidR="00877B92">
        <w:rPr>
          <w:kern w:val="22"/>
        </w:rPr>
        <w:t xml:space="preserve">ntrol of </w:t>
      </w:r>
      <w:proofErr w:type="spellStart"/>
      <w:r w:rsidR="00877B92">
        <w:rPr>
          <w:kern w:val="22"/>
        </w:rPr>
        <w:t>vagally</w:t>
      </w:r>
      <w:proofErr w:type="spellEnd"/>
      <w:r w:rsidR="00877B92">
        <w:rPr>
          <w:kern w:val="22"/>
        </w:rPr>
        <w:t xml:space="preserve">-induced </w:t>
      </w:r>
      <w:proofErr w:type="spellStart"/>
      <w:r w:rsidR="00877B92">
        <w:rPr>
          <w:kern w:val="22"/>
        </w:rPr>
        <w:t>bronch</w:t>
      </w:r>
      <w:r w:rsidR="00D35641" w:rsidRPr="00D35641">
        <w:rPr>
          <w:kern w:val="22"/>
        </w:rPr>
        <w:t>oconstriction</w:t>
      </w:r>
      <w:proofErr w:type="spellEnd"/>
      <w:r w:rsidR="00D35641" w:rsidRPr="00D35641">
        <w:rPr>
          <w:kern w:val="22"/>
        </w:rPr>
        <w:t>, heart rate and gastric acid secretion. Th</w:t>
      </w:r>
      <w:r w:rsidR="00877B92">
        <w:rPr>
          <w:kern w:val="22"/>
        </w:rPr>
        <w:t>e rat brain penetration of reta</w:t>
      </w:r>
      <w:r w:rsidR="00D35641" w:rsidRPr="00D35641">
        <w:rPr>
          <w:kern w:val="22"/>
        </w:rPr>
        <w:t>pamulin was shown to be low by whole body autoradiography. However the pituitary gland was among the tissues with the highest level of radioactivity after 0.5</w:t>
      </w:r>
      <w:r>
        <w:rPr>
          <w:kern w:val="22"/>
        </w:rPr>
        <w:t xml:space="preserve"> </w:t>
      </w:r>
      <w:r w:rsidR="00D35641" w:rsidRPr="00D35641">
        <w:rPr>
          <w:kern w:val="22"/>
        </w:rPr>
        <w:t xml:space="preserve">h. Safety pharmacology studies in rats, dogs, and monkeys did not reveal any treatment-related effects at clinically </w:t>
      </w:r>
      <w:r w:rsidR="00D35641" w:rsidRPr="00D35641">
        <w:rPr>
          <w:kern w:val="22"/>
        </w:rPr>
        <w:lastRenderedPageBreak/>
        <w:t xml:space="preserve">relevant concentrations on the central nervous system or cardiac function which could be attributed </w:t>
      </w:r>
      <w:r w:rsidR="00D35641" w:rsidRPr="006A0E86">
        <w:t xml:space="preserve">to M1 </w:t>
      </w:r>
      <w:r>
        <w:t>receptor</w:t>
      </w:r>
      <w:r w:rsidR="00D35641" w:rsidRPr="006A0E86">
        <w:t xml:space="preserve"> inhibition.</w:t>
      </w:r>
    </w:p>
    <w:p w:rsidR="00D35641" w:rsidRPr="00A3679B" w:rsidRDefault="00D35641" w:rsidP="00D35641">
      <w:pPr>
        <w:rPr>
          <w:kern w:val="22"/>
        </w:rPr>
      </w:pPr>
      <w:r w:rsidRPr="00D35641">
        <w:rPr>
          <w:kern w:val="22"/>
        </w:rPr>
        <w:t>Specialised safety pharmacology studies covered the core battery of systems (</w:t>
      </w:r>
      <w:r w:rsidR="006A0E86">
        <w:rPr>
          <w:kern w:val="22"/>
        </w:rPr>
        <w:t>central nervous system (</w:t>
      </w:r>
      <w:r w:rsidRPr="00D35641">
        <w:rPr>
          <w:kern w:val="22"/>
        </w:rPr>
        <w:t>CNS</w:t>
      </w:r>
      <w:r w:rsidR="006A0E86">
        <w:rPr>
          <w:kern w:val="22"/>
        </w:rPr>
        <w:t>)</w:t>
      </w:r>
      <w:r w:rsidRPr="00D35641">
        <w:rPr>
          <w:kern w:val="22"/>
        </w:rPr>
        <w:t>, respiratory, cardiovascular renal and gastrointestinal</w:t>
      </w:r>
      <w:r w:rsidR="006A0E86">
        <w:rPr>
          <w:kern w:val="22"/>
        </w:rPr>
        <w:t xml:space="preserve"> systems</w:t>
      </w:r>
      <w:r w:rsidRPr="00D35641">
        <w:rPr>
          <w:kern w:val="22"/>
        </w:rPr>
        <w:t>). Dose ratios are rough estimates where doses administered by different routes are compared. CNS studies were con</w:t>
      </w:r>
      <w:r w:rsidR="006A0E86">
        <w:rPr>
          <w:kern w:val="22"/>
        </w:rPr>
        <w:t>ducted in mice. At 450 mg/kg (</w:t>
      </w:r>
      <w:r w:rsidR="00EA27D0">
        <w:rPr>
          <w:kern w:val="22"/>
        </w:rPr>
        <w:t xml:space="preserve">200 </w:t>
      </w:r>
      <w:r w:rsidRPr="00D35641">
        <w:rPr>
          <w:kern w:val="22"/>
        </w:rPr>
        <w:t xml:space="preserve">fold the clinically expected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w:t>
      </w:r>
      <w:r w:rsidRPr="00D35641">
        <w:rPr>
          <w:kern w:val="22"/>
          <w:vertAlign w:val="superscript"/>
        </w:rPr>
        <w:footnoteReference w:id="4"/>
      </w:r>
      <w:r w:rsidRPr="00D35641">
        <w:rPr>
          <w:kern w:val="22"/>
        </w:rPr>
        <w:t xml:space="preserve">), oral retapamulin induced decreases in motor activity as well as an analgesic activity in the mouse </w:t>
      </w:r>
      <w:proofErr w:type="spellStart"/>
      <w:r w:rsidRPr="00D35641">
        <w:rPr>
          <w:kern w:val="22"/>
        </w:rPr>
        <w:t>phenylquinone</w:t>
      </w:r>
      <w:proofErr w:type="spellEnd"/>
      <w:r w:rsidRPr="00D35641">
        <w:rPr>
          <w:kern w:val="22"/>
        </w:rPr>
        <w:t xml:space="preserve"> writhing assay. Retapamulin did not show </w:t>
      </w:r>
      <w:proofErr w:type="spellStart"/>
      <w:r w:rsidRPr="00D35641">
        <w:rPr>
          <w:kern w:val="22"/>
        </w:rPr>
        <w:t>proconvulsant</w:t>
      </w:r>
      <w:proofErr w:type="spellEnd"/>
      <w:r w:rsidRPr="00D35641">
        <w:rPr>
          <w:kern w:val="22"/>
        </w:rPr>
        <w:t xml:space="preserve"> effect at </w:t>
      </w:r>
      <w:r w:rsidR="00A3679B">
        <w:rPr>
          <w:kern w:val="22"/>
        </w:rPr>
        <w:t xml:space="preserve">oral (PO) </w:t>
      </w:r>
      <w:r w:rsidRPr="00D35641">
        <w:rPr>
          <w:kern w:val="22"/>
        </w:rPr>
        <w:t xml:space="preserve">doses up to 450 mg/kg in mice. However, seizures and/or decreased body temperature were observed in monkeys at </w:t>
      </w:r>
      <w:r w:rsidR="00A3679B">
        <w:rPr>
          <w:kern w:val="22"/>
        </w:rPr>
        <w:t xml:space="preserve">intravenous (IV) </w:t>
      </w:r>
      <w:r w:rsidRPr="00D35641">
        <w:rPr>
          <w:kern w:val="22"/>
        </w:rPr>
        <w:t>doses ≥ 15</w:t>
      </w:r>
      <w:r w:rsidR="00730A0D">
        <w:rPr>
          <w:kern w:val="22"/>
        </w:rPr>
        <w:t> </w:t>
      </w:r>
      <w:r w:rsidRPr="00D35641">
        <w:rPr>
          <w:kern w:val="22"/>
        </w:rPr>
        <w:t xml:space="preserve">mg/kg (≥27-fold the anticipated clinical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w:t>
      </w:r>
      <w:r w:rsidR="008F5C87">
        <w:rPr>
          <w:kern w:val="22"/>
        </w:rPr>
        <w:t>.</w:t>
      </w:r>
    </w:p>
    <w:p w:rsidR="00D35641" w:rsidRPr="00D35641" w:rsidRDefault="00D35641" w:rsidP="00D35641">
      <w:pPr>
        <w:rPr>
          <w:kern w:val="22"/>
        </w:rPr>
      </w:pPr>
      <w:r w:rsidRPr="00D35641">
        <w:rPr>
          <w:i/>
          <w:kern w:val="22"/>
        </w:rPr>
        <w:t>In vivo</w:t>
      </w:r>
      <w:r w:rsidRPr="00D35641">
        <w:rPr>
          <w:kern w:val="22"/>
        </w:rPr>
        <w:t xml:space="preserve"> cardiovascular studies were conducted in dogs and monkeys. A small increase (8 mmHg) in mean </w:t>
      </w:r>
      <w:r w:rsidR="00A3679B">
        <w:rPr>
          <w:kern w:val="22"/>
        </w:rPr>
        <w:t>blood pressure (</w:t>
      </w:r>
      <w:r w:rsidRPr="00D35641">
        <w:rPr>
          <w:kern w:val="22"/>
        </w:rPr>
        <w:t>BP</w:t>
      </w:r>
      <w:r w:rsidR="00A3679B">
        <w:rPr>
          <w:kern w:val="22"/>
        </w:rPr>
        <w:t>)</w:t>
      </w:r>
      <w:r w:rsidRPr="00D35641">
        <w:rPr>
          <w:kern w:val="22"/>
        </w:rPr>
        <w:t xml:space="preserve"> due to increased systolic and diastolic pr</w:t>
      </w:r>
      <w:r w:rsidR="00A3679B">
        <w:rPr>
          <w:kern w:val="22"/>
        </w:rPr>
        <w:t>essure was observed with 450 mg</w:t>
      </w:r>
      <w:r w:rsidRPr="00D35641">
        <w:rPr>
          <w:kern w:val="22"/>
        </w:rPr>
        <w:t xml:space="preserve">/kg PO (1360-fold the anticipated clinical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 Increases in blood pressure were also observed aft</w:t>
      </w:r>
      <w:r w:rsidR="003A2F26">
        <w:rPr>
          <w:kern w:val="22"/>
        </w:rPr>
        <w:t>er IV administration of ≥ </w:t>
      </w:r>
      <w:r w:rsidRPr="00D35641">
        <w:rPr>
          <w:kern w:val="22"/>
        </w:rPr>
        <w:t>10</w:t>
      </w:r>
      <w:r w:rsidR="003A2F26">
        <w:rPr>
          <w:kern w:val="22"/>
        </w:rPr>
        <w:t> </w:t>
      </w:r>
      <w:r w:rsidRPr="00D35641">
        <w:rPr>
          <w:kern w:val="22"/>
        </w:rPr>
        <w:t xml:space="preserve">mg/kg </w:t>
      </w:r>
      <w:r w:rsidR="003A2F26">
        <w:rPr>
          <w:kern w:val="22"/>
        </w:rPr>
        <w:t xml:space="preserve">in dogs </w:t>
      </w:r>
      <w:r w:rsidRPr="00D35641">
        <w:rPr>
          <w:kern w:val="22"/>
        </w:rPr>
        <w:t>(</w:t>
      </w:r>
      <w:r w:rsidR="003A2F26">
        <w:rPr>
          <w:kern w:val="22"/>
        </w:rPr>
        <w:t>exposure ratio based on area under the (plasma) concentration-time curve (</w:t>
      </w:r>
      <w:r w:rsidRPr="00D35641">
        <w:rPr>
          <w:kern w:val="22"/>
        </w:rPr>
        <w:t>AUC</w:t>
      </w:r>
      <w:r w:rsidR="003A2F26">
        <w:rPr>
          <w:kern w:val="22"/>
        </w:rPr>
        <w:t>)</w:t>
      </w:r>
      <w:r w:rsidRPr="00D35641">
        <w:rPr>
          <w:kern w:val="22"/>
        </w:rPr>
        <w:t xml:space="preserve"> 15). In monkeys IV administration of 10 and 30 mg/kg retapamulin (18 or 55 -fold the clinically expected dermal dose on a mg/m</w:t>
      </w:r>
      <w:r w:rsidRPr="00D35641">
        <w:rPr>
          <w:kern w:val="22"/>
          <w:vertAlign w:val="superscript"/>
        </w:rPr>
        <w:t>2</w:t>
      </w:r>
      <w:r w:rsidRPr="00D35641">
        <w:rPr>
          <w:kern w:val="22"/>
        </w:rPr>
        <w:t xml:space="preserve"> basis) induced 16-60% decrease in blood pressure accompanied by transient reflex tachycardia and was followed by a further fatal decrease in blood pressure in the 30 mg/kg group. In the same study, the 15</w:t>
      </w:r>
      <w:r w:rsidR="003A2F26">
        <w:rPr>
          <w:kern w:val="22"/>
        </w:rPr>
        <w:t xml:space="preserve"> </w:t>
      </w:r>
      <w:r w:rsidRPr="00D35641">
        <w:rPr>
          <w:kern w:val="22"/>
        </w:rPr>
        <w:t>mg/kg IV dose in monkeys induced a transient increase in BP and abolished diurnal fluctuation in blood pressure and heart rate fo</w:t>
      </w:r>
      <w:r w:rsidR="003A2F26">
        <w:rPr>
          <w:kern w:val="22"/>
        </w:rPr>
        <w:t>r several days after dosing (18</w:t>
      </w:r>
      <w:r w:rsidRPr="00D35641">
        <w:rPr>
          <w:kern w:val="22"/>
        </w:rPr>
        <w:t xml:space="preserve">-fold the clinically expected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008F5C87">
        <w:rPr>
          <w:kern w:val="22"/>
        </w:rPr>
        <w:t xml:space="preserve"> basis).</w:t>
      </w:r>
    </w:p>
    <w:p w:rsidR="00D35641" w:rsidRPr="00D35641" w:rsidRDefault="00D35641" w:rsidP="00D35641">
      <w:pPr>
        <w:rPr>
          <w:kern w:val="22"/>
        </w:rPr>
      </w:pPr>
      <w:r w:rsidRPr="00D35641">
        <w:rPr>
          <w:kern w:val="22"/>
        </w:rPr>
        <w:t xml:space="preserve">Retapamulin was shown to inhibit </w:t>
      </w:r>
      <w:r w:rsidR="003A2F26">
        <w:rPr>
          <w:kern w:val="22"/>
        </w:rPr>
        <w:t xml:space="preserve">human </w:t>
      </w:r>
      <w:r w:rsidR="003A2F26" w:rsidRPr="003A2F26">
        <w:rPr>
          <w:kern w:val="22"/>
        </w:rPr>
        <w:t xml:space="preserve">Ether-à-go-go-Related Gene </w:t>
      </w:r>
      <w:r w:rsidR="003A2F26">
        <w:rPr>
          <w:kern w:val="22"/>
        </w:rPr>
        <w:t>(</w:t>
      </w:r>
      <w:proofErr w:type="spellStart"/>
      <w:r w:rsidRPr="00D35641">
        <w:rPr>
          <w:kern w:val="22"/>
        </w:rPr>
        <w:t>hERG</w:t>
      </w:r>
      <w:proofErr w:type="spellEnd"/>
      <w:r w:rsidR="003A2F26">
        <w:rPr>
          <w:kern w:val="22"/>
        </w:rPr>
        <w:t>)</w:t>
      </w:r>
      <w:r w:rsidRPr="00D35641">
        <w:rPr>
          <w:kern w:val="22"/>
        </w:rPr>
        <w:t xml:space="preserve"> </w:t>
      </w:r>
      <w:r w:rsidR="003A2F26">
        <w:rPr>
          <w:kern w:val="22"/>
        </w:rPr>
        <w:t xml:space="preserve">potassium </w:t>
      </w:r>
      <w:r w:rsidRPr="00D35641">
        <w:rPr>
          <w:kern w:val="22"/>
        </w:rPr>
        <w:t xml:space="preserve">channels </w:t>
      </w:r>
      <w:r w:rsidRPr="00D35641">
        <w:rPr>
          <w:i/>
          <w:kern w:val="22"/>
        </w:rPr>
        <w:t>in vitro</w:t>
      </w:r>
      <w:r w:rsidRPr="00D35641">
        <w:rPr>
          <w:kern w:val="22"/>
        </w:rPr>
        <w:t xml:space="preserve"> with an IC</w:t>
      </w:r>
      <w:r w:rsidRPr="00D35641">
        <w:rPr>
          <w:kern w:val="22"/>
          <w:vertAlign w:val="subscript"/>
        </w:rPr>
        <w:t>50</w:t>
      </w:r>
      <w:r w:rsidR="003A2F26">
        <w:rPr>
          <w:kern w:val="22"/>
        </w:rPr>
        <w:t xml:space="preserve"> of 3.3µg/mL (about </w:t>
      </w:r>
      <w:r w:rsidRPr="00D35641">
        <w:rPr>
          <w:kern w:val="22"/>
        </w:rPr>
        <w:t xml:space="preserve">150-fold the clinically anticipated </w:t>
      </w:r>
      <w:proofErr w:type="spellStart"/>
      <w:r w:rsidRPr="00D35641">
        <w:rPr>
          <w:kern w:val="22"/>
        </w:rPr>
        <w:t>C</w:t>
      </w:r>
      <w:r w:rsidRPr="00D35641">
        <w:rPr>
          <w:kern w:val="22"/>
          <w:vertAlign w:val="subscript"/>
        </w:rPr>
        <w:t>max</w:t>
      </w:r>
      <w:proofErr w:type="spellEnd"/>
      <w:r w:rsidRPr="00D35641">
        <w:rPr>
          <w:kern w:val="22"/>
        </w:rPr>
        <w:t xml:space="preserve">). No changes in </w:t>
      </w:r>
      <w:r w:rsidR="003A2F26">
        <w:rPr>
          <w:kern w:val="22"/>
        </w:rPr>
        <w:t>electrocardiogram (</w:t>
      </w:r>
      <w:r w:rsidRPr="00D35641">
        <w:rPr>
          <w:kern w:val="22"/>
        </w:rPr>
        <w:t>ECG</w:t>
      </w:r>
      <w:r w:rsidR="003A2F26">
        <w:rPr>
          <w:kern w:val="22"/>
        </w:rPr>
        <w:t>)</w:t>
      </w:r>
      <w:r w:rsidRPr="00D35641">
        <w:rPr>
          <w:kern w:val="22"/>
        </w:rPr>
        <w:t xml:space="preserve"> parameters were observed after IV doses of up to 3 mg/kg (plasma AUC ratio 3.6) in dogs and up to 30 mg/kg in monkeys (clinically expected dermal dose ratios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 of 360). These cardiovascular effects are not expected to be induced by retapamulin treatment at</w:t>
      </w:r>
      <w:r w:rsidR="008F5C87">
        <w:rPr>
          <w:kern w:val="22"/>
        </w:rPr>
        <w:t xml:space="preserve"> clinically relevant exposures.</w:t>
      </w:r>
    </w:p>
    <w:p w:rsidR="00D35641" w:rsidRPr="00D35641" w:rsidRDefault="00D35641" w:rsidP="00D35641">
      <w:pPr>
        <w:rPr>
          <w:kern w:val="22"/>
        </w:rPr>
      </w:pPr>
      <w:r w:rsidRPr="00D35641">
        <w:rPr>
          <w:kern w:val="22"/>
        </w:rPr>
        <w:t>In rats, an increase in expiratory time was induced at 450 mg/kg</w:t>
      </w:r>
      <w:r w:rsidR="003A2F26">
        <w:rPr>
          <w:kern w:val="22"/>
        </w:rPr>
        <w:t xml:space="preserve"> PO (about</w:t>
      </w:r>
      <w:r w:rsidRPr="00D35641">
        <w:rPr>
          <w:kern w:val="22"/>
        </w:rPr>
        <w:t xml:space="preserve"> 200-fold the clinically expected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 In the absence of evidence for retapamulin changes to pulmonary resistance or peak expiratory flow this is thought to occur via a central mechanism. Retapamulin induced effects on respiration are not expected to occur at clinically </w:t>
      </w:r>
      <w:r w:rsidR="008F5C87">
        <w:rPr>
          <w:kern w:val="22"/>
        </w:rPr>
        <w:t>relevant plasma concentrations.</w:t>
      </w:r>
    </w:p>
    <w:p w:rsidR="00D35641" w:rsidRPr="00D35641" w:rsidRDefault="00D35641" w:rsidP="00D35641">
      <w:pPr>
        <w:rPr>
          <w:kern w:val="22"/>
        </w:rPr>
      </w:pPr>
      <w:r w:rsidRPr="00D35641">
        <w:rPr>
          <w:kern w:val="22"/>
        </w:rPr>
        <w:t>A distribution study in pigmented rats after an IV dose showed levels of retapamulin related radioactivity were low in brain tissue after an IV dose. The low levels detected in brain tissue may have been due to retapamulin</w:t>
      </w:r>
      <w:r w:rsidR="00161C32">
        <w:rPr>
          <w:kern w:val="22"/>
        </w:rPr>
        <w:t xml:space="preserve"> related radioactivity in </w:t>
      </w:r>
      <w:r w:rsidR="00697565">
        <w:rPr>
          <w:kern w:val="22"/>
        </w:rPr>
        <w:t xml:space="preserve">circulating </w:t>
      </w:r>
      <w:r w:rsidR="00161C32">
        <w:rPr>
          <w:kern w:val="22"/>
        </w:rPr>
        <w:t>blood</w:t>
      </w:r>
      <w:r w:rsidRPr="00D35641">
        <w:rPr>
          <w:kern w:val="22"/>
        </w:rPr>
        <w:t>. Based on these results retapamulin is not expected to efficiently penetrate the blood brain barrier.</w:t>
      </w:r>
    </w:p>
    <w:p w:rsidR="00D35641" w:rsidRPr="00D35641" w:rsidRDefault="00D35641" w:rsidP="00D35641">
      <w:pPr>
        <w:rPr>
          <w:kern w:val="22"/>
        </w:rPr>
      </w:pPr>
      <w:r w:rsidRPr="00D35641">
        <w:rPr>
          <w:kern w:val="22"/>
        </w:rPr>
        <w:t>A renal safety pharmacology study in rats demonstrated increased water intake from ret</w:t>
      </w:r>
      <w:r w:rsidR="00161C32">
        <w:rPr>
          <w:kern w:val="22"/>
        </w:rPr>
        <w:t>apamulin doses ≥ 150</w:t>
      </w:r>
      <w:r w:rsidR="00730A0D">
        <w:rPr>
          <w:kern w:val="22"/>
        </w:rPr>
        <w:t xml:space="preserve"> </w:t>
      </w:r>
      <w:r w:rsidR="00161C32">
        <w:rPr>
          <w:kern w:val="22"/>
        </w:rPr>
        <w:t>mg/kg PO (</w:t>
      </w:r>
      <w:r w:rsidRPr="00D35641">
        <w:rPr>
          <w:kern w:val="22"/>
        </w:rPr>
        <w:t xml:space="preserve">70-fold the clinically expected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 accompanied by increased urine volume and decreased </w:t>
      </w:r>
      <w:proofErr w:type="spellStart"/>
      <w:r w:rsidRPr="00D35641">
        <w:rPr>
          <w:kern w:val="22"/>
        </w:rPr>
        <w:t>osmolarity</w:t>
      </w:r>
      <w:proofErr w:type="spellEnd"/>
      <w:r w:rsidRPr="00D35641">
        <w:rPr>
          <w:kern w:val="22"/>
        </w:rPr>
        <w:t xml:space="preserve"> from 450</w:t>
      </w:r>
      <w:r w:rsidR="00730A0D">
        <w:rPr>
          <w:kern w:val="22"/>
        </w:rPr>
        <w:t> </w:t>
      </w:r>
      <w:r w:rsidRPr="00D35641">
        <w:rPr>
          <w:kern w:val="22"/>
        </w:rPr>
        <w:t>mg/kg PO. It is unlikely that increased water intake will occur at clinically relevan</w:t>
      </w:r>
      <w:r w:rsidR="008F5C87">
        <w:rPr>
          <w:kern w:val="22"/>
        </w:rPr>
        <w:t xml:space="preserve">t </w:t>
      </w:r>
      <w:proofErr w:type="spellStart"/>
      <w:r w:rsidR="008F5C87">
        <w:rPr>
          <w:kern w:val="22"/>
        </w:rPr>
        <w:t>retapamulin</w:t>
      </w:r>
      <w:proofErr w:type="spellEnd"/>
      <w:r w:rsidR="008F5C87">
        <w:rPr>
          <w:kern w:val="22"/>
        </w:rPr>
        <w:t xml:space="preserve"> plasma exposures.</w:t>
      </w:r>
    </w:p>
    <w:p w:rsidR="00D35641" w:rsidRPr="00D35641" w:rsidRDefault="00D35641" w:rsidP="00D35641">
      <w:pPr>
        <w:rPr>
          <w:kern w:val="22"/>
        </w:rPr>
      </w:pPr>
      <w:r w:rsidRPr="00D35641">
        <w:rPr>
          <w:kern w:val="22"/>
        </w:rPr>
        <w:t xml:space="preserve">Gastrointestinal safety was investigated in mice and guineapigs. Retapamulin inhibited agonist-induced guineapig </w:t>
      </w:r>
      <w:proofErr w:type="spellStart"/>
      <w:r w:rsidRPr="00D35641">
        <w:rPr>
          <w:kern w:val="22"/>
        </w:rPr>
        <w:t>ileal</w:t>
      </w:r>
      <w:proofErr w:type="spellEnd"/>
      <w:r w:rsidRPr="00D35641">
        <w:rPr>
          <w:kern w:val="22"/>
        </w:rPr>
        <w:t xml:space="preserve"> contraction from 10</w:t>
      </w:r>
      <w:r w:rsidR="00697565">
        <w:rPr>
          <w:kern w:val="22"/>
        </w:rPr>
        <w:t xml:space="preserve"> µg/ml (</w:t>
      </w:r>
      <w:r w:rsidRPr="00D35641">
        <w:rPr>
          <w:kern w:val="22"/>
        </w:rPr>
        <w:t xml:space="preserve">450-fold the clinically anticipated </w:t>
      </w:r>
      <w:proofErr w:type="spellStart"/>
      <w:r w:rsidRPr="00D35641">
        <w:rPr>
          <w:kern w:val="22"/>
        </w:rPr>
        <w:t>C</w:t>
      </w:r>
      <w:r w:rsidRPr="00D35641">
        <w:rPr>
          <w:kern w:val="22"/>
          <w:vertAlign w:val="subscript"/>
        </w:rPr>
        <w:t>max</w:t>
      </w:r>
      <w:proofErr w:type="spellEnd"/>
      <w:r w:rsidRPr="00D35641">
        <w:rPr>
          <w:kern w:val="22"/>
        </w:rPr>
        <w:t xml:space="preserve">). </w:t>
      </w:r>
      <w:r w:rsidRPr="00D35641">
        <w:rPr>
          <w:kern w:val="22"/>
        </w:rPr>
        <w:lastRenderedPageBreak/>
        <w:t xml:space="preserve">These findings were confirmed by reduced </w:t>
      </w:r>
      <w:r w:rsidRPr="00D35641">
        <w:rPr>
          <w:i/>
          <w:kern w:val="22"/>
        </w:rPr>
        <w:t>in vivo</w:t>
      </w:r>
      <w:r w:rsidRPr="00D35641">
        <w:rPr>
          <w:kern w:val="22"/>
        </w:rPr>
        <w:t xml:space="preserve"> gastrointestinal motili</w:t>
      </w:r>
      <w:r w:rsidR="00697565">
        <w:rPr>
          <w:kern w:val="22"/>
        </w:rPr>
        <w:t>ty in mice from 150 mg/kg PO (</w:t>
      </w:r>
      <w:r w:rsidRPr="00D35641">
        <w:rPr>
          <w:kern w:val="22"/>
        </w:rPr>
        <w:t xml:space="preserve">70-fold the clinically expected dermal dose on </w:t>
      </w:r>
      <w:proofErr w:type="gramStart"/>
      <w:r w:rsidRPr="00D35641">
        <w:rPr>
          <w:kern w:val="22"/>
        </w:rPr>
        <w:t>a</w:t>
      </w:r>
      <w:proofErr w:type="gramEnd"/>
      <w:r w:rsidRPr="00D35641">
        <w:rPr>
          <w:kern w:val="22"/>
        </w:rPr>
        <w:t xml:space="preserve"> mg/m</w:t>
      </w:r>
      <w:r w:rsidRPr="00D35641">
        <w:rPr>
          <w:kern w:val="22"/>
          <w:vertAlign w:val="superscript"/>
        </w:rPr>
        <w:t>2</w:t>
      </w:r>
      <w:r w:rsidRPr="00D35641">
        <w:rPr>
          <w:kern w:val="22"/>
        </w:rPr>
        <w:t xml:space="preserve"> basis). These effects are expected to occur only at high doses that ar</w:t>
      </w:r>
      <w:r w:rsidR="008F5C87">
        <w:rPr>
          <w:kern w:val="22"/>
        </w:rPr>
        <w:t>e unlikely to occur clinically.</w:t>
      </w:r>
    </w:p>
    <w:p w:rsidR="008E7846" w:rsidRPr="00B020A0" w:rsidRDefault="00D35641" w:rsidP="008E7846">
      <w:pPr>
        <w:rPr>
          <w:kern w:val="22"/>
        </w:rPr>
      </w:pPr>
      <w:r w:rsidRPr="00D35641">
        <w:rPr>
          <w:kern w:val="22"/>
        </w:rPr>
        <w:t>Retapamulin induced complete or partial haemolysis of rat monkey and hum</w:t>
      </w:r>
      <w:r w:rsidR="00697565">
        <w:rPr>
          <w:kern w:val="22"/>
        </w:rPr>
        <w:t xml:space="preserve">an whole blood at 10 mg/mL. As this is approximately </w:t>
      </w:r>
      <w:r w:rsidRPr="00D35641">
        <w:rPr>
          <w:kern w:val="22"/>
        </w:rPr>
        <w:t xml:space="preserve">40,000-fold the anticipated clinical </w:t>
      </w:r>
      <w:proofErr w:type="spellStart"/>
      <w:r w:rsidRPr="00D35641">
        <w:rPr>
          <w:kern w:val="22"/>
        </w:rPr>
        <w:t>C</w:t>
      </w:r>
      <w:r w:rsidRPr="00D35641">
        <w:rPr>
          <w:kern w:val="22"/>
          <w:vertAlign w:val="subscript"/>
        </w:rPr>
        <w:t>max</w:t>
      </w:r>
      <w:proofErr w:type="spellEnd"/>
      <w:r w:rsidRPr="00D35641">
        <w:rPr>
          <w:kern w:val="22"/>
        </w:rPr>
        <w:t xml:space="preserve"> after dermal application this finding is not expected to have clinical relevance.</w:t>
      </w:r>
    </w:p>
    <w:p w:rsidR="008E7846" w:rsidRDefault="008E7846" w:rsidP="008E7846">
      <w:pPr>
        <w:pStyle w:val="Heading3"/>
      </w:pPr>
      <w:bookmarkStart w:id="45" w:name="_Toc247691513"/>
      <w:bookmarkStart w:id="46" w:name="_Toc314842497"/>
      <w:bookmarkStart w:id="47" w:name="_Toc371925748"/>
      <w:r>
        <w:t>Pharmacokinetics</w:t>
      </w:r>
      <w:bookmarkEnd w:id="45"/>
      <w:bookmarkEnd w:id="46"/>
      <w:bookmarkEnd w:id="47"/>
    </w:p>
    <w:p w:rsidR="00D35641" w:rsidRPr="00D35641" w:rsidRDefault="00D35641" w:rsidP="00D35641">
      <w:r w:rsidRPr="00D35641">
        <w:rPr>
          <w:i/>
        </w:rPr>
        <w:t>Absorption:</w:t>
      </w:r>
      <w:r w:rsidRPr="00D35641">
        <w:t xml:space="preserve"> Following IV administration plasma clearance was moderate to high in rats, dogs and monkeys, but half-life was longer in dogs (2</w:t>
      </w:r>
      <w:r w:rsidR="00697565">
        <w:t xml:space="preserve"> h) than in rats and monkeys (about </w:t>
      </w:r>
      <w:r w:rsidRPr="00D35641">
        <w:t>1</w:t>
      </w:r>
      <w:r w:rsidR="00697565">
        <w:t> </w:t>
      </w:r>
      <w:r w:rsidRPr="00D35641">
        <w:t>h). Retapamulin was rapidly absorbed (</w:t>
      </w:r>
      <w:r w:rsidR="00697565">
        <w:t>time to achieve maximum concentration (</w:t>
      </w:r>
      <w:proofErr w:type="spellStart"/>
      <w:r w:rsidRPr="00D35641">
        <w:t>T</w:t>
      </w:r>
      <w:r w:rsidRPr="00D35641">
        <w:rPr>
          <w:vertAlign w:val="subscript"/>
        </w:rPr>
        <w:t>max</w:t>
      </w:r>
      <w:proofErr w:type="spellEnd"/>
      <w:r w:rsidR="00697565">
        <w:t xml:space="preserve">) </w:t>
      </w:r>
      <w:r w:rsidRPr="00D35641">
        <w:t>0.3-4.2</w:t>
      </w:r>
      <w:r w:rsidR="00697565">
        <w:t xml:space="preserve"> </w:t>
      </w:r>
      <w:r w:rsidRPr="00D35641">
        <w:t xml:space="preserve">h) after a single oral administration in rats and monkeys. </w:t>
      </w:r>
      <w:proofErr w:type="spellStart"/>
      <w:r w:rsidRPr="00D35641">
        <w:t>Retapamulin</w:t>
      </w:r>
      <w:proofErr w:type="spellEnd"/>
      <w:r w:rsidRPr="00D35641">
        <w:t xml:space="preserve"> showed extensive </w:t>
      </w:r>
      <w:proofErr w:type="spellStart"/>
      <w:r w:rsidRPr="00D35641">
        <w:t>biliary</w:t>
      </w:r>
      <w:proofErr w:type="spellEnd"/>
      <w:r w:rsidRPr="00D35641">
        <w:t xml:space="preserve"> excretion and oral bioavailability was low (1-2% in rats). Based on total </w:t>
      </w:r>
      <w:proofErr w:type="spellStart"/>
      <w:r w:rsidRPr="00D35641">
        <w:t>biliary</w:t>
      </w:r>
      <w:proofErr w:type="spellEnd"/>
      <w:r w:rsidRPr="00D35641">
        <w:t xml:space="preserve"> and urinary excretion in rats the oral absorption was estimated to be 55% (fasted) and 83% (fed). Plasma levels in rats and monkeys were typically in the high </w:t>
      </w:r>
      <w:proofErr w:type="spellStart"/>
      <w:r w:rsidRPr="00D35641">
        <w:t>ng</w:t>
      </w:r>
      <w:proofErr w:type="spellEnd"/>
      <w:r w:rsidRPr="00D35641">
        <w:t>/</w:t>
      </w:r>
      <w:proofErr w:type="spellStart"/>
      <w:r w:rsidRPr="00D35641">
        <w:t>mL</w:t>
      </w:r>
      <w:proofErr w:type="spellEnd"/>
      <w:r w:rsidRPr="00D35641">
        <w:t xml:space="preserve"> to low µg/</w:t>
      </w:r>
      <w:proofErr w:type="spellStart"/>
      <w:r w:rsidRPr="00D35641">
        <w:t>mL</w:t>
      </w:r>
      <w:proofErr w:type="spellEnd"/>
      <w:r w:rsidRPr="00D35641">
        <w:t xml:space="preserve"> range after oral administration of up to 450</w:t>
      </w:r>
      <w:r w:rsidR="00697565">
        <w:t xml:space="preserve"> </w:t>
      </w:r>
      <w:r w:rsidR="008F5C87">
        <w:t>mg/kg to rats and monkeys.</w:t>
      </w:r>
    </w:p>
    <w:p w:rsidR="00D35641" w:rsidRPr="00D35641" w:rsidRDefault="00D35641" w:rsidP="00D35641">
      <w:r w:rsidRPr="00D35641">
        <w:t xml:space="preserve">After single administration of topical doses (up to 5% over </w:t>
      </w:r>
      <w:r w:rsidRPr="00697565">
        <w:t>25</w:t>
      </w:r>
      <w:r w:rsidR="00697565">
        <w:t xml:space="preserve"> </w:t>
      </w:r>
      <w:r w:rsidRPr="00697565">
        <w:t>cm</w:t>
      </w:r>
      <w:r w:rsidRPr="00697565">
        <w:rPr>
          <w:vertAlign w:val="superscript"/>
        </w:rPr>
        <w:t>2</w:t>
      </w:r>
      <w:r w:rsidRPr="00D35641">
        <w:t>), plasma levels w</w:t>
      </w:r>
      <w:r w:rsidR="00697565">
        <w:t xml:space="preserve">ere generally not detectable (&lt; </w:t>
      </w:r>
      <w:r w:rsidRPr="00D35641">
        <w:t xml:space="preserve">0.5-1 </w:t>
      </w:r>
      <w:proofErr w:type="spellStart"/>
      <w:r w:rsidRPr="00D35641">
        <w:t>ng</w:t>
      </w:r>
      <w:proofErr w:type="spellEnd"/>
      <w:r w:rsidRPr="00D35641">
        <w:t>/</w:t>
      </w:r>
      <w:proofErr w:type="spellStart"/>
      <w:r w:rsidRPr="00D35641">
        <w:t>mL</w:t>
      </w:r>
      <w:proofErr w:type="spellEnd"/>
      <w:r w:rsidRPr="00D35641">
        <w:t xml:space="preserve">) in rabbits and </w:t>
      </w:r>
      <w:proofErr w:type="spellStart"/>
      <w:r w:rsidRPr="00D35641">
        <w:t>minipigs</w:t>
      </w:r>
      <w:proofErr w:type="spellEnd"/>
      <w:r w:rsidRPr="00D35641">
        <w:t xml:space="preserve">. Systemic exposure increased with repeated topical dosing and measurable exposure (low </w:t>
      </w:r>
      <w:proofErr w:type="spellStart"/>
      <w:r w:rsidRPr="00D35641">
        <w:t>ng</w:t>
      </w:r>
      <w:proofErr w:type="spellEnd"/>
      <w:r w:rsidRPr="00D35641">
        <w:t>/</w:t>
      </w:r>
      <w:proofErr w:type="spellStart"/>
      <w:r w:rsidRPr="00D35641">
        <w:t>mL</w:t>
      </w:r>
      <w:proofErr w:type="spellEnd"/>
      <w:r w:rsidRPr="00D35641">
        <w:t xml:space="preserve"> range) was achieved in some animals after repeated once daily (20</w:t>
      </w:r>
      <w:r w:rsidR="00697565">
        <w:t xml:space="preserve"> </w:t>
      </w:r>
      <w:r w:rsidRPr="00D35641">
        <w:t>h</w:t>
      </w:r>
      <w:r w:rsidR="00697565">
        <w:t>) dermal application for 1</w:t>
      </w:r>
      <w:r w:rsidRPr="00D35641">
        <w:t>-13 weeks. In general, measurable systemic exposure was more frequent and higher when retapamulin was applied to skin that was abraded to simulate non-intact skin or wounds. Due to variability and varying number of samples with detectable concentrations, no other dose comparisons were made. Maximum plasma concentrations were reached after 3</w:t>
      </w:r>
      <w:r w:rsidR="00697565">
        <w:noBreakHyphen/>
      </w:r>
      <w:r w:rsidRPr="00D35641">
        <w:t>8</w:t>
      </w:r>
      <w:r w:rsidR="00697565">
        <w:t> </w:t>
      </w:r>
      <w:r w:rsidRPr="00D35641">
        <w:t>h. No consistent sex differences were observed in any of the preclinical studies, but again comparisons were compromised by high variability of the data or limited numbers of samples.</w:t>
      </w:r>
    </w:p>
    <w:p w:rsidR="00D35641" w:rsidRPr="00D35641" w:rsidRDefault="00D35641" w:rsidP="00D35641">
      <w:r w:rsidRPr="00D35641">
        <w:t xml:space="preserve">No bioavailability studies were conducted in humans since systemic exposure was low, as desired for a topical product. The exposure to retapamulin is expected to be low even when the skin barrier (integrity of the stratum </w:t>
      </w:r>
      <w:proofErr w:type="spellStart"/>
      <w:r w:rsidR="008F5C87">
        <w:t>corneum</w:t>
      </w:r>
      <w:proofErr w:type="spellEnd"/>
      <w:r w:rsidR="008F5C87">
        <w:t>) is compromised.</w:t>
      </w:r>
    </w:p>
    <w:p w:rsidR="00D35641" w:rsidRPr="00D35641" w:rsidRDefault="00D35641" w:rsidP="00D35641">
      <w:r w:rsidRPr="00D35641">
        <w:rPr>
          <w:i/>
        </w:rPr>
        <w:t>Distribution:</w:t>
      </w:r>
      <w:r w:rsidRPr="00D35641">
        <w:t xml:space="preserve"> </w:t>
      </w:r>
      <w:proofErr w:type="spellStart"/>
      <w:r w:rsidRPr="00D35641">
        <w:t>Extravascular</w:t>
      </w:r>
      <w:proofErr w:type="spellEnd"/>
      <w:r w:rsidRPr="00D35641">
        <w:t xml:space="preserve"> distribution was rapid and extensive following IV administration of</w:t>
      </w:r>
      <w:r w:rsidR="00697565">
        <w:t xml:space="preserve"> </w:t>
      </w:r>
      <w:proofErr w:type="spellStart"/>
      <w:r w:rsidR="00697565">
        <w:t>radiolabelled</w:t>
      </w:r>
      <w:proofErr w:type="spellEnd"/>
      <w:r w:rsidR="00697565">
        <w:t xml:space="preserve"> (</w:t>
      </w:r>
      <w:r w:rsidR="00697565" w:rsidRPr="00697565">
        <w:rPr>
          <w:vertAlign w:val="superscript"/>
        </w:rPr>
        <w:t>14</w:t>
      </w:r>
      <w:r w:rsidR="00697565">
        <w:t>C)</w:t>
      </w:r>
      <w:r w:rsidRPr="00D35641">
        <w:t>-</w:t>
      </w:r>
      <w:proofErr w:type="spellStart"/>
      <w:r w:rsidRPr="00D35641">
        <w:t>retapamulin</w:t>
      </w:r>
      <w:proofErr w:type="spellEnd"/>
      <w:r w:rsidRPr="00D35641">
        <w:t xml:space="preserve"> to rats. Highest concentrations were generally detected after 0.5 h. The tissues with the highest concentration of radioactivity at 0.5</w:t>
      </w:r>
      <w:r w:rsidR="00697565">
        <w:t> </w:t>
      </w:r>
      <w:r w:rsidRPr="00D35641">
        <w:t xml:space="preserve">h were contents of small intestine and urinary bladder, as well as the </w:t>
      </w:r>
      <w:proofErr w:type="spellStart"/>
      <w:r w:rsidRPr="00D35641">
        <w:t>uveal</w:t>
      </w:r>
      <w:proofErr w:type="spellEnd"/>
      <w:r w:rsidRPr="00D35641">
        <w:t xml:space="preserve"> tract of the eye, the kidney, liver, lung and the pituitary gland. Radioactivity was detected in the </w:t>
      </w:r>
      <w:proofErr w:type="spellStart"/>
      <w:r w:rsidRPr="00D35641">
        <w:t>meninges</w:t>
      </w:r>
      <w:proofErr w:type="spellEnd"/>
      <w:r w:rsidRPr="00D35641">
        <w:t xml:space="preserve"> but was lower than blood (ratio 0.2) in the brain tissue itself. At 7 days post dose appreciable radioactivity was still detected in the </w:t>
      </w:r>
      <w:proofErr w:type="spellStart"/>
      <w:r w:rsidRPr="00D35641">
        <w:t>uveal</w:t>
      </w:r>
      <w:proofErr w:type="spellEnd"/>
      <w:r w:rsidRPr="00D35641">
        <w:t xml:space="preserve"> tract of the eye, the skin, liver, kidney, spleen, adrenal gland, pituitary gland thyroid, bone marrow and lymph nodes. Radioactivity persisted in pigmented skin, </w:t>
      </w:r>
      <w:proofErr w:type="spellStart"/>
      <w:r w:rsidRPr="00D35641">
        <w:t>uveal</w:t>
      </w:r>
      <w:proofErr w:type="spellEnd"/>
      <w:r w:rsidRPr="00D35641">
        <w:t xml:space="preserve"> tract of the eye, spleen, adrenal gland and lymph node, where measurable levels were still detected 35 days after the dose. Association of retapamulin related radioactivity with melanin containi</w:t>
      </w:r>
      <w:r w:rsidR="008F5C87">
        <w:t>ng tissue is considered likely.</w:t>
      </w:r>
    </w:p>
    <w:p w:rsidR="00D35641" w:rsidRPr="00D35641" w:rsidRDefault="00D35641" w:rsidP="00D35641">
      <w:r w:rsidRPr="00D35641">
        <w:t xml:space="preserve">Protein binding was moderate to high (75-94%) in the order human &gt; rat &gt; monkey </w:t>
      </w:r>
      <w:r w:rsidRPr="00D35641">
        <w:rPr>
          <w:i/>
        </w:rPr>
        <w:t>in vitro</w:t>
      </w:r>
      <w:r w:rsidRPr="00D35641">
        <w:t xml:space="preserve">. Protein binding was not concentration dependent. Only limited distribution of retapamulin into blood cells was seen in humans, whereas retapamulin was almost evenly distributed between blood cells </w:t>
      </w:r>
      <w:r w:rsidR="008F5C87">
        <w:t>and plasma in rats and monkeys.</w:t>
      </w:r>
    </w:p>
    <w:p w:rsidR="00D35641" w:rsidRPr="00D35641" w:rsidRDefault="00D35641" w:rsidP="00D35641">
      <w:r w:rsidRPr="00D35641">
        <w:rPr>
          <w:i/>
        </w:rPr>
        <w:t xml:space="preserve">Metabolism: </w:t>
      </w:r>
      <w:r w:rsidRPr="00D35641">
        <w:t>Characterisation of the metabolic profile</w:t>
      </w:r>
      <w:r w:rsidRPr="00D35641">
        <w:rPr>
          <w:i/>
        </w:rPr>
        <w:t xml:space="preserve"> in vitro </w:t>
      </w:r>
      <w:r w:rsidRPr="00D35641">
        <w:t>showed that</w:t>
      </w:r>
      <w:r w:rsidRPr="00D35641">
        <w:rPr>
          <w:i/>
        </w:rPr>
        <w:t xml:space="preserve"> </w:t>
      </w:r>
      <w:r w:rsidRPr="00D35641">
        <w:t xml:space="preserve">retapamulin is rapidly and extensively metabolised. Clearance was more rapid in humans and monkeys than rat and dog. The main metabolic pathways were similar across species (rats, dogs, monkeys, humans) and consisted of mono and </w:t>
      </w:r>
      <w:proofErr w:type="spellStart"/>
      <w:r w:rsidRPr="00D35641">
        <w:t>di</w:t>
      </w:r>
      <w:proofErr w:type="spellEnd"/>
      <w:r w:rsidRPr="00D35641">
        <w:t>-oxygenation and N-</w:t>
      </w:r>
      <w:proofErr w:type="spellStart"/>
      <w:r w:rsidRPr="00D35641">
        <w:t>demethylation</w:t>
      </w:r>
      <w:proofErr w:type="spellEnd"/>
      <w:r w:rsidRPr="00D35641">
        <w:t xml:space="preserve">. One human specific metabolite, M15, a </w:t>
      </w:r>
      <w:proofErr w:type="spellStart"/>
      <w:r w:rsidRPr="00D35641">
        <w:t>di</w:t>
      </w:r>
      <w:proofErr w:type="spellEnd"/>
      <w:r w:rsidRPr="00D35641">
        <w:t xml:space="preserve">-oxygenation product, was observed in hepatocytes. </w:t>
      </w:r>
      <w:r w:rsidR="00EA27D0">
        <w:t xml:space="preserve">Cytochrome P450 </w:t>
      </w:r>
      <w:r w:rsidR="00EA27D0">
        <w:lastRenderedPageBreak/>
        <w:t>(</w:t>
      </w:r>
      <w:r w:rsidRPr="00D35641">
        <w:t>CYP</w:t>
      </w:r>
      <w:r w:rsidR="00EA27D0">
        <w:t xml:space="preserve">) </w:t>
      </w:r>
      <w:r w:rsidRPr="00D35641">
        <w:t xml:space="preserve">3A4 was shown to be the main CYP </w:t>
      </w:r>
      <w:proofErr w:type="spellStart"/>
      <w:r w:rsidRPr="00D35641">
        <w:t>isoform</w:t>
      </w:r>
      <w:proofErr w:type="spellEnd"/>
      <w:r w:rsidRPr="00D35641">
        <w:t xml:space="preserve"> involved in </w:t>
      </w:r>
      <w:proofErr w:type="spellStart"/>
      <w:r w:rsidRPr="00D35641">
        <w:t>retapamulin</w:t>
      </w:r>
      <w:proofErr w:type="spellEnd"/>
      <w:r w:rsidRPr="00D35641">
        <w:t xml:space="preserve"> metabolism in human liver microsomes </w:t>
      </w:r>
      <w:r w:rsidRPr="00D35641">
        <w:rPr>
          <w:i/>
        </w:rPr>
        <w:t>in vitro</w:t>
      </w:r>
      <w:r w:rsidRPr="00D35641">
        <w:t xml:space="preserve">. Minor contribution of CYP2C8 and CYP2D6 to over all </w:t>
      </w:r>
      <w:proofErr w:type="gramStart"/>
      <w:r w:rsidRPr="00EA27D0">
        <w:t>metabolism</w:t>
      </w:r>
      <w:proofErr w:type="gramEnd"/>
      <w:r w:rsidRPr="00EA27D0">
        <w:t xml:space="preserve"> is expected. In the absence of </w:t>
      </w:r>
      <w:proofErr w:type="spellStart"/>
      <w:r w:rsidR="00EA27D0" w:rsidRPr="00EA27D0">
        <w:t>nicotinamide</w:t>
      </w:r>
      <w:proofErr w:type="spellEnd"/>
      <w:r w:rsidR="00EA27D0" w:rsidRPr="00EA27D0">
        <w:t xml:space="preserve"> adenine </w:t>
      </w:r>
      <w:proofErr w:type="spellStart"/>
      <w:r w:rsidR="00EA27D0" w:rsidRPr="00EA27D0">
        <w:t>dinucleotide</w:t>
      </w:r>
      <w:proofErr w:type="spellEnd"/>
      <w:r w:rsidR="00EA27D0" w:rsidRPr="00EA27D0">
        <w:t xml:space="preserve"> phosphate-</w:t>
      </w:r>
      <w:proofErr w:type="spellStart"/>
      <w:r w:rsidR="00EA27D0" w:rsidRPr="00EA27D0">
        <w:t>oxidase</w:t>
      </w:r>
      <w:proofErr w:type="spellEnd"/>
      <w:r w:rsidR="00EA27D0" w:rsidRPr="00EA27D0">
        <w:t xml:space="preserve"> (</w:t>
      </w:r>
      <w:r w:rsidRPr="00EA27D0">
        <w:t>NADPH</w:t>
      </w:r>
      <w:r w:rsidR="00EA27D0" w:rsidRPr="00EA27D0">
        <w:t>)</w:t>
      </w:r>
      <w:r w:rsidRPr="00EA27D0">
        <w:t>, retapamulin remained stable in aqueous solution over a 30 min period</w:t>
      </w:r>
      <w:r w:rsidR="008F5C87">
        <w:t>.</w:t>
      </w:r>
    </w:p>
    <w:p w:rsidR="00D35641" w:rsidRPr="00D35641" w:rsidRDefault="00D35641" w:rsidP="00D35641">
      <w:r w:rsidRPr="00D35641">
        <w:t>I</w:t>
      </w:r>
      <w:r w:rsidRPr="00D35641">
        <w:rPr>
          <w:i/>
        </w:rPr>
        <w:t xml:space="preserve">n vivo </w:t>
      </w:r>
      <w:r w:rsidR="00697565">
        <w:t xml:space="preserve">a large number of metabolites (about </w:t>
      </w:r>
      <w:r w:rsidRPr="00D35641">
        <w:t>100 metabolites across matrices) were observed in plasma</w:t>
      </w:r>
      <w:r w:rsidR="00697565">
        <w:t>,</w:t>
      </w:r>
      <w:r w:rsidRPr="00D35641">
        <w:t xml:space="preserve"> urine</w:t>
      </w:r>
      <w:r w:rsidR="00697565">
        <w:t>,</w:t>
      </w:r>
      <w:r w:rsidRPr="00D35641">
        <w:t xml:space="preserve"> faeces and bile of rats and monkeys dosed orally. Discrete structural identification was not conducted. The highest levels of unchanged drug were detected in rat plasma after oral dosing (10-33%), levels were low in urine and the parent was not detected in faeces. In monkeys low levels of parent compound were only detected in faeces. Most of the metabolites measured in rat and monkey plasma, urine bile and faeces were &lt;</w:t>
      </w:r>
      <w:r w:rsidR="00697565">
        <w:t xml:space="preserve"> </w:t>
      </w:r>
      <w:r w:rsidRPr="00D35641">
        <w:t xml:space="preserve">5%. Only 3-4 metabolites/matrix were more prominent. Similar to the </w:t>
      </w:r>
      <w:r w:rsidRPr="00D35641">
        <w:rPr>
          <w:i/>
        </w:rPr>
        <w:t>in vitro</w:t>
      </w:r>
      <w:r w:rsidRPr="00D35641">
        <w:t xml:space="preserve"> results the major pathways of metabolism in plasma were mono- and </w:t>
      </w:r>
      <w:proofErr w:type="spellStart"/>
      <w:r w:rsidRPr="00D35641">
        <w:t>di</w:t>
      </w:r>
      <w:proofErr w:type="spellEnd"/>
      <w:r w:rsidRPr="00D35641">
        <w:t xml:space="preserve">-oxygenation. The main metabolites in bile/faeces were numerous </w:t>
      </w:r>
      <w:proofErr w:type="spellStart"/>
      <w:r w:rsidRPr="00D35641">
        <w:t>monooxygenation</w:t>
      </w:r>
      <w:proofErr w:type="spellEnd"/>
      <w:r w:rsidRPr="00D35641">
        <w:t xml:space="preserve"> products. Additional metabolic pathways in bile and faeces consisted of </w:t>
      </w:r>
      <w:proofErr w:type="spellStart"/>
      <w:r w:rsidRPr="00D35641">
        <w:t>di</w:t>
      </w:r>
      <w:proofErr w:type="spellEnd"/>
      <w:r w:rsidRPr="00D35641">
        <w:t xml:space="preserve">-oxygenation with </w:t>
      </w:r>
      <w:proofErr w:type="spellStart"/>
      <w:r w:rsidRPr="00D35641">
        <w:t>demethylation</w:t>
      </w:r>
      <w:proofErr w:type="spellEnd"/>
      <w:r w:rsidRPr="00D35641">
        <w:t xml:space="preserve">, mono-oxygenation with </w:t>
      </w:r>
      <w:proofErr w:type="spellStart"/>
      <w:r w:rsidRPr="00D35641">
        <w:t>demethylation</w:t>
      </w:r>
      <w:proofErr w:type="spellEnd"/>
      <w:r w:rsidRPr="00D35641">
        <w:t xml:space="preserve">, </w:t>
      </w:r>
      <w:proofErr w:type="spellStart"/>
      <w:r w:rsidRPr="00D35641">
        <w:t>monooxygenation</w:t>
      </w:r>
      <w:proofErr w:type="spellEnd"/>
      <w:r w:rsidRPr="00D35641">
        <w:t xml:space="preserve"> with </w:t>
      </w:r>
      <w:proofErr w:type="spellStart"/>
      <w:r w:rsidRPr="00D35641">
        <w:t>ketone</w:t>
      </w:r>
      <w:proofErr w:type="spellEnd"/>
      <w:r w:rsidRPr="00D35641">
        <w:t xml:space="preserve"> formation, </w:t>
      </w:r>
      <w:proofErr w:type="spellStart"/>
      <w:r w:rsidRPr="00D35641">
        <w:t>monooxygenation</w:t>
      </w:r>
      <w:proofErr w:type="spellEnd"/>
      <w:r w:rsidRPr="00D35641">
        <w:t xml:space="preserve"> with sulfation, </w:t>
      </w:r>
      <w:proofErr w:type="spellStart"/>
      <w:r w:rsidRPr="00D35641">
        <w:t>monooxygenation</w:t>
      </w:r>
      <w:proofErr w:type="spellEnd"/>
      <w:r w:rsidRPr="00D35641">
        <w:t xml:space="preserve"> with </w:t>
      </w:r>
      <w:proofErr w:type="spellStart"/>
      <w:r w:rsidRPr="00D35641">
        <w:t>glucuronidation</w:t>
      </w:r>
      <w:proofErr w:type="spellEnd"/>
      <w:r w:rsidRPr="00D35641">
        <w:t xml:space="preserve">, and </w:t>
      </w:r>
      <w:proofErr w:type="spellStart"/>
      <w:r w:rsidRPr="00D35641">
        <w:t>monooxygenation</w:t>
      </w:r>
      <w:proofErr w:type="spellEnd"/>
      <w:r w:rsidRPr="00D35641">
        <w:t xml:space="preserve"> with </w:t>
      </w:r>
      <w:proofErr w:type="spellStart"/>
      <w:r w:rsidRPr="00D35641">
        <w:t>demethylation</w:t>
      </w:r>
      <w:proofErr w:type="spellEnd"/>
      <w:r w:rsidRPr="00D35641">
        <w:t xml:space="preserve"> and </w:t>
      </w:r>
      <w:proofErr w:type="spellStart"/>
      <w:r w:rsidRPr="00D35641">
        <w:t>glucuronidation</w:t>
      </w:r>
      <w:proofErr w:type="spellEnd"/>
      <w:r w:rsidRPr="00D35641">
        <w:t xml:space="preserve">. Metabolism in the other species used in the toxicity studies (rabbits and </w:t>
      </w:r>
      <w:proofErr w:type="spellStart"/>
      <w:r w:rsidR="008F5C87">
        <w:t>minipigs</w:t>
      </w:r>
      <w:proofErr w:type="spellEnd"/>
      <w:r w:rsidR="008F5C87">
        <w:t>) was not investigated.</w:t>
      </w:r>
    </w:p>
    <w:p w:rsidR="00D35641" w:rsidRPr="00D35641" w:rsidRDefault="00D35641" w:rsidP="00D35641">
      <w:r w:rsidRPr="00D35641">
        <w:t xml:space="preserve">Retapamulin was metabolised to three minor mono-oxygenation products </w:t>
      </w:r>
      <w:r w:rsidRPr="00D35641">
        <w:rPr>
          <w:i/>
        </w:rPr>
        <w:t>in vitro</w:t>
      </w:r>
      <w:r w:rsidRPr="00D35641">
        <w:t xml:space="preserve"> by human skin from which the stratum corneum had been removed. Only two circulating mono-oxygenated compounds were detected in plasma of subjects after topical administration of retapamulin ointment to abraded skin, both minor compared to the parent compound.</w:t>
      </w:r>
    </w:p>
    <w:p w:rsidR="00D35641" w:rsidRPr="00697565" w:rsidRDefault="00D35641" w:rsidP="00697565">
      <w:r w:rsidRPr="00697565">
        <w:rPr>
          <w:i/>
          <w:iCs/>
        </w:rPr>
        <w:t>Excretion:</w:t>
      </w:r>
      <w:r w:rsidRPr="00697565">
        <w:t xml:space="preserve"> Excretion was rapid in rats and monkeys after PO and IV administration, the largest fraction was excreted within 48</w:t>
      </w:r>
      <w:r w:rsidR="00697565" w:rsidRPr="00697565">
        <w:t> </w:t>
      </w:r>
      <w:r w:rsidRPr="00697565">
        <w:t>h. The predominant excretion route in rats and monkeys was faeces (80-90%). Urinary exc</w:t>
      </w:r>
      <w:r w:rsidR="00697565" w:rsidRPr="00697565">
        <w:t>retion was minor in rats (8-10%</w:t>
      </w:r>
      <w:r w:rsidRPr="00697565">
        <w:t xml:space="preserve">) and monkeys (13-17%). </w:t>
      </w:r>
      <w:r w:rsidR="00697565" w:rsidRPr="00697565">
        <w:t xml:space="preserve">Substantial </w:t>
      </w:r>
      <w:proofErr w:type="spellStart"/>
      <w:r w:rsidR="00697565" w:rsidRPr="00697565">
        <w:t>biliary</w:t>
      </w:r>
      <w:proofErr w:type="spellEnd"/>
      <w:r w:rsidR="00697565" w:rsidRPr="00697565">
        <w:t xml:space="preserve"> excretion (about </w:t>
      </w:r>
      <w:r w:rsidRPr="00697565">
        <w:t>70%) occurred after IV or PO administration in rats. No sex differences were observed.</w:t>
      </w:r>
    </w:p>
    <w:p w:rsidR="00D35641" w:rsidRPr="00D35641" w:rsidRDefault="00D35641" w:rsidP="00D35641">
      <w:r w:rsidRPr="00D35641">
        <w:rPr>
          <w:i/>
        </w:rPr>
        <w:t>Conclusion:</w:t>
      </w:r>
      <w:r w:rsidRPr="00D35641">
        <w:t xml:space="preserve"> </w:t>
      </w:r>
      <w:r w:rsidRPr="00D35641">
        <w:rPr>
          <w:i/>
        </w:rPr>
        <w:t>In vitro</w:t>
      </w:r>
      <w:r w:rsidRPr="00D35641">
        <w:t xml:space="preserve"> studies suggest that the metabolic pathways in humans, rats, dogs and monkeys are similar. In contrast to the extensive </w:t>
      </w:r>
      <w:r w:rsidRPr="00D35641">
        <w:rPr>
          <w:i/>
        </w:rPr>
        <w:t xml:space="preserve">in vivo </w:t>
      </w:r>
      <w:r w:rsidRPr="00D35641">
        <w:t xml:space="preserve">metabolism of retapamulin in rats and dogs after PO dosing, the parent drug was the major component of retapamulin related radioactivity in human skin samples after dermal application </w:t>
      </w:r>
      <w:r w:rsidRPr="00D35641">
        <w:rPr>
          <w:i/>
        </w:rPr>
        <w:t>in vitro</w:t>
      </w:r>
      <w:r w:rsidRPr="00D35641">
        <w:t xml:space="preserve">, and only two minor metabolites were measured in human plasma after dermal application to abraded skin </w:t>
      </w:r>
      <w:r w:rsidRPr="00D35641">
        <w:rPr>
          <w:i/>
        </w:rPr>
        <w:t>in vivo</w:t>
      </w:r>
      <w:r w:rsidRPr="00D35641">
        <w:t xml:space="preserve">. Metabolism after dermal application was not </w:t>
      </w:r>
      <w:r w:rsidR="008F5C87">
        <w:t>investigated in animal studies.</w:t>
      </w:r>
    </w:p>
    <w:p w:rsidR="00D35641" w:rsidRPr="00D35641" w:rsidRDefault="00D35641" w:rsidP="00697565">
      <w:pPr>
        <w:pStyle w:val="Heading5"/>
      </w:pPr>
      <w:bookmarkStart w:id="48" w:name="_Toc294861725"/>
      <w:r w:rsidRPr="00D35641">
        <w:t>Pharmacokinetic drug interactions</w:t>
      </w:r>
      <w:bookmarkEnd w:id="48"/>
    </w:p>
    <w:p w:rsidR="00D35641" w:rsidRPr="00D35641" w:rsidRDefault="00D35641" w:rsidP="00D35641">
      <w:r w:rsidRPr="00D35641">
        <w:t xml:space="preserve">Retapamulin was shown to be a P-glycoprotein </w:t>
      </w:r>
      <w:r w:rsidR="00697565">
        <w:t>[</w:t>
      </w:r>
      <w:r w:rsidR="00A2509B">
        <w:t>P-</w:t>
      </w:r>
      <w:proofErr w:type="spellStart"/>
      <w:r w:rsidR="00E17660">
        <w:t>gp</w:t>
      </w:r>
      <w:proofErr w:type="spellEnd"/>
      <w:r w:rsidR="00E17660">
        <w:t xml:space="preserve">; a </w:t>
      </w:r>
      <w:r w:rsidR="00697565">
        <w:t xml:space="preserve">transporter] </w:t>
      </w:r>
      <w:r w:rsidRPr="00D35641">
        <w:t>substrate and in</w:t>
      </w:r>
      <w:r w:rsidR="00E17660">
        <w:t xml:space="preserve">hibited </w:t>
      </w:r>
      <w:proofErr w:type="spellStart"/>
      <w:r w:rsidR="00E17660">
        <w:t>P</w:t>
      </w:r>
      <w:r w:rsidR="00E17660">
        <w:noBreakHyphen/>
      </w:r>
      <w:r w:rsidRPr="00D35641">
        <w:t>g</w:t>
      </w:r>
      <w:r w:rsidR="00A2509B">
        <w:t>p</w:t>
      </w:r>
      <w:proofErr w:type="spellEnd"/>
      <w:r w:rsidRPr="00D35641">
        <w:t xml:space="preserve"> mediated </w:t>
      </w:r>
      <w:proofErr w:type="spellStart"/>
      <w:r w:rsidRPr="00D35641">
        <w:t>digoxin</w:t>
      </w:r>
      <w:proofErr w:type="spellEnd"/>
      <w:r w:rsidRPr="00D35641">
        <w:t xml:space="preserve"> transport with an IC</w:t>
      </w:r>
      <w:r w:rsidRPr="00D35641">
        <w:rPr>
          <w:vertAlign w:val="subscript"/>
        </w:rPr>
        <w:t>50</w:t>
      </w:r>
      <w:r w:rsidRPr="00D35641">
        <w:t xml:space="preserve"> of 28.2µM (14.6µg/mL). This is not expected to be of clinical relevance since the inhib</w:t>
      </w:r>
      <w:r w:rsidR="00697565">
        <w:t xml:space="preserve">ition occurs at concentrations approximately </w:t>
      </w:r>
      <w:r w:rsidRPr="00D35641">
        <w:t xml:space="preserve">660-times the clinically anticipated </w:t>
      </w:r>
      <w:proofErr w:type="spellStart"/>
      <w:r w:rsidRPr="00D35641">
        <w:t>C</w:t>
      </w:r>
      <w:r w:rsidRPr="00D35641">
        <w:rPr>
          <w:vertAlign w:val="subscript"/>
        </w:rPr>
        <w:t>max</w:t>
      </w:r>
      <w:proofErr w:type="spellEnd"/>
      <w:r w:rsidRPr="00D35641">
        <w:t>. Retapamulin inhibited CYP3A4 via a competitive mechanism and weakly inhibited CYP2B6 [IC</w:t>
      </w:r>
      <w:r w:rsidRPr="00D35641">
        <w:rPr>
          <w:vertAlign w:val="subscript"/>
        </w:rPr>
        <w:t>50</w:t>
      </w:r>
      <w:r w:rsidR="00697565">
        <w:t xml:space="preserve"> about </w:t>
      </w:r>
      <w:r w:rsidRPr="00D35641">
        <w:t>3.5 µM (1.8 6µg/mL) and 99 µM (51.3 µg/mL) respectively). At</w:t>
      </w:r>
      <w:r w:rsidR="00697565">
        <w:t xml:space="preserve"> </w:t>
      </w:r>
      <w:r w:rsidRPr="00D35641">
        <w:t xml:space="preserve">82 and 2300-times the clinically anticipated </w:t>
      </w:r>
      <w:proofErr w:type="spellStart"/>
      <w:r w:rsidRPr="00D35641">
        <w:t>C</w:t>
      </w:r>
      <w:r w:rsidRPr="00D35641">
        <w:rPr>
          <w:vertAlign w:val="subscript"/>
        </w:rPr>
        <w:t>max</w:t>
      </w:r>
      <w:proofErr w:type="spellEnd"/>
      <w:r w:rsidRPr="00D35641">
        <w:t xml:space="preserve"> this is not expected </w:t>
      </w:r>
      <w:r w:rsidR="008F5C87">
        <w:t>to have any clinical relevance.</w:t>
      </w:r>
    </w:p>
    <w:p w:rsidR="00D35641" w:rsidRPr="00D35641" w:rsidRDefault="00D35641" w:rsidP="00D35641">
      <w:r w:rsidRPr="00D35641">
        <w:t xml:space="preserve">Retapamulin did not show relevant inhibition of any of the other tested CYP </w:t>
      </w:r>
      <w:proofErr w:type="spellStart"/>
      <w:r w:rsidRPr="00D35641">
        <w:t>isoforms</w:t>
      </w:r>
      <w:proofErr w:type="spellEnd"/>
      <w:r w:rsidRPr="00D35641">
        <w:t xml:space="preserve"> (CYP1A2, CYP2A6, CYP2C8, CYP2C9, CYP2C19, and CYP2D6). Oral retapamulin treatment in rats elevated CYP450 levels and activity of CYP1A, CYP3A, C</w:t>
      </w:r>
      <w:r w:rsidR="00697565">
        <w:t>YP2E and CYP4A from ≥150</w:t>
      </w:r>
      <w:r w:rsidR="00730A0D">
        <w:t> </w:t>
      </w:r>
      <w:r w:rsidR="00697565">
        <w:t xml:space="preserve">mg/kg (about </w:t>
      </w:r>
      <w:r w:rsidR="006C05C7">
        <w:t>70</w:t>
      </w:r>
      <w:r w:rsidRPr="00D35641">
        <w:t xml:space="preserve">-fold the anticipated clinical dermal dose on </w:t>
      </w:r>
      <w:proofErr w:type="gramStart"/>
      <w:r w:rsidRPr="00D35641">
        <w:t>a</w:t>
      </w:r>
      <w:proofErr w:type="gramEnd"/>
      <w:r w:rsidRPr="00D35641">
        <w:t xml:space="preserve"> mg/m</w:t>
      </w:r>
      <w:r w:rsidRPr="00D35641">
        <w:rPr>
          <w:vertAlign w:val="superscript"/>
        </w:rPr>
        <w:t>2</w:t>
      </w:r>
      <w:r w:rsidRPr="00D35641">
        <w:t xml:space="preserve"> basis). CYP induction is therefore not expected to occur cli</w:t>
      </w:r>
      <w:r w:rsidR="008F5C87">
        <w:t>nically after dermal treatment.</w:t>
      </w:r>
    </w:p>
    <w:p w:rsidR="00D35641" w:rsidRPr="00D35641" w:rsidRDefault="00D35641" w:rsidP="006C05C7">
      <w:pPr>
        <w:pStyle w:val="Heading5"/>
      </w:pPr>
      <w:r w:rsidRPr="00D35641">
        <w:lastRenderedPageBreak/>
        <w:t>Relative systemic exposures</w:t>
      </w:r>
    </w:p>
    <w:p w:rsidR="00D35641" w:rsidRPr="00D35641" w:rsidRDefault="00D35641" w:rsidP="006C05C7">
      <w:pPr>
        <w:pStyle w:val="Heading6"/>
      </w:pPr>
      <w:r w:rsidRPr="00D35641">
        <w:t>Relative systemic exposure after dermal administration</w:t>
      </w:r>
    </w:p>
    <w:p w:rsidR="00D35641" w:rsidRPr="00D35641" w:rsidRDefault="00D35641" w:rsidP="00D35641">
      <w:proofErr w:type="spellStart"/>
      <w:r w:rsidRPr="00D35641">
        <w:t>Rabbit</w:t>
      </w:r>
      <w:proofErr w:type="gramStart"/>
      <w:r w:rsidRPr="00D35641">
        <w:t>:human</w:t>
      </w:r>
      <w:proofErr w:type="spellEnd"/>
      <w:proofErr w:type="gramEnd"/>
      <w:r w:rsidRPr="00D35641">
        <w:t xml:space="preserve"> plasma exposure (AUC) ratios were &lt;</w:t>
      </w:r>
      <w:r w:rsidR="00B97753">
        <w:t> </w:t>
      </w:r>
      <w:r w:rsidRPr="00D35641">
        <w:t xml:space="preserve">1 in all dermal repeat-dose toxicity studies for which </w:t>
      </w:r>
      <w:proofErr w:type="spellStart"/>
      <w:r w:rsidRPr="00D35641">
        <w:t>toxicokinetic</w:t>
      </w:r>
      <w:proofErr w:type="spellEnd"/>
      <w:r w:rsidRPr="00D35641">
        <w:t xml:space="preserve"> data were available (table below). The retapamulin high-dose (0.5 mL of 2% w/w ointment over 6.25</w:t>
      </w:r>
      <w:r w:rsidR="00B97753">
        <w:t xml:space="preserve"> </w:t>
      </w:r>
      <w:r w:rsidRPr="00D35641">
        <w:t>cm</w:t>
      </w:r>
      <w:r w:rsidRPr="00D35641">
        <w:rPr>
          <w:vertAlign w:val="superscript"/>
        </w:rPr>
        <w:t>2</w:t>
      </w:r>
      <w:r w:rsidRPr="00D35641">
        <w:t>, white soft paraffin density of 0.93 g/cm</w:t>
      </w:r>
      <w:r w:rsidRPr="00D35641">
        <w:rPr>
          <w:vertAlign w:val="superscript"/>
        </w:rPr>
        <w:t>3</w:t>
      </w:r>
      <w:r w:rsidRPr="00D35641">
        <w:t xml:space="preserve"> at 20°C) in the pivotal rabbit 13-week toxicity study was calculated to be 9.3 mg. The </w:t>
      </w:r>
      <w:r w:rsidR="00B97753" w:rsidRPr="00D35641">
        <w:t>proposed</w:t>
      </w:r>
      <w:r w:rsidRPr="00D35641">
        <w:t xml:space="preserve"> maximum clinical dose is 10 mg retapamulin on 100cm</w:t>
      </w:r>
      <w:r w:rsidRPr="00D35641">
        <w:rPr>
          <w:vertAlign w:val="superscript"/>
        </w:rPr>
        <w:t>2</w:t>
      </w:r>
      <w:r w:rsidRPr="00D35641">
        <w:t xml:space="preserve"> BD. It is unclear whether species differences in absorption and/or clearance contributed to the low systemic exposure ratios observed in the rabbit dermal toxicity studies. In general rabbit skin has been shown to be more permeable than human skin (Barrett 1969</w:t>
      </w:r>
      <w:r w:rsidR="00B97753">
        <w:rPr>
          <w:rStyle w:val="FootnoteReference"/>
        </w:rPr>
        <w:footnoteReference w:id="5"/>
      </w:r>
      <w:r w:rsidRPr="00D35641">
        <w:t>, Mortensen 1998</w:t>
      </w:r>
      <w:r w:rsidR="00B97753">
        <w:rPr>
          <w:rStyle w:val="FootnoteReference"/>
        </w:rPr>
        <w:footnoteReference w:id="6"/>
      </w:r>
      <w:r w:rsidR="008F5C87">
        <w:t>).</w:t>
      </w:r>
    </w:p>
    <w:p w:rsidR="00D35641" w:rsidRPr="00D35641" w:rsidRDefault="00EA27D0" w:rsidP="008F5C87">
      <w:pPr>
        <w:pStyle w:val="TableTitle"/>
      </w:pPr>
      <w:proofErr w:type="gramStart"/>
      <w:r>
        <w:t>Table 2</w:t>
      </w:r>
      <w:r w:rsidR="00CA6AA9">
        <w:t>.</w:t>
      </w:r>
      <w:proofErr w:type="gramEnd"/>
      <w:r w:rsidR="00CA6AA9">
        <w:t xml:space="preserve"> </w:t>
      </w:r>
      <w:r w:rsidR="00D35641" w:rsidRPr="00D35641">
        <w:t>Relative exposure in rabbit repeat-dose dermal toxicity studies</w:t>
      </w:r>
    </w:p>
    <w:tbl>
      <w:tblPr>
        <w:tblStyle w:val="TableTGAblue"/>
        <w:tblW w:w="5000" w:type="pct"/>
        <w:tblLook w:val="01E0"/>
      </w:tblPr>
      <w:tblGrid>
        <w:gridCol w:w="1274"/>
        <w:gridCol w:w="1876"/>
        <w:gridCol w:w="1025"/>
        <w:gridCol w:w="1245"/>
        <w:gridCol w:w="657"/>
        <w:gridCol w:w="913"/>
        <w:gridCol w:w="1172"/>
        <w:gridCol w:w="1080"/>
      </w:tblGrid>
      <w:tr w:rsidR="00D35641" w:rsidRPr="000D66E0" w:rsidTr="000D66E0">
        <w:trPr>
          <w:cnfStyle w:val="100000000000"/>
          <w:trHeight w:val="716"/>
          <w:tblHeader/>
        </w:trPr>
        <w:tc>
          <w:tcPr>
            <w:tcW w:w="756" w:type="pct"/>
          </w:tcPr>
          <w:p w:rsidR="00D35641" w:rsidRPr="008F5C87" w:rsidRDefault="00D35641" w:rsidP="004B6083">
            <w:pPr>
              <w:spacing w:beforeLines="60" w:afterLines="60" w:line="240" w:lineRule="auto"/>
              <w:ind w:left="0" w:right="0"/>
              <w:rPr>
                <w:sz w:val="20"/>
                <w:szCs w:val="20"/>
              </w:rPr>
            </w:pPr>
            <w:r w:rsidRPr="008F5C87">
              <w:rPr>
                <w:sz w:val="20"/>
                <w:szCs w:val="20"/>
              </w:rPr>
              <w:t>Species</w:t>
            </w:r>
          </w:p>
        </w:tc>
        <w:tc>
          <w:tcPr>
            <w:tcW w:w="902" w:type="pct"/>
          </w:tcPr>
          <w:p w:rsidR="00D35641" w:rsidRPr="008F5C87" w:rsidRDefault="00D35641" w:rsidP="004B6083">
            <w:pPr>
              <w:spacing w:beforeLines="60" w:afterLines="60" w:line="240" w:lineRule="auto"/>
              <w:ind w:left="0" w:right="0"/>
              <w:rPr>
                <w:sz w:val="20"/>
                <w:szCs w:val="20"/>
              </w:rPr>
            </w:pPr>
            <w:r w:rsidRPr="008F5C87">
              <w:rPr>
                <w:sz w:val="20"/>
                <w:szCs w:val="20"/>
              </w:rPr>
              <w:t>Study/Route</w:t>
            </w:r>
          </w:p>
        </w:tc>
        <w:tc>
          <w:tcPr>
            <w:tcW w:w="517" w:type="pct"/>
          </w:tcPr>
          <w:p w:rsidR="00D35641" w:rsidRPr="008F5C87" w:rsidRDefault="00D35641" w:rsidP="004B6083">
            <w:pPr>
              <w:spacing w:beforeLines="60" w:afterLines="60" w:line="240" w:lineRule="auto"/>
              <w:ind w:left="0" w:right="0"/>
              <w:rPr>
                <w:sz w:val="20"/>
                <w:szCs w:val="20"/>
              </w:rPr>
            </w:pPr>
            <w:r w:rsidRPr="008F5C87">
              <w:rPr>
                <w:sz w:val="20"/>
                <w:szCs w:val="20"/>
              </w:rPr>
              <w:t>Study duration</w:t>
            </w:r>
          </w:p>
        </w:tc>
        <w:tc>
          <w:tcPr>
            <w:tcW w:w="740" w:type="pct"/>
          </w:tcPr>
          <w:p w:rsidR="00D35641" w:rsidRPr="008F5C87" w:rsidRDefault="00D35641" w:rsidP="004B6083">
            <w:pPr>
              <w:spacing w:beforeLines="60" w:afterLines="60" w:line="240" w:lineRule="auto"/>
              <w:ind w:left="0" w:right="0"/>
              <w:rPr>
                <w:sz w:val="20"/>
                <w:szCs w:val="20"/>
              </w:rPr>
            </w:pPr>
            <w:r w:rsidRPr="008F5C87">
              <w:rPr>
                <w:sz w:val="20"/>
                <w:szCs w:val="20"/>
              </w:rPr>
              <w:t xml:space="preserve">% </w:t>
            </w:r>
            <w:proofErr w:type="spellStart"/>
            <w:r w:rsidRPr="008F5C87">
              <w:rPr>
                <w:sz w:val="20"/>
                <w:szCs w:val="20"/>
              </w:rPr>
              <w:t>BSA</w:t>
            </w:r>
            <w:r w:rsidRPr="008F5C87">
              <w:rPr>
                <w:sz w:val="20"/>
                <w:szCs w:val="20"/>
                <w:vertAlign w:val="superscript"/>
              </w:rPr>
              <w:t>b</w:t>
            </w:r>
            <w:proofErr w:type="spellEnd"/>
            <w:r w:rsidRPr="008F5C87">
              <w:rPr>
                <w:sz w:val="20"/>
                <w:szCs w:val="20"/>
              </w:rPr>
              <w:t xml:space="preserve"> (topical area)</w:t>
            </w:r>
          </w:p>
        </w:tc>
        <w:tc>
          <w:tcPr>
            <w:tcW w:w="769" w:type="pct"/>
            <w:gridSpan w:val="2"/>
          </w:tcPr>
          <w:p w:rsidR="00D35641" w:rsidRPr="008F5C87" w:rsidRDefault="00D35641" w:rsidP="004B6083">
            <w:pPr>
              <w:spacing w:beforeLines="60" w:afterLines="60" w:line="240" w:lineRule="auto"/>
              <w:ind w:left="0" w:right="0"/>
              <w:rPr>
                <w:sz w:val="20"/>
                <w:szCs w:val="20"/>
              </w:rPr>
            </w:pPr>
            <w:r w:rsidRPr="008F5C87">
              <w:rPr>
                <w:sz w:val="20"/>
                <w:szCs w:val="20"/>
              </w:rPr>
              <w:t>Concentration (%)</w:t>
            </w:r>
          </w:p>
        </w:tc>
        <w:tc>
          <w:tcPr>
            <w:tcW w:w="667" w:type="pct"/>
          </w:tcPr>
          <w:p w:rsidR="00D35641" w:rsidRPr="008F5C87" w:rsidRDefault="00D35641" w:rsidP="004B6083">
            <w:pPr>
              <w:spacing w:beforeLines="60" w:afterLines="60" w:line="240" w:lineRule="auto"/>
              <w:ind w:left="0" w:right="0"/>
              <w:rPr>
                <w:sz w:val="20"/>
                <w:szCs w:val="20"/>
              </w:rPr>
            </w:pPr>
            <w:r w:rsidRPr="008F5C87">
              <w:rPr>
                <w:sz w:val="20"/>
                <w:szCs w:val="20"/>
              </w:rPr>
              <w:t>AUC</w:t>
            </w:r>
            <w:r w:rsidRPr="008F5C87">
              <w:rPr>
                <w:sz w:val="20"/>
                <w:szCs w:val="20"/>
                <w:vertAlign w:val="subscript"/>
              </w:rPr>
              <w:t>0–t</w:t>
            </w:r>
            <w:r w:rsidRPr="008F5C87">
              <w:rPr>
                <w:sz w:val="20"/>
                <w:szCs w:val="20"/>
              </w:rPr>
              <w:br/>
              <w:t>(</w:t>
            </w:r>
            <w:proofErr w:type="spellStart"/>
            <w:r w:rsidRPr="008F5C87">
              <w:rPr>
                <w:sz w:val="20"/>
                <w:szCs w:val="20"/>
              </w:rPr>
              <w:t>ng∙h</w:t>
            </w:r>
            <w:proofErr w:type="spellEnd"/>
            <w:r w:rsidRPr="008F5C87">
              <w:rPr>
                <w:sz w:val="20"/>
                <w:szCs w:val="20"/>
              </w:rPr>
              <w:t>/</w:t>
            </w:r>
            <w:proofErr w:type="spellStart"/>
            <w:r w:rsidRPr="008F5C87">
              <w:rPr>
                <w:sz w:val="20"/>
                <w:szCs w:val="20"/>
              </w:rPr>
              <w:t>mL</w:t>
            </w:r>
            <w:proofErr w:type="spellEnd"/>
            <w:r w:rsidRPr="008F5C87">
              <w:rPr>
                <w:sz w:val="20"/>
                <w:szCs w:val="20"/>
              </w:rPr>
              <w:t>)</w:t>
            </w:r>
          </w:p>
        </w:tc>
        <w:tc>
          <w:tcPr>
            <w:tcW w:w="649" w:type="pct"/>
          </w:tcPr>
          <w:p w:rsidR="00D35641" w:rsidRPr="008F5C87" w:rsidRDefault="00D35641" w:rsidP="004B6083">
            <w:pPr>
              <w:spacing w:beforeLines="60" w:afterLines="60" w:line="240" w:lineRule="auto"/>
              <w:ind w:left="0" w:right="0"/>
              <w:rPr>
                <w:sz w:val="20"/>
                <w:szCs w:val="20"/>
              </w:rPr>
            </w:pPr>
            <w:r w:rsidRPr="008F5C87">
              <w:rPr>
                <w:sz w:val="20"/>
                <w:szCs w:val="20"/>
              </w:rPr>
              <w:t>Exposure ratio</w:t>
            </w:r>
          </w:p>
        </w:tc>
      </w:tr>
      <w:tr w:rsidR="00D35641" w:rsidRPr="000D66E0" w:rsidTr="00CA6AA9">
        <w:trPr>
          <w:trHeight w:val="144"/>
        </w:trPr>
        <w:tc>
          <w:tcPr>
            <w:tcW w:w="756" w:type="pct"/>
            <w:vMerge w:val="restart"/>
          </w:tcPr>
          <w:p w:rsidR="00D35641" w:rsidRPr="000D66E0" w:rsidRDefault="00D35641" w:rsidP="004B6083">
            <w:pPr>
              <w:spacing w:beforeLines="60" w:afterLines="60" w:line="240" w:lineRule="auto"/>
              <w:ind w:left="0" w:right="0"/>
              <w:rPr>
                <w:sz w:val="20"/>
                <w:szCs w:val="20"/>
              </w:rPr>
            </w:pPr>
            <w:r w:rsidRPr="000D66E0">
              <w:rPr>
                <w:b/>
                <w:sz w:val="20"/>
                <w:szCs w:val="20"/>
              </w:rPr>
              <w:t xml:space="preserve">Rabbit </w:t>
            </w:r>
            <w:r w:rsidRPr="000D66E0">
              <w:rPr>
                <w:sz w:val="20"/>
                <w:szCs w:val="20"/>
              </w:rPr>
              <w:t>(NZW)</w:t>
            </w:r>
          </w:p>
        </w:tc>
        <w:tc>
          <w:tcPr>
            <w:tcW w:w="902" w:type="pct"/>
            <w:vMerge w:val="restart"/>
          </w:tcPr>
          <w:p w:rsidR="00D35641" w:rsidRPr="000D66E0" w:rsidRDefault="00D35641" w:rsidP="004B6083">
            <w:pPr>
              <w:spacing w:beforeLines="60" w:afterLines="60" w:line="240" w:lineRule="auto"/>
              <w:ind w:left="0" w:right="0"/>
              <w:rPr>
                <w:b/>
                <w:sz w:val="20"/>
                <w:szCs w:val="20"/>
              </w:rPr>
            </w:pPr>
            <w:r w:rsidRPr="000D66E0">
              <w:rPr>
                <w:sz w:val="20"/>
                <w:szCs w:val="20"/>
              </w:rPr>
              <w:t xml:space="preserve">StudySB-275833/RSD-101VP8/1 </w:t>
            </w:r>
            <w:r w:rsidRPr="000D66E0">
              <w:rPr>
                <w:sz w:val="20"/>
                <w:szCs w:val="20"/>
              </w:rPr>
              <w:br/>
            </w:r>
            <w:r w:rsidRPr="000D66E0">
              <w:rPr>
                <w:b/>
                <w:sz w:val="20"/>
                <w:szCs w:val="20"/>
              </w:rPr>
              <w:t>Dermal (intact &amp; abraded)</w:t>
            </w:r>
            <w:r w:rsidRPr="000D66E0">
              <w:rPr>
                <w:b/>
                <w:sz w:val="20"/>
                <w:szCs w:val="20"/>
                <w:vertAlign w:val="superscript"/>
              </w:rPr>
              <w:t>f</w:t>
            </w:r>
          </w:p>
        </w:tc>
        <w:tc>
          <w:tcPr>
            <w:tcW w:w="517"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2 weeks</w:t>
            </w:r>
          </w:p>
        </w:tc>
        <w:tc>
          <w:tcPr>
            <w:tcW w:w="740"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 xml:space="preserve">1.4% BSA </w:t>
            </w:r>
            <w:r w:rsidRPr="000D66E0">
              <w:rPr>
                <w:sz w:val="20"/>
                <w:szCs w:val="20"/>
                <w:vertAlign w:val="superscript"/>
              </w:rPr>
              <w:t xml:space="preserve">c </w:t>
            </w:r>
            <w:r w:rsidRPr="000D66E0">
              <w:rPr>
                <w:sz w:val="20"/>
                <w:szCs w:val="20"/>
                <w:vertAlign w:val="superscript"/>
              </w:rPr>
              <w:br/>
            </w:r>
            <w:r w:rsidRPr="000D66E0">
              <w:rPr>
                <w:sz w:val="20"/>
                <w:szCs w:val="20"/>
              </w:rPr>
              <w:t>(25 cm</w:t>
            </w:r>
            <w:r w:rsidRPr="000D66E0">
              <w:rPr>
                <w:sz w:val="20"/>
                <w:szCs w:val="20"/>
                <w:vertAlign w:val="superscript"/>
              </w:rPr>
              <w:t>2</w:t>
            </w:r>
            <w:r w:rsidRPr="000D66E0">
              <w:rPr>
                <w:sz w:val="20"/>
                <w:szCs w:val="20"/>
              </w:rPr>
              <w:t>)</w:t>
            </w:r>
          </w:p>
        </w:tc>
        <w:tc>
          <w:tcPr>
            <w:tcW w:w="315"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0.5%</w:t>
            </w: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 xml:space="preserve">intact </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NC</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NC</w:t>
            </w:r>
          </w:p>
        </w:tc>
      </w:tr>
      <w:tr w:rsidR="00D35641" w:rsidRPr="000D66E0" w:rsidTr="00CA6AA9">
        <w:trPr>
          <w:trHeight w:val="144"/>
        </w:trPr>
        <w:tc>
          <w:tcPr>
            <w:tcW w:w="756" w:type="pct"/>
            <w:vMerge/>
          </w:tcPr>
          <w:p w:rsidR="00D35641" w:rsidRPr="000D66E0" w:rsidRDefault="00D35641" w:rsidP="004B6083">
            <w:pPr>
              <w:spacing w:beforeLines="60" w:afterLines="60" w:line="240" w:lineRule="auto"/>
              <w:ind w:left="0" w:right="0"/>
              <w:rPr>
                <w:b/>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315" w:type="pct"/>
            <w:vMerge/>
          </w:tcPr>
          <w:p w:rsidR="00D35641" w:rsidRPr="000D66E0" w:rsidRDefault="00D35641" w:rsidP="004B6083">
            <w:pPr>
              <w:spacing w:beforeLines="60" w:afterLines="60" w:line="240" w:lineRule="auto"/>
              <w:ind w:left="0" w:right="0"/>
              <w:rPr>
                <w:sz w:val="20"/>
                <w:szCs w:val="20"/>
              </w:rPr>
            </w:pP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abraded</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82.7^</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0.3</w:t>
            </w:r>
          </w:p>
        </w:tc>
      </w:tr>
      <w:tr w:rsidR="00D35641" w:rsidRPr="000D66E0" w:rsidTr="00CA6AA9">
        <w:trPr>
          <w:trHeight w:val="144"/>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315"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2%</w:t>
            </w: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 xml:space="preserve">intact </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70.3^^</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0.3</w:t>
            </w:r>
          </w:p>
        </w:tc>
      </w:tr>
      <w:tr w:rsidR="00D35641" w:rsidRPr="000D66E0" w:rsidTr="00CA6AA9">
        <w:trPr>
          <w:trHeight w:val="144"/>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315" w:type="pct"/>
            <w:vMerge/>
          </w:tcPr>
          <w:p w:rsidR="00D35641" w:rsidRPr="000D66E0" w:rsidRDefault="00D35641" w:rsidP="004B6083">
            <w:pPr>
              <w:spacing w:beforeLines="60" w:afterLines="60" w:line="240" w:lineRule="auto"/>
              <w:ind w:left="0" w:right="0"/>
              <w:rPr>
                <w:sz w:val="20"/>
                <w:szCs w:val="20"/>
              </w:rPr>
            </w:pP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abraded</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82.7^</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0.3</w:t>
            </w:r>
          </w:p>
        </w:tc>
      </w:tr>
      <w:tr w:rsidR="00D35641" w:rsidRPr="000D66E0" w:rsidTr="00CA6AA9">
        <w:trPr>
          <w:trHeight w:val="132"/>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315"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5%</w:t>
            </w: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 xml:space="preserve">intact </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48.2</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0.2</w:t>
            </w:r>
          </w:p>
        </w:tc>
      </w:tr>
      <w:tr w:rsidR="00D35641" w:rsidRPr="000D66E0" w:rsidTr="00CA6AA9">
        <w:trPr>
          <w:trHeight w:val="156"/>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315" w:type="pct"/>
            <w:vMerge/>
          </w:tcPr>
          <w:p w:rsidR="00D35641" w:rsidRPr="000D66E0" w:rsidRDefault="00D35641" w:rsidP="004B6083">
            <w:pPr>
              <w:spacing w:beforeLines="60" w:afterLines="60" w:line="240" w:lineRule="auto"/>
              <w:ind w:left="0" w:right="0"/>
              <w:rPr>
                <w:sz w:val="20"/>
                <w:szCs w:val="20"/>
              </w:rPr>
            </w:pPr>
          </w:p>
        </w:tc>
        <w:tc>
          <w:tcPr>
            <w:tcW w:w="454" w:type="pct"/>
          </w:tcPr>
          <w:p w:rsidR="00D35641" w:rsidRPr="000D66E0" w:rsidRDefault="00D35641" w:rsidP="004B6083">
            <w:pPr>
              <w:spacing w:beforeLines="60" w:afterLines="60" w:line="240" w:lineRule="auto"/>
              <w:ind w:left="0" w:right="0"/>
              <w:rPr>
                <w:i/>
                <w:sz w:val="20"/>
                <w:szCs w:val="20"/>
              </w:rPr>
            </w:pPr>
            <w:r w:rsidRPr="000D66E0">
              <w:rPr>
                <w:i/>
                <w:sz w:val="20"/>
                <w:szCs w:val="20"/>
              </w:rPr>
              <w:t>abraded</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167.2</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0.7</w:t>
            </w:r>
          </w:p>
        </w:tc>
      </w:tr>
      <w:tr w:rsidR="00D35641" w:rsidRPr="000D66E0" w:rsidTr="00CA6AA9">
        <w:trPr>
          <w:trHeight w:val="227"/>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CD2005/00281/00</w:t>
            </w:r>
          </w:p>
          <w:p w:rsidR="00D35641" w:rsidRPr="000D66E0" w:rsidRDefault="00EA27D0" w:rsidP="004B6083">
            <w:pPr>
              <w:spacing w:beforeLines="60" w:afterLines="60" w:line="240" w:lineRule="auto"/>
              <w:ind w:left="0" w:right="0"/>
              <w:rPr>
                <w:b/>
                <w:sz w:val="20"/>
                <w:szCs w:val="20"/>
              </w:rPr>
            </w:pPr>
            <w:r>
              <w:rPr>
                <w:b/>
                <w:sz w:val="20"/>
                <w:szCs w:val="20"/>
              </w:rPr>
              <w:t xml:space="preserve">Dermal </w:t>
            </w:r>
            <w:r w:rsidR="00D35641" w:rsidRPr="000D66E0">
              <w:rPr>
                <w:b/>
                <w:sz w:val="20"/>
                <w:szCs w:val="20"/>
              </w:rPr>
              <w:t>(intact)</w:t>
            </w:r>
            <w:r w:rsidR="00D35641" w:rsidRPr="000D66E0">
              <w:rPr>
                <w:b/>
                <w:sz w:val="20"/>
                <w:szCs w:val="20"/>
                <w:vertAlign w:val="superscript"/>
              </w:rPr>
              <w:t>f</w:t>
            </w:r>
          </w:p>
        </w:tc>
        <w:tc>
          <w:tcPr>
            <w:tcW w:w="517"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 xml:space="preserve">11-13 weeks </w:t>
            </w:r>
          </w:p>
        </w:tc>
        <w:tc>
          <w:tcPr>
            <w:tcW w:w="740" w:type="pct"/>
            <w:vMerge w:val="restart"/>
          </w:tcPr>
          <w:p w:rsidR="00D35641" w:rsidRPr="000D66E0" w:rsidRDefault="00D35641" w:rsidP="004B6083">
            <w:pPr>
              <w:spacing w:beforeLines="60" w:afterLines="60" w:line="240" w:lineRule="auto"/>
              <w:ind w:left="0" w:right="0"/>
              <w:rPr>
                <w:sz w:val="20"/>
                <w:szCs w:val="20"/>
              </w:rPr>
            </w:pPr>
            <w:r w:rsidRPr="000D66E0">
              <w:rPr>
                <w:sz w:val="20"/>
                <w:szCs w:val="20"/>
              </w:rPr>
              <w:t xml:space="preserve">0.3% BSA </w:t>
            </w:r>
            <w:r w:rsidRPr="000D66E0">
              <w:rPr>
                <w:sz w:val="20"/>
                <w:szCs w:val="20"/>
                <w:vertAlign w:val="superscript"/>
              </w:rPr>
              <w:t>cc</w:t>
            </w:r>
            <w:r w:rsidRPr="000D66E0">
              <w:rPr>
                <w:sz w:val="20"/>
                <w:szCs w:val="20"/>
              </w:rPr>
              <w:t xml:space="preserve"> </w:t>
            </w:r>
            <w:r w:rsidRPr="000D66E0">
              <w:rPr>
                <w:sz w:val="20"/>
                <w:szCs w:val="20"/>
              </w:rPr>
              <w:br/>
              <w:t>(6.25 cm</w:t>
            </w:r>
            <w:r w:rsidRPr="000D66E0">
              <w:rPr>
                <w:sz w:val="20"/>
                <w:szCs w:val="20"/>
                <w:vertAlign w:val="superscript"/>
              </w:rPr>
              <w:t>2</w:t>
            </w:r>
            <w:r w:rsidRPr="000D66E0">
              <w:rPr>
                <w:sz w:val="20"/>
                <w:szCs w:val="20"/>
              </w:rPr>
              <w:t>)</w:t>
            </w:r>
          </w:p>
        </w:tc>
        <w:tc>
          <w:tcPr>
            <w:tcW w:w="769" w:type="pct"/>
            <w:gridSpan w:val="2"/>
          </w:tcPr>
          <w:p w:rsidR="00D35641" w:rsidRPr="000D66E0" w:rsidRDefault="00D35641" w:rsidP="004B6083">
            <w:pPr>
              <w:spacing w:beforeLines="60" w:afterLines="60" w:line="240" w:lineRule="auto"/>
              <w:ind w:left="0" w:right="0"/>
              <w:rPr>
                <w:sz w:val="20"/>
                <w:szCs w:val="20"/>
              </w:rPr>
            </w:pPr>
            <w:r w:rsidRPr="000D66E0">
              <w:rPr>
                <w:sz w:val="20"/>
                <w:szCs w:val="20"/>
              </w:rPr>
              <w:t>0.5%</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NC</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NC</w:t>
            </w:r>
          </w:p>
        </w:tc>
      </w:tr>
      <w:tr w:rsidR="00D35641" w:rsidRPr="000D66E0" w:rsidTr="00CA6AA9">
        <w:trPr>
          <w:trHeight w:val="227"/>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769" w:type="pct"/>
            <w:gridSpan w:val="2"/>
          </w:tcPr>
          <w:p w:rsidR="00D35641" w:rsidRPr="000D66E0" w:rsidRDefault="00B817F3" w:rsidP="004B6083">
            <w:pPr>
              <w:spacing w:beforeLines="60" w:afterLines="60" w:line="240" w:lineRule="auto"/>
              <w:ind w:left="0" w:right="0"/>
              <w:rPr>
                <w:sz w:val="20"/>
                <w:szCs w:val="20"/>
              </w:rPr>
            </w:pPr>
            <w:r>
              <w:rPr>
                <w:sz w:val="20"/>
                <w:szCs w:val="20"/>
              </w:rPr>
              <w:t>1</w:t>
            </w:r>
            <w:r w:rsidR="00D35641" w:rsidRPr="000D66E0">
              <w:rPr>
                <w:sz w:val="20"/>
                <w:szCs w:val="20"/>
              </w:rPr>
              <w:t>%</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4.28^</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0.02</w:t>
            </w:r>
          </w:p>
        </w:tc>
      </w:tr>
      <w:tr w:rsidR="00D35641" w:rsidRPr="000D66E0" w:rsidTr="00CA6AA9">
        <w:trPr>
          <w:trHeight w:val="227"/>
        </w:trPr>
        <w:tc>
          <w:tcPr>
            <w:tcW w:w="756" w:type="pct"/>
            <w:vMerge/>
          </w:tcPr>
          <w:p w:rsidR="00D35641" w:rsidRPr="000D66E0" w:rsidRDefault="00D35641" w:rsidP="004B6083">
            <w:pPr>
              <w:spacing w:beforeLines="60" w:afterLines="60" w:line="240" w:lineRule="auto"/>
              <w:ind w:left="0" w:right="0"/>
              <w:rPr>
                <w:sz w:val="20"/>
                <w:szCs w:val="20"/>
              </w:rPr>
            </w:pPr>
          </w:p>
        </w:tc>
        <w:tc>
          <w:tcPr>
            <w:tcW w:w="902" w:type="pct"/>
            <w:vMerge/>
          </w:tcPr>
          <w:p w:rsidR="00D35641" w:rsidRPr="000D66E0" w:rsidRDefault="00D35641" w:rsidP="004B6083">
            <w:pPr>
              <w:spacing w:beforeLines="60" w:afterLines="60" w:line="240" w:lineRule="auto"/>
              <w:ind w:left="0" w:right="0"/>
              <w:rPr>
                <w:sz w:val="20"/>
                <w:szCs w:val="20"/>
              </w:rPr>
            </w:pPr>
          </w:p>
        </w:tc>
        <w:tc>
          <w:tcPr>
            <w:tcW w:w="517" w:type="pct"/>
            <w:vMerge/>
          </w:tcPr>
          <w:p w:rsidR="00D35641" w:rsidRPr="000D66E0" w:rsidRDefault="00D35641" w:rsidP="004B6083">
            <w:pPr>
              <w:spacing w:beforeLines="60" w:afterLines="60" w:line="240" w:lineRule="auto"/>
              <w:ind w:left="0" w:right="0"/>
              <w:rPr>
                <w:sz w:val="20"/>
                <w:szCs w:val="20"/>
              </w:rPr>
            </w:pPr>
          </w:p>
        </w:tc>
        <w:tc>
          <w:tcPr>
            <w:tcW w:w="740" w:type="pct"/>
            <w:vMerge/>
          </w:tcPr>
          <w:p w:rsidR="00D35641" w:rsidRPr="000D66E0" w:rsidRDefault="00D35641" w:rsidP="004B6083">
            <w:pPr>
              <w:spacing w:beforeLines="60" w:afterLines="60" w:line="240" w:lineRule="auto"/>
              <w:ind w:left="0" w:right="0"/>
              <w:rPr>
                <w:sz w:val="20"/>
                <w:szCs w:val="20"/>
              </w:rPr>
            </w:pPr>
          </w:p>
        </w:tc>
        <w:tc>
          <w:tcPr>
            <w:tcW w:w="769" w:type="pct"/>
            <w:gridSpan w:val="2"/>
          </w:tcPr>
          <w:p w:rsidR="00D35641" w:rsidRPr="000D66E0" w:rsidRDefault="00D35641" w:rsidP="004B6083">
            <w:pPr>
              <w:spacing w:beforeLines="60" w:afterLines="60" w:line="240" w:lineRule="auto"/>
              <w:ind w:left="0" w:right="0"/>
              <w:rPr>
                <w:sz w:val="20"/>
                <w:szCs w:val="20"/>
              </w:rPr>
            </w:pPr>
            <w:r w:rsidRPr="000D66E0">
              <w:rPr>
                <w:sz w:val="20"/>
                <w:szCs w:val="20"/>
              </w:rPr>
              <w:t>2%</w:t>
            </w:r>
          </w:p>
        </w:tc>
        <w:tc>
          <w:tcPr>
            <w:tcW w:w="667" w:type="pct"/>
          </w:tcPr>
          <w:p w:rsidR="00D35641" w:rsidRPr="000D66E0" w:rsidRDefault="00D35641" w:rsidP="004B6083">
            <w:pPr>
              <w:spacing w:beforeLines="60" w:afterLines="60" w:line="240" w:lineRule="auto"/>
              <w:ind w:left="0" w:right="0"/>
              <w:rPr>
                <w:sz w:val="20"/>
                <w:szCs w:val="20"/>
              </w:rPr>
            </w:pPr>
            <w:r w:rsidRPr="000D66E0">
              <w:rPr>
                <w:sz w:val="20"/>
                <w:szCs w:val="20"/>
              </w:rPr>
              <w:t>14.6</w:t>
            </w:r>
          </w:p>
        </w:tc>
        <w:tc>
          <w:tcPr>
            <w:tcW w:w="649" w:type="pct"/>
          </w:tcPr>
          <w:p w:rsidR="00D35641" w:rsidRPr="000D66E0" w:rsidRDefault="00D35641" w:rsidP="004B6083">
            <w:pPr>
              <w:spacing w:beforeLines="60" w:afterLines="60" w:line="240" w:lineRule="auto"/>
              <w:ind w:left="0" w:right="0"/>
              <w:rPr>
                <w:sz w:val="20"/>
                <w:szCs w:val="20"/>
              </w:rPr>
            </w:pPr>
            <w:r w:rsidRPr="000D66E0">
              <w:rPr>
                <w:sz w:val="20"/>
                <w:szCs w:val="20"/>
              </w:rPr>
              <w:t>0.06</w:t>
            </w:r>
          </w:p>
        </w:tc>
      </w:tr>
      <w:tr w:rsidR="00D35641" w:rsidRPr="000D66E0" w:rsidTr="00CA6AA9">
        <w:trPr>
          <w:trHeight w:val="227"/>
        </w:trPr>
        <w:tc>
          <w:tcPr>
            <w:tcW w:w="756" w:type="pct"/>
          </w:tcPr>
          <w:p w:rsidR="00D35641" w:rsidRPr="000D66E0" w:rsidRDefault="00D35641" w:rsidP="004B6083">
            <w:pPr>
              <w:keepNext/>
              <w:spacing w:beforeLines="60" w:afterLines="60" w:line="240" w:lineRule="auto"/>
              <w:ind w:left="0" w:right="0"/>
              <w:rPr>
                <w:sz w:val="20"/>
                <w:szCs w:val="20"/>
              </w:rPr>
            </w:pPr>
            <w:r w:rsidRPr="000D66E0">
              <w:rPr>
                <w:b/>
                <w:sz w:val="20"/>
                <w:szCs w:val="20"/>
              </w:rPr>
              <w:t>Human</w:t>
            </w:r>
            <w:r w:rsidRPr="000D66E0">
              <w:rPr>
                <w:sz w:val="20"/>
                <w:szCs w:val="20"/>
              </w:rPr>
              <w:br/>
              <w:t>(healthy volunteers)</w:t>
            </w:r>
          </w:p>
        </w:tc>
        <w:tc>
          <w:tcPr>
            <w:tcW w:w="902" w:type="pct"/>
          </w:tcPr>
          <w:p w:rsidR="00D35641" w:rsidRPr="000D66E0" w:rsidRDefault="00D35641" w:rsidP="004B6083">
            <w:pPr>
              <w:keepNext/>
              <w:spacing w:beforeLines="60" w:afterLines="60" w:line="240" w:lineRule="auto"/>
              <w:ind w:left="0" w:right="0"/>
              <w:rPr>
                <w:b/>
                <w:sz w:val="20"/>
                <w:szCs w:val="20"/>
              </w:rPr>
            </w:pPr>
            <w:r w:rsidRPr="000D66E0">
              <w:rPr>
                <w:sz w:val="20"/>
                <w:szCs w:val="20"/>
              </w:rPr>
              <w:t>Clinical study 026</w:t>
            </w:r>
            <w:r w:rsidRPr="000D66E0">
              <w:rPr>
                <w:b/>
                <w:sz w:val="20"/>
                <w:szCs w:val="20"/>
              </w:rPr>
              <w:t xml:space="preserve"> Dermal </w:t>
            </w:r>
            <w:r w:rsidRPr="000D66E0">
              <w:rPr>
                <w:b/>
                <w:sz w:val="20"/>
                <w:szCs w:val="20"/>
              </w:rPr>
              <w:br/>
              <w:t>(abraded)</w:t>
            </w:r>
          </w:p>
        </w:tc>
        <w:tc>
          <w:tcPr>
            <w:tcW w:w="517" w:type="pct"/>
          </w:tcPr>
          <w:p w:rsidR="00D35641" w:rsidRPr="000D66E0" w:rsidRDefault="00D35641" w:rsidP="004B6083">
            <w:pPr>
              <w:keepNext/>
              <w:spacing w:beforeLines="60" w:afterLines="60" w:line="240" w:lineRule="auto"/>
              <w:ind w:left="0" w:right="0"/>
              <w:rPr>
                <w:sz w:val="20"/>
                <w:szCs w:val="20"/>
              </w:rPr>
            </w:pPr>
            <w:r w:rsidRPr="000D66E0">
              <w:rPr>
                <w:sz w:val="20"/>
                <w:szCs w:val="20"/>
              </w:rPr>
              <w:t xml:space="preserve">Single </w:t>
            </w:r>
            <w:proofErr w:type="spellStart"/>
            <w:r w:rsidRPr="000D66E0">
              <w:rPr>
                <w:sz w:val="20"/>
                <w:szCs w:val="20"/>
              </w:rPr>
              <w:t>dose</w:t>
            </w:r>
            <w:r w:rsidRPr="000D66E0">
              <w:rPr>
                <w:sz w:val="20"/>
                <w:szCs w:val="20"/>
                <w:vertAlign w:val="superscript"/>
              </w:rPr>
              <w:t>a</w:t>
            </w:r>
            <w:proofErr w:type="spellEnd"/>
          </w:p>
        </w:tc>
        <w:tc>
          <w:tcPr>
            <w:tcW w:w="740" w:type="pct"/>
          </w:tcPr>
          <w:p w:rsidR="00D35641" w:rsidRPr="000D66E0" w:rsidRDefault="00D35641" w:rsidP="004B6083">
            <w:pPr>
              <w:keepNext/>
              <w:spacing w:beforeLines="60" w:afterLines="60" w:line="240" w:lineRule="auto"/>
              <w:ind w:left="0" w:right="0"/>
              <w:rPr>
                <w:sz w:val="20"/>
                <w:szCs w:val="20"/>
              </w:rPr>
            </w:pPr>
            <w:r w:rsidRPr="000D66E0">
              <w:rPr>
                <w:sz w:val="20"/>
                <w:szCs w:val="20"/>
              </w:rPr>
              <w:t xml:space="preserve">1% </w:t>
            </w:r>
            <w:proofErr w:type="spellStart"/>
            <w:r w:rsidRPr="000D66E0">
              <w:rPr>
                <w:sz w:val="20"/>
                <w:szCs w:val="20"/>
              </w:rPr>
              <w:t>BSA</w:t>
            </w:r>
            <w:r w:rsidRPr="000D66E0">
              <w:rPr>
                <w:sz w:val="20"/>
                <w:szCs w:val="20"/>
                <w:vertAlign w:val="superscript"/>
              </w:rPr>
              <w:t>e</w:t>
            </w:r>
            <w:proofErr w:type="spellEnd"/>
            <w:r w:rsidRPr="000D66E0">
              <w:rPr>
                <w:sz w:val="20"/>
                <w:szCs w:val="20"/>
              </w:rPr>
              <w:t xml:space="preserve"> (200 cm</w:t>
            </w:r>
            <w:r w:rsidRPr="000D66E0">
              <w:rPr>
                <w:sz w:val="20"/>
                <w:szCs w:val="20"/>
                <w:vertAlign w:val="superscript"/>
              </w:rPr>
              <w:t>2</w:t>
            </w:r>
            <w:r w:rsidRPr="000D66E0">
              <w:rPr>
                <w:sz w:val="20"/>
                <w:szCs w:val="20"/>
              </w:rPr>
              <w:t>)</w:t>
            </w:r>
          </w:p>
        </w:tc>
        <w:tc>
          <w:tcPr>
            <w:tcW w:w="769" w:type="pct"/>
            <w:gridSpan w:val="2"/>
          </w:tcPr>
          <w:p w:rsidR="00D35641" w:rsidRPr="000D66E0" w:rsidRDefault="00D35641" w:rsidP="004B6083">
            <w:pPr>
              <w:keepNext/>
              <w:spacing w:beforeLines="60" w:afterLines="60" w:line="240" w:lineRule="auto"/>
              <w:ind w:left="0" w:right="0"/>
              <w:rPr>
                <w:sz w:val="20"/>
                <w:szCs w:val="20"/>
              </w:rPr>
            </w:pPr>
            <w:r w:rsidRPr="000D66E0">
              <w:rPr>
                <w:sz w:val="20"/>
                <w:szCs w:val="20"/>
              </w:rPr>
              <w:t xml:space="preserve">1% </w:t>
            </w:r>
          </w:p>
        </w:tc>
        <w:tc>
          <w:tcPr>
            <w:tcW w:w="667" w:type="pct"/>
          </w:tcPr>
          <w:p w:rsidR="00D35641" w:rsidRPr="000D66E0" w:rsidRDefault="00D35641" w:rsidP="004B6083">
            <w:pPr>
              <w:keepNext/>
              <w:spacing w:beforeLines="60" w:afterLines="60" w:line="240" w:lineRule="auto"/>
              <w:ind w:left="0" w:right="0"/>
              <w:rPr>
                <w:sz w:val="20"/>
                <w:szCs w:val="20"/>
              </w:rPr>
            </w:pPr>
            <w:r w:rsidRPr="000D66E0">
              <w:rPr>
                <w:sz w:val="20"/>
                <w:szCs w:val="20"/>
              </w:rPr>
              <w:t>238.4</w:t>
            </w:r>
            <w:r w:rsidR="000B1378" w:rsidRPr="000D66E0">
              <w:rPr>
                <w:sz w:val="18"/>
                <w:szCs w:val="18"/>
                <w:vertAlign w:val="superscript"/>
              </w:rPr>
              <w:t xml:space="preserve"> </w:t>
            </w:r>
            <w:r w:rsidR="000B1378" w:rsidRPr="000B1378">
              <w:rPr>
                <w:sz w:val="18"/>
                <w:szCs w:val="18"/>
              </w:rPr>
              <w:t>[</w:t>
            </w:r>
            <w:r w:rsidR="000B1378" w:rsidRPr="000D66E0">
              <w:rPr>
                <w:sz w:val="18"/>
                <w:szCs w:val="18"/>
              </w:rPr>
              <w:t>AUC</w:t>
            </w:r>
            <w:r w:rsidR="000B1378" w:rsidRPr="000D66E0">
              <w:rPr>
                <w:sz w:val="18"/>
                <w:szCs w:val="18"/>
                <w:vertAlign w:val="subscript"/>
              </w:rPr>
              <w:t>0-24</w:t>
            </w:r>
            <w:r w:rsidR="000B1378">
              <w:rPr>
                <w:sz w:val="18"/>
                <w:szCs w:val="18"/>
                <w:vertAlign w:val="subscript"/>
              </w:rPr>
              <w:t xml:space="preserve"> h</w:t>
            </w:r>
            <w:r w:rsidR="000B1378" w:rsidRPr="000B1378">
              <w:rPr>
                <w:sz w:val="18"/>
                <w:szCs w:val="18"/>
              </w:rPr>
              <w:t>]</w:t>
            </w:r>
          </w:p>
        </w:tc>
        <w:tc>
          <w:tcPr>
            <w:tcW w:w="649" w:type="pct"/>
          </w:tcPr>
          <w:p w:rsidR="00D35641" w:rsidRPr="000D66E0" w:rsidRDefault="00D35641" w:rsidP="004B6083">
            <w:pPr>
              <w:keepNext/>
              <w:spacing w:beforeLines="60" w:afterLines="60" w:line="240" w:lineRule="auto"/>
              <w:ind w:left="0" w:right="0"/>
              <w:rPr>
                <w:sz w:val="20"/>
                <w:szCs w:val="20"/>
              </w:rPr>
            </w:pPr>
            <w:r w:rsidRPr="000D66E0">
              <w:rPr>
                <w:sz w:val="20"/>
                <w:szCs w:val="20"/>
              </w:rPr>
              <w:t>–</w:t>
            </w:r>
          </w:p>
        </w:tc>
      </w:tr>
    </w:tbl>
    <w:p w:rsidR="00D35641" w:rsidRPr="000D66E0" w:rsidRDefault="00D35641" w:rsidP="008F5C87">
      <w:pPr>
        <w:pStyle w:val="TableDescription"/>
      </w:pPr>
      <w:r w:rsidRPr="000D66E0">
        <w:t xml:space="preserve">NC: not calculated. </w:t>
      </w:r>
      <w:proofErr w:type="spellStart"/>
      <w:proofErr w:type="gramStart"/>
      <w:r w:rsidRPr="000D66E0">
        <w:rPr>
          <w:vertAlign w:val="superscript"/>
        </w:rPr>
        <w:t>a</w:t>
      </w:r>
      <w:r w:rsidRPr="000D66E0">
        <w:t>Highest</w:t>
      </w:r>
      <w:proofErr w:type="spellEnd"/>
      <w:proofErr w:type="gramEnd"/>
      <w:r w:rsidRPr="000D66E0">
        <w:t xml:space="preserve"> concentration observed across clinical studies. </w:t>
      </w:r>
      <w:proofErr w:type="spellStart"/>
      <w:proofErr w:type="gramStart"/>
      <w:r w:rsidRPr="000D66E0">
        <w:rPr>
          <w:vertAlign w:val="superscript"/>
        </w:rPr>
        <w:t>b</w:t>
      </w:r>
      <w:r w:rsidRPr="000D66E0">
        <w:t>Body</w:t>
      </w:r>
      <w:proofErr w:type="spellEnd"/>
      <w:proofErr w:type="gramEnd"/>
      <w:r w:rsidRPr="000D66E0">
        <w:t xml:space="preserve"> surface area (BSA) for animal studies was estimated using the equations in (c) and (d), weight in kg represented as average of males and females if both sexes were tested. </w:t>
      </w:r>
      <w:proofErr w:type="spellStart"/>
      <w:proofErr w:type="gramStart"/>
      <w:r w:rsidRPr="000D66E0">
        <w:rPr>
          <w:vertAlign w:val="superscript"/>
        </w:rPr>
        <w:t>c</w:t>
      </w:r>
      <w:r w:rsidRPr="000D66E0">
        <w:t>BSA</w:t>
      </w:r>
      <w:r w:rsidRPr="0091343D">
        <w:rPr>
          <w:vertAlign w:val="subscript"/>
        </w:rPr>
        <w:t>rabbit</w:t>
      </w:r>
      <w:proofErr w:type="spellEnd"/>
      <w:proofErr w:type="gramEnd"/>
      <w:r w:rsidRPr="000D66E0">
        <w:t xml:space="preserve"> = 10×2376</w:t>
      </w:r>
      <w:r w:rsidRPr="0091343D">
        <w:rPr>
          <w:vertAlign w:val="superscript"/>
        </w:rPr>
        <w:t>2/3</w:t>
      </w:r>
      <w:r w:rsidRPr="000D66E0">
        <w:t xml:space="preserve"> = 1781 cm</w:t>
      </w:r>
      <w:r w:rsidRPr="000D66E0">
        <w:rPr>
          <w:vertAlign w:val="superscript"/>
        </w:rPr>
        <w:t>2</w:t>
      </w:r>
      <w:r w:rsidRPr="000D66E0">
        <w:t xml:space="preserve"> (</w:t>
      </w:r>
      <w:proofErr w:type="spellStart"/>
      <w:r w:rsidRPr="000D66E0">
        <w:t>Derelanko</w:t>
      </w:r>
      <w:proofErr w:type="spellEnd"/>
      <w:r w:rsidRPr="000D66E0">
        <w:t xml:space="preserve"> and Hollinger </w:t>
      </w:r>
      <w:r w:rsidR="000B1378">
        <w:t xml:space="preserve">CRC Handbook of Toxicology </w:t>
      </w:r>
      <w:r w:rsidRPr="000D66E0">
        <w:t xml:space="preserve">1995, p. 647) </w:t>
      </w:r>
      <w:proofErr w:type="spellStart"/>
      <w:r w:rsidRPr="000D66E0">
        <w:rPr>
          <w:vertAlign w:val="superscript"/>
        </w:rPr>
        <w:t>cc</w:t>
      </w:r>
      <w:r w:rsidRPr="000D66E0">
        <w:t>BSA</w:t>
      </w:r>
      <w:r w:rsidRPr="0091343D">
        <w:rPr>
          <w:vertAlign w:val="subscript"/>
        </w:rPr>
        <w:t>rabbit</w:t>
      </w:r>
      <w:proofErr w:type="spellEnd"/>
      <w:r w:rsidRPr="000D66E0">
        <w:t xml:space="preserve"> = 10×2994</w:t>
      </w:r>
      <w:r w:rsidRPr="0091343D">
        <w:rPr>
          <w:vertAlign w:val="superscript"/>
        </w:rPr>
        <w:t>2/3</w:t>
      </w:r>
      <w:r w:rsidRPr="000D66E0">
        <w:t xml:space="preserve"> = 2077 cm</w:t>
      </w:r>
      <w:r w:rsidRPr="000D66E0">
        <w:rPr>
          <w:vertAlign w:val="superscript"/>
        </w:rPr>
        <w:t>2</w:t>
      </w:r>
      <w:r w:rsidRPr="000D66E0">
        <w:t xml:space="preserve"> (</w:t>
      </w:r>
      <w:proofErr w:type="spellStart"/>
      <w:r w:rsidRPr="000D66E0">
        <w:t>Derelanko</w:t>
      </w:r>
      <w:proofErr w:type="spellEnd"/>
      <w:r w:rsidRPr="000D66E0">
        <w:t xml:space="preserve"> and Hollinger 1995, p. 647), </w:t>
      </w:r>
      <w:proofErr w:type="spellStart"/>
      <w:r w:rsidRPr="000D66E0">
        <w:rPr>
          <w:vertAlign w:val="superscript"/>
        </w:rPr>
        <w:t>d</w:t>
      </w:r>
      <w:r w:rsidRPr="000D66E0">
        <w:t>BSA</w:t>
      </w:r>
      <w:r w:rsidRPr="0091343D">
        <w:rPr>
          <w:vertAlign w:val="subscript"/>
        </w:rPr>
        <w:t>minipig</w:t>
      </w:r>
      <w:proofErr w:type="spellEnd"/>
      <w:r w:rsidRPr="000D66E0">
        <w:t>.= 1210 × 11.8</w:t>
      </w:r>
      <w:r w:rsidRPr="0091343D">
        <w:rPr>
          <w:vertAlign w:val="superscript"/>
        </w:rPr>
        <w:t>0.575</w:t>
      </w:r>
      <w:r w:rsidRPr="000D66E0">
        <w:t xml:space="preserve"> = 5001 cm</w:t>
      </w:r>
      <w:r w:rsidRPr="000D66E0">
        <w:rPr>
          <w:vertAlign w:val="superscript"/>
        </w:rPr>
        <w:t>2</w:t>
      </w:r>
      <w:r w:rsidRPr="000D66E0">
        <w:t xml:space="preserve">(Swindle M.M. 2011). </w:t>
      </w:r>
      <w:proofErr w:type="spellStart"/>
      <w:proofErr w:type="gramStart"/>
      <w:r w:rsidRPr="000D66E0">
        <w:rPr>
          <w:vertAlign w:val="superscript"/>
        </w:rPr>
        <w:t>e</w:t>
      </w:r>
      <w:r w:rsidRPr="000D66E0">
        <w:t>Estimated</w:t>
      </w:r>
      <w:proofErr w:type="spellEnd"/>
      <w:proofErr w:type="gramEnd"/>
      <w:r w:rsidRPr="000D66E0">
        <w:t xml:space="preserve"> human adult </w:t>
      </w:r>
      <w:r w:rsidR="0091343D">
        <w:t>BSA</w:t>
      </w:r>
      <w:r w:rsidRPr="000D66E0">
        <w:t xml:space="preserve">, mean of males and females: </w:t>
      </w:r>
      <w:proofErr w:type="spellStart"/>
      <w:r w:rsidRPr="000D66E0">
        <w:t>BSA</w:t>
      </w:r>
      <w:r w:rsidRPr="0091343D">
        <w:rPr>
          <w:vertAlign w:val="subscript"/>
        </w:rPr>
        <w:t>human</w:t>
      </w:r>
      <w:proofErr w:type="spellEnd"/>
      <w:r w:rsidRPr="000D66E0">
        <w:t>=18150 cm</w:t>
      </w:r>
      <w:r w:rsidRPr="000D66E0">
        <w:rPr>
          <w:vertAlign w:val="superscript"/>
        </w:rPr>
        <w:t>2</w:t>
      </w:r>
      <w:r w:rsidRPr="000D66E0">
        <w:t xml:space="preserve"> (</w:t>
      </w:r>
      <w:proofErr w:type="spellStart"/>
      <w:r w:rsidRPr="000D66E0">
        <w:t>Derelanko</w:t>
      </w:r>
      <w:proofErr w:type="spellEnd"/>
      <w:r w:rsidRPr="000D66E0">
        <w:t xml:space="preserve"> and Hollinger 1995, p. 647)</w:t>
      </w:r>
      <w:r w:rsidR="000D66E0">
        <w:t xml:space="preserve">, </w:t>
      </w:r>
      <w:proofErr w:type="spellStart"/>
      <w:r w:rsidRPr="000D66E0">
        <w:rPr>
          <w:vertAlign w:val="superscript"/>
        </w:rPr>
        <w:t>f</w:t>
      </w:r>
      <w:r w:rsidR="008F5C87">
        <w:t>males</w:t>
      </w:r>
      <w:proofErr w:type="spellEnd"/>
      <w:r w:rsidR="008F5C87">
        <w:t xml:space="preserve"> only. ^ n=1, ^^n=2.</w:t>
      </w:r>
    </w:p>
    <w:p w:rsidR="00D35641" w:rsidRPr="00D35641" w:rsidRDefault="00D35641" w:rsidP="00D35641">
      <w:r w:rsidRPr="00D35641">
        <w:t xml:space="preserve">Plasma AUCs were not calculated in the 10 day adult mini-pig dermal toxicity study due to scarcity of data. </w:t>
      </w:r>
      <w:proofErr w:type="spellStart"/>
      <w:r w:rsidRPr="00D35641">
        <w:t>C</w:t>
      </w:r>
      <w:r w:rsidRPr="00D35641">
        <w:rPr>
          <w:vertAlign w:val="subscript"/>
        </w:rPr>
        <w:t>max</w:t>
      </w:r>
      <w:proofErr w:type="spellEnd"/>
      <w:r w:rsidRPr="00D35641">
        <w:rPr>
          <w:vertAlign w:val="subscript"/>
        </w:rPr>
        <w:t xml:space="preserve"> </w:t>
      </w:r>
      <w:r w:rsidRPr="00D35641">
        <w:t xml:space="preserve">was only measured in 50% of animals (1/group), close to the lower limit of qualification (0.5 </w:t>
      </w:r>
      <w:proofErr w:type="spellStart"/>
      <w:r w:rsidRPr="00D35641">
        <w:t>ng</w:t>
      </w:r>
      <w:proofErr w:type="spellEnd"/>
      <w:r w:rsidRPr="00D35641">
        <w:t>/</w:t>
      </w:r>
      <w:proofErr w:type="spellStart"/>
      <w:r w:rsidRPr="00D35641">
        <w:t>mL</w:t>
      </w:r>
      <w:proofErr w:type="spellEnd"/>
      <w:r w:rsidRPr="00D35641">
        <w:t xml:space="preserve">), and was used to calculate </w:t>
      </w:r>
      <w:proofErr w:type="spellStart"/>
      <w:r w:rsidRPr="00D35641">
        <w:t>animal</w:t>
      </w:r>
      <w:proofErr w:type="gramStart"/>
      <w:r w:rsidRPr="00D35641">
        <w:t>:human</w:t>
      </w:r>
      <w:proofErr w:type="spellEnd"/>
      <w:proofErr w:type="gramEnd"/>
      <w:r w:rsidRPr="00D35641">
        <w:t xml:space="preserve"> exposure ratios, which were </w:t>
      </w:r>
      <w:r w:rsidRPr="00D35641">
        <w:lastRenderedPageBreak/>
        <w:t xml:space="preserve">also very low (table below). Plasma retapamulin levels were below the limit of detection in the dermal toxicity study in juvenile </w:t>
      </w:r>
      <w:proofErr w:type="spellStart"/>
      <w:r w:rsidRPr="00D35641">
        <w:t>minipigs</w:t>
      </w:r>
      <w:proofErr w:type="spellEnd"/>
      <w:r w:rsidRPr="00D35641">
        <w:t>.</w:t>
      </w:r>
    </w:p>
    <w:p w:rsidR="00D35641" w:rsidRPr="00D35641" w:rsidRDefault="00EA27D0" w:rsidP="008F5C87">
      <w:pPr>
        <w:pStyle w:val="TableTitle"/>
      </w:pPr>
      <w:proofErr w:type="gramStart"/>
      <w:r>
        <w:t>Table 3</w:t>
      </w:r>
      <w:r w:rsidR="000D66E0">
        <w:t>.</w:t>
      </w:r>
      <w:proofErr w:type="gramEnd"/>
      <w:r w:rsidR="000D66E0">
        <w:t xml:space="preserve"> </w:t>
      </w:r>
      <w:r w:rsidR="00D35641" w:rsidRPr="00D35641">
        <w:t xml:space="preserve">Relative exposure in </w:t>
      </w:r>
      <w:proofErr w:type="spellStart"/>
      <w:r w:rsidR="00D35641" w:rsidRPr="00D35641">
        <w:t>minipig</w:t>
      </w:r>
      <w:proofErr w:type="spellEnd"/>
      <w:r w:rsidR="00D35641" w:rsidRPr="00D35641">
        <w:t xml:space="preserve"> repeat-dose dermal toxicity study</w:t>
      </w:r>
    </w:p>
    <w:tbl>
      <w:tblPr>
        <w:tblStyle w:val="TableTGAblue"/>
        <w:tblW w:w="5000" w:type="pct"/>
        <w:tblLook w:val="01E0"/>
      </w:tblPr>
      <w:tblGrid>
        <w:gridCol w:w="1248"/>
        <w:gridCol w:w="2057"/>
        <w:gridCol w:w="1025"/>
        <w:gridCol w:w="1219"/>
        <w:gridCol w:w="1529"/>
        <w:gridCol w:w="1084"/>
        <w:gridCol w:w="1080"/>
      </w:tblGrid>
      <w:tr w:rsidR="00D35641" w:rsidRPr="000D66E0" w:rsidTr="008F5C87">
        <w:trPr>
          <w:cnfStyle w:val="100000000000"/>
          <w:trHeight w:val="227"/>
          <w:tblHeader/>
        </w:trPr>
        <w:tc>
          <w:tcPr>
            <w:tcW w:w="756" w:type="pct"/>
            <w:vMerge w:val="restart"/>
          </w:tcPr>
          <w:p w:rsidR="00D35641" w:rsidRPr="008F5C87" w:rsidRDefault="00D35641" w:rsidP="000D66E0">
            <w:pPr>
              <w:spacing w:before="60" w:after="60"/>
              <w:ind w:left="0" w:right="0"/>
              <w:rPr>
                <w:sz w:val="20"/>
                <w:szCs w:val="20"/>
              </w:rPr>
            </w:pPr>
            <w:r w:rsidRPr="008F5C87">
              <w:rPr>
                <w:sz w:val="20"/>
                <w:szCs w:val="20"/>
              </w:rPr>
              <w:t>Species</w:t>
            </w:r>
          </w:p>
        </w:tc>
        <w:tc>
          <w:tcPr>
            <w:tcW w:w="902" w:type="pct"/>
            <w:vMerge w:val="restart"/>
          </w:tcPr>
          <w:p w:rsidR="00D35641" w:rsidRPr="008F5C87" w:rsidRDefault="00D35641" w:rsidP="000D66E0">
            <w:pPr>
              <w:spacing w:before="60" w:after="60"/>
              <w:ind w:left="0" w:right="0"/>
              <w:rPr>
                <w:sz w:val="20"/>
                <w:szCs w:val="20"/>
              </w:rPr>
            </w:pPr>
            <w:r w:rsidRPr="008F5C87">
              <w:rPr>
                <w:sz w:val="20"/>
                <w:szCs w:val="20"/>
              </w:rPr>
              <w:t>Study/Route</w:t>
            </w:r>
          </w:p>
        </w:tc>
        <w:tc>
          <w:tcPr>
            <w:tcW w:w="517" w:type="pct"/>
            <w:vMerge w:val="restart"/>
          </w:tcPr>
          <w:p w:rsidR="00D35641" w:rsidRPr="008F5C87" w:rsidRDefault="00D35641" w:rsidP="000D66E0">
            <w:pPr>
              <w:spacing w:before="60" w:after="60"/>
              <w:ind w:left="0" w:right="0"/>
              <w:rPr>
                <w:sz w:val="20"/>
                <w:szCs w:val="20"/>
              </w:rPr>
            </w:pPr>
            <w:r w:rsidRPr="008F5C87">
              <w:rPr>
                <w:sz w:val="20"/>
                <w:szCs w:val="20"/>
              </w:rPr>
              <w:t>Study duration</w:t>
            </w:r>
          </w:p>
        </w:tc>
        <w:tc>
          <w:tcPr>
            <w:tcW w:w="740" w:type="pct"/>
            <w:vMerge w:val="restart"/>
          </w:tcPr>
          <w:p w:rsidR="00D35641" w:rsidRPr="008F5C87" w:rsidRDefault="00D35641" w:rsidP="000D66E0">
            <w:pPr>
              <w:spacing w:before="60" w:after="60"/>
              <w:ind w:left="0" w:right="0"/>
              <w:rPr>
                <w:sz w:val="20"/>
                <w:szCs w:val="20"/>
              </w:rPr>
            </w:pPr>
            <w:r w:rsidRPr="008F5C87">
              <w:rPr>
                <w:sz w:val="20"/>
                <w:szCs w:val="20"/>
              </w:rPr>
              <w:t xml:space="preserve">% </w:t>
            </w:r>
            <w:proofErr w:type="spellStart"/>
            <w:r w:rsidRPr="008F5C87">
              <w:rPr>
                <w:sz w:val="20"/>
                <w:szCs w:val="20"/>
              </w:rPr>
              <w:t>BSA</w:t>
            </w:r>
            <w:r w:rsidRPr="008F5C87">
              <w:rPr>
                <w:sz w:val="20"/>
                <w:szCs w:val="20"/>
                <w:vertAlign w:val="superscript"/>
              </w:rPr>
              <w:t>b</w:t>
            </w:r>
            <w:proofErr w:type="spellEnd"/>
            <w:r w:rsidRPr="008F5C87">
              <w:rPr>
                <w:sz w:val="20"/>
                <w:szCs w:val="20"/>
              </w:rPr>
              <w:t xml:space="preserve"> (topical area)</w:t>
            </w:r>
          </w:p>
        </w:tc>
        <w:tc>
          <w:tcPr>
            <w:tcW w:w="769" w:type="pct"/>
          </w:tcPr>
          <w:p w:rsidR="00D35641" w:rsidRPr="008F5C87" w:rsidRDefault="00D35641" w:rsidP="000D66E0">
            <w:pPr>
              <w:spacing w:before="60" w:after="60"/>
              <w:ind w:left="0" w:right="0"/>
              <w:rPr>
                <w:sz w:val="20"/>
                <w:szCs w:val="20"/>
              </w:rPr>
            </w:pPr>
            <w:r w:rsidRPr="008F5C87">
              <w:rPr>
                <w:sz w:val="20"/>
                <w:szCs w:val="20"/>
              </w:rPr>
              <w:t>Concentration (%)</w:t>
            </w:r>
          </w:p>
        </w:tc>
        <w:tc>
          <w:tcPr>
            <w:tcW w:w="667" w:type="pct"/>
          </w:tcPr>
          <w:p w:rsidR="00D35641" w:rsidRPr="008F5C87" w:rsidRDefault="00D35641" w:rsidP="000D66E0">
            <w:pPr>
              <w:spacing w:before="60" w:after="60"/>
              <w:ind w:left="0" w:right="0"/>
              <w:rPr>
                <w:sz w:val="20"/>
                <w:szCs w:val="20"/>
              </w:rPr>
            </w:pPr>
            <w:proofErr w:type="spellStart"/>
            <w:r w:rsidRPr="008F5C87">
              <w:rPr>
                <w:sz w:val="20"/>
                <w:szCs w:val="20"/>
              </w:rPr>
              <w:t>C</w:t>
            </w:r>
            <w:r w:rsidRPr="008F5C87">
              <w:rPr>
                <w:sz w:val="20"/>
                <w:szCs w:val="20"/>
                <w:vertAlign w:val="subscript"/>
              </w:rPr>
              <w:t>max</w:t>
            </w:r>
            <w:proofErr w:type="spellEnd"/>
            <w:r w:rsidRPr="008F5C87">
              <w:rPr>
                <w:sz w:val="20"/>
                <w:szCs w:val="20"/>
              </w:rPr>
              <w:br/>
              <w:t>(</w:t>
            </w:r>
            <w:proofErr w:type="spellStart"/>
            <w:r w:rsidRPr="008F5C87">
              <w:rPr>
                <w:sz w:val="20"/>
                <w:szCs w:val="20"/>
              </w:rPr>
              <w:t>ng</w:t>
            </w:r>
            <w:proofErr w:type="spellEnd"/>
            <w:r w:rsidRPr="008F5C87">
              <w:rPr>
                <w:sz w:val="20"/>
                <w:szCs w:val="20"/>
              </w:rPr>
              <w:t>/</w:t>
            </w:r>
            <w:proofErr w:type="spellStart"/>
            <w:r w:rsidRPr="008F5C87">
              <w:rPr>
                <w:sz w:val="20"/>
                <w:szCs w:val="20"/>
              </w:rPr>
              <w:t>mL</w:t>
            </w:r>
            <w:proofErr w:type="spellEnd"/>
            <w:r w:rsidRPr="008F5C87">
              <w:rPr>
                <w:sz w:val="20"/>
                <w:szCs w:val="20"/>
              </w:rPr>
              <w:t>)</w:t>
            </w:r>
          </w:p>
        </w:tc>
        <w:tc>
          <w:tcPr>
            <w:tcW w:w="649" w:type="pct"/>
          </w:tcPr>
          <w:p w:rsidR="00D35641" w:rsidRPr="008F5C87" w:rsidRDefault="00D35641" w:rsidP="000D66E0">
            <w:pPr>
              <w:spacing w:before="60" w:after="60"/>
              <w:ind w:left="0" w:right="0"/>
              <w:rPr>
                <w:sz w:val="20"/>
                <w:szCs w:val="20"/>
              </w:rPr>
            </w:pPr>
            <w:r w:rsidRPr="008F5C87">
              <w:rPr>
                <w:sz w:val="20"/>
                <w:szCs w:val="20"/>
              </w:rPr>
              <w:t>Exposure ratio</w:t>
            </w:r>
          </w:p>
        </w:tc>
      </w:tr>
      <w:tr w:rsidR="00D35641" w:rsidRPr="000D66E0" w:rsidTr="000D66E0">
        <w:trPr>
          <w:trHeight w:val="339"/>
        </w:trPr>
        <w:tc>
          <w:tcPr>
            <w:tcW w:w="756" w:type="pct"/>
            <w:vMerge w:val="restart"/>
          </w:tcPr>
          <w:p w:rsidR="00D35641" w:rsidRPr="000D66E0" w:rsidRDefault="00D35641" w:rsidP="000D66E0">
            <w:pPr>
              <w:spacing w:before="60" w:after="60"/>
              <w:ind w:left="0" w:right="0"/>
              <w:rPr>
                <w:sz w:val="20"/>
                <w:szCs w:val="20"/>
              </w:rPr>
            </w:pPr>
            <w:proofErr w:type="spellStart"/>
            <w:r w:rsidRPr="000D66E0">
              <w:rPr>
                <w:b/>
                <w:sz w:val="20"/>
                <w:szCs w:val="20"/>
              </w:rPr>
              <w:t>Minipig</w:t>
            </w:r>
            <w:proofErr w:type="spellEnd"/>
            <w:r w:rsidRPr="000D66E0">
              <w:rPr>
                <w:sz w:val="20"/>
                <w:szCs w:val="20"/>
              </w:rPr>
              <w:br/>
              <w:t>(</w:t>
            </w:r>
            <w:proofErr w:type="spellStart"/>
            <w:r w:rsidRPr="000D66E0">
              <w:rPr>
                <w:sz w:val="20"/>
                <w:szCs w:val="20"/>
              </w:rPr>
              <w:t>Göttingen</w:t>
            </w:r>
            <w:proofErr w:type="spellEnd"/>
            <w:r w:rsidRPr="000D66E0">
              <w:rPr>
                <w:sz w:val="20"/>
                <w:szCs w:val="20"/>
              </w:rPr>
              <w:t>)</w:t>
            </w:r>
          </w:p>
        </w:tc>
        <w:tc>
          <w:tcPr>
            <w:tcW w:w="902" w:type="pct"/>
            <w:vMerge w:val="restart"/>
          </w:tcPr>
          <w:p w:rsidR="00D35641" w:rsidRPr="000D66E0" w:rsidRDefault="00D35641" w:rsidP="000D66E0">
            <w:pPr>
              <w:spacing w:before="60" w:after="60"/>
              <w:ind w:left="0" w:right="0"/>
              <w:rPr>
                <w:sz w:val="20"/>
                <w:szCs w:val="20"/>
              </w:rPr>
            </w:pPr>
            <w:r w:rsidRPr="000D66E0">
              <w:rPr>
                <w:sz w:val="20"/>
                <w:szCs w:val="20"/>
              </w:rPr>
              <w:t>WbD2004/01067/00</w:t>
            </w:r>
            <w:r w:rsidRPr="000D66E0">
              <w:rPr>
                <w:b/>
                <w:sz w:val="20"/>
                <w:szCs w:val="20"/>
              </w:rPr>
              <w:t xml:space="preserve"> Dermal </w:t>
            </w:r>
            <w:r w:rsidRPr="000D66E0">
              <w:rPr>
                <w:b/>
                <w:sz w:val="20"/>
                <w:szCs w:val="20"/>
              </w:rPr>
              <w:br/>
              <w:t>(intact &amp; abraded)</w:t>
            </w:r>
            <w:r w:rsidRPr="000D66E0">
              <w:rPr>
                <w:b/>
                <w:sz w:val="20"/>
                <w:szCs w:val="20"/>
                <w:vertAlign w:val="superscript"/>
              </w:rPr>
              <w:t>d</w:t>
            </w:r>
          </w:p>
        </w:tc>
        <w:tc>
          <w:tcPr>
            <w:tcW w:w="517" w:type="pct"/>
            <w:vMerge w:val="restart"/>
          </w:tcPr>
          <w:p w:rsidR="00D35641" w:rsidRPr="000D66E0" w:rsidRDefault="00D35641" w:rsidP="000D66E0">
            <w:pPr>
              <w:spacing w:before="60" w:after="60"/>
              <w:ind w:left="0" w:right="0"/>
              <w:rPr>
                <w:sz w:val="20"/>
                <w:szCs w:val="20"/>
              </w:rPr>
            </w:pPr>
            <w:r w:rsidRPr="000D66E0">
              <w:rPr>
                <w:sz w:val="20"/>
                <w:szCs w:val="20"/>
              </w:rPr>
              <w:t>10 day</w:t>
            </w:r>
          </w:p>
        </w:tc>
        <w:tc>
          <w:tcPr>
            <w:tcW w:w="740" w:type="pct"/>
            <w:vMerge w:val="restart"/>
          </w:tcPr>
          <w:p w:rsidR="00D35641" w:rsidRPr="000D66E0" w:rsidRDefault="00D35641" w:rsidP="000D66E0">
            <w:pPr>
              <w:spacing w:before="60" w:after="60"/>
              <w:ind w:left="0" w:right="0"/>
              <w:rPr>
                <w:sz w:val="20"/>
                <w:szCs w:val="20"/>
              </w:rPr>
            </w:pPr>
            <w:r w:rsidRPr="000D66E0">
              <w:rPr>
                <w:sz w:val="20"/>
                <w:szCs w:val="20"/>
              </w:rPr>
              <w:t xml:space="preserve">1.4% BSA </w:t>
            </w:r>
            <w:r w:rsidRPr="000D66E0">
              <w:rPr>
                <w:sz w:val="20"/>
                <w:szCs w:val="20"/>
              </w:rPr>
              <w:br/>
              <w:t>(70 cm</w:t>
            </w:r>
            <w:r w:rsidRPr="000D66E0">
              <w:rPr>
                <w:sz w:val="20"/>
                <w:szCs w:val="20"/>
                <w:vertAlign w:val="superscript"/>
              </w:rPr>
              <w:t>2</w:t>
            </w:r>
            <w:r w:rsidRPr="000D66E0">
              <w:rPr>
                <w:sz w:val="20"/>
                <w:szCs w:val="20"/>
              </w:rPr>
              <w:t>)</w:t>
            </w:r>
            <w:r w:rsidRPr="000D66E0">
              <w:rPr>
                <w:sz w:val="20"/>
                <w:szCs w:val="20"/>
                <w:vertAlign w:val="superscript"/>
              </w:rPr>
              <w:t>b</w:t>
            </w:r>
          </w:p>
        </w:tc>
        <w:tc>
          <w:tcPr>
            <w:tcW w:w="769" w:type="pct"/>
          </w:tcPr>
          <w:p w:rsidR="00D35641" w:rsidRPr="000D66E0" w:rsidRDefault="00D35641" w:rsidP="000D66E0">
            <w:pPr>
              <w:spacing w:before="60" w:after="60"/>
              <w:ind w:left="0" w:right="0"/>
              <w:rPr>
                <w:sz w:val="20"/>
                <w:szCs w:val="20"/>
              </w:rPr>
            </w:pPr>
            <w:r w:rsidRPr="000D66E0">
              <w:rPr>
                <w:sz w:val="20"/>
                <w:szCs w:val="20"/>
              </w:rPr>
              <w:t>0 &amp; 2%</w:t>
            </w:r>
          </w:p>
        </w:tc>
        <w:tc>
          <w:tcPr>
            <w:tcW w:w="667" w:type="pct"/>
          </w:tcPr>
          <w:p w:rsidR="00D35641" w:rsidRPr="000D66E0" w:rsidRDefault="00D35641" w:rsidP="000D66E0">
            <w:pPr>
              <w:spacing w:before="60" w:after="60"/>
              <w:ind w:left="0" w:right="0"/>
              <w:rPr>
                <w:sz w:val="20"/>
                <w:szCs w:val="20"/>
              </w:rPr>
            </w:pPr>
            <w:r w:rsidRPr="000D66E0">
              <w:rPr>
                <w:sz w:val="20"/>
                <w:szCs w:val="20"/>
              </w:rPr>
              <w:t>0.6</w:t>
            </w:r>
          </w:p>
        </w:tc>
        <w:tc>
          <w:tcPr>
            <w:tcW w:w="649" w:type="pct"/>
          </w:tcPr>
          <w:p w:rsidR="00D35641" w:rsidRPr="000D66E0" w:rsidRDefault="00D35641" w:rsidP="000D66E0">
            <w:pPr>
              <w:spacing w:before="60" w:after="60"/>
              <w:ind w:left="0" w:right="0"/>
              <w:rPr>
                <w:sz w:val="20"/>
                <w:szCs w:val="20"/>
              </w:rPr>
            </w:pPr>
            <w:r w:rsidRPr="000D66E0">
              <w:rPr>
                <w:sz w:val="20"/>
                <w:szCs w:val="20"/>
              </w:rPr>
              <w:t>0.03</w:t>
            </w:r>
            <w:r w:rsidRPr="000D66E0">
              <w:rPr>
                <w:sz w:val="20"/>
                <w:szCs w:val="20"/>
                <w:vertAlign w:val="superscript"/>
              </w:rPr>
              <w:t xml:space="preserve"> </w:t>
            </w:r>
          </w:p>
        </w:tc>
      </w:tr>
      <w:tr w:rsidR="00D35641" w:rsidRPr="000D66E0" w:rsidTr="000D66E0">
        <w:trPr>
          <w:trHeight w:val="227"/>
        </w:trPr>
        <w:tc>
          <w:tcPr>
            <w:tcW w:w="756" w:type="pct"/>
            <w:vMerge/>
          </w:tcPr>
          <w:p w:rsidR="00D35641" w:rsidRPr="000D66E0" w:rsidRDefault="00D35641" w:rsidP="000D66E0">
            <w:pPr>
              <w:spacing w:before="60" w:after="60"/>
              <w:ind w:left="0" w:right="0"/>
              <w:rPr>
                <w:sz w:val="20"/>
                <w:szCs w:val="20"/>
              </w:rPr>
            </w:pPr>
          </w:p>
        </w:tc>
        <w:tc>
          <w:tcPr>
            <w:tcW w:w="902" w:type="pct"/>
            <w:vMerge/>
          </w:tcPr>
          <w:p w:rsidR="00D35641" w:rsidRPr="000D66E0" w:rsidRDefault="00D35641" w:rsidP="000D66E0">
            <w:pPr>
              <w:spacing w:before="60" w:after="60"/>
              <w:ind w:left="0" w:right="0"/>
              <w:rPr>
                <w:sz w:val="20"/>
                <w:szCs w:val="20"/>
              </w:rPr>
            </w:pPr>
          </w:p>
        </w:tc>
        <w:tc>
          <w:tcPr>
            <w:tcW w:w="517" w:type="pct"/>
            <w:vMerge/>
          </w:tcPr>
          <w:p w:rsidR="00D35641" w:rsidRPr="000D66E0" w:rsidRDefault="00D35641" w:rsidP="000D66E0">
            <w:pPr>
              <w:spacing w:before="60" w:after="60"/>
              <w:ind w:left="0" w:right="0"/>
              <w:rPr>
                <w:sz w:val="20"/>
                <w:szCs w:val="20"/>
              </w:rPr>
            </w:pPr>
          </w:p>
        </w:tc>
        <w:tc>
          <w:tcPr>
            <w:tcW w:w="740" w:type="pct"/>
            <w:vMerge/>
          </w:tcPr>
          <w:p w:rsidR="00D35641" w:rsidRPr="000D66E0" w:rsidRDefault="00D35641" w:rsidP="000D66E0">
            <w:pPr>
              <w:spacing w:before="60" w:after="60"/>
              <w:ind w:left="0" w:right="0"/>
              <w:rPr>
                <w:sz w:val="20"/>
                <w:szCs w:val="20"/>
              </w:rPr>
            </w:pPr>
          </w:p>
        </w:tc>
        <w:tc>
          <w:tcPr>
            <w:tcW w:w="769" w:type="pct"/>
          </w:tcPr>
          <w:p w:rsidR="00D35641" w:rsidRPr="000D66E0" w:rsidRDefault="00D35641" w:rsidP="000D66E0">
            <w:pPr>
              <w:spacing w:before="60" w:after="60"/>
              <w:ind w:left="0" w:right="0"/>
              <w:rPr>
                <w:sz w:val="20"/>
                <w:szCs w:val="20"/>
              </w:rPr>
            </w:pPr>
            <w:r w:rsidRPr="000D66E0">
              <w:rPr>
                <w:sz w:val="20"/>
                <w:szCs w:val="20"/>
              </w:rPr>
              <w:t>1 &amp; 5%</w:t>
            </w:r>
          </w:p>
        </w:tc>
        <w:tc>
          <w:tcPr>
            <w:tcW w:w="667" w:type="pct"/>
          </w:tcPr>
          <w:p w:rsidR="00D35641" w:rsidRPr="000D66E0" w:rsidRDefault="00D35641" w:rsidP="000D66E0">
            <w:pPr>
              <w:spacing w:before="60" w:after="60"/>
              <w:ind w:left="0" w:right="0"/>
              <w:rPr>
                <w:sz w:val="20"/>
                <w:szCs w:val="20"/>
              </w:rPr>
            </w:pPr>
            <w:r w:rsidRPr="000D66E0">
              <w:rPr>
                <w:sz w:val="20"/>
                <w:szCs w:val="20"/>
              </w:rPr>
              <w:t>0.7</w:t>
            </w:r>
          </w:p>
        </w:tc>
        <w:tc>
          <w:tcPr>
            <w:tcW w:w="649" w:type="pct"/>
          </w:tcPr>
          <w:p w:rsidR="00D35641" w:rsidRPr="000D66E0" w:rsidRDefault="00D35641" w:rsidP="000D66E0">
            <w:pPr>
              <w:spacing w:before="60" w:after="60"/>
              <w:ind w:left="0" w:right="0"/>
              <w:rPr>
                <w:sz w:val="20"/>
                <w:szCs w:val="20"/>
              </w:rPr>
            </w:pPr>
            <w:r w:rsidRPr="000D66E0">
              <w:rPr>
                <w:sz w:val="20"/>
                <w:szCs w:val="20"/>
              </w:rPr>
              <w:t>0.03</w:t>
            </w:r>
          </w:p>
        </w:tc>
      </w:tr>
      <w:tr w:rsidR="00D35641" w:rsidRPr="000D66E0" w:rsidTr="000D66E0">
        <w:trPr>
          <w:trHeight w:val="227"/>
        </w:trPr>
        <w:tc>
          <w:tcPr>
            <w:tcW w:w="756" w:type="pct"/>
          </w:tcPr>
          <w:p w:rsidR="00D35641" w:rsidRPr="000D66E0" w:rsidRDefault="00D35641" w:rsidP="000D66E0">
            <w:pPr>
              <w:spacing w:before="60" w:after="60"/>
              <w:ind w:left="0" w:right="0"/>
              <w:rPr>
                <w:sz w:val="20"/>
                <w:szCs w:val="20"/>
              </w:rPr>
            </w:pPr>
            <w:r w:rsidRPr="000D66E0">
              <w:rPr>
                <w:b/>
                <w:sz w:val="20"/>
                <w:szCs w:val="20"/>
              </w:rPr>
              <w:t>Human</w:t>
            </w:r>
            <w:r w:rsidRPr="000D66E0">
              <w:rPr>
                <w:sz w:val="20"/>
                <w:szCs w:val="20"/>
              </w:rPr>
              <w:br/>
              <w:t>(healthy volunteers)</w:t>
            </w:r>
          </w:p>
        </w:tc>
        <w:tc>
          <w:tcPr>
            <w:tcW w:w="902" w:type="pct"/>
          </w:tcPr>
          <w:p w:rsidR="00D35641" w:rsidRPr="000D66E0" w:rsidRDefault="00D35641" w:rsidP="000D66E0">
            <w:pPr>
              <w:spacing w:before="60" w:after="60"/>
              <w:ind w:left="0" w:right="0"/>
              <w:rPr>
                <w:b/>
                <w:sz w:val="20"/>
                <w:szCs w:val="20"/>
              </w:rPr>
            </w:pPr>
            <w:r w:rsidRPr="000D66E0">
              <w:rPr>
                <w:sz w:val="20"/>
                <w:szCs w:val="20"/>
              </w:rPr>
              <w:t>Clinical study 026</w:t>
            </w:r>
            <w:r w:rsidRPr="000D66E0">
              <w:rPr>
                <w:b/>
                <w:sz w:val="20"/>
                <w:szCs w:val="20"/>
              </w:rPr>
              <w:t xml:space="preserve"> Dermal </w:t>
            </w:r>
            <w:r w:rsidRPr="000D66E0">
              <w:rPr>
                <w:b/>
                <w:sz w:val="20"/>
                <w:szCs w:val="20"/>
              </w:rPr>
              <w:br/>
              <w:t>(abraded)</w:t>
            </w:r>
          </w:p>
        </w:tc>
        <w:tc>
          <w:tcPr>
            <w:tcW w:w="517" w:type="pct"/>
          </w:tcPr>
          <w:p w:rsidR="00D35641" w:rsidRPr="000D66E0" w:rsidRDefault="00D35641" w:rsidP="000D66E0">
            <w:pPr>
              <w:spacing w:before="60" w:after="60"/>
              <w:ind w:left="0" w:right="0"/>
              <w:rPr>
                <w:sz w:val="20"/>
                <w:szCs w:val="20"/>
              </w:rPr>
            </w:pPr>
            <w:r w:rsidRPr="000D66E0">
              <w:rPr>
                <w:sz w:val="20"/>
                <w:szCs w:val="20"/>
              </w:rPr>
              <w:t xml:space="preserve">Single </w:t>
            </w:r>
            <w:proofErr w:type="spellStart"/>
            <w:r w:rsidRPr="000D66E0">
              <w:rPr>
                <w:sz w:val="20"/>
                <w:szCs w:val="20"/>
              </w:rPr>
              <w:t>dose</w:t>
            </w:r>
            <w:r w:rsidRPr="000D66E0">
              <w:rPr>
                <w:sz w:val="20"/>
                <w:szCs w:val="20"/>
                <w:vertAlign w:val="superscript"/>
              </w:rPr>
              <w:t>a</w:t>
            </w:r>
            <w:proofErr w:type="spellEnd"/>
          </w:p>
        </w:tc>
        <w:tc>
          <w:tcPr>
            <w:tcW w:w="740" w:type="pct"/>
          </w:tcPr>
          <w:p w:rsidR="00D35641" w:rsidRPr="000D66E0" w:rsidRDefault="00D35641" w:rsidP="000D66E0">
            <w:pPr>
              <w:spacing w:before="60" w:after="60"/>
              <w:ind w:left="0" w:right="0"/>
              <w:rPr>
                <w:sz w:val="20"/>
                <w:szCs w:val="20"/>
              </w:rPr>
            </w:pPr>
            <w:r w:rsidRPr="000D66E0">
              <w:rPr>
                <w:sz w:val="20"/>
                <w:szCs w:val="20"/>
              </w:rPr>
              <w:t xml:space="preserve">1% </w:t>
            </w:r>
            <w:proofErr w:type="spellStart"/>
            <w:r w:rsidRPr="000D66E0">
              <w:rPr>
                <w:sz w:val="20"/>
                <w:szCs w:val="20"/>
              </w:rPr>
              <w:t>BSA</w:t>
            </w:r>
            <w:r w:rsidRPr="000D66E0">
              <w:rPr>
                <w:sz w:val="20"/>
                <w:szCs w:val="20"/>
                <w:vertAlign w:val="superscript"/>
              </w:rPr>
              <w:t>c</w:t>
            </w:r>
            <w:proofErr w:type="spellEnd"/>
            <w:r w:rsidRPr="000D66E0">
              <w:rPr>
                <w:sz w:val="20"/>
                <w:szCs w:val="20"/>
              </w:rPr>
              <w:t xml:space="preserve"> (200 cm</w:t>
            </w:r>
            <w:r w:rsidRPr="000D66E0">
              <w:rPr>
                <w:sz w:val="20"/>
                <w:szCs w:val="20"/>
                <w:vertAlign w:val="superscript"/>
              </w:rPr>
              <w:t>2</w:t>
            </w:r>
            <w:r w:rsidRPr="000D66E0">
              <w:rPr>
                <w:sz w:val="20"/>
                <w:szCs w:val="20"/>
              </w:rPr>
              <w:t>)</w:t>
            </w:r>
          </w:p>
        </w:tc>
        <w:tc>
          <w:tcPr>
            <w:tcW w:w="769" w:type="pct"/>
          </w:tcPr>
          <w:p w:rsidR="00D35641" w:rsidRPr="000D66E0" w:rsidRDefault="00D35641" w:rsidP="000D66E0">
            <w:pPr>
              <w:spacing w:before="60" w:after="60"/>
              <w:ind w:left="0" w:right="0"/>
              <w:rPr>
                <w:sz w:val="20"/>
                <w:szCs w:val="20"/>
              </w:rPr>
            </w:pPr>
            <w:r w:rsidRPr="000D66E0">
              <w:rPr>
                <w:sz w:val="20"/>
                <w:szCs w:val="20"/>
              </w:rPr>
              <w:t xml:space="preserve">1% </w:t>
            </w:r>
          </w:p>
        </w:tc>
        <w:tc>
          <w:tcPr>
            <w:tcW w:w="667" w:type="pct"/>
          </w:tcPr>
          <w:p w:rsidR="00D35641" w:rsidRPr="000D66E0" w:rsidRDefault="00D35641" w:rsidP="000D66E0">
            <w:pPr>
              <w:spacing w:before="60" w:after="60"/>
              <w:ind w:left="0" w:right="0"/>
              <w:rPr>
                <w:sz w:val="20"/>
                <w:szCs w:val="20"/>
              </w:rPr>
            </w:pPr>
            <w:r w:rsidRPr="000D66E0">
              <w:rPr>
                <w:sz w:val="20"/>
                <w:szCs w:val="20"/>
              </w:rPr>
              <w:t>22.1</w:t>
            </w:r>
          </w:p>
        </w:tc>
        <w:tc>
          <w:tcPr>
            <w:tcW w:w="649" w:type="pct"/>
          </w:tcPr>
          <w:p w:rsidR="00D35641" w:rsidRPr="000D66E0" w:rsidRDefault="00D35641" w:rsidP="000D66E0">
            <w:pPr>
              <w:spacing w:before="60" w:after="60"/>
              <w:ind w:left="0" w:right="0"/>
              <w:rPr>
                <w:sz w:val="20"/>
                <w:szCs w:val="20"/>
              </w:rPr>
            </w:pPr>
            <w:r w:rsidRPr="000D66E0">
              <w:rPr>
                <w:sz w:val="20"/>
                <w:szCs w:val="20"/>
              </w:rPr>
              <w:t>–</w:t>
            </w:r>
          </w:p>
        </w:tc>
      </w:tr>
    </w:tbl>
    <w:p w:rsidR="00D35641" w:rsidRPr="000D66E0" w:rsidRDefault="00D35641" w:rsidP="008F5C87">
      <w:pPr>
        <w:pStyle w:val="TableDescription"/>
      </w:pPr>
      <w:r w:rsidRPr="000D66E0">
        <w:t xml:space="preserve">AUC could not be calculated in this study due to lack of sufficient data. </w:t>
      </w:r>
      <w:proofErr w:type="spellStart"/>
      <w:proofErr w:type="gramStart"/>
      <w:r w:rsidRPr="000D66E0">
        <w:rPr>
          <w:vertAlign w:val="superscript"/>
        </w:rPr>
        <w:t>a</w:t>
      </w:r>
      <w:r w:rsidRPr="000D66E0">
        <w:t>Highest</w:t>
      </w:r>
      <w:proofErr w:type="spellEnd"/>
      <w:proofErr w:type="gramEnd"/>
      <w:r w:rsidRPr="000D66E0">
        <w:t xml:space="preserve"> concentration observed across clinical studies. </w:t>
      </w:r>
      <w:proofErr w:type="spellStart"/>
      <w:proofErr w:type="gramStart"/>
      <w:r w:rsidRPr="000D66E0">
        <w:rPr>
          <w:vertAlign w:val="superscript"/>
        </w:rPr>
        <w:t>b</w:t>
      </w:r>
      <w:r w:rsidRPr="000D66E0">
        <w:t>BSA</w:t>
      </w:r>
      <w:proofErr w:type="spellEnd"/>
      <w:proofErr w:type="gramEnd"/>
      <w:r w:rsidR="0091343D">
        <w:t xml:space="preserve"> </w:t>
      </w:r>
      <w:proofErr w:type="spellStart"/>
      <w:r w:rsidRPr="000D66E0">
        <w:rPr>
          <w:vertAlign w:val="subscript"/>
        </w:rPr>
        <w:t>minipig</w:t>
      </w:r>
      <w:proofErr w:type="spellEnd"/>
      <w:r w:rsidRPr="000D66E0">
        <w:t>.= 1210 × 12</w:t>
      </w:r>
      <w:r w:rsidRPr="000D66E0">
        <w:rPr>
          <w:vertAlign w:val="superscript"/>
        </w:rPr>
        <w:t>0.575</w:t>
      </w:r>
      <w:r w:rsidRPr="000D66E0">
        <w:t xml:space="preserve"> = 5050 cm</w:t>
      </w:r>
      <w:r w:rsidRPr="000D66E0">
        <w:rPr>
          <w:vertAlign w:val="superscript"/>
        </w:rPr>
        <w:t xml:space="preserve">2 </w:t>
      </w:r>
      <w:r w:rsidRPr="000D66E0">
        <w:t xml:space="preserve">(Swindle M.M. 2011). </w:t>
      </w:r>
      <w:proofErr w:type="spellStart"/>
      <w:proofErr w:type="gramStart"/>
      <w:r w:rsidRPr="000D66E0">
        <w:rPr>
          <w:vertAlign w:val="superscript"/>
        </w:rPr>
        <w:t>c</w:t>
      </w:r>
      <w:r w:rsidRPr="000D66E0">
        <w:t>Estimated</w:t>
      </w:r>
      <w:proofErr w:type="spellEnd"/>
      <w:proofErr w:type="gramEnd"/>
      <w:r w:rsidRPr="000D66E0">
        <w:t xml:space="preserve"> human adult </w:t>
      </w:r>
      <w:r w:rsidR="0091343D">
        <w:t>BSA</w:t>
      </w:r>
      <w:r w:rsidRPr="000D66E0">
        <w:t xml:space="preserve">, mean of males and females: </w:t>
      </w:r>
      <w:proofErr w:type="spellStart"/>
      <w:r w:rsidRPr="000D66E0">
        <w:t>BSA</w:t>
      </w:r>
      <w:r w:rsidRPr="000D66E0">
        <w:rPr>
          <w:vertAlign w:val="subscript"/>
        </w:rPr>
        <w:t>human</w:t>
      </w:r>
      <w:proofErr w:type="spellEnd"/>
      <w:r w:rsidRPr="000D66E0">
        <w:rPr>
          <w:vertAlign w:val="subscript"/>
        </w:rPr>
        <w:t>=</w:t>
      </w:r>
      <w:r w:rsidRPr="000D66E0">
        <w:t>18150 cm</w:t>
      </w:r>
      <w:r w:rsidRPr="000D66E0">
        <w:rPr>
          <w:vertAlign w:val="superscript"/>
        </w:rPr>
        <w:t xml:space="preserve">2 </w:t>
      </w:r>
      <w:r w:rsidRPr="000D66E0">
        <w:t>(</w:t>
      </w:r>
      <w:proofErr w:type="spellStart"/>
      <w:r w:rsidRPr="000D66E0">
        <w:t>Derelanko</w:t>
      </w:r>
      <w:proofErr w:type="spellEnd"/>
      <w:r w:rsidRPr="000D66E0">
        <w:t xml:space="preserve"> and Hollinger 1995, p. 647) </w:t>
      </w:r>
      <w:proofErr w:type="spellStart"/>
      <w:r w:rsidRPr="000D66E0">
        <w:rPr>
          <w:vertAlign w:val="superscript"/>
        </w:rPr>
        <w:t>d</w:t>
      </w:r>
      <w:r w:rsidRPr="000D66E0">
        <w:t>males</w:t>
      </w:r>
      <w:proofErr w:type="spellEnd"/>
      <w:r w:rsidRPr="000D66E0">
        <w:t xml:space="preserve"> only.</w:t>
      </w:r>
    </w:p>
    <w:p w:rsidR="00D35641" w:rsidRPr="00D35641" w:rsidRDefault="00D35641" w:rsidP="0091343D">
      <w:pPr>
        <w:pStyle w:val="Heading6"/>
      </w:pPr>
      <w:r w:rsidRPr="00D35641">
        <w:t>Relative exposure after PO administration</w:t>
      </w:r>
    </w:p>
    <w:p w:rsidR="00D35641" w:rsidRPr="00D35641" w:rsidRDefault="00D35641" w:rsidP="00D35641">
      <w:r w:rsidRPr="00D35641">
        <w:t xml:space="preserve">Exposure ratios were calculated using the highest plasma levels measured clinically obtained in healthy volunteers after administration of retapamulin ointment at 2-fold the intended clinical concentration (2%) to skin that had been abraded to simulate non intact skin or wounds </w:t>
      </w:r>
      <w:r w:rsidRPr="0091343D">
        <w:t>(clinical study 026).</w:t>
      </w:r>
      <w:r w:rsidRPr="00D35641">
        <w:t xml:space="preserve"> Systemic exposure ratios were adequate in the oral repeat dose studies, reaching 3</w:t>
      </w:r>
      <w:r w:rsidR="0091343D">
        <w:t xml:space="preserve"> times </w:t>
      </w:r>
      <w:r w:rsidRPr="00D35641">
        <w:t>in monkeys and up to 10</w:t>
      </w:r>
      <w:r w:rsidR="0091343D">
        <w:t xml:space="preserve"> times </w:t>
      </w:r>
      <w:r w:rsidRPr="00D35641">
        <w:t>in rats. In the monkey 2-week PO study the doses of 150 and 450 mg/kg/day were discontinued du</w:t>
      </w:r>
      <w:r w:rsidR="000B1378">
        <w:t xml:space="preserve">e to emesis and abnormal stool, therefore </w:t>
      </w:r>
      <w:r w:rsidRPr="00D35641">
        <w:t xml:space="preserve">no repeat dose </w:t>
      </w:r>
      <w:proofErr w:type="spellStart"/>
      <w:r w:rsidRPr="00D35641">
        <w:t>toxicokinetic</w:t>
      </w:r>
      <w:proofErr w:type="spellEnd"/>
      <w:r w:rsidRPr="00D35641">
        <w:t xml:space="preserve"> data were there</w:t>
      </w:r>
      <w:r w:rsidR="008F5C87">
        <w:t>fore available for these doses.</w:t>
      </w:r>
    </w:p>
    <w:p w:rsidR="00D35641" w:rsidRPr="00D35641" w:rsidRDefault="00EA27D0" w:rsidP="008F5C87">
      <w:pPr>
        <w:pStyle w:val="TableTitle"/>
      </w:pPr>
      <w:proofErr w:type="gramStart"/>
      <w:r>
        <w:t>Table 4</w:t>
      </w:r>
      <w:r w:rsidR="0091343D">
        <w:t>.</w:t>
      </w:r>
      <w:proofErr w:type="gramEnd"/>
      <w:r w:rsidR="0091343D">
        <w:t xml:space="preserve"> </w:t>
      </w:r>
      <w:r w:rsidR="00D35641" w:rsidRPr="00D35641">
        <w:t>Relative exposure in repeat-dose PO toxicity studies</w:t>
      </w:r>
    </w:p>
    <w:tbl>
      <w:tblPr>
        <w:tblStyle w:val="TableTGAblue"/>
        <w:tblW w:w="9639" w:type="dxa"/>
        <w:tblInd w:w="108" w:type="dxa"/>
        <w:tblLayout w:type="fixed"/>
        <w:tblLook w:val="01E0"/>
      </w:tblPr>
      <w:tblGrid>
        <w:gridCol w:w="1276"/>
        <w:gridCol w:w="1559"/>
        <w:gridCol w:w="1134"/>
        <w:gridCol w:w="1736"/>
        <w:gridCol w:w="1525"/>
        <w:gridCol w:w="1275"/>
        <w:gridCol w:w="1134"/>
      </w:tblGrid>
      <w:tr w:rsidR="00D35641" w:rsidRPr="0091343D" w:rsidTr="008F5C87">
        <w:trPr>
          <w:cnfStyle w:val="100000000000"/>
          <w:trHeight w:val="300"/>
          <w:tblHeader/>
        </w:trPr>
        <w:tc>
          <w:tcPr>
            <w:tcW w:w="1276" w:type="dxa"/>
            <w:vMerge w:val="restart"/>
          </w:tcPr>
          <w:p w:rsidR="00D35641" w:rsidRPr="008F5C87" w:rsidRDefault="00D35641" w:rsidP="0091343D">
            <w:pPr>
              <w:spacing w:before="60" w:after="60" w:line="240" w:lineRule="auto"/>
              <w:ind w:left="0" w:right="0"/>
              <w:rPr>
                <w:sz w:val="20"/>
                <w:szCs w:val="20"/>
              </w:rPr>
            </w:pPr>
            <w:r w:rsidRPr="008F5C87">
              <w:rPr>
                <w:sz w:val="20"/>
                <w:szCs w:val="20"/>
              </w:rPr>
              <w:t>Species</w:t>
            </w:r>
          </w:p>
        </w:tc>
        <w:tc>
          <w:tcPr>
            <w:tcW w:w="1559" w:type="dxa"/>
            <w:vMerge w:val="restart"/>
          </w:tcPr>
          <w:p w:rsidR="00D35641" w:rsidRPr="008F5C87" w:rsidRDefault="00D35641" w:rsidP="0091343D">
            <w:pPr>
              <w:spacing w:before="60" w:after="60" w:line="240" w:lineRule="auto"/>
              <w:ind w:left="0" w:right="0"/>
              <w:rPr>
                <w:sz w:val="20"/>
                <w:szCs w:val="20"/>
              </w:rPr>
            </w:pPr>
            <w:r w:rsidRPr="008F5C87">
              <w:rPr>
                <w:sz w:val="20"/>
                <w:szCs w:val="20"/>
              </w:rPr>
              <w:t>Study/Route</w:t>
            </w:r>
          </w:p>
        </w:tc>
        <w:tc>
          <w:tcPr>
            <w:tcW w:w="1134" w:type="dxa"/>
            <w:vMerge w:val="restart"/>
          </w:tcPr>
          <w:p w:rsidR="00D35641" w:rsidRPr="008F5C87" w:rsidRDefault="00D35641" w:rsidP="0091343D">
            <w:pPr>
              <w:spacing w:before="60" w:after="60" w:line="240" w:lineRule="auto"/>
              <w:ind w:left="0" w:right="0"/>
              <w:rPr>
                <w:sz w:val="20"/>
                <w:szCs w:val="20"/>
              </w:rPr>
            </w:pPr>
            <w:r w:rsidRPr="008F5C87">
              <w:rPr>
                <w:sz w:val="20"/>
                <w:szCs w:val="20"/>
              </w:rPr>
              <w:t>Study duration</w:t>
            </w:r>
          </w:p>
        </w:tc>
        <w:tc>
          <w:tcPr>
            <w:tcW w:w="3261" w:type="dxa"/>
            <w:gridSpan w:val="2"/>
          </w:tcPr>
          <w:p w:rsidR="00D35641" w:rsidRPr="008F5C87" w:rsidRDefault="00D35641" w:rsidP="0091343D">
            <w:pPr>
              <w:spacing w:before="60" w:after="60" w:line="240" w:lineRule="auto"/>
              <w:ind w:left="0" w:right="0"/>
              <w:rPr>
                <w:sz w:val="20"/>
                <w:szCs w:val="20"/>
              </w:rPr>
            </w:pPr>
            <w:r w:rsidRPr="008F5C87">
              <w:rPr>
                <w:sz w:val="20"/>
                <w:szCs w:val="20"/>
              </w:rPr>
              <w:t>Topical Concentration/Dose</w:t>
            </w:r>
          </w:p>
        </w:tc>
        <w:tc>
          <w:tcPr>
            <w:tcW w:w="1275" w:type="dxa"/>
            <w:vMerge w:val="restart"/>
          </w:tcPr>
          <w:p w:rsidR="00D35641" w:rsidRPr="008F5C87" w:rsidRDefault="00D35641" w:rsidP="0091343D">
            <w:pPr>
              <w:spacing w:before="60" w:after="60" w:line="240" w:lineRule="auto"/>
              <w:ind w:left="0" w:right="0"/>
              <w:rPr>
                <w:sz w:val="20"/>
                <w:szCs w:val="20"/>
              </w:rPr>
            </w:pPr>
            <w:r w:rsidRPr="008F5C87">
              <w:rPr>
                <w:sz w:val="20"/>
                <w:szCs w:val="20"/>
              </w:rPr>
              <w:t>AUC</w:t>
            </w:r>
            <w:r w:rsidRPr="008F5C87">
              <w:rPr>
                <w:sz w:val="20"/>
                <w:szCs w:val="20"/>
                <w:vertAlign w:val="subscript"/>
              </w:rPr>
              <w:t>0–24 h</w:t>
            </w:r>
            <w:r w:rsidRPr="008F5C87">
              <w:rPr>
                <w:sz w:val="20"/>
                <w:szCs w:val="20"/>
              </w:rPr>
              <w:br/>
              <w:t>(</w:t>
            </w:r>
            <w:proofErr w:type="spellStart"/>
            <w:r w:rsidRPr="008F5C87">
              <w:rPr>
                <w:sz w:val="20"/>
                <w:szCs w:val="20"/>
              </w:rPr>
              <w:t>ng∙h</w:t>
            </w:r>
            <w:proofErr w:type="spellEnd"/>
            <w:r w:rsidRPr="008F5C87">
              <w:rPr>
                <w:sz w:val="20"/>
                <w:szCs w:val="20"/>
              </w:rPr>
              <w:t>/</w:t>
            </w:r>
            <w:proofErr w:type="spellStart"/>
            <w:r w:rsidRPr="008F5C87">
              <w:rPr>
                <w:sz w:val="20"/>
                <w:szCs w:val="20"/>
              </w:rPr>
              <w:t>mL</w:t>
            </w:r>
            <w:proofErr w:type="spellEnd"/>
            <w:r w:rsidRPr="008F5C87">
              <w:rPr>
                <w:sz w:val="20"/>
                <w:szCs w:val="20"/>
              </w:rPr>
              <w:t>)</w:t>
            </w:r>
          </w:p>
        </w:tc>
        <w:tc>
          <w:tcPr>
            <w:tcW w:w="1134" w:type="dxa"/>
            <w:vMerge w:val="restart"/>
          </w:tcPr>
          <w:p w:rsidR="00D35641" w:rsidRPr="008F5C87" w:rsidRDefault="00D35641" w:rsidP="0091343D">
            <w:pPr>
              <w:spacing w:before="60" w:after="60" w:line="240" w:lineRule="auto"/>
              <w:ind w:left="0" w:right="0"/>
              <w:rPr>
                <w:sz w:val="20"/>
                <w:szCs w:val="20"/>
              </w:rPr>
            </w:pPr>
            <w:r w:rsidRPr="008F5C87">
              <w:rPr>
                <w:sz w:val="20"/>
                <w:szCs w:val="20"/>
              </w:rPr>
              <w:t>Exposure ratio</w:t>
            </w:r>
            <w:r w:rsidRPr="008F5C87">
              <w:rPr>
                <w:sz w:val="20"/>
                <w:szCs w:val="20"/>
                <w:vertAlign w:val="superscript"/>
              </w:rPr>
              <w:t>#</w:t>
            </w:r>
          </w:p>
        </w:tc>
      </w:tr>
      <w:tr w:rsidR="00D35641" w:rsidRPr="0091343D" w:rsidTr="008F5C87">
        <w:trPr>
          <w:cnfStyle w:val="100000000000"/>
          <w:trHeight w:val="228"/>
          <w:tblHeader/>
        </w:trPr>
        <w:tc>
          <w:tcPr>
            <w:tcW w:w="1276" w:type="dxa"/>
            <w:vMerge/>
          </w:tcPr>
          <w:p w:rsidR="00D35641" w:rsidRPr="0091343D" w:rsidRDefault="00D35641" w:rsidP="0091343D">
            <w:pPr>
              <w:spacing w:before="60" w:after="60" w:line="240" w:lineRule="auto"/>
              <w:ind w:left="0" w:right="0"/>
              <w:rPr>
                <w:b w:val="0"/>
                <w:sz w:val="20"/>
                <w:szCs w:val="20"/>
              </w:rPr>
            </w:pPr>
          </w:p>
        </w:tc>
        <w:tc>
          <w:tcPr>
            <w:tcW w:w="1559" w:type="dxa"/>
            <w:vMerge/>
          </w:tcPr>
          <w:p w:rsidR="00D35641" w:rsidRPr="0091343D" w:rsidRDefault="00D35641" w:rsidP="0091343D">
            <w:pPr>
              <w:spacing w:before="60" w:after="60" w:line="240" w:lineRule="auto"/>
              <w:ind w:left="0" w:right="0"/>
              <w:rPr>
                <w:b w:val="0"/>
                <w:sz w:val="20"/>
                <w:szCs w:val="20"/>
              </w:rPr>
            </w:pPr>
          </w:p>
        </w:tc>
        <w:tc>
          <w:tcPr>
            <w:tcW w:w="1134" w:type="dxa"/>
            <w:vMerge/>
          </w:tcPr>
          <w:p w:rsidR="00D35641" w:rsidRPr="0091343D" w:rsidRDefault="00D35641" w:rsidP="0091343D">
            <w:pPr>
              <w:spacing w:before="60" w:after="60" w:line="240" w:lineRule="auto"/>
              <w:ind w:left="0" w:right="0"/>
              <w:rPr>
                <w:b w:val="0"/>
                <w:sz w:val="20"/>
                <w:szCs w:val="20"/>
              </w:rPr>
            </w:pPr>
          </w:p>
        </w:tc>
        <w:tc>
          <w:tcPr>
            <w:tcW w:w="1736" w:type="dxa"/>
          </w:tcPr>
          <w:p w:rsidR="00D35641" w:rsidRPr="008F5C87" w:rsidRDefault="00D35641" w:rsidP="0091343D">
            <w:pPr>
              <w:spacing w:before="60" w:after="60" w:line="240" w:lineRule="auto"/>
              <w:ind w:left="0" w:right="0"/>
              <w:rPr>
                <w:sz w:val="20"/>
                <w:szCs w:val="20"/>
              </w:rPr>
            </w:pPr>
            <w:r w:rsidRPr="008F5C87">
              <w:rPr>
                <w:sz w:val="20"/>
                <w:szCs w:val="20"/>
              </w:rPr>
              <w:t>% (topical area)</w:t>
            </w:r>
          </w:p>
        </w:tc>
        <w:tc>
          <w:tcPr>
            <w:tcW w:w="1525" w:type="dxa"/>
          </w:tcPr>
          <w:p w:rsidR="00D35641" w:rsidRPr="008F5C87" w:rsidRDefault="00D35641" w:rsidP="0091343D">
            <w:pPr>
              <w:spacing w:before="60" w:after="60" w:line="240" w:lineRule="auto"/>
              <w:ind w:left="0" w:right="0"/>
              <w:rPr>
                <w:sz w:val="20"/>
                <w:szCs w:val="20"/>
              </w:rPr>
            </w:pPr>
            <w:r w:rsidRPr="008F5C87">
              <w:rPr>
                <w:sz w:val="20"/>
                <w:szCs w:val="20"/>
              </w:rPr>
              <w:t xml:space="preserve">(mg/kg/day) </w:t>
            </w:r>
          </w:p>
        </w:tc>
        <w:tc>
          <w:tcPr>
            <w:tcW w:w="1275" w:type="dxa"/>
            <w:vMerge/>
          </w:tcPr>
          <w:p w:rsidR="00D35641" w:rsidRPr="0091343D" w:rsidRDefault="00D35641" w:rsidP="0091343D">
            <w:pPr>
              <w:spacing w:before="60" w:after="60" w:line="240" w:lineRule="auto"/>
              <w:ind w:left="0" w:right="0"/>
              <w:rPr>
                <w:b w:val="0"/>
                <w:sz w:val="20"/>
                <w:szCs w:val="20"/>
              </w:rPr>
            </w:pPr>
          </w:p>
        </w:tc>
        <w:tc>
          <w:tcPr>
            <w:tcW w:w="1134" w:type="dxa"/>
            <w:vMerge/>
          </w:tcPr>
          <w:p w:rsidR="00D35641" w:rsidRPr="0091343D" w:rsidRDefault="00D35641" w:rsidP="0091343D">
            <w:pPr>
              <w:spacing w:before="60" w:after="60" w:line="240" w:lineRule="auto"/>
              <w:ind w:left="0" w:right="0"/>
              <w:rPr>
                <w:b w:val="0"/>
                <w:sz w:val="20"/>
                <w:szCs w:val="20"/>
              </w:rPr>
            </w:pPr>
          </w:p>
        </w:tc>
      </w:tr>
      <w:tr w:rsidR="00D35641" w:rsidRPr="0091343D" w:rsidTr="008F5C87">
        <w:trPr>
          <w:trHeight w:val="227"/>
        </w:trPr>
        <w:tc>
          <w:tcPr>
            <w:tcW w:w="1276" w:type="dxa"/>
            <w:vMerge w:val="restart"/>
          </w:tcPr>
          <w:p w:rsidR="00D35641" w:rsidRPr="0091343D" w:rsidRDefault="00D35641" w:rsidP="0091343D">
            <w:pPr>
              <w:spacing w:before="60" w:after="60" w:line="240" w:lineRule="auto"/>
              <w:ind w:left="0" w:right="0"/>
              <w:rPr>
                <w:sz w:val="20"/>
                <w:szCs w:val="20"/>
              </w:rPr>
            </w:pPr>
            <w:r w:rsidRPr="0091343D">
              <w:rPr>
                <w:b/>
                <w:sz w:val="20"/>
                <w:szCs w:val="20"/>
              </w:rPr>
              <w:t>Rat</w:t>
            </w:r>
            <w:r w:rsidR="0091343D">
              <w:rPr>
                <w:sz w:val="20"/>
                <w:szCs w:val="20"/>
              </w:rPr>
              <w:t xml:space="preserve"> </w:t>
            </w:r>
            <w:r w:rsidR="0091343D">
              <w:rPr>
                <w:sz w:val="20"/>
                <w:szCs w:val="20"/>
              </w:rPr>
              <w:br/>
            </w:r>
            <w:r w:rsidRPr="0091343D">
              <w:rPr>
                <w:sz w:val="20"/>
                <w:szCs w:val="20"/>
              </w:rPr>
              <w:t>S</w:t>
            </w:r>
            <w:r w:rsidR="0091343D">
              <w:rPr>
                <w:sz w:val="20"/>
                <w:szCs w:val="20"/>
              </w:rPr>
              <w:t xml:space="preserve">prague </w:t>
            </w:r>
            <w:r w:rsidRPr="0091343D">
              <w:rPr>
                <w:sz w:val="20"/>
                <w:szCs w:val="20"/>
              </w:rPr>
              <w:t>D</w:t>
            </w:r>
            <w:r w:rsidR="0091343D">
              <w:rPr>
                <w:sz w:val="20"/>
                <w:szCs w:val="20"/>
              </w:rPr>
              <w:t>awley</w:t>
            </w:r>
          </w:p>
        </w:tc>
        <w:tc>
          <w:tcPr>
            <w:tcW w:w="1559" w:type="dxa"/>
            <w:vMerge w:val="restart"/>
          </w:tcPr>
          <w:p w:rsidR="00D35641" w:rsidRPr="0091343D" w:rsidRDefault="00D35641" w:rsidP="0091343D">
            <w:pPr>
              <w:spacing w:before="60" w:after="60" w:line="240" w:lineRule="auto"/>
              <w:ind w:left="0" w:right="0"/>
              <w:rPr>
                <w:sz w:val="20"/>
                <w:szCs w:val="20"/>
              </w:rPr>
            </w:pPr>
            <w:r w:rsidRPr="0091343D">
              <w:rPr>
                <w:sz w:val="20"/>
                <w:szCs w:val="20"/>
              </w:rPr>
              <w:t>SB-275833/ RSD-10151T/1</w:t>
            </w:r>
          </w:p>
          <w:p w:rsidR="00D35641" w:rsidRPr="0091343D" w:rsidRDefault="00D35641" w:rsidP="0091343D">
            <w:pPr>
              <w:spacing w:before="60" w:after="60" w:line="240" w:lineRule="auto"/>
              <w:ind w:left="0" w:right="0"/>
              <w:rPr>
                <w:b/>
                <w:sz w:val="20"/>
                <w:szCs w:val="20"/>
              </w:rPr>
            </w:pPr>
            <w:r w:rsidRPr="0091343D">
              <w:rPr>
                <w:b/>
                <w:sz w:val="20"/>
                <w:szCs w:val="20"/>
              </w:rPr>
              <w:t>PO</w:t>
            </w:r>
          </w:p>
        </w:tc>
        <w:tc>
          <w:tcPr>
            <w:tcW w:w="1134" w:type="dxa"/>
            <w:vMerge w:val="restart"/>
          </w:tcPr>
          <w:p w:rsidR="0091343D" w:rsidRDefault="00D35641" w:rsidP="0091343D">
            <w:pPr>
              <w:spacing w:before="60" w:after="60" w:line="240" w:lineRule="auto"/>
              <w:ind w:left="0" w:right="0"/>
              <w:rPr>
                <w:sz w:val="20"/>
                <w:szCs w:val="20"/>
              </w:rPr>
            </w:pPr>
            <w:r w:rsidRPr="0091343D">
              <w:rPr>
                <w:sz w:val="20"/>
                <w:szCs w:val="20"/>
              </w:rPr>
              <w:t>2 weeks</w:t>
            </w:r>
          </w:p>
          <w:p w:rsidR="00D35641" w:rsidRPr="0091343D" w:rsidRDefault="0091343D" w:rsidP="0091343D">
            <w:pPr>
              <w:spacing w:before="60" w:after="60" w:line="240" w:lineRule="auto"/>
              <w:ind w:left="0" w:right="0"/>
              <w:rPr>
                <w:sz w:val="20"/>
                <w:szCs w:val="20"/>
              </w:rPr>
            </w:pPr>
            <w:r>
              <w:rPr>
                <w:sz w:val="20"/>
                <w:szCs w:val="20"/>
              </w:rPr>
              <w:t>(M + F</w:t>
            </w:r>
            <w:r w:rsidR="00D35641" w:rsidRPr="0091343D">
              <w:rPr>
                <w:sz w:val="20"/>
                <w:szCs w:val="20"/>
              </w:rPr>
              <w:t>)</w:t>
            </w:r>
          </w:p>
        </w:tc>
        <w:tc>
          <w:tcPr>
            <w:tcW w:w="1736" w:type="dxa"/>
          </w:tcPr>
          <w:p w:rsidR="00D35641" w:rsidRPr="0091343D" w:rsidRDefault="00D35641" w:rsidP="0091343D">
            <w:pPr>
              <w:spacing w:before="60" w:after="60" w:line="240" w:lineRule="auto"/>
              <w:ind w:left="0" w:right="0"/>
              <w:rPr>
                <w:sz w:val="20"/>
                <w:szCs w:val="20"/>
              </w:rPr>
            </w:pPr>
            <w:r w:rsidRPr="0091343D">
              <w:rPr>
                <w:sz w:val="20"/>
                <w:szCs w:val="20"/>
              </w:rPr>
              <w:t>-</w:t>
            </w:r>
          </w:p>
        </w:tc>
        <w:tc>
          <w:tcPr>
            <w:tcW w:w="1525" w:type="dxa"/>
          </w:tcPr>
          <w:p w:rsidR="00D35641" w:rsidRPr="0091343D" w:rsidRDefault="00D35641" w:rsidP="0091343D">
            <w:pPr>
              <w:spacing w:before="60" w:after="60" w:line="240" w:lineRule="auto"/>
              <w:ind w:left="0" w:right="0"/>
              <w:rPr>
                <w:sz w:val="20"/>
                <w:szCs w:val="20"/>
              </w:rPr>
            </w:pPr>
            <w:r w:rsidRPr="0091343D">
              <w:rPr>
                <w:sz w:val="20"/>
                <w:szCs w:val="20"/>
              </w:rPr>
              <w:t>50</w:t>
            </w:r>
          </w:p>
        </w:tc>
        <w:tc>
          <w:tcPr>
            <w:tcW w:w="1275" w:type="dxa"/>
          </w:tcPr>
          <w:p w:rsidR="00D35641" w:rsidRPr="0091343D" w:rsidRDefault="00D35641" w:rsidP="0091343D">
            <w:pPr>
              <w:spacing w:before="60" w:after="60" w:line="240" w:lineRule="auto"/>
              <w:ind w:left="0" w:right="0"/>
              <w:rPr>
                <w:sz w:val="20"/>
                <w:szCs w:val="20"/>
              </w:rPr>
            </w:pPr>
            <w:r w:rsidRPr="0091343D">
              <w:rPr>
                <w:sz w:val="20"/>
                <w:szCs w:val="20"/>
              </w:rPr>
              <w:t>143</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0.6</w:t>
            </w:r>
          </w:p>
        </w:tc>
      </w:tr>
      <w:tr w:rsidR="00D35641" w:rsidRPr="0091343D" w:rsidTr="008F5C87">
        <w:trPr>
          <w:trHeight w:val="227"/>
        </w:trPr>
        <w:tc>
          <w:tcPr>
            <w:tcW w:w="1276" w:type="dxa"/>
            <w:vMerge/>
          </w:tcPr>
          <w:p w:rsidR="00D35641" w:rsidRPr="0091343D" w:rsidRDefault="00D35641" w:rsidP="0091343D">
            <w:pPr>
              <w:spacing w:before="60" w:after="60" w:line="240" w:lineRule="auto"/>
              <w:ind w:left="0" w:right="0"/>
              <w:rPr>
                <w:sz w:val="20"/>
                <w:szCs w:val="20"/>
              </w:rPr>
            </w:pPr>
          </w:p>
        </w:tc>
        <w:tc>
          <w:tcPr>
            <w:tcW w:w="1559" w:type="dxa"/>
            <w:vMerge/>
          </w:tcPr>
          <w:p w:rsidR="00D35641" w:rsidRPr="0091343D" w:rsidRDefault="00D35641" w:rsidP="0091343D">
            <w:pPr>
              <w:spacing w:before="60" w:after="60" w:line="240" w:lineRule="auto"/>
              <w:ind w:left="0" w:right="0"/>
              <w:rPr>
                <w:sz w:val="20"/>
                <w:szCs w:val="20"/>
              </w:rPr>
            </w:pPr>
          </w:p>
        </w:tc>
        <w:tc>
          <w:tcPr>
            <w:tcW w:w="1134" w:type="dxa"/>
            <w:vMerge/>
          </w:tcPr>
          <w:p w:rsidR="00D35641" w:rsidRPr="0091343D" w:rsidRDefault="00D35641" w:rsidP="0091343D">
            <w:pPr>
              <w:spacing w:before="60" w:after="60" w:line="240" w:lineRule="auto"/>
              <w:ind w:left="0" w:right="0"/>
              <w:rPr>
                <w:sz w:val="20"/>
                <w:szCs w:val="20"/>
              </w:rPr>
            </w:pPr>
          </w:p>
        </w:tc>
        <w:tc>
          <w:tcPr>
            <w:tcW w:w="1736" w:type="dxa"/>
          </w:tcPr>
          <w:p w:rsidR="00D35641" w:rsidRPr="0091343D" w:rsidRDefault="00D35641" w:rsidP="0091343D">
            <w:pPr>
              <w:spacing w:before="60" w:after="60" w:line="240" w:lineRule="auto"/>
              <w:ind w:left="0" w:right="0"/>
              <w:rPr>
                <w:sz w:val="20"/>
                <w:szCs w:val="20"/>
              </w:rPr>
            </w:pPr>
            <w:r w:rsidRPr="0091343D">
              <w:rPr>
                <w:sz w:val="20"/>
                <w:szCs w:val="20"/>
              </w:rPr>
              <w:t>-</w:t>
            </w:r>
          </w:p>
        </w:tc>
        <w:tc>
          <w:tcPr>
            <w:tcW w:w="1525" w:type="dxa"/>
          </w:tcPr>
          <w:p w:rsidR="00D35641" w:rsidRPr="0091343D" w:rsidRDefault="00D35641" w:rsidP="0091343D">
            <w:pPr>
              <w:spacing w:before="60" w:after="60" w:line="240" w:lineRule="auto"/>
              <w:ind w:left="0" w:right="0"/>
              <w:rPr>
                <w:sz w:val="20"/>
                <w:szCs w:val="20"/>
              </w:rPr>
            </w:pPr>
            <w:r w:rsidRPr="0091343D">
              <w:rPr>
                <w:sz w:val="20"/>
                <w:szCs w:val="20"/>
              </w:rPr>
              <w:t>150</w:t>
            </w:r>
          </w:p>
        </w:tc>
        <w:tc>
          <w:tcPr>
            <w:tcW w:w="1275" w:type="dxa"/>
          </w:tcPr>
          <w:p w:rsidR="00D35641" w:rsidRPr="0091343D" w:rsidRDefault="00D35641" w:rsidP="0091343D">
            <w:pPr>
              <w:spacing w:before="60" w:after="60" w:line="240" w:lineRule="auto"/>
              <w:ind w:left="0" w:right="0"/>
              <w:rPr>
                <w:sz w:val="20"/>
                <w:szCs w:val="20"/>
              </w:rPr>
            </w:pPr>
            <w:r w:rsidRPr="0091343D">
              <w:rPr>
                <w:sz w:val="20"/>
                <w:szCs w:val="20"/>
              </w:rPr>
              <w:t>517</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2</w:t>
            </w:r>
          </w:p>
        </w:tc>
      </w:tr>
      <w:tr w:rsidR="00D35641" w:rsidRPr="0091343D" w:rsidTr="008F5C87">
        <w:trPr>
          <w:trHeight w:val="227"/>
        </w:trPr>
        <w:tc>
          <w:tcPr>
            <w:tcW w:w="1276" w:type="dxa"/>
            <w:vMerge/>
          </w:tcPr>
          <w:p w:rsidR="00D35641" w:rsidRPr="0091343D" w:rsidRDefault="00D35641" w:rsidP="0091343D">
            <w:pPr>
              <w:spacing w:before="60" w:after="60" w:line="240" w:lineRule="auto"/>
              <w:ind w:left="0" w:right="0"/>
              <w:rPr>
                <w:sz w:val="20"/>
                <w:szCs w:val="20"/>
              </w:rPr>
            </w:pPr>
          </w:p>
        </w:tc>
        <w:tc>
          <w:tcPr>
            <w:tcW w:w="1559" w:type="dxa"/>
            <w:vMerge/>
          </w:tcPr>
          <w:p w:rsidR="00D35641" w:rsidRPr="0091343D" w:rsidRDefault="00D35641" w:rsidP="0091343D">
            <w:pPr>
              <w:spacing w:before="60" w:after="60" w:line="240" w:lineRule="auto"/>
              <w:ind w:left="0" w:right="0"/>
              <w:rPr>
                <w:sz w:val="20"/>
                <w:szCs w:val="20"/>
              </w:rPr>
            </w:pPr>
          </w:p>
        </w:tc>
        <w:tc>
          <w:tcPr>
            <w:tcW w:w="1134" w:type="dxa"/>
            <w:vMerge/>
          </w:tcPr>
          <w:p w:rsidR="00D35641" w:rsidRPr="0091343D" w:rsidRDefault="00D35641" w:rsidP="0091343D">
            <w:pPr>
              <w:spacing w:before="60" w:after="60" w:line="240" w:lineRule="auto"/>
              <w:ind w:left="0" w:right="0"/>
              <w:rPr>
                <w:sz w:val="20"/>
                <w:szCs w:val="20"/>
              </w:rPr>
            </w:pPr>
          </w:p>
        </w:tc>
        <w:tc>
          <w:tcPr>
            <w:tcW w:w="1736" w:type="dxa"/>
          </w:tcPr>
          <w:p w:rsidR="00D35641" w:rsidRPr="0091343D" w:rsidRDefault="00D35641" w:rsidP="0091343D">
            <w:pPr>
              <w:spacing w:before="60" w:after="60" w:line="240" w:lineRule="auto"/>
              <w:ind w:left="0" w:right="0"/>
              <w:rPr>
                <w:sz w:val="20"/>
                <w:szCs w:val="20"/>
              </w:rPr>
            </w:pPr>
            <w:r w:rsidRPr="0091343D">
              <w:rPr>
                <w:sz w:val="20"/>
                <w:szCs w:val="20"/>
              </w:rPr>
              <w:t>-</w:t>
            </w:r>
          </w:p>
        </w:tc>
        <w:tc>
          <w:tcPr>
            <w:tcW w:w="1525" w:type="dxa"/>
          </w:tcPr>
          <w:p w:rsidR="00D35641" w:rsidRPr="0091343D" w:rsidRDefault="00D35641" w:rsidP="0091343D">
            <w:pPr>
              <w:spacing w:before="60" w:after="60" w:line="240" w:lineRule="auto"/>
              <w:ind w:left="0" w:right="0"/>
              <w:rPr>
                <w:sz w:val="20"/>
                <w:szCs w:val="20"/>
              </w:rPr>
            </w:pPr>
            <w:r w:rsidRPr="0091343D">
              <w:rPr>
                <w:sz w:val="20"/>
                <w:szCs w:val="20"/>
              </w:rPr>
              <w:t>450</w:t>
            </w:r>
          </w:p>
        </w:tc>
        <w:tc>
          <w:tcPr>
            <w:tcW w:w="1275" w:type="dxa"/>
          </w:tcPr>
          <w:p w:rsidR="00D35641" w:rsidRPr="0091343D" w:rsidRDefault="00D35641" w:rsidP="0091343D">
            <w:pPr>
              <w:spacing w:before="60" w:after="60" w:line="240" w:lineRule="auto"/>
              <w:ind w:left="0" w:right="0"/>
              <w:rPr>
                <w:sz w:val="20"/>
                <w:szCs w:val="20"/>
              </w:rPr>
            </w:pPr>
            <w:r w:rsidRPr="0091343D">
              <w:rPr>
                <w:sz w:val="20"/>
                <w:szCs w:val="20"/>
              </w:rPr>
              <w:t>2441</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10</w:t>
            </w:r>
          </w:p>
        </w:tc>
      </w:tr>
      <w:tr w:rsidR="00D35641" w:rsidRPr="0091343D" w:rsidTr="008F5C87">
        <w:trPr>
          <w:trHeight w:val="227"/>
        </w:trPr>
        <w:tc>
          <w:tcPr>
            <w:tcW w:w="1276" w:type="dxa"/>
          </w:tcPr>
          <w:p w:rsidR="00D35641" w:rsidRPr="0091343D" w:rsidRDefault="00D35641" w:rsidP="0091343D">
            <w:pPr>
              <w:spacing w:before="60" w:after="60" w:line="240" w:lineRule="auto"/>
              <w:ind w:left="0" w:right="0"/>
              <w:rPr>
                <w:sz w:val="20"/>
                <w:szCs w:val="20"/>
              </w:rPr>
            </w:pPr>
            <w:r w:rsidRPr="0091343D">
              <w:rPr>
                <w:b/>
                <w:sz w:val="20"/>
                <w:szCs w:val="20"/>
              </w:rPr>
              <w:t>Monkey</w:t>
            </w:r>
            <w:r w:rsidR="0091343D">
              <w:rPr>
                <w:sz w:val="20"/>
                <w:szCs w:val="20"/>
              </w:rPr>
              <w:br/>
            </w:r>
            <w:r w:rsidRPr="0091343D">
              <w:rPr>
                <w:sz w:val="20"/>
                <w:szCs w:val="20"/>
              </w:rPr>
              <w:t>cynomolgus</w:t>
            </w:r>
          </w:p>
        </w:tc>
        <w:tc>
          <w:tcPr>
            <w:tcW w:w="1559" w:type="dxa"/>
          </w:tcPr>
          <w:p w:rsidR="00D35641" w:rsidRPr="0091343D" w:rsidRDefault="0003523F" w:rsidP="0091343D">
            <w:pPr>
              <w:spacing w:before="60" w:after="60" w:line="240" w:lineRule="auto"/>
              <w:ind w:left="0" w:right="0"/>
              <w:rPr>
                <w:b/>
                <w:sz w:val="20"/>
                <w:szCs w:val="20"/>
              </w:rPr>
            </w:pPr>
            <w:r>
              <w:rPr>
                <w:sz w:val="20"/>
                <w:szCs w:val="20"/>
              </w:rPr>
              <w:t>SB</w:t>
            </w:r>
            <w:r w:rsidR="00D35641" w:rsidRPr="0091343D">
              <w:rPr>
                <w:sz w:val="20"/>
                <w:szCs w:val="20"/>
              </w:rPr>
              <w:t>275833/RSD-1013TG/1</w:t>
            </w:r>
            <w:r w:rsidR="0091343D">
              <w:rPr>
                <w:sz w:val="20"/>
                <w:szCs w:val="20"/>
              </w:rPr>
              <w:t xml:space="preserve"> </w:t>
            </w:r>
            <w:r w:rsidR="00D35641" w:rsidRPr="0091343D">
              <w:rPr>
                <w:b/>
                <w:sz w:val="20"/>
                <w:szCs w:val="20"/>
              </w:rPr>
              <w:t>PO</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2 weeks</w:t>
            </w:r>
          </w:p>
          <w:p w:rsidR="00D35641" w:rsidRPr="0091343D" w:rsidRDefault="0091343D" w:rsidP="0091343D">
            <w:pPr>
              <w:spacing w:before="60" w:after="60" w:line="240" w:lineRule="auto"/>
              <w:ind w:left="0" w:right="0"/>
              <w:rPr>
                <w:sz w:val="20"/>
                <w:szCs w:val="20"/>
              </w:rPr>
            </w:pPr>
            <w:r w:rsidRPr="0091343D">
              <w:rPr>
                <w:sz w:val="20"/>
                <w:szCs w:val="20"/>
              </w:rPr>
              <w:t>(M + F)</w:t>
            </w:r>
          </w:p>
        </w:tc>
        <w:tc>
          <w:tcPr>
            <w:tcW w:w="1736" w:type="dxa"/>
          </w:tcPr>
          <w:p w:rsidR="00D35641" w:rsidRPr="0091343D" w:rsidRDefault="00D35641" w:rsidP="0091343D">
            <w:pPr>
              <w:spacing w:before="60" w:after="60" w:line="240" w:lineRule="auto"/>
              <w:ind w:left="0" w:right="0"/>
              <w:rPr>
                <w:sz w:val="20"/>
                <w:szCs w:val="20"/>
              </w:rPr>
            </w:pPr>
            <w:r w:rsidRPr="0091343D">
              <w:rPr>
                <w:sz w:val="20"/>
                <w:szCs w:val="20"/>
              </w:rPr>
              <w:t>-</w:t>
            </w:r>
          </w:p>
        </w:tc>
        <w:tc>
          <w:tcPr>
            <w:tcW w:w="1525" w:type="dxa"/>
          </w:tcPr>
          <w:p w:rsidR="00D35641" w:rsidRPr="0091343D" w:rsidRDefault="00D35641" w:rsidP="0091343D">
            <w:pPr>
              <w:spacing w:before="60" w:after="60" w:line="240" w:lineRule="auto"/>
              <w:ind w:left="0" w:right="0"/>
              <w:rPr>
                <w:sz w:val="20"/>
                <w:szCs w:val="20"/>
              </w:rPr>
            </w:pPr>
            <w:r w:rsidRPr="0091343D">
              <w:rPr>
                <w:sz w:val="20"/>
                <w:szCs w:val="20"/>
              </w:rPr>
              <w:t>50</w:t>
            </w:r>
          </w:p>
        </w:tc>
        <w:tc>
          <w:tcPr>
            <w:tcW w:w="1275" w:type="dxa"/>
          </w:tcPr>
          <w:p w:rsidR="00D35641" w:rsidRPr="0091343D" w:rsidRDefault="00D35641" w:rsidP="0091343D">
            <w:pPr>
              <w:spacing w:before="60" w:after="60" w:line="240" w:lineRule="auto"/>
              <w:ind w:left="0" w:right="0"/>
              <w:rPr>
                <w:sz w:val="20"/>
                <w:szCs w:val="20"/>
              </w:rPr>
            </w:pPr>
            <w:r w:rsidRPr="0091343D">
              <w:rPr>
                <w:sz w:val="20"/>
                <w:szCs w:val="20"/>
              </w:rPr>
              <w:t>739</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3</w:t>
            </w:r>
          </w:p>
        </w:tc>
      </w:tr>
      <w:tr w:rsidR="00D35641" w:rsidRPr="0091343D" w:rsidTr="008F5C87">
        <w:trPr>
          <w:trHeight w:val="227"/>
        </w:trPr>
        <w:tc>
          <w:tcPr>
            <w:tcW w:w="1276" w:type="dxa"/>
          </w:tcPr>
          <w:p w:rsidR="00D35641" w:rsidRPr="0091343D" w:rsidRDefault="00D35641" w:rsidP="00133742">
            <w:pPr>
              <w:spacing w:before="60" w:after="60" w:line="240" w:lineRule="auto"/>
              <w:ind w:left="0" w:right="0"/>
              <w:rPr>
                <w:sz w:val="20"/>
                <w:szCs w:val="20"/>
              </w:rPr>
            </w:pPr>
            <w:r w:rsidRPr="0091343D">
              <w:rPr>
                <w:b/>
                <w:sz w:val="20"/>
                <w:szCs w:val="20"/>
              </w:rPr>
              <w:t>Human</w:t>
            </w:r>
            <w:r w:rsidR="00133742">
              <w:rPr>
                <w:sz w:val="20"/>
                <w:szCs w:val="20"/>
              </w:rPr>
              <w:br/>
            </w:r>
            <w:r w:rsidRPr="0091343D">
              <w:rPr>
                <w:sz w:val="20"/>
                <w:szCs w:val="20"/>
              </w:rPr>
              <w:t>healthy volunteers</w:t>
            </w:r>
          </w:p>
        </w:tc>
        <w:tc>
          <w:tcPr>
            <w:tcW w:w="1559" w:type="dxa"/>
          </w:tcPr>
          <w:p w:rsidR="00D35641" w:rsidRPr="0091343D" w:rsidRDefault="00D35641" w:rsidP="0091343D">
            <w:pPr>
              <w:spacing w:before="60" w:after="60" w:line="240" w:lineRule="auto"/>
              <w:ind w:left="0" w:right="0"/>
              <w:rPr>
                <w:b/>
                <w:sz w:val="20"/>
                <w:szCs w:val="20"/>
              </w:rPr>
            </w:pPr>
            <w:r w:rsidRPr="0091343D">
              <w:rPr>
                <w:b/>
                <w:sz w:val="20"/>
                <w:szCs w:val="20"/>
              </w:rPr>
              <w:t>Dermal (abraded)</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 xml:space="preserve">Single dose </w:t>
            </w:r>
          </w:p>
        </w:tc>
        <w:tc>
          <w:tcPr>
            <w:tcW w:w="1736" w:type="dxa"/>
          </w:tcPr>
          <w:p w:rsidR="00D35641" w:rsidRPr="0091343D" w:rsidRDefault="00D35641" w:rsidP="0091343D">
            <w:pPr>
              <w:spacing w:before="60" w:after="60" w:line="240" w:lineRule="auto"/>
              <w:ind w:left="0" w:right="0"/>
              <w:rPr>
                <w:sz w:val="20"/>
                <w:szCs w:val="20"/>
              </w:rPr>
            </w:pPr>
            <w:r w:rsidRPr="0091343D">
              <w:rPr>
                <w:sz w:val="20"/>
                <w:szCs w:val="20"/>
              </w:rPr>
              <w:t xml:space="preserve">1% (20 mg) </w:t>
            </w:r>
            <w:r w:rsidR="00EA27D0">
              <w:rPr>
                <w:sz w:val="20"/>
                <w:szCs w:val="20"/>
              </w:rPr>
              <w:br/>
            </w:r>
            <w:r w:rsidRPr="0091343D">
              <w:rPr>
                <w:sz w:val="20"/>
                <w:szCs w:val="20"/>
              </w:rPr>
              <w:t>(200 cm</w:t>
            </w:r>
            <w:r w:rsidRPr="0091343D">
              <w:rPr>
                <w:sz w:val="20"/>
                <w:szCs w:val="20"/>
                <w:vertAlign w:val="superscript"/>
              </w:rPr>
              <w:t>2</w:t>
            </w:r>
            <w:r w:rsidRPr="0091343D">
              <w:rPr>
                <w:sz w:val="20"/>
                <w:szCs w:val="20"/>
              </w:rPr>
              <w:t>)</w:t>
            </w:r>
          </w:p>
        </w:tc>
        <w:tc>
          <w:tcPr>
            <w:tcW w:w="1525" w:type="dxa"/>
          </w:tcPr>
          <w:p w:rsidR="00D35641" w:rsidRPr="0091343D" w:rsidRDefault="00D35641" w:rsidP="0091343D">
            <w:pPr>
              <w:spacing w:before="60" w:after="60" w:line="240" w:lineRule="auto"/>
              <w:ind w:left="0" w:right="0"/>
              <w:rPr>
                <w:sz w:val="20"/>
                <w:szCs w:val="20"/>
              </w:rPr>
            </w:pPr>
          </w:p>
        </w:tc>
        <w:tc>
          <w:tcPr>
            <w:tcW w:w="1275" w:type="dxa"/>
          </w:tcPr>
          <w:p w:rsidR="00D35641" w:rsidRPr="0091343D" w:rsidRDefault="00D35641" w:rsidP="0091343D">
            <w:pPr>
              <w:spacing w:before="60" w:after="60" w:line="240" w:lineRule="auto"/>
              <w:ind w:left="0" w:right="0"/>
              <w:rPr>
                <w:sz w:val="20"/>
                <w:szCs w:val="20"/>
              </w:rPr>
            </w:pPr>
            <w:r w:rsidRPr="0091343D">
              <w:rPr>
                <w:sz w:val="20"/>
                <w:szCs w:val="20"/>
              </w:rPr>
              <w:t>238.4</w:t>
            </w:r>
          </w:p>
        </w:tc>
        <w:tc>
          <w:tcPr>
            <w:tcW w:w="1134" w:type="dxa"/>
          </w:tcPr>
          <w:p w:rsidR="00D35641" w:rsidRPr="0091343D" w:rsidRDefault="00D35641" w:rsidP="0091343D">
            <w:pPr>
              <w:spacing w:before="60" w:after="60" w:line="240" w:lineRule="auto"/>
              <w:ind w:left="0" w:right="0"/>
              <w:rPr>
                <w:sz w:val="20"/>
                <w:szCs w:val="20"/>
              </w:rPr>
            </w:pPr>
            <w:r w:rsidRPr="0091343D">
              <w:rPr>
                <w:sz w:val="20"/>
                <w:szCs w:val="20"/>
              </w:rPr>
              <w:t>–</w:t>
            </w:r>
          </w:p>
        </w:tc>
      </w:tr>
    </w:tbl>
    <w:p w:rsidR="00D35641" w:rsidRPr="0091343D" w:rsidRDefault="00D35641" w:rsidP="008F5C87">
      <w:pPr>
        <w:pStyle w:val="TableDescription"/>
      </w:pPr>
      <w:r w:rsidRPr="0091343D">
        <w:rPr>
          <w:vertAlign w:val="superscript"/>
        </w:rPr>
        <w:t>#</w:t>
      </w:r>
      <w:r w:rsidRPr="0091343D">
        <w:t xml:space="preserve"> = </w:t>
      </w:r>
      <w:proofErr w:type="spellStart"/>
      <w:r w:rsidRPr="0091343D">
        <w:t>animal</w:t>
      </w:r>
      <w:proofErr w:type="gramStart"/>
      <w:r w:rsidRPr="0091343D">
        <w:t>:human</w:t>
      </w:r>
      <w:proofErr w:type="spellEnd"/>
      <w:proofErr w:type="gramEnd"/>
      <w:r w:rsidRPr="0091343D">
        <w:t xml:space="preserve"> plasma AUC</w:t>
      </w:r>
      <w:r w:rsidRPr="0091343D">
        <w:rPr>
          <w:vertAlign w:val="subscript"/>
        </w:rPr>
        <w:t>0–24 h</w:t>
      </w:r>
      <w:r w:rsidRPr="0091343D">
        <w:t xml:space="preserve"> </w:t>
      </w:r>
      <w:r w:rsidR="0091343D" w:rsidRPr="0091343D">
        <w:t>M + F = males + females</w:t>
      </w:r>
    </w:p>
    <w:p w:rsidR="008E7846" w:rsidRDefault="00D35641" w:rsidP="008E7846">
      <w:r w:rsidRPr="00D35641">
        <w:t>The duration of systemic exposure in the repeat dose toxicity studies was highly variable, ranging from 0-24</w:t>
      </w:r>
      <w:r w:rsidR="00133742">
        <w:t xml:space="preserve"> </w:t>
      </w:r>
      <w:r w:rsidRPr="00D35641">
        <w:t>h. Most animals were not exposed to retapamulin for a significant part of each day (0-16</w:t>
      </w:r>
      <w:r w:rsidR="00133742">
        <w:t xml:space="preserve"> </w:t>
      </w:r>
      <w:r w:rsidRPr="00D35641">
        <w:t xml:space="preserve">h, pivotal rabbit dermal repeat dose study, intact skin, 20-24 h mini pig dermal repeat dose study on intact and abraded skin in same animal, 16 h pivotal monkey </w:t>
      </w:r>
      <w:r w:rsidR="00133742">
        <w:t xml:space="preserve">study </w:t>
      </w:r>
      <w:r w:rsidRPr="00D35641">
        <w:t xml:space="preserve">and 16 h rat PO repeat dose study; </w:t>
      </w:r>
      <w:r w:rsidR="00133742">
        <w:t xml:space="preserve">lower limit of </w:t>
      </w:r>
      <w:proofErr w:type="spellStart"/>
      <w:r w:rsidR="00133742">
        <w:t>quantitation</w:t>
      </w:r>
      <w:proofErr w:type="spellEnd"/>
      <w:r w:rsidR="00133742">
        <w:t xml:space="preserve"> (</w:t>
      </w:r>
      <w:proofErr w:type="spellStart"/>
      <w:r w:rsidR="00EA27D0">
        <w:t>LLo</w:t>
      </w:r>
      <w:r w:rsidRPr="00D35641">
        <w:t>Q</w:t>
      </w:r>
      <w:proofErr w:type="spellEnd"/>
      <w:r w:rsidR="00133742">
        <w:t>)</w:t>
      </w:r>
      <w:r w:rsidRPr="00D35641">
        <w:t>: 10ng/</w:t>
      </w:r>
      <w:proofErr w:type="spellStart"/>
      <w:r w:rsidRPr="00D35641">
        <w:t>mL</w:t>
      </w:r>
      <w:proofErr w:type="spellEnd"/>
      <w:r w:rsidRPr="00D35641">
        <w:t xml:space="preserve">, except for the </w:t>
      </w:r>
      <w:proofErr w:type="spellStart"/>
      <w:r w:rsidRPr="00D35641">
        <w:t>minipig</w:t>
      </w:r>
      <w:proofErr w:type="spellEnd"/>
      <w:r w:rsidRPr="00D35641">
        <w:t xml:space="preserve"> study which had an LLOQ of 0.5ng/mL). In contrast, in a clinical study (026) a single dermal application of retapamulin ointment over an area of 200 cm</w:t>
      </w:r>
      <w:r w:rsidRPr="00D35641">
        <w:rPr>
          <w:vertAlign w:val="superscript"/>
        </w:rPr>
        <w:t xml:space="preserve">2 </w:t>
      </w:r>
      <w:r w:rsidRPr="00D35641">
        <w:t xml:space="preserve">of abraded skin induced systemic exposure to retapamulin in the low </w:t>
      </w:r>
      <w:proofErr w:type="spellStart"/>
      <w:r w:rsidRPr="00D35641">
        <w:t>ng</w:t>
      </w:r>
      <w:proofErr w:type="spellEnd"/>
      <w:r w:rsidRPr="00D35641">
        <w:t>/</w:t>
      </w:r>
      <w:proofErr w:type="spellStart"/>
      <w:r w:rsidRPr="00D35641">
        <w:t>mL</w:t>
      </w:r>
      <w:proofErr w:type="spellEnd"/>
      <w:r w:rsidRPr="00D35641">
        <w:t xml:space="preserve"> range over the entire 24h period (LLOQ 0.5ng/mL).</w:t>
      </w:r>
    </w:p>
    <w:p w:rsidR="008E7846" w:rsidRDefault="008E7846" w:rsidP="008F5C87">
      <w:pPr>
        <w:pStyle w:val="Heading3"/>
      </w:pPr>
      <w:bookmarkStart w:id="49" w:name="_Toc247691514"/>
      <w:bookmarkStart w:id="50" w:name="_Toc314842498"/>
      <w:bookmarkStart w:id="51" w:name="_Toc371925749"/>
      <w:r>
        <w:lastRenderedPageBreak/>
        <w:t>Toxicology</w:t>
      </w:r>
      <w:bookmarkEnd w:id="49"/>
      <w:bookmarkEnd w:id="50"/>
      <w:bookmarkEnd w:id="51"/>
    </w:p>
    <w:p w:rsidR="004C73CD" w:rsidRPr="004C73CD" w:rsidRDefault="004C73CD" w:rsidP="005413FD">
      <w:pPr>
        <w:pStyle w:val="Heading4"/>
      </w:pPr>
      <w:r w:rsidRPr="004C73CD">
        <w:t>Primary (single dose) dermal irritancy in rabbits</w:t>
      </w:r>
    </w:p>
    <w:p w:rsidR="004C73CD" w:rsidRPr="005413FD" w:rsidRDefault="004C73CD" w:rsidP="005413FD">
      <w:r w:rsidRPr="005413FD">
        <w:t>Three primary dermal irritation studies in rabbits collectively tested retapamulin concentrations of 0.5%, 1%, 2% and 5%, on intact and abraded, semi-occluded skin, with recov</w:t>
      </w:r>
      <w:r w:rsidR="008F5C87">
        <w:t>ery periods of 72 h or 7 days.</w:t>
      </w:r>
    </w:p>
    <w:p w:rsidR="004C73CD" w:rsidRPr="005413FD" w:rsidRDefault="004C73CD" w:rsidP="005413FD">
      <w:r w:rsidRPr="005413FD">
        <w:t>The dermal single-dose toxicity of up to 5% retapamulin ointment was studied in rabbits using semi occlusive dressing. The maximum area treated in these experiments was 6-times 6.25cm2</w:t>
      </w:r>
      <w:r w:rsidR="005413FD">
        <w:t xml:space="preserve"> (</w:t>
      </w:r>
      <w:r w:rsidRPr="005413FD">
        <w:t>2% of the average rabbit body surface area</w:t>
      </w:r>
      <w:r w:rsidRPr="005413FD">
        <w:rPr>
          <w:vertAlign w:val="superscript"/>
        </w:rPr>
        <w:footnoteReference w:id="7"/>
      </w:r>
      <w:r w:rsidRPr="005413FD">
        <w:t xml:space="preserve">). 2% retapamulin ointment did not induce local irritation of intact skin, whereas local irritation occurred when applied to </w:t>
      </w:r>
      <w:proofErr w:type="gramStart"/>
      <w:r w:rsidRPr="005413FD">
        <w:t>abraded</w:t>
      </w:r>
      <w:proofErr w:type="gramEnd"/>
      <w:r w:rsidRPr="005413FD">
        <w:t xml:space="preserve"> skin [erythema (up to well defined) and very slight oedema, with some desquamation, which resolved spontaneously within 7 days]. Systemic toxicity in response to single derma</w:t>
      </w:r>
      <w:r w:rsidR="008F5C87">
        <w:t>l application was not assessed.</w:t>
      </w:r>
    </w:p>
    <w:p w:rsidR="004C73CD" w:rsidRPr="005413FD" w:rsidRDefault="004C73CD" w:rsidP="005413FD">
      <w:r w:rsidRPr="005413FD">
        <w:t>In summary, retapamulin has a low order of skin irritancy after single dermal application to rabbits at up to 5-times the clinically intended concentration over an area that reached the maximum recommendation for paediatric patients (2%). The local irritation potential of retapamulin was increased when applied to superficially damaged ski</w:t>
      </w:r>
      <w:r w:rsidR="008F5C87">
        <w:t xml:space="preserve">n (removal of stratum </w:t>
      </w:r>
      <w:proofErr w:type="spellStart"/>
      <w:r w:rsidR="008F5C87">
        <w:t>corneum</w:t>
      </w:r>
      <w:proofErr w:type="spellEnd"/>
      <w:r w:rsidR="008F5C87">
        <w:t>).</w:t>
      </w:r>
    </w:p>
    <w:p w:rsidR="004C73CD" w:rsidRPr="004C73CD" w:rsidRDefault="004C73CD" w:rsidP="000B1378">
      <w:pPr>
        <w:pStyle w:val="Heading4"/>
      </w:pPr>
      <w:bookmarkStart w:id="52" w:name="_Toc294861728"/>
      <w:r w:rsidRPr="004C73CD">
        <w:t>Repeat-dose dermal irritancy and toxicity</w:t>
      </w:r>
      <w:bookmarkEnd w:id="52"/>
    </w:p>
    <w:p w:rsidR="004C73CD" w:rsidRPr="004C73CD" w:rsidRDefault="004C73CD" w:rsidP="004C73CD">
      <w:r w:rsidRPr="004C73CD">
        <w:t xml:space="preserve">Repeat-dose dermal toxicity studies of 4-days, 2-, 4- and 13-weeks duration investigated dermal irritancy under semi-occlusive conditions in rabbits. The 2- and 4-week studies in rabbits tested both intact and abraded skin, but the pivotal 13-week toxicity study only tested intact skin. The pivotal 13-week study was of sufficient duration to support 5 days clinical use, and also investigated systemic toxicity. To support paediatric use, dermal studies were conducted in neonatal rats and juvenile </w:t>
      </w:r>
      <w:proofErr w:type="spellStart"/>
      <w:r w:rsidRPr="004C73CD">
        <w:t>minipigs</w:t>
      </w:r>
      <w:proofErr w:type="spellEnd"/>
      <w:r w:rsidRPr="004C73CD">
        <w:t xml:space="preserve"> (see </w:t>
      </w:r>
      <w:r w:rsidRPr="00EA27D0">
        <w:rPr>
          <w:i/>
          <w:iCs/>
        </w:rPr>
        <w:t xml:space="preserve">Paediatric </w:t>
      </w:r>
      <w:r w:rsidR="00786F95">
        <w:rPr>
          <w:i/>
          <w:iCs/>
        </w:rPr>
        <w:t>u</w:t>
      </w:r>
      <w:r w:rsidRPr="00EA27D0">
        <w:rPr>
          <w:i/>
          <w:iCs/>
        </w:rPr>
        <w:t>se</w:t>
      </w:r>
      <w:r w:rsidRPr="004C73CD">
        <w:t xml:space="preserve"> below). Animals were treated only once daily in all of the dermal toxicity studies, most likely due to practical reasons associated with the daily shaving, replacement of occlusive dressings, and washing of sites. The once daily treatment may have contributed to the low systemic exposure ratios (see </w:t>
      </w:r>
      <w:r w:rsidRPr="000B1378">
        <w:rPr>
          <w:i/>
          <w:iCs/>
        </w:rPr>
        <w:t>Relative Systemic Exposures</w:t>
      </w:r>
      <w:r w:rsidRPr="004C73CD">
        <w:t xml:space="preserve"> above). Animals were not exposed to measurable plasma levels of retapamulin for large parts of e</w:t>
      </w:r>
      <w:r w:rsidR="000B1378">
        <w:t xml:space="preserve">ach day, as discussed above in </w:t>
      </w:r>
      <w:r w:rsidRPr="000B1378">
        <w:rPr>
          <w:i/>
          <w:iCs/>
        </w:rPr>
        <w:t>Relative systemic exposures</w:t>
      </w:r>
      <w:r w:rsidRPr="004C73CD">
        <w:t xml:space="preserve"> above. Species differences in drug absorption through the skin and/or clearance might have contributed to the low exposures, but there were insufficient comparative data for these parameters.</w:t>
      </w:r>
    </w:p>
    <w:p w:rsidR="004C73CD" w:rsidRPr="004C73CD" w:rsidRDefault="008F5C87" w:rsidP="000B1378">
      <w:pPr>
        <w:pStyle w:val="Heading5"/>
      </w:pPr>
      <w:r>
        <w:t>Dermal irritancy</w:t>
      </w:r>
    </w:p>
    <w:p w:rsidR="004C73CD" w:rsidRPr="004C73CD" w:rsidRDefault="004C73CD" w:rsidP="004C73CD">
      <w:r w:rsidRPr="004C73CD">
        <w:t xml:space="preserve">The 2-week dermal study (SB-275833/RSD-101P8/1) in rabbits tested retapamulin 0.5%, 2% and 5% ointment on semi-occluded, intact and abraded skin. The 0.5% ointment produced very slight irritation on intact and abraded skin which resolved in 9 days, the 2% formulation elicited erythema and oedema, with desquamation or blanching on intact skin, which was more severe on abraded skin. The 5% ointment elicited very slight to moderate-severe erythema and very slight to slight oedema with blanching and/or fissuring at intact sites, and very slight to severe erythema and very slight to moderate oedema at abraded sites, with blanching, fissuring, subcutaneous haemorrhage, denudation, exfoliation, and necrotic-appearing areas in addition. Microscopy showed an increased incidence/severity of </w:t>
      </w:r>
      <w:proofErr w:type="spellStart"/>
      <w:r w:rsidRPr="004C73CD">
        <w:t>acanthosis</w:t>
      </w:r>
      <w:proofErr w:type="spellEnd"/>
      <w:r w:rsidRPr="004C73CD">
        <w:t>/hyperkeratosis, inflammation, ulceration, or dermal fibrosis with 2% or 5% ointment, which was concentration-related and</w:t>
      </w:r>
      <w:r w:rsidR="008F5C87">
        <w:t xml:space="preserve"> more severe at abraded sites.</w:t>
      </w:r>
    </w:p>
    <w:p w:rsidR="004C73CD" w:rsidRPr="004C73CD" w:rsidRDefault="004C73CD" w:rsidP="004C73CD">
      <w:r w:rsidRPr="004C73CD">
        <w:lastRenderedPageBreak/>
        <w:t>The 4-week dermal study in rabbits tes</w:t>
      </w:r>
      <w:r w:rsidR="00250635">
        <w:t xml:space="preserve">ted </w:t>
      </w:r>
      <w:proofErr w:type="spellStart"/>
      <w:r w:rsidR="00250635">
        <w:t>retapamulin</w:t>
      </w:r>
      <w:proofErr w:type="spellEnd"/>
      <w:r w:rsidR="00250635">
        <w:t xml:space="preserve"> (</w:t>
      </w:r>
      <w:proofErr w:type="spellStart"/>
      <w:r w:rsidR="00250635">
        <w:t>succinate</w:t>
      </w:r>
      <w:proofErr w:type="spellEnd"/>
      <w:r w:rsidR="00250635">
        <w:t xml:space="preserve"> salt</w:t>
      </w:r>
      <w:r w:rsidRPr="004C73CD">
        <w:t>) 0.5%, 2% and 5% ointment on semi-occluded intact and abraded skin. Concentrations of 2% and 5% elicited concentration-dependent irritation associated with skin inflammation and ulceration, which was not tolerated for more than 10-20 days. The 0.5% ointment elicited transient erythema and oedema but no microscopic damage.</w:t>
      </w:r>
    </w:p>
    <w:p w:rsidR="004C73CD" w:rsidRPr="004C73CD" w:rsidRDefault="004C73CD" w:rsidP="004C73CD">
      <w:r w:rsidRPr="004C73CD">
        <w:t xml:space="preserve">The 13-week dermal study in rabbits tested retapamulin 0.5%, 1% or 2% ointment on semi-occluded intact skin. Sites treated with ointment alone showed slight to well-defined erythema from week 2, and none to slight oedema from week 7. Dermal irritation of the 0.5% ointment was similar in incidence and severity to vehicle controls. The 1% ointment elicited very slight to well-defined erythema from week 2, very slight oedema from week 4, and desquamation in 1/6 rabbits. The 2% ointment elicited very slight to moderate/severe erythema and very slight to slight oedema from week 2, with desquamation in 6/6 rabbits in weeks 1-11. The </w:t>
      </w:r>
      <w:r w:rsidR="00250635">
        <w:t>no observed adverse effect level (</w:t>
      </w:r>
      <w:r w:rsidRPr="004C73CD">
        <w:t>NOAEL</w:t>
      </w:r>
      <w:r w:rsidR="00250635">
        <w:t>)</w:t>
      </w:r>
      <w:r w:rsidRPr="004C73CD">
        <w:t xml:space="preserve"> for local effects was considered to be 1% based on minimal dermal irr</w:t>
      </w:r>
      <w:r w:rsidR="008F5C87">
        <w:t>itation findings in this study.</w:t>
      </w:r>
    </w:p>
    <w:p w:rsidR="004C73CD" w:rsidRPr="004C73CD" w:rsidRDefault="004C73CD" w:rsidP="004C73CD">
      <w:r w:rsidRPr="004C73CD">
        <w:t>In humans, it was reported that repeated doses of retapamulin ointment were well tolerated at concentrations up to 1% on intact and abraded skin, but repeated doses of 2% on abraded skin were not tolerated</w:t>
      </w:r>
      <w:r w:rsidR="008F5C87">
        <w:t xml:space="preserve"> (clinical study SB275833/026).</w:t>
      </w:r>
    </w:p>
    <w:p w:rsidR="004C73CD" w:rsidRPr="004C73CD" w:rsidRDefault="004C73CD" w:rsidP="00250635">
      <w:pPr>
        <w:pStyle w:val="Heading5"/>
      </w:pPr>
      <w:r w:rsidRPr="004C73CD">
        <w:t>Systemic toxicity</w:t>
      </w:r>
    </w:p>
    <w:p w:rsidR="004C73CD" w:rsidRPr="004C73CD" w:rsidRDefault="004C73CD" w:rsidP="004C73CD">
      <w:r w:rsidRPr="004C73CD">
        <w:t xml:space="preserve">In rats, the maximum non-lethal dose after IV administration in 0.05M sodium </w:t>
      </w:r>
      <w:proofErr w:type="spellStart"/>
      <w:r w:rsidRPr="004C73CD">
        <w:t>dihydrogen</w:t>
      </w:r>
      <w:proofErr w:type="spellEnd"/>
      <w:r w:rsidRPr="004C73CD">
        <w:t xml:space="preserve"> orthophosphate solution was 10</w:t>
      </w:r>
      <w:r w:rsidR="00730A0D">
        <w:t> </w:t>
      </w:r>
      <w:r w:rsidRPr="004C73CD">
        <w:t xml:space="preserve">mg/kg. The highest dose tested, 30 mg/kg, induced mortality. Clinical signs prior to death were nonspecific (vocalization during dosing, a single convulsion post-dose, </w:t>
      </w:r>
      <w:proofErr w:type="spellStart"/>
      <w:r w:rsidRPr="004C73CD">
        <w:t>hypoactivity</w:t>
      </w:r>
      <w:proofErr w:type="spellEnd"/>
      <w:r w:rsidRPr="004C73CD">
        <w:t xml:space="preserve"> and prostration), necropsy was without findings. </w:t>
      </w:r>
      <w:proofErr w:type="spellStart"/>
      <w:r w:rsidRPr="004C73CD">
        <w:t>Perivascular</w:t>
      </w:r>
      <w:proofErr w:type="spellEnd"/>
      <w:r w:rsidRPr="004C73CD">
        <w:t xml:space="preserve"> inflammation was observed in 1/3 males and females each, at 10</w:t>
      </w:r>
      <w:r w:rsidR="009501BB">
        <w:t xml:space="preserve"> </w:t>
      </w:r>
      <w:r w:rsidRPr="004C73CD">
        <w:t>mg/kg only. Retapamulin was well tolerated orally in rats and monkeys up to 450</w:t>
      </w:r>
      <w:r w:rsidR="009501BB">
        <w:t xml:space="preserve"> </w:t>
      </w:r>
      <w:r w:rsidRPr="004C73CD">
        <w:t>mg/kg/day.</w:t>
      </w:r>
    </w:p>
    <w:p w:rsidR="004C73CD" w:rsidRPr="004C73CD" w:rsidRDefault="004C73CD" w:rsidP="004C73CD">
      <w:r w:rsidRPr="004C73CD">
        <w:t>Oral studies of 2-weeks duration were conducted in rats and monkeys. The major systemic toxicities after PO administration were liver induction and associated effects on thyroid function as well as decreases in white blood cells observed in ra</w:t>
      </w:r>
      <w:r w:rsidR="009501BB">
        <w:t>ts, and emesis in monkeys. CYP-</w:t>
      </w:r>
      <w:r w:rsidRPr="004C73CD">
        <w:t>enzyme induction was observed in rats from oral doses ≥ 150</w:t>
      </w:r>
      <w:r w:rsidR="00730A0D">
        <w:t> </w:t>
      </w:r>
      <w:r w:rsidRPr="004C73CD">
        <w:t>mg/kg. In the rat oral 2 week study liver induction manifested in form of increase</w:t>
      </w:r>
      <w:r w:rsidR="009501BB">
        <w:t>d liver weight (observed at 450 </w:t>
      </w:r>
      <w:r w:rsidRPr="004C73CD">
        <w:t xml:space="preserve">mg/kg, exposure ratio 10) and </w:t>
      </w:r>
      <w:proofErr w:type="spellStart"/>
      <w:r w:rsidRPr="004C73CD">
        <w:t>hepatocellular</w:t>
      </w:r>
      <w:proofErr w:type="spellEnd"/>
      <w:r w:rsidRPr="004C73CD">
        <w:t xml:space="preserve"> hypertrophy (</w:t>
      </w:r>
      <w:r w:rsidR="009501BB">
        <w:rPr>
          <w:rFonts w:ascii="Times New Roman" w:hAnsi="Times New Roman"/>
        </w:rPr>
        <w:t xml:space="preserve">males, </w:t>
      </w:r>
      <w:r w:rsidRPr="004C73CD">
        <w:t xml:space="preserve">450 mg/kg, exposure ratio 10, </w:t>
      </w:r>
      <w:r w:rsidR="009501BB">
        <w:t xml:space="preserve">females, </w:t>
      </w:r>
      <w:r w:rsidRPr="004C73CD">
        <w:t xml:space="preserve">150 mg/kg, exposure ratio 2). As a consequence of liver induction, increased clearance of thyroid hormones </w:t>
      </w:r>
      <w:proofErr w:type="spellStart"/>
      <w:r w:rsidR="00F829BF" w:rsidRPr="00F829BF">
        <w:t>triiodothyronine</w:t>
      </w:r>
      <w:proofErr w:type="spellEnd"/>
      <w:r w:rsidR="00F829BF" w:rsidRPr="00F829BF">
        <w:t xml:space="preserve"> </w:t>
      </w:r>
      <w:r w:rsidR="00F829BF">
        <w:t>(</w:t>
      </w:r>
      <w:r w:rsidRPr="004C73CD">
        <w:t>T3</w:t>
      </w:r>
      <w:r w:rsidR="00F829BF">
        <w:t>)</w:t>
      </w:r>
      <w:r w:rsidRPr="004C73CD">
        <w:t xml:space="preserve"> (</w:t>
      </w:r>
      <w:r w:rsidR="004B1D8F">
        <w:rPr>
          <w:rFonts w:ascii="Times New Roman" w:hAnsi="Times New Roman"/>
        </w:rPr>
        <w:t>males</w:t>
      </w:r>
      <w:r w:rsidRPr="004C73CD">
        <w:t xml:space="preserve"> ≥ 50 mg/kg) and </w:t>
      </w:r>
      <w:proofErr w:type="spellStart"/>
      <w:r w:rsidR="00F829BF" w:rsidRPr="00F829BF">
        <w:t>thyroxine</w:t>
      </w:r>
      <w:proofErr w:type="spellEnd"/>
      <w:r w:rsidR="00F829BF" w:rsidRPr="00F829BF">
        <w:t xml:space="preserve"> </w:t>
      </w:r>
      <w:r w:rsidR="00F829BF">
        <w:t>(</w:t>
      </w:r>
      <w:r w:rsidRPr="004C73CD">
        <w:t>T4</w:t>
      </w:r>
      <w:r w:rsidR="00F829BF">
        <w:t>)</w:t>
      </w:r>
      <w:r w:rsidRPr="004C73CD">
        <w:t xml:space="preserve"> (</w:t>
      </w:r>
      <w:r w:rsidR="004B1D8F">
        <w:t xml:space="preserve">males and females </w:t>
      </w:r>
      <w:r w:rsidRPr="004C73CD">
        <w:t>at 450</w:t>
      </w:r>
      <w:r w:rsidR="00730A0D">
        <w:t> </w:t>
      </w:r>
      <w:r w:rsidRPr="004C73CD">
        <w:t xml:space="preserve">mg/kg) was observed. A decrease in serum thyroid hormones has been associated with </w:t>
      </w:r>
      <w:proofErr w:type="spellStart"/>
      <w:r w:rsidRPr="004C73CD">
        <w:t>disinhibition</w:t>
      </w:r>
      <w:proofErr w:type="spellEnd"/>
      <w:r w:rsidRPr="004C73CD">
        <w:t xml:space="preserve"> of pituitary synthesis and release of </w:t>
      </w:r>
      <w:r w:rsidR="003A0A63">
        <w:t>thyroid stimulating hormone (</w:t>
      </w:r>
      <w:r w:rsidRPr="004C73CD">
        <w:t>TSH</w:t>
      </w:r>
      <w:r w:rsidR="003A0A63">
        <w:t>;</w:t>
      </w:r>
      <w:r w:rsidRPr="004C73CD">
        <w:t xml:space="preserve"> </w:t>
      </w:r>
      <w:proofErr w:type="spellStart"/>
      <w:r w:rsidRPr="004C73CD">
        <w:t>Barbant</w:t>
      </w:r>
      <w:proofErr w:type="spellEnd"/>
      <w:r w:rsidRPr="004C73CD">
        <w:t xml:space="preserve"> 1989</w:t>
      </w:r>
      <w:r w:rsidR="004B1D8F">
        <w:rPr>
          <w:rStyle w:val="FootnoteReference"/>
        </w:rPr>
        <w:footnoteReference w:id="8"/>
      </w:r>
      <w:r w:rsidRPr="004C73CD">
        <w:t>). Consequently serum TS</w:t>
      </w:r>
      <w:r w:rsidR="003A0A63">
        <w:t>H levels were elevated from ≥50 </w:t>
      </w:r>
      <w:r w:rsidRPr="004C73CD">
        <w:t>mg/kg (</w:t>
      </w:r>
      <w:r w:rsidR="004B1D8F">
        <w:t>males</w:t>
      </w:r>
      <w:r w:rsidRPr="004C73CD">
        <w:t>) and ≥ 150 mg/kg (</w:t>
      </w:r>
      <w:r w:rsidR="004B1D8F">
        <w:rPr>
          <w:rFonts w:ascii="Times New Roman" w:hAnsi="Times New Roman"/>
        </w:rPr>
        <w:t>females</w:t>
      </w:r>
      <w:r w:rsidRPr="004C73CD">
        <w:t>) and accompanied by thyroid follicular cell hypertrophy. Species differences between human and rodent thyroid hormone homeostasis have been described previously (</w:t>
      </w:r>
      <w:proofErr w:type="spellStart"/>
      <w:r w:rsidRPr="004C73CD">
        <w:t>Capen</w:t>
      </w:r>
      <w:proofErr w:type="spellEnd"/>
      <w:r w:rsidRPr="004C73CD">
        <w:t>, 1997</w:t>
      </w:r>
      <w:r w:rsidR="003A0A63">
        <w:rPr>
          <w:rStyle w:val="FootnoteReference"/>
        </w:rPr>
        <w:footnoteReference w:id="9"/>
      </w:r>
      <w:r w:rsidRPr="004C73CD">
        <w:t xml:space="preserve">). The percentage of unbound serum T4 is higher in rodents, where binding is limited to albumin and </w:t>
      </w:r>
      <w:proofErr w:type="spellStart"/>
      <w:r w:rsidRPr="004C73CD">
        <w:t>prealbumin</w:t>
      </w:r>
      <w:proofErr w:type="spellEnd"/>
      <w:r w:rsidRPr="004C73CD">
        <w:t xml:space="preserve">, compared to humans in which high affinity binding to </w:t>
      </w:r>
      <w:proofErr w:type="spellStart"/>
      <w:r w:rsidRPr="004C73CD">
        <w:t>thyroxine</w:t>
      </w:r>
      <w:proofErr w:type="spellEnd"/>
      <w:r w:rsidRPr="004C73CD">
        <w:t xml:space="preserve"> binding globulins occurs. This results in a decreased circulating T4 half-life in rats due to higher clearance compared to humans. Basal TSH levels are increased in male compared to female rats further exacerbating the effects of TSH elevation in males (</w:t>
      </w:r>
      <w:proofErr w:type="spellStart"/>
      <w:r w:rsidRPr="004C73CD">
        <w:t>Capen</w:t>
      </w:r>
      <w:proofErr w:type="spellEnd"/>
      <w:r w:rsidRPr="004C73CD">
        <w:t xml:space="preserve">, 1997). These effects in thyroid function are expected not to be of clinical relevance in humans due to species differences in thyroid function and greater sensitivity of the rat to disruption of thyroid function. It is noted that in a rat IV distribution study high levels of retapamulin related radioactivity were measured in the pituitary gland and remained measurable for a longer </w:t>
      </w:r>
      <w:r w:rsidRPr="004C73CD">
        <w:lastRenderedPageBreak/>
        <w:t>period than observed in most other tissues, for up to 7 days. It is not known if a direct effect of retapamulin on pituitary function also contributed to the d</w:t>
      </w:r>
      <w:r w:rsidR="00CF126D">
        <w:t>isturbance in thyroid hormones.</w:t>
      </w:r>
    </w:p>
    <w:p w:rsidR="004C73CD" w:rsidRPr="004C73CD" w:rsidRDefault="004C73CD" w:rsidP="004C73CD">
      <w:r w:rsidRPr="004C73CD">
        <w:t>Retapamulin induced decreases in white blood cells after PO dosing in rats by 16-24% of control from 450</w:t>
      </w:r>
      <w:r w:rsidR="00730A0D">
        <w:t xml:space="preserve"> </w:t>
      </w:r>
      <w:r w:rsidRPr="004C73CD">
        <w:t>mg/kg/day (exposure ratio 10), mainly due to reduction in lymphocyte counts. In humans, a decrease of 40% in total lymphocytes is known to be clinically relevant (</w:t>
      </w:r>
      <w:proofErr w:type="spellStart"/>
      <w:r w:rsidRPr="004C73CD">
        <w:t>Hannet</w:t>
      </w:r>
      <w:proofErr w:type="spellEnd"/>
      <w:r w:rsidRPr="004C73CD">
        <w:t xml:space="preserve"> </w:t>
      </w:r>
      <w:r w:rsidRPr="0011721E">
        <w:rPr>
          <w:i/>
          <w:iCs/>
        </w:rPr>
        <w:t>et al</w:t>
      </w:r>
      <w:r w:rsidRPr="004C73CD">
        <w:t>., 1992</w:t>
      </w:r>
      <w:r w:rsidR="00F829BF">
        <w:rPr>
          <w:rStyle w:val="FootnoteReference"/>
        </w:rPr>
        <w:footnoteReference w:id="10"/>
      </w:r>
      <w:r w:rsidRPr="004C73CD">
        <w:t xml:space="preserve">; </w:t>
      </w:r>
      <w:proofErr w:type="spellStart"/>
      <w:r w:rsidRPr="004C73CD">
        <w:t>Luster</w:t>
      </w:r>
      <w:proofErr w:type="spellEnd"/>
      <w:r w:rsidRPr="004C73CD">
        <w:t xml:space="preserve"> </w:t>
      </w:r>
      <w:r w:rsidRPr="0011721E">
        <w:rPr>
          <w:i/>
          <w:iCs/>
        </w:rPr>
        <w:t>et al</w:t>
      </w:r>
      <w:r w:rsidRPr="004C73CD">
        <w:t>., 1993</w:t>
      </w:r>
      <w:r w:rsidR="00F829BF">
        <w:rPr>
          <w:rStyle w:val="FootnoteReference"/>
        </w:rPr>
        <w:footnoteReference w:id="11"/>
      </w:r>
      <w:r w:rsidRPr="004C73CD">
        <w:t>). Retapamulin induced decreases in white blood cell counts were lower and therefore not considered clinically relevant, especially considering the low systemic exposures to retapamulin assoc</w:t>
      </w:r>
      <w:r w:rsidR="00CF126D">
        <w:t>iated with topical application.</w:t>
      </w:r>
    </w:p>
    <w:p w:rsidR="004C73CD" w:rsidRPr="004C73CD" w:rsidRDefault="004C73CD" w:rsidP="004C73CD">
      <w:r w:rsidRPr="004C73CD">
        <w:t>Salivation and hair coat thinning were observed in rat from doses ≥ 150</w:t>
      </w:r>
      <w:r w:rsidR="00730A0D">
        <w:t> </w:t>
      </w:r>
      <w:r w:rsidRPr="004C73CD">
        <w:t>mg/kg PO. Excessive salivation was also observed in a cardiovascular safety study after IV doses of 30</w:t>
      </w:r>
      <w:r w:rsidR="00730A0D">
        <w:t> </w:t>
      </w:r>
      <w:r w:rsidRPr="004C73CD">
        <w:t xml:space="preserve">mg/kg to monkeys. The mechanism of this effect was not investigated. However, salivation is mediated by </w:t>
      </w:r>
      <w:proofErr w:type="spellStart"/>
      <w:r w:rsidRPr="004C73CD">
        <w:t>muscarinic</w:t>
      </w:r>
      <w:proofErr w:type="spellEnd"/>
      <w:r w:rsidRPr="004C73CD">
        <w:t xml:space="preserve"> M1 and M3 receptors (Proctor GB, 2007</w:t>
      </w:r>
      <w:r w:rsidR="00F829BF">
        <w:rPr>
          <w:rStyle w:val="FootnoteReference"/>
        </w:rPr>
        <w:footnoteReference w:id="12"/>
      </w:r>
      <w:r w:rsidRPr="004C73CD">
        <w:t>). High levels of retapamulin related radioactivity were measured in the salivary gland in</w:t>
      </w:r>
      <w:r w:rsidR="00CF126D">
        <w:t xml:space="preserve"> the rat IV distribution study.</w:t>
      </w:r>
    </w:p>
    <w:p w:rsidR="004C73CD" w:rsidRPr="004C73CD" w:rsidRDefault="004C73CD" w:rsidP="004C73CD">
      <w:r w:rsidRPr="004C73CD">
        <w:t>The major finding after oral administration in monkeys was emesis which occurred at all doses but increased in incidence and severity from 50 up to 450</w:t>
      </w:r>
      <w:r w:rsidR="00730A0D">
        <w:t> </w:t>
      </w:r>
      <w:r w:rsidRPr="004C73CD">
        <w:t>mg/kg/day. Emesis restricted the study to the 50 mg/kg dose, the mid and high dose levels were discontinued. Emesis was also seen in a dog safety pharmacology IV study from doses ≥ 10</w:t>
      </w:r>
      <w:r w:rsidR="00730A0D">
        <w:t> </w:t>
      </w:r>
      <w:r w:rsidRPr="004C73CD">
        <w:t>mg/kg and after a single PO dose in monkeys at 450</w:t>
      </w:r>
      <w:r w:rsidR="00730A0D">
        <w:t> </w:t>
      </w:r>
      <w:r w:rsidRPr="004C73CD">
        <w:t>mg/kg but was not observed in other species treated orally (rats, rabbits).</w:t>
      </w:r>
    </w:p>
    <w:p w:rsidR="004C73CD" w:rsidRPr="004C73CD" w:rsidRDefault="004C73CD" w:rsidP="004C73CD">
      <w:r w:rsidRPr="004C73CD">
        <w:rPr>
          <w:i/>
        </w:rPr>
        <w:t>Conclusion on systemic toxicity:</w:t>
      </w:r>
      <w:r w:rsidRPr="004C73CD">
        <w:t xml:space="preserve"> The </w:t>
      </w:r>
      <w:r w:rsidR="00F829BF">
        <w:t>lowest observed adverse effect level (</w:t>
      </w:r>
      <w:r w:rsidRPr="004C73CD">
        <w:t>LOAEL</w:t>
      </w:r>
      <w:r w:rsidR="00F829BF">
        <w:t>) was 50 </w:t>
      </w:r>
      <w:r w:rsidRPr="004C73CD">
        <w:t xml:space="preserve">mg/kg in both rats (effects on thyroid hormones) and monkeys (emesis). Effects on the rat thyroid are considered species-specific and are </w:t>
      </w:r>
      <w:r w:rsidR="00A50AA7">
        <w:t xml:space="preserve">considered to be </w:t>
      </w:r>
      <w:r w:rsidRPr="004C73CD">
        <w:t xml:space="preserve">unlikely </w:t>
      </w:r>
      <w:r w:rsidR="00A50AA7">
        <w:t xml:space="preserve">to occur </w:t>
      </w:r>
      <w:r w:rsidRPr="004C73CD">
        <w:t>in humans. Emesis was inconsistently observed across species, but is considered unlikely in humans given the low systemic exposure after dermal application. Overall, the data suggests that systemic toxicity of retapamulin after dermal application will be unlikely.</w:t>
      </w:r>
    </w:p>
    <w:p w:rsidR="004C73CD" w:rsidRPr="004C73CD" w:rsidRDefault="004C73CD" w:rsidP="00F829BF">
      <w:pPr>
        <w:pStyle w:val="Heading4"/>
      </w:pPr>
      <w:bookmarkStart w:id="53" w:name="_Toc294861729"/>
      <w:r w:rsidRPr="004C73CD">
        <w:t>Genotoxicity</w:t>
      </w:r>
      <w:bookmarkEnd w:id="53"/>
    </w:p>
    <w:p w:rsidR="004C73CD" w:rsidRPr="004C73CD" w:rsidRDefault="004C73CD" w:rsidP="004C73CD">
      <w:r w:rsidRPr="004C73CD">
        <w:t xml:space="preserve">The potential genotoxicity of retapamulin was investigated in the standard battery of tests. The studies were conducted in accordance with ICH guidelines. A suitable set of </w:t>
      </w:r>
      <w:r w:rsidRPr="004C73CD">
        <w:rPr>
          <w:i/>
        </w:rPr>
        <w:t>S</w:t>
      </w:r>
      <w:r w:rsidR="00F829BF">
        <w:rPr>
          <w:i/>
        </w:rPr>
        <w:t xml:space="preserve">almonella </w:t>
      </w:r>
      <w:proofErr w:type="spellStart"/>
      <w:r w:rsidRPr="004C73CD">
        <w:rPr>
          <w:i/>
        </w:rPr>
        <w:t>typhimurium</w:t>
      </w:r>
      <w:proofErr w:type="spellEnd"/>
      <w:r w:rsidRPr="004C73CD">
        <w:t xml:space="preserve"> and </w:t>
      </w:r>
      <w:r w:rsidR="00F829BF" w:rsidRPr="004C73CD">
        <w:rPr>
          <w:i/>
        </w:rPr>
        <w:t>E</w:t>
      </w:r>
      <w:r w:rsidR="00F829BF">
        <w:rPr>
          <w:i/>
        </w:rPr>
        <w:t xml:space="preserve">scherichia </w:t>
      </w:r>
      <w:r w:rsidRPr="004C73CD">
        <w:rPr>
          <w:i/>
        </w:rPr>
        <w:t>coli</w:t>
      </w:r>
      <w:r w:rsidRPr="004C73CD">
        <w:t xml:space="preserve"> strains was used in the bacterial mutation assay, but the assay was found to be inappropriate due to the antibacterial action of retapamulin. Doses were also limited by cytotoxicity in the other studies. Toxicokinetics were not conducted in this study. In support of a successful systemic exposure, the upper dose level used in the </w:t>
      </w:r>
      <w:r w:rsidRPr="004C73CD">
        <w:rPr>
          <w:i/>
        </w:rPr>
        <w:t>in vivo</w:t>
      </w:r>
      <w:r w:rsidRPr="004C73CD">
        <w:t xml:space="preserve"> assay for chromosomal aberration produced clinical signs such as convulsions, tremor, irregular breathing, protruding eyes, abnormal gait and lethargy. There was no sign of bone marrow toxicity (</w:t>
      </w:r>
      <w:r w:rsidR="00F829BF">
        <w:t xml:space="preserve">decreased </w:t>
      </w:r>
      <w:r w:rsidRPr="004C73CD">
        <w:t>%</w:t>
      </w:r>
      <w:r w:rsidR="00F829BF">
        <w:t>polychromatic erythrocytes</w:t>
      </w:r>
      <w:r w:rsidRPr="004C73CD">
        <w:t>) in any of the retapamulin treated groups in the range finding test, whereas the positive control induced bone marrow toxicity. The use of males only was acceptable in the absence of sex related differences in toxicity. All assays were appropriately validated and returned ne</w:t>
      </w:r>
      <w:r w:rsidR="00CF126D">
        <w:t xml:space="preserve">gative results for </w:t>
      </w:r>
      <w:proofErr w:type="spellStart"/>
      <w:r w:rsidR="00CF126D">
        <w:t>retapamulin</w:t>
      </w:r>
      <w:proofErr w:type="spellEnd"/>
      <w:r w:rsidR="00CF126D">
        <w:t>.</w:t>
      </w:r>
    </w:p>
    <w:p w:rsidR="004C73CD" w:rsidRPr="004C73CD" w:rsidRDefault="004C73CD" w:rsidP="00F829BF">
      <w:pPr>
        <w:pStyle w:val="Heading4"/>
      </w:pPr>
      <w:bookmarkStart w:id="54" w:name="_Toc294861730"/>
      <w:r w:rsidRPr="004C73CD">
        <w:t>Carcinogenicity</w:t>
      </w:r>
      <w:bookmarkEnd w:id="54"/>
    </w:p>
    <w:p w:rsidR="004C73CD" w:rsidRPr="004C73CD" w:rsidRDefault="004C73CD" w:rsidP="004C73CD">
      <w:r w:rsidRPr="004C73CD">
        <w:t>No carcinogenicity experiments were submitted. This is considered acceptable due to the negative genotoxicity findings, the low systemic exposure after the clinically proposed dermal route of administration and the short propos</w:t>
      </w:r>
      <w:r w:rsidR="00CF126D">
        <w:t>ed 5 day duration of treatment.</w:t>
      </w:r>
    </w:p>
    <w:p w:rsidR="004C73CD" w:rsidRPr="004C73CD" w:rsidRDefault="004C73CD" w:rsidP="00F829BF">
      <w:pPr>
        <w:pStyle w:val="Heading4"/>
      </w:pPr>
      <w:r w:rsidRPr="004C73CD">
        <w:lastRenderedPageBreak/>
        <w:t>Reproductive toxicity</w:t>
      </w:r>
    </w:p>
    <w:p w:rsidR="004C73CD" w:rsidRPr="004C73CD" w:rsidRDefault="004C73CD" w:rsidP="004C73CD">
      <w:r w:rsidRPr="004C73CD">
        <w:t xml:space="preserve">The submitted reproductive toxicity studies covered fertility, early embryonic development and </w:t>
      </w:r>
      <w:proofErr w:type="spellStart"/>
      <w:r w:rsidRPr="004C73CD">
        <w:t>embryofetal</w:t>
      </w:r>
      <w:proofErr w:type="spellEnd"/>
      <w:r w:rsidRPr="004C73CD">
        <w:t xml:space="preserve"> development. Fertility studies were conducted in rats (PO), </w:t>
      </w:r>
      <w:proofErr w:type="spellStart"/>
      <w:r w:rsidRPr="004C73CD">
        <w:t>embryofetal</w:t>
      </w:r>
      <w:proofErr w:type="spellEnd"/>
      <w:r w:rsidRPr="004C73CD">
        <w:t xml:space="preserve"> development studies were conducted in rats (PO) and rabbits (IV) to increase systemic exposure to retapamulin. Numbers of animals and the timing/duration of treatment were appropriate. No studies on pre-postnatal development, placental transfer or excretion into milk were submitted. This is considered acceptable due to the short (5 day) duration of treatment. A study in neonatal rats is discussed under the section repeat dose toxicity above. Exposure comparisons are based on </w:t>
      </w:r>
      <w:proofErr w:type="spellStart"/>
      <w:r w:rsidRPr="004C73CD">
        <w:t>animal</w:t>
      </w:r>
      <w:proofErr w:type="gramStart"/>
      <w:r w:rsidRPr="004C73CD">
        <w:t>:human</w:t>
      </w:r>
      <w:proofErr w:type="spellEnd"/>
      <w:proofErr w:type="gramEnd"/>
      <w:r w:rsidRPr="004C73CD">
        <w:t xml:space="preserve"> plasma AUC ratios. In the absence of </w:t>
      </w:r>
      <w:proofErr w:type="spellStart"/>
      <w:r w:rsidRPr="004C73CD">
        <w:t>t</w:t>
      </w:r>
      <w:r w:rsidR="00F829BF">
        <w:t>oxicokinetic</w:t>
      </w:r>
      <w:proofErr w:type="spellEnd"/>
      <w:r w:rsidR="00F829BF">
        <w:t xml:space="preserve"> data, rough </w:t>
      </w:r>
      <w:proofErr w:type="spellStart"/>
      <w:r w:rsidR="00F829BF">
        <w:t>animal</w:t>
      </w:r>
      <w:proofErr w:type="gramStart"/>
      <w:r w:rsidRPr="004C73CD">
        <w:t>:human</w:t>
      </w:r>
      <w:proofErr w:type="spellEnd"/>
      <w:proofErr w:type="gramEnd"/>
      <w:r w:rsidRPr="004C73CD">
        <w:t xml:space="preserve"> dose ratio estimates were made by </w:t>
      </w:r>
      <w:r w:rsidR="00CF126D">
        <w:t>comparing oral to dermal doses.</w:t>
      </w:r>
    </w:p>
    <w:p w:rsidR="004C73CD" w:rsidRPr="00F829BF" w:rsidRDefault="00786F95" w:rsidP="00CF126D">
      <w:pPr>
        <w:pStyle w:val="TableTitle"/>
      </w:pPr>
      <w:proofErr w:type="gramStart"/>
      <w:r>
        <w:t>Table 5</w:t>
      </w:r>
      <w:r w:rsidR="00F829BF" w:rsidRPr="00F829BF">
        <w:t>.</w:t>
      </w:r>
      <w:proofErr w:type="gramEnd"/>
      <w:r w:rsidR="00F829BF" w:rsidRPr="00F829BF">
        <w:t xml:space="preserve"> </w:t>
      </w:r>
      <w:r w:rsidR="004C73CD" w:rsidRPr="00F829BF">
        <w:t>Relative exposure</w:t>
      </w:r>
      <w:r w:rsidR="00F829BF">
        <w:t xml:space="preserve"> in the reproductive toxicity studies based on AUC</w:t>
      </w:r>
    </w:p>
    <w:tbl>
      <w:tblPr>
        <w:tblStyle w:val="TableTGAblue"/>
        <w:tblW w:w="8931" w:type="dxa"/>
        <w:tblInd w:w="108" w:type="dxa"/>
        <w:tblLayout w:type="fixed"/>
        <w:tblLook w:val="01E0"/>
      </w:tblPr>
      <w:tblGrid>
        <w:gridCol w:w="1418"/>
        <w:gridCol w:w="2693"/>
        <w:gridCol w:w="885"/>
        <w:gridCol w:w="1525"/>
        <w:gridCol w:w="1276"/>
        <w:gridCol w:w="1134"/>
      </w:tblGrid>
      <w:tr w:rsidR="004C73CD" w:rsidRPr="00F829BF" w:rsidTr="00CF126D">
        <w:trPr>
          <w:cnfStyle w:val="100000000000"/>
          <w:tblHeader/>
        </w:trPr>
        <w:tc>
          <w:tcPr>
            <w:tcW w:w="1418" w:type="dxa"/>
          </w:tcPr>
          <w:p w:rsidR="004C73CD" w:rsidRPr="00CF126D" w:rsidRDefault="004C73CD" w:rsidP="00F829BF">
            <w:pPr>
              <w:spacing w:before="60" w:after="60"/>
              <w:ind w:left="0" w:right="0"/>
              <w:rPr>
                <w:sz w:val="20"/>
                <w:szCs w:val="20"/>
              </w:rPr>
            </w:pPr>
            <w:r w:rsidRPr="00CF126D">
              <w:rPr>
                <w:sz w:val="20"/>
                <w:szCs w:val="20"/>
              </w:rPr>
              <w:t>Species</w:t>
            </w:r>
          </w:p>
        </w:tc>
        <w:tc>
          <w:tcPr>
            <w:tcW w:w="2693" w:type="dxa"/>
          </w:tcPr>
          <w:p w:rsidR="004C73CD" w:rsidRPr="00CF126D" w:rsidRDefault="004C73CD" w:rsidP="00F829BF">
            <w:pPr>
              <w:spacing w:before="60" w:after="60"/>
              <w:ind w:left="0" w:right="0"/>
              <w:rPr>
                <w:sz w:val="20"/>
                <w:szCs w:val="20"/>
              </w:rPr>
            </w:pPr>
            <w:r w:rsidRPr="00CF126D">
              <w:rPr>
                <w:sz w:val="20"/>
                <w:szCs w:val="20"/>
              </w:rPr>
              <w:t xml:space="preserve">Study </w:t>
            </w:r>
          </w:p>
        </w:tc>
        <w:tc>
          <w:tcPr>
            <w:tcW w:w="885" w:type="dxa"/>
          </w:tcPr>
          <w:p w:rsidR="004C73CD" w:rsidRPr="00CF126D" w:rsidRDefault="004C73CD" w:rsidP="00F829BF">
            <w:pPr>
              <w:spacing w:before="60" w:after="60"/>
              <w:ind w:left="0" w:right="0"/>
              <w:rPr>
                <w:sz w:val="20"/>
                <w:szCs w:val="20"/>
              </w:rPr>
            </w:pPr>
            <w:r w:rsidRPr="00CF126D">
              <w:rPr>
                <w:sz w:val="20"/>
                <w:szCs w:val="20"/>
              </w:rPr>
              <w:t>route</w:t>
            </w:r>
          </w:p>
        </w:tc>
        <w:tc>
          <w:tcPr>
            <w:tcW w:w="1525" w:type="dxa"/>
          </w:tcPr>
          <w:p w:rsidR="004C73CD" w:rsidRPr="00CF126D" w:rsidRDefault="004C73CD" w:rsidP="00F829BF">
            <w:pPr>
              <w:spacing w:before="60" w:after="60"/>
              <w:ind w:left="0" w:right="0"/>
              <w:rPr>
                <w:sz w:val="20"/>
                <w:szCs w:val="20"/>
              </w:rPr>
            </w:pPr>
            <w:r w:rsidRPr="00CF126D">
              <w:rPr>
                <w:sz w:val="20"/>
                <w:szCs w:val="20"/>
              </w:rPr>
              <w:t>Dose</w:t>
            </w:r>
            <w:r w:rsidRPr="00CF126D">
              <w:rPr>
                <w:sz w:val="20"/>
                <w:szCs w:val="20"/>
              </w:rPr>
              <w:br/>
              <w:t>(mg/kg/day)</w:t>
            </w:r>
          </w:p>
        </w:tc>
        <w:tc>
          <w:tcPr>
            <w:tcW w:w="1276" w:type="dxa"/>
          </w:tcPr>
          <w:p w:rsidR="004C73CD" w:rsidRPr="00CF126D" w:rsidRDefault="004C73CD" w:rsidP="00F829BF">
            <w:pPr>
              <w:spacing w:before="60" w:after="60"/>
              <w:ind w:left="0" w:right="0"/>
              <w:rPr>
                <w:sz w:val="20"/>
                <w:szCs w:val="20"/>
              </w:rPr>
            </w:pPr>
            <w:r w:rsidRPr="00CF126D">
              <w:rPr>
                <w:sz w:val="20"/>
                <w:szCs w:val="20"/>
              </w:rPr>
              <w:t>AUC</w:t>
            </w:r>
            <w:r w:rsidRPr="00CF126D">
              <w:rPr>
                <w:sz w:val="20"/>
                <w:szCs w:val="20"/>
                <w:vertAlign w:val="subscript"/>
              </w:rPr>
              <w:t>0–24 h</w:t>
            </w:r>
            <w:r w:rsidRPr="00CF126D">
              <w:rPr>
                <w:sz w:val="20"/>
                <w:szCs w:val="20"/>
              </w:rPr>
              <w:br/>
              <w:t>(</w:t>
            </w:r>
            <w:proofErr w:type="spellStart"/>
            <w:r w:rsidRPr="00CF126D">
              <w:rPr>
                <w:sz w:val="20"/>
                <w:szCs w:val="20"/>
              </w:rPr>
              <w:t>ng∙h</w:t>
            </w:r>
            <w:proofErr w:type="spellEnd"/>
            <w:r w:rsidRPr="00CF126D">
              <w:rPr>
                <w:sz w:val="20"/>
                <w:szCs w:val="20"/>
              </w:rPr>
              <w:t>/</w:t>
            </w:r>
            <w:proofErr w:type="spellStart"/>
            <w:r w:rsidRPr="00CF126D">
              <w:rPr>
                <w:sz w:val="20"/>
                <w:szCs w:val="20"/>
              </w:rPr>
              <w:t>mL</w:t>
            </w:r>
            <w:proofErr w:type="spellEnd"/>
            <w:r w:rsidRPr="00CF126D">
              <w:rPr>
                <w:sz w:val="20"/>
                <w:szCs w:val="20"/>
              </w:rPr>
              <w:t>)</w:t>
            </w:r>
          </w:p>
        </w:tc>
        <w:tc>
          <w:tcPr>
            <w:tcW w:w="1134" w:type="dxa"/>
          </w:tcPr>
          <w:p w:rsidR="004C73CD" w:rsidRPr="00CF126D" w:rsidRDefault="004C73CD" w:rsidP="00F829BF">
            <w:pPr>
              <w:spacing w:before="60" w:after="60"/>
              <w:ind w:left="0" w:right="0"/>
              <w:rPr>
                <w:sz w:val="20"/>
                <w:szCs w:val="20"/>
              </w:rPr>
            </w:pPr>
            <w:r w:rsidRPr="00CF126D">
              <w:rPr>
                <w:sz w:val="20"/>
                <w:szCs w:val="20"/>
              </w:rPr>
              <w:t>Exposure ratio</w:t>
            </w:r>
            <w:r w:rsidRPr="00CF126D">
              <w:rPr>
                <w:sz w:val="20"/>
                <w:szCs w:val="20"/>
                <w:vertAlign w:val="superscript"/>
              </w:rPr>
              <w:t>#</w:t>
            </w:r>
          </w:p>
        </w:tc>
      </w:tr>
      <w:tr w:rsidR="004C73CD" w:rsidRPr="00F829BF" w:rsidTr="00CF126D">
        <w:trPr>
          <w:trHeight w:val="227"/>
        </w:trPr>
        <w:tc>
          <w:tcPr>
            <w:tcW w:w="1418" w:type="dxa"/>
            <w:vMerge w:val="restart"/>
          </w:tcPr>
          <w:p w:rsidR="004C73CD" w:rsidRPr="00F829BF" w:rsidRDefault="004C73CD" w:rsidP="00F829BF">
            <w:pPr>
              <w:spacing w:before="60" w:after="60"/>
              <w:ind w:left="0" w:right="0"/>
              <w:rPr>
                <w:sz w:val="20"/>
                <w:szCs w:val="20"/>
              </w:rPr>
            </w:pPr>
            <w:r w:rsidRPr="00F829BF">
              <w:rPr>
                <w:b/>
                <w:sz w:val="20"/>
                <w:szCs w:val="20"/>
              </w:rPr>
              <w:t>Rabbit</w:t>
            </w:r>
            <w:r w:rsidRPr="00F829BF">
              <w:rPr>
                <w:sz w:val="20"/>
                <w:szCs w:val="20"/>
              </w:rPr>
              <w:br/>
              <w:t>(NZW)</w:t>
            </w:r>
          </w:p>
        </w:tc>
        <w:tc>
          <w:tcPr>
            <w:tcW w:w="2693" w:type="dxa"/>
            <w:vMerge w:val="restart"/>
          </w:tcPr>
          <w:p w:rsidR="004C73CD" w:rsidRPr="00F829BF" w:rsidRDefault="004C73CD" w:rsidP="00CF126D">
            <w:pPr>
              <w:spacing w:before="60" w:after="60"/>
              <w:ind w:left="0" w:right="0"/>
              <w:rPr>
                <w:sz w:val="20"/>
                <w:szCs w:val="20"/>
              </w:rPr>
            </w:pPr>
            <w:proofErr w:type="spellStart"/>
            <w:r w:rsidRPr="00F829BF">
              <w:rPr>
                <w:b/>
                <w:sz w:val="20"/>
                <w:szCs w:val="20"/>
              </w:rPr>
              <w:t>Embryofetal</w:t>
            </w:r>
            <w:proofErr w:type="spellEnd"/>
            <w:r w:rsidRPr="00F829BF">
              <w:rPr>
                <w:b/>
                <w:sz w:val="20"/>
                <w:szCs w:val="20"/>
              </w:rPr>
              <w:t xml:space="preserve"> development</w:t>
            </w:r>
          </w:p>
        </w:tc>
        <w:tc>
          <w:tcPr>
            <w:tcW w:w="885" w:type="dxa"/>
            <w:vMerge w:val="restart"/>
          </w:tcPr>
          <w:p w:rsidR="004C73CD" w:rsidRPr="00F829BF" w:rsidRDefault="004C73CD" w:rsidP="00F829BF">
            <w:pPr>
              <w:spacing w:before="60" w:after="60"/>
              <w:ind w:left="0" w:right="0"/>
              <w:rPr>
                <w:sz w:val="20"/>
                <w:szCs w:val="20"/>
              </w:rPr>
            </w:pPr>
            <w:r w:rsidRPr="00F829BF">
              <w:rPr>
                <w:sz w:val="20"/>
                <w:szCs w:val="20"/>
              </w:rPr>
              <w:t>IV</w:t>
            </w:r>
          </w:p>
        </w:tc>
        <w:tc>
          <w:tcPr>
            <w:tcW w:w="1525" w:type="dxa"/>
          </w:tcPr>
          <w:p w:rsidR="004C73CD" w:rsidRPr="00F829BF" w:rsidRDefault="004C73CD" w:rsidP="00F829BF">
            <w:pPr>
              <w:spacing w:before="60" w:after="60"/>
              <w:ind w:left="0" w:right="0"/>
              <w:rPr>
                <w:sz w:val="20"/>
                <w:szCs w:val="20"/>
              </w:rPr>
            </w:pPr>
            <w:r w:rsidRPr="00F829BF">
              <w:rPr>
                <w:sz w:val="20"/>
                <w:szCs w:val="20"/>
              </w:rPr>
              <w:t>0.72</w:t>
            </w:r>
          </w:p>
        </w:tc>
        <w:tc>
          <w:tcPr>
            <w:tcW w:w="1276" w:type="dxa"/>
          </w:tcPr>
          <w:p w:rsidR="004C73CD" w:rsidRPr="00F829BF" w:rsidRDefault="004C73CD" w:rsidP="00F829BF">
            <w:pPr>
              <w:spacing w:before="60" w:after="60"/>
              <w:ind w:left="0" w:right="0"/>
              <w:rPr>
                <w:sz w:val="20"/>
                <w:szCs w:val="20"/>
              </w:rPr>
            </w:pPr>
            <w:r w:rsidRPr="00F829BF">
              <w:rPr>
                <w:sz w:val="20"/>
                <w:szCs w:val="20"/>
              </w:rPr>
              <w:t>NC</w:t>
            </w:r>
          </w:p>
        </w:tc>
        <w:tc>
          <w:tcPr>
            <w:tcW w:w="1134" w:type="dxa"/>
          </w:tcPr>
          <w:p w:rsidR="004C73CD" w:rsidRPr="00F829BF" w:rsidRDefault="004C73CD" w:rsidP="00F829BF">
            <w:pPr>
              <w:spacing w:before="60" w:after="60"/>
              <w:ind w:left="0" w:right="0"/>
              <w:rPr>
                <w:sz w:val="20"/>
                <w:szCs w:val="20"/>
              </w:rPr>
            </w:pPr>
            <w:r w:rsidRPr="00F829BF">
              <w:rPr>
                <w:sz w:val="20"/>
                <w:szCs w:val="20"/>
              </w:rPr>
              <w:t>-</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2693" w:type="dxa"/>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2.4</w:t>
            </w:r>
          </w:p>
        </w:tc>
        <w:tc>
          <w:tcPr>
            <w:tcW w:w="1276" w:type="dxa"/>
          </w:tcPr>
          <w:p w:rsidR="004C73CD" w:rsidRPr="00F829BF" w:rsidRDefault="004C73CD" w:rsidP="00F829BF">
            <w:pPr>
              <w:spacing w:before="60" w:after="60"/>
              <w:ind w:left="0" w:right="0"/>
              <w:rPr>
                <w:sz w:val="20"/>
                <w:szCs w:val="20"/>
              </w:rPr>
            </w:pPr>
            <w:r w:rsidRPr="00F829BF">
              <w:rPr>
                <w:sz w:val="20"/>
                <w:szCs w:val="20"/>
              </w:rPr>
              <w:t>607</w:t>
            </w:r>
          </w:p>
        </w:tc>
        <w:tc>
          <w:tcPr>
            <w:tcW w:w="1134" w:type="dxa"/>
          </w:tcPr>
          <w:p w:rsidR="004C73CD" w:rsidRPr="00F829BF" w:rsidRDefault="004C73CD" w:rsidP="00F829BF">
            <w:pPr>
              <w:spacing w:before="60" w:after="60"/>
              <w:ind w:left="0" w:right="0"/>
              <w:rPr>
                <w:sz w:val="20"/>
                <w:szCs w:val="20"/>
              </w:rPr>
            </w:pPr>
            <w:r w:rsidRPr="00F829BF">
              <w:rPr>
                <w:sz w:val="20"/>
                <w:szCs w:val="20"/>
              </w:rPr>
              <w:t>2.5</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2693" w:type="dxa"/>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7.2</w:t>
            </w:r>
          </w:p>
        </w:tc>
        <w:tc>
          <w:tcPr>
            <w:tcW w:w="1276" w:type="dxa"/>
          </w:tcPr>
          <w:p w:rsidR="004C73CD" w:rsidRPr="00F829BF" w:rsidRDefault="004C73CD" w:rsidP="00F829BF">
            <w:pPr>
              <w:spacing w:before="60" w:after="60"/>
              <w:ind w:left="0" w:right="0"/>
              <w:rPr>
                <w:sz w:val="20"/>
                <w:szCs w:val="20"/>
              </w:rPr>
            </w:pPr>
            <w:r w:rsidRPr="00F829BF">
              <w:rPr>
                <w:sz w:val="20"/>
                <w:szCs w:val="20"/>
              </w:rPr>
              <w:t>1906</w:t>
            </w:r>
          </w:p>
        </w:tc>
        <w:tc>
          <w:tcPr>
            <w:tcW w:w="1134" w:type="dxa"/>
          </w:tcPr>
          <w:p w:rsidR="004C73CD" w:rsidRPr="00F829BF" w:rsidRDefault="004C73CD" w:rsidP="00F829BF">
            <w:pPr>
              <w:spacing w:before="60" w:after="60"/>
              <w:ind w:left="0" w:right="0"/>
              <w:rPr>
                <w:sz w:val="20"/>
                <w:szCs w:val="20"/>
              </w:rPr>
            </w:pPr>
            <w:r w:rsidRPr="00F829BF">
              <w:rPr>
                <w:sz w:val="20"/>
                <w:szCs w:val="20"/>
              </w:rPr>
              <w:t>8.0</w:t>
            </w:r>
          </w:p>
        </w:tc>
      </w:tr>
      <w:tr w:rsidR="004C73CD" w:rsidRPr="00F829BF" w:rsidTr="00CF126D">
        <w:trPr>
          <w:trHeight w:val="227"/>
        </w:trPr>
        <w:tc>
          <w:tcPr>
            <w:tcW w:w="1418" w:type="dxa"/>
          </w:tcPr>
          <w:p w:rsidR="004C73CD" w:rsidRPr="00F829BF" w:rsidRDefault="004C73CD" w:rsidP="00F829BF">
            <w:pPr>
              <w:spacing w:before="60" w:after="60"/>
              <w:ind w:left="0" w:right="0"/>
              <w:rPr>
                <w:sz w:val="20"/>
                <w:szCs w:val="20"/>
              </w:rPr>
            </w:pPr>
            <w:r w:rsidRPr="00F829BF">
              <w:rPr>
                <w:b/>
                <w:sz w:val="20"/>
                <w:szCs w:val="20"/>
              </w:rPr>
              <w:t>Human</w:t>
            </w:r>
            <w:r w:rsidRPr="00F829BF">
              <w:rPr>
                <w:sz w:val="20"/>
                <w:szCs w:val="20"/>
              </w:rPr>
              <w:br/>
              <w:t>(healthy volunteers)</w:t>
            </w:r>
          </w:p>
        </w:tc>
        <w:tc>
          <w:tcPr>
            <w:tcW w:w="2693" w:type="dxa"/>
          </w:tcPr>
          <w:p w:rsidR="004C73CD" w:rsidRPr="00F829BF" w:rsidRDefault="004C73CD" w:rsidP="00F829BF">
            <w:pPr>
              <w:spacing w:before="60" w:after="60"/>
              <w:ind w:left="0" w:right="0"/>
              <w:rPr>
                <w:sz w:val="20"/>
                <w:szCs w:val="20"/>
              </w:rPr>
            </w:pPr>
            <w:r w:rsidRPr="00F829BF">
              <w:rPr>
                <w:sz w:val="20"/>
                <w:szCs w:val="20"/>
              </w:rPr>
              <w:t>Single dose</w:t>
            </w:r>
          </w:p>
          <w:p w:rsidR="004C73CD" w:rsidRPr="00F829BF" w:rsidRDefault="004C73CD" w:rsidP="00F829BF">
            <w:pPr>
              <w:spacing w:before="60" w:after="60"/>
              <w:ind w:left="0" w:right="0"/>
              <w:rPr>
                <w:sz w:val="20"/>
                <w:szCs w:val="20"/>
              </w:rPr>
            </w:pPr>
            <w:r w:rsidRPr="00F829BF">
              <w:rPr>
                <w:sz w:val="20"/>
                <w:szCs w:val="20"/>
              </w:rPr>
              <w:t>Clinical study 026</w:t>
            </w:r>
          </w:p>
        </w:tc>
        <w:tc>
          <w:tcPr>
            <w:tcW w:w="885" w:type="dxa"/>
          </w:tcPr>
          <w:p w:rsidR="004C73CD" w:rsidRPr="00F829BF" w:rsidRDefault="004C73CD" w:rsidP="00F829BF">
            <w:pPr>
              <w:spacing w:before="60" w:after="60"/>
              <w:ind w:left="0" w:right="0"/>
              <w:rPr>
                <w:sz w:val="20"/>
                <w:szCs w:val="20"/>
              </w:rPr>
            </w:pPr>
            <w:r w:rsidRPr="00F829BF">
              <w:rPr>
                <w:sz w:val="20"/>
                <w:szCs w:val="20"/>
              </w:rPr>
              <w:t>dermal</w:t>
            </w:r>
          </w:p>
        </w:tc>
        <w:tc>
          <w:tcPr>
            <w:tcW w:w="1525" w:type="dxa"/>
          </w:tcPr>
          <w:p w:rsidR="004C73CD" w:rsidRPr="00F829BF" w:rsidRDefault="004C73CD" w:rsidP="00F829BF">
            <w:pPr>
              <w:spacing w:before="60" w:after="60"/>
              <w:ind w:left="0" w:right="0"/>
              <w:rPr>
                <w:sz w:val="20"/>
                <w:szCs w:val="20"/>
              </w:rPr>
            </w:pPr>
            <w:r w:rsidRPr="00F829BF">
              <w:rPr>
                <w:sz w:val="20"/>
                <w:szCs w:val="20"/>
              </w:rPr>
              <w:t>1% ointment</w:t>
            </w:r>
          </w:p>
        </w:tc>
        <w:tc>
          <w:tcPr>
            <w:tcW w:w="1276" w:type="dxa"/>
          </w:tcPr>
          <w:p w:rsidR="004C73CD" w:rsidRPr="00F829BF" w:rsidRDefault="004C73CD" w:rsidP="00F829BF">
            <w:pPr>
              <w:spacing w:before="60" w:after="60"/>
              <w:ind w:left="0" w:right="0"/>
              <w:rPr>
                <w:sz w:val="20"/>
                <w:szCs w:val="20"/>
              </w:rPr>
            </w:pPr>
            <w:r w:rsidRPr="00F829BF">
              <w:rPr>
                <w:sz w:val="20"/>
                <w:szCs w:val="20"/>
              </w:rPr>
              <w:t>238.4</w:t>
            </w:r>
          </w:p>
        </w:tc>
        <w:tc>
          <w:tcPr>
            <w:tcW w:w="1134" w:type="dxa"/>
          </w:tcPr>
          <w:p w:rsidR="004C73CD" w:rsidRPr="00F829BF" w:rsidRDefault="004C73CD" w:rsidP="00F829BF">
            <w:pPr>
              <w:spacing w:before="60" w:after="60"/>
              <w:ind w:left="0" w:right="0"/>
              <w:rPr>
                <w:sz w:val="20"/>
                <w:szCs w:val="20"/>
              </w:rPr>
            </w:pPr>
            <w:r w:rsidRPr="00F829BF">
              <w:rPr>
                <w:sz w:val="20"/>
                <w:szCs w:val="20"/>
              </w:rPr>
              <w:t>–</w:t>
            </w:r>
          </w:p>
        </w:tc>
      </w:tr>
    </w:tbl>
    <w:p w:rsidR="004C73CD" w:rsidRDefault="004C73CD" w:rsidP="00CF126D">
      <w:pPr>
        <w:pStyle w:val="TableDescription"/>
      </w:pPr>
      <w:r w:rsidRPr="00F829BF">
        <w:rPr>
          <w:vertAlign w:val="superscript"/>
        </w:rPr>
        <w:t>#</w:t>
      </w:r>
      <w:r w:rsidRPr="00F829BF">
        <w:t xml:space="preserve"> = </w:t>
      </w:r>
      <w:proofErr w:type="spellStart"/>
      <w:r w:rsidRPr="00F829BF">
        <w:t>animal</w:t>
      </w:r>
      <w:proofErr w:type="gramStart"/>
      <w:r w:rsidRPr="00F829BF">
        <w:t>:human</w:t>
      </w:r>
      <w:proofErr w:type="spellEnd"/>
      <w:proofErr w:type="gramEnd"/>
      <w:r w:rsidRPr="00F829BF">
        <w:t xml:space="preserve"> plasma AUC</w:t>
      </w:r>
      <w:r w:rsidRPr="00F829BF">
        <w:rPr>
          <w:vertAlign w:val="subscript"/>
        </w:rPr>
        <w:t>0–24 h</w:t>
      </w:r>
    </w:p>
    <w:p w:rsidR="004C73CD" w:rsidRPr="00F829BF" w:rsidRDefault="00786F95" w:rsidP="00CF126D">
      <w:pPr>
        <w:pStyle w:val="TableTitle"/>
      </w:pPr>
      <w:proofErr w:type="gramStart"/>
      <w:r>
        <w:t>Table 6</w:t>
      </w:r>
      <w:r w:rsidR="00F829BF" w:rsidRPr="00F829BF">
        <w:t>.</w:t>
      </w:r>
      <w:proofErr w:type="gramEnd"/>
      <w:r w:rsidR="00F829BF" w:rsidRPr="00F829BF">
        <w:t xml:space="preserve"> </w:t>
      </w:r>
      <w:r w:rsidR="004C73CD" w:rsidRPr="00F829BF">
        <w:t>Relative exposure</w:t>
      </w:r>
      <w:r w:rsidR="00F829BF" w:rsidRPr="00F829BF">
        <w:t xml:space="preserve"> in the reproductive toxicity studies based on </w:t>
      </w:r>
      <w:r w:rsidR="00F829BF">
        <w:t>dose</w:t>
      </w:r>
    </w:p>
    <w:tbl>
      <w:tblPr>
        <w:tblStyle w:val="TableTGAblue"/>
        <w:tblW w:w="8789" w:type="dxa"/>
        <w:tblInd w:w="108" w:type="dxa"/>
        <w:tblLayout w:type="fixed"/>
        <w:tblLook w:val="01E0"/>
      </w:tblPr>
      <w:tblGrid>
        <w:gridCol w:w="1418"/>
        <w:gridCol w:w="1169"/>
        <w:gridCol w:w="1524"/>
        <w:gridCol w:w="885"/>
        <w:gridCol w:w="1525"/>
        <w:gridCol w:w="1134"/>
        <w:gridCol w:w="1134"/>
      </w:tblGrid>
      <w:tr w:rsidR="004C73CD" w:rsidRPr="00F829BF" w:rsidTr="00CF126D">
        <w:trPr>
          <w:cnfStyle w:val="100000000000"/>
          <w:tblHeader/>
        </w:trPr>
        <w:tc>
          <w:tcPr>
            <w:tcW w:w="1418" w:type="dxa"/>
          </w:tcPr>
          <w:p w:rsidR="004C73CD" w:rsidRPr="00CF126D" w:rsidRDefault="004C73CD" w:rsidP="00B817F3">
            <w:pPr>
              <w:keepNext/>
              <w:spacing w:before="60" w:after="60"/>
              <w:ind w:left="0" w:right="0"/>
              <w:rPr>
                <w:sz w:val="20"/>
                <w:szCs w:val="20"/>
              </w:rPr>
            </w:pPr>
            <w:r w:rsidRPr="00CF126D">
              <w:rPr>
                <w:sz w:val="20"/>
                <w:szCs w:val="20"/>
              </w:rPr>
              <w:t>Species</w:t>
            </w:r>
          </w:p>
        </w:tc>
        <w:tc>
          <w:tcPr>
            <w:tcW w:w="2693" w:type="dxa"/>
            <w:gridSpan w:val="2"/>
          </w:tcPr>
          <w:p w:rsidR="004C73CD" w:rsidRPr="00CF126D" w:rsidRDefault="004C73CD" w:rsidP="00B817F3">
            <w:pPr>
              <w:keepNext/>
              <w:spacing w:before="60" w:after="60"/>
              <w:ind w:left="0" w:right="0"/>
              <w:rPr>
                <w:sz w:val="20"/>
                <w:szCs w:val="20"/>
              </w:rPr>
            </w:pPr>
            <w:r w:rsidRPr="00CF126D">
              <w:rPr>
                <w:sz w:val="20"/>
                <w:szCs w:val="20"/>
              </w:rPr>
              <w:t xml:space="preserve">Study </w:t>
            </w:r>
          </w:p>
        </w:tc>
        <w:tc>
          <w:tcPr>
            <w:tcW w:w="885" w:type="dxa"/>
          </w:tcPr>
          <w:p w:rsidR="004C73CD" w:rsidRPr="00CF126D" w:rsidRDefault="004C73CD" w:rsidP="00B817F3">
            <w:pPr>
              <w:keepNext/>
              <w:spacing w:before="60" w:after="60"/>
              <w:ind w:left="0" w:right="0"/>
              <w:rPr>
                <w:sz w:val="20"/>
                <w:szCs w:val="20"/>
              </w:rPr>
            </w:pPr>
            <w:r w:rsidRPr="00CF126D">
              <w:rPr>
                <w:sz w:val="20"/>
                <w:szCs w:val="20"/>
              </w:rPr>
              <w:t>route</w:t>
            </w:r>
          </w:p>
        </w:tc>
        <w:tc>
          <w:tcPr>
            <w:tcW w:w="1525" w:type="dxa"/>
          </w:tcPr>
          <w:p w:rsidR="004C73CD" w:rsidRPr="00CF126D" w:rsidRDefault="004C73CD" w:rsidP="00B817F3">
            <w:pPr>
              <w:keepNext/>
              <w:spacing w:before="60" w:after="60"/>
              <w:ind w:left="0" w:right="0"/>
              <w:rPr>
                <w:sz w:val="20"/>
                <w:szCs w:val="20"/>
              </w:rPr>
            </w:pPr>
            <w:r w:rsidRPr="00CF126D">
              <w:rPr>
                <w:sz w:val="20"/>
                <w:szCs w:val="20"/>
              </w:rPr>
              <w:t>Dose</w:t>
            </w:r>
            <w:r w:rsidRPr="00CF126D">
              <w:rPr>
                <w:sz w:val="20"/>
                <w:szCs w:val="20"/>
              </w:rPr>
              <w:br/>
              <w:t>(mg/kg/day)</w:t>
            </w:r>
          </w:p>
        </w:tc>
        <w:tc>
          <w:tcPr>
            <w:tcW w:w="1134" w:type="dxa"/>
          </w:tcPr>
          <w:p w:rsidR="004C73CD" w:rsidRPr="00CF126D" w:rsidRDefault="004C73CD" w:rsidP="00B817F3">
            <w:pPr>
              <w:keepNext/>
              <w:spacing w:before="60" w:after="60"/>
              <w:ind w:left="0" w:right="0"/>
              <w:rPr>
                <w:sz w:val="20"/>
                <w:szCs w:val="20"/>
              </w:rPr>
            </w:pPr>
            <w:r w:rsidRPr="00CF126D">
              <w:rPr>
                <w:sz w:val="20"/>
                <w:szCs w:val="20"/>
              </w:rPr>
              <w:t>mg/m</w:t>
            </w:r>
            <w:r w:rsidRPr="00CF126D">
              <w:rPr>
                <w:sz w:val="20"/>
                <w:szCs w:val="20"/>
                <w:vertAlign w:val="superscript"/>
              </w:rPr>
              <w:t>2</w:t>
            </w:r>
          </w:p>
        </w:tc>
        <w:tc>
          <w:tcPr>
            <w:tcW w:w="1134" w:type="dxa"/>
          </w:tcPr>
          <w:p w:rsidR="004C73CD" w:rsidRPr="00CF126D" w:rsidRDefault="004C73CD" w:rsidP="00B817F3">
            <w:pPr>
              <w:keepNext/>
              <w:spacing w:before="60" w:after="60"/>
              <w:ind w:left="0" w:right="0"/>
              <w:rPr>
                <w:sz w:val="20"/>
                <w:szCs w:val="20"/>
              </w:rPr>
            </w:pPr>
            <w:r w:rsidRPr="00CF126D">
              <w:rPr>
                <w:sz w:val="20"/>
                <w:szCs w:val="20"/>
              </w:rPr>
              <w:t>Dose ratio</w:t>
            </w:r>
          </w:p>
          <w:p w:rsidR="004C73CD" w:rsidRPr="00CF126D" w:rsidRDefault="004C73CD" w:rsidP="00B817F3">
            <w:pPr>
              <w:keepNext/>
              <w:spacing w:before="60" w:after="60"/>
              <w:ind w:left="0" w:right="0"/>
              <w:rPr>
                <w:sz w:val="20"/>
                <w:szCs w:val="20"/>
              </w:rPr>
            </w:pPr>
            <w:r w:rsidRPr="00CF126D">
              <w:rPr>
                <w:sz w:val="20"/>
                <w:szCs w:val="20"/>
              </w:rPr>
              <w:t>(mg/m</w:t>
            </w:r>
            <w:r w:rsidRPr="00CF126D">
              <w:rPr>
                <w:sz w:val="20"/>
                <w:szCs w:val="20"/>
                <w:vertAlign w:val="superscript"/>
              </w:rPr>
              <w:t>2</w:t>
            </w:r>
            <w:r w:rsidRPr="00CF126D">
              <w:rPr>
                <w:sz w:val="20"/>
                <w:szCs w:val="20"/>
              </w:rPr>
              <w:t>)</w:t>
            </w:r>
            <w:r w:rsidRPr="00CF126D">
              <w:rPr>
                <w:sz w:val="20"/>
                <w:szCs w:val="20"/>
                <w:vertAlign w:val="superscript"/>
              </w:rPr>
              <w:t>#</w:t>
            </w:r>
          </w:p>
        </w:tc>
      </w:tr>
      <w:tr w:rsidR="004C73CD" w:rsidRPr="00F829BF" w:rsidTr="00CF126D">
        <w:trPr>
          <w:trHeight w:val="227"/>
        </w:trPr>
        <w:tc>
          <w:tcPr>
            <w:tcW w:w="1418" w:type="dxa"/>
            <w:vMerge w:val="restart"/>
          </w:tcPr>
          <w:p w:rsidR="004C73CD" w:rsidRPr="00F829BF" w:rsidRDefault="004C73CD" w:rsidP="00B817F3">
            <w:pPr>
              <w:keepNext/>
              <w:spacing w:before="60" w:after="60"/>
              <w:ind w:left="0" w:right="0"/>
              <w:rPr>
                <w:sz w:val="20"/>
                <w:szCs w:val="20"/>
              </w:rPr>
            </w:pPr>
            <w:r w:rsidRPr="00F829BF">
              <w:rPr>
                <w:b/>
                <w:sz w:val="20"/>
                <w:szCs w:val="20"/>
              </w:rPr>
              <w:t>Rat</w:t>
            </w:r>
            <w:r w:rsidRPr="00F829BF">
              <w:rPr>
                <w:sz w:val="20"/>
                <w:szCs w:val="20"/>
              </w:rPr>
              <w:br/>
              <w:t>(SD)</w:t>
            </w:r>
          </w:p>
        </w:tc>
        <w:tc>
          <w:tcPr>
            <w:tcW w:w="1169" w:type="dxa"/>
            <w:vMerge w:val="restart"/>
          </w:tcPr>
          <w:p w:rsidR="004C73CD" w:rsidRPr="00F829BF" w:rsidRDefault="004C73CD" w:rsidP="00B817F3">
            <w:pPr>
              <w:keepNext/>
              <w:spacing w:before="60" w:after="60"/>
              <w:ind w:left="0" w:right="0"/>
              <w:rPr>
                <w:sz w:val="20"/>
                <w:szCs w:val="20"/>
              </w:rPr>
            </w:pPr>
            <w:r w:rsidRPr="00F829BF">
              <w:rPr>
                <w:b/>
                <w:sz w:val="20"/>
                <w:szCs w:val="20"/>
              </w:rPr>
              <w:t>Fertility</w:t>
            </w:r>
          </w:p>
        </w:tc>
        <w:tc>
          <w:tcPr>
            <w:tcW w:w="1524" w:type="dxa"/>
            <w:vMerge w:val="restart"/>
          </w:tcPr>
          <w:p w:rsidR="004C73CD" w:rsidRPr="00F829BF" w:rsidRDefault="00F829BF" w:rsidP="00CF126D">
            <w:pPr>
              <w:keepNext/>
              <w:spacing w:before="60" w:after="60"/>
              <w:ind w:left="0" w:right="0"/>
              <w:rPr>
                <w:sz w:val="20"/>
                <w:szCs w:val="20"/>
              </w:rPr>
            </w:pPr>
            <w:r>
              <w:rPr>
                <w:rFonts w:ascii="Times New Roman" w:hAnsi="Times New Roman"/>
                <w:sz w:val="20"/>
                <w:szCs w:val="20"/>
              </w:rPr>
              <w:t>M</w:t>
            </w:r>
            <w:r w:rsidR="0003523F">
              <w:rPr>
                <w:rFonts w:ascii="Times New Roman" w:hAnsi="Times New Roman"/>
                <w:sz w:val="20"/>
                <w:szCs w:val="20"/>
              </w:rPr>
              <w:t>ales</w:t>
            </w:r>
            <w:r w:rsidR="004C73CD" w:rsidRPr="00F829BF">
              <w:rPr>
                <w:sz w:val="20"/>
                <w:szCs w:val="20"/>
              </w:rPr>
              <w:t xml:space="preserve"> treated</w:t>
            </w:r>
          </w:p>
        </w:tc>
        <w:tc>
          <w:tcPr>
            <w:tcW w:w="885" w:type="dxa"/>
            <w:vMerge w:val="restart"/>
          </w:tcPr>
          <w:p w:rsidR="004C73CD" w:rsidRPr="00F829BF" w:rsidRDefault="004C73CD" w:rsidP="00B817F3">
            <w:pPr>
              <w:keepNext/>
              <w:spacing w:before="60" w:after="60"/>
              <w:ind w:left="0" w:right="0"/>
              <w:rPr>
                <w:sz w:val="20"/>
                <w:szCs w:val="20"/>
              </w:rPr>
            </w:pPr>
            <w:r w:rsidRPr="00F829BF">
              <w:rPr>
                <w:sz w:val="20"/>
                <w:szCs w:val="20"/>
              </w:rPr>
              <w:t>PO</w:t>
            </w:r>
          </w:p>
        </w:tc>
        <w:tc>
          <w:tcPr>
            <w:tcW w:w="1525" w:type="dxa"/>
          </w:tcPr>
          <w:p w:rsidR="004C73CD" w:rsidRPr="00F829BF" w:rsidRDefault="004C73CD" w:rsidP="00B817F3">
            <w:pPr>
              <w:keepNext/>
              <w:spacing w:before="60" w:after="60"/>
              <w:ind w:left="0" w:right="0"/>
              <w:rPr>
                <w:sz w:val="20"/>
                <w:szCs w:val="20"/>
              </w:rPr>
            </w:pPr>
            <w:r w:rsidRPr="00F829BF">
              <w:rPr>
                <w:sz w:val="20"/>
                <w:szCs w:val="20"/>
              </w:rPr>
              <w:t>50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300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45</w:t>
            </w:r>
          </w:p>
        </w:tc>
      </w:tr>
      <w:tr w:rsidR="004C73CD" w:rsidRPr="00F829BF" w:rsidTr="00CF126D">
        <w:trPr>
          <w:trHeight w:val="227"/>
        </w:trPr>
        <w:tc>
          <w:tcPr>
            <w:tcW w:w="1418" w:type="dxa"/>
            <w:vMerge/>
          </w:tcPr>
          <w:p w:rsidR="004C73CD" w:rsidRPr="00F829BF" w:rsidRDefault="004C73CD" w:rsidP="00B817F3">
            <w:pPr>
              <w:keepNext/>
              <w:spacing w:before="60" w:after="60"/>
              <w:ind w:left="0" w:right="0"/>
              <w:rPr>
                <w:sz w:val="20"/>
                <w:szCs w:val="20"/>
              </w:rPr>
            </w:pPr>
          </w:p>
        </w:tc>
        <w:tc>
          <w:tcPr>
            <w:tcW w:w="1169" w:type="dxa"/>
            <w:vMerge/>
          </w:tcPr>
          <w:p w:rsidR="004C73CD" w:rsidRPr="00F829BF" w:rsidRDefault="004C73CD" w:rsidP="00B817F3">
            <w:pPr>
              <w:keepNext/>
              <w:spacing w:before="60" w:after="60"/>
              <w:ind w:left="0" w:right="0"/>
              <w:rPr>
                <w:sz w:val="20"/>
                <w:szCs w:val="20"/>
              </w:rPr>
            </w:pPr>
          </w:p>
        </w:tc>
        <w:tc>
          <w:tcPr>
            <w:tcW w:w="1524" w:type="dxa"/>
            <w:vMerge/>
          </w:tcPr>
          <w:p w:rsidR="004C73CD" w:rsidRPr="00F829BF" w:rsidRDefault="004C73CD" w:rsidP="00B817F3">
            <w:pPr>
              <w:keepNext/>
              <w:spacing w:before="60" w:after="60"/>
              <w:ind w:left="0" w:right="0"/>
              <w:rPr>
                <w:sz w:val="20"/>
                <w:szCs w:val="20"/>
              </w:rPr>
            </w:pPr>
          </w:p>
        </w:tc>
        <w:tc>
          <w:tcPr>
            <w:tcW w:w="885" w:type="dxa"/>
            <w:vMerge/>
          </w:tcPr>
          <w:p w:rsidR="004C73CD" w:rsidRPr="00F829BF" w:rsidRDefault="004C73CD" w:rsidP="00B817F3">
            <w:pPr>
              <w:keepNext/>
              <w:spacing w:before="60" w:after="60"/>
              <w:ind w:left="0" w:right="0"/>
              <w:rPr>
                <w:sz w:val="20"/>
                <w:szCs w:val="20"/>
              </w:rPr>
            </w:pPr>
          </w:p>
        </w:tc>
        <w:tc>
          <w:tcPr>
            <w:tcW w:w="1525" w:type="dxa"/>
          </w:tcPr>
          <w:p w:rsidR="004C73CD" w:rsidRPr="00F829BF" w:rsidRDefault="004C73CD" w:rsidP="00B817F3">
            <w:pPr>
              <w:keepNext/>
              <w:spacing w:before="60" w:after="60"/>
              <w:ind w:left="0" w:right="0"/>
              <w:rPr>
                <w:sz w:val="20"/>
                <w:szCs w:val="20"/>
              </w:rPr>
            </w:pPr>
            <w:r w:rsidRPr="00F829BF">
              <w:rPr>
                <w:sz w:val="20"/>
                <w:szCs w:val="20"/>
              </w:rPr>
              <w:t>150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900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136</w:t>
            </w:r>
          </w:p>
        </w:tc>
      </w:tr>
      <w:tr w:rsidR="004C73CD" w:rsidRPr="00F829BF" w:rsidTr="00CF126D">
        <w:trPr>
          <w:trHeight w:val="227"/>
        </w:trPr>
        <w:tc>
          <w:tcPr>
            <w:tcW w:w="1418" w:type="dxa"/>
            <w:vMerge/>
          </w:tcPr>
          <w:p w:rsidR="004C73CD" w:rsidRPr="00F829BF" w:rsidRDefault="004C73CD" w:rsidP="00B817F3">
            <w:pPr>
              <w:keepNext/>
              <w:spacing w:before="60" w:after="60"/>
              <w:ind w:left="0" w:right="0"/>
              <w:rPr>
                <w:sz w:val="20"/>
                <w:szCs w:val="20"/>
              </w:rPr>
            </w:pPr>
          </w:p>
        </w:tc>
        <w:tc>
          <w:tcPr>
            <w:tcW w:w="1169" w:type="dxa"/>
            <w:vMerge/>
          </w:tcPr>
          <w:p w:rsidR="004C73CD" w:rsidRPr="00F829BF" w:rsidRDefault="004C73CD" w:rsidP="00B817F3">
            <w:pPr>
              <w:keepNext/>
              <w:spacing w:before="60" w:after="60"/>
              <w:ind w:left="0" w:right="0"/>
              <w:rPr>
                <w:sz w:val="20"/>
                <w:szCs w:val="20"/>
              </w:rPr>
            </w:pPr>
          </w:p>
        </w:tc>
        <w:tc>
          <w:tcPr>
            <w:tcW w:w="1524" w:type="dxa"/>
            <w:vMerge/>
          </w:tcPr>
          <w:p w:rsidR="004C73CD" w:rsidRPr="00F829BF" w:rsidRDefault="004C73CD" w:rsidP="00B817F3">
            <w:pPr>
              <w:keepNext/>
              <w:spacing w:before="60" w:after="60"/>
              <w:ind w:left="0" w:right="0"/>
              <w:rPr>
                <w:sz w:val="20"/>
                <w:szCs w:val="20"/>
              </w:rPr>
            </w:pPr>
          </w:p>
        </w:tc>
        <w:tc>
          <w:tcPr>
            <w:tcW w:w="885" w:type="dxa"/>
            <w:vMerge/>
          </w:tcPr>
          <w:p w:rsidR="004C73CD" w:rsidRPr="00F829BF" w:rsidRDefault="004C73CD" w:rsidP="00B817F3">
            <w:pPr>
              <w:keepNext/>
              <w:spacing w:before="60" w:after="60"/>
              <w:ind w:left="0" w:right="0"/>
              <w:rPr>
                <w:sz w:val="20"/>
                <w:szCs w:val="20"/>
              </w:rPr>
            </w:pPr>
          </w:p>
        </w:tc>
        <w:tc>
          <w:tcPr>
            <w:tcW w:w="1525" w:type="dxa"/>
          </w:tcPr>
          <w:p w:rsidR="004C73CD" w:rsidRPr="00F829BF" w:rsidRDefault="004C73CD" w:rsidP="00B817F3">
            <w:pPr>
              <w:keepNext/>
              <w:spacing w:before="60" w:after="60"/>
              <w:ind w:left="0" w:right="0"/>
              <w:rPr>
                <w:sz w:val="20"/>
                <w:szCs w:val="20"/>
              </w:rPr>
            </w:pPr>
            <w:r w:rsidRPr="00F829BF">
              <w:rPr>
                <w:sz w:val="20"/>
                <w:szCs w:val="20"/>
              </w:rPr>
              <w:t>450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2700</w:t>
            </w:r>
          </w:p>
        </w:tc>
        <w:tc>
          <w:tcPr>
            <w:tcW w:w="1134" w:type="dxa"/>
          </w:tcPr>
          <w:p w:rsidR="004C73CD" w:rsidRPr="00F829BF" w:rsidRDefault="004C73CD" w:rsidP="00B817F3">
            <w:pPr>
              <w:keepNext/>
              <w:spacing w:before="60" w:after="60"/>
              <w:ind w:left="0" w:right="0"/>
              <w:rPr>
                <w:sz w:val="20"/>
                <w:szCs w:val="20"/>
              </w:rPr>
            </w:pPr>
            <w:r w:rsidRPr="00F829BF">
              <w:rPr>
                <w:sz w:val="20"/>
                <w:szCs w:val="20"/>
              </w:rPr>
              <w:t>409</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1169" w:type="dxa"/>
            <w:vMerge/>
          </w:tcPr>
          <w:p w:rsidR="004C73CD" w:rsidRPr="00F829BF" w:rsidRDefault="004C73CD" w:rsidP="00F829BF">
            <w:pPr>
              <w:spacing w:before="60" w:after="60"/>
              <w:ind w:left="0" w:right="0"/>
              <w:rPr>
                <w:sz w:val="20"/>
                <w:szCs w:val="20"/>
              </w:rPr>
            </w:pPr>
          </w:p>
        </w:tc>
        <w:tc>
          <w:tcPr>
            <w:tcW w:w="1524" w:type="dxa"/>
            <w:vMerge w:val="restart"/>
          </w:tcPr>
          <w:p w:rsidR="004C73CD" w:rsidRPr="00F829BF" w:rsidRDefault="00F829BF" w:rsidP="00CF126D">
            <w:pPr>
              <w:spacing w:before="60" w:after="60"/>
              <w:ind w:left="0" w:right="0"/>
              <w:rPr>
                <w:sz w:val="20"/>
                <w:szCs w:val="20"/>
              </w:rPr>
            </w:pPr>
            <w:r>
              <w:rPr>
                <w:rFonts w:ascii="Times New Roman" w:hAnsi="Times New Roman"/>
                <w:sz w:val="20"/>
                <w:szCs w:val="20"/>
              </w:rPr>
              <w:t>F</w:t>
            </w:r>
            <w:r w:rsidR="0003523F">
              <w:rPr>
                <w:rFonts w:ascii="Times New Roman" w:hAnsi="Times New Roman"/>
                <w:sz w:val="20"/>
                <w:szCs w:val="20"/>
              </w:rPr>
              <w:t>emales</w:t>
            </w:r>
            <w:r w:rsidR="004C73CD" w:rsidRPr="00F829BF">
              <w:rPr>
                <w:sz w:val="20"/>
                <w:szCs w:val="20"/>
              </w:rPr>
              <w:t xml:space="preserve"> treated</w:t>
            </w:r>
          </w:p>
        </w:tc>
        <w:tc>
          <w:tcPr>
            <w:tcW w:w="885" w:type="dxa"/>
            <w:vMerge w:val="restart"/>
          </w:tcPr>
          <w:p w:rsidR="004C73CD" w:rsidRPr="00F829BF" w:rsidRDefault="004C73CD" w:rsidP="00F829BF">
            <w:pPr>
              <w:spacing w:before="60" w:after="60"/>
              <w:ind w:left="0" w:right="0"/>
              <w:rPr>
                <w:sz w:val="20"/>
                <w:szCs w:val="20"/>
              </w:rPr>
            </w:pPr>
            <w:r w:rsidRPr="00F829BF">
              <w:rPr>
                <w:sz w:val="20"/>
                <w:szCs w:val="20"/>
              </w:rPr>
              <w:t>PO</w:t>
            </w:r>
          </w:p>
        </w:tc>
        <w:tc>
          <w:tcPr>
            <w:tcW w:w="1525" w:type="dxa"/>
          </w:tcPr>
          <w:p w:rsidR="004C73CD" w:rsidRPr="00F829BF" w:rsidRDefault="004C73CD" w:rsidP="00F829BF">
            <w:pPr>
              <w:spacing w:before="60" w:after="60"/>
              <w:ind w:left="0" w:right="0"/>
              <w:rPr>
                <w:sz w:val="20"/>
                <w:szCs w:val="20"/>
              </w:rPr>
            </w:pPr>
            <w:r w:rsidRPr="00F829BF">
              <w:rPr>
                <w:sz w:val="20"/>
                <w:szCs w:val="20"/>
              </w:rPr>
              <w:t>50</w:t>
            </w:r>
          </w:p>
        </w:tc>
        <w:tc>
          <w:tcPr>
            <w:tcW w:w="1134" w:type="dxa"/>
          </w:tcPr>
          <w:p w:rsidR="004C73CD" w:rsidRPr="00F829BF" w:rsidRDefault="004C73CD" w:rsidP="00F829BF">
            <w:pPr>
              <w:spacing w:before="60" w:after="60"/>
              <w:ind w:left="0" w:right="0"/>
              <w:rPr>
                <w:sz w:val="20"/>
                <w:szCs w:val="20"/>
              </w:rPr>
            </w:pPr>
            <w:r w:rsidRPr="00F829BF">
              <w:rPr>
                <w:sz w:val="20"/>
                <w:szCs w:val="20"/>
              </w:rPr>
              <w:t>300</w:t>
            </w:r>
          </w:p>
        </w:tc>
        <w:tc>
          <w:tcPr>
            <w:tcW w:w="1134" w:type="dxa"/>
          </w:tcPr>
          <w:p w:rsidR="004C73CD" w:rsidRPr="00F829BF" w:rsidRDefault="004C73CD" w:rsidP="00F829BF">
            <w:pPr>
              <w:spacing w:before="60" w:after="60"/>
              <w:ind w:left="0" w:right="0"/>
              <w:rPr>
                <w:sz w:val="20"/>
                <w:szCs w:val="20"/>
              </w:rPr>
            </w:pPr>
            <w:r w:rsidRPr="00F829BF">
              <w:rPr>
                <w:sz w:val="20"/>
                <w:szCs w:val="20"/>
              </w:rPr>
              <w:t>45</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1169" w:type="dxa"/>
            <w:vMerge/>
          </w:tcPr>
          <w:p w:rsidR="004C73CD" w:rsidRPr="00F829BF" w:rsidRDefault="004C73CD" w:rsidP="00F829BF">
            <w:pPr>
              <w:spacing w:before="60" w:after="60"/>
              <w:ind w:left="0" w:right="0"/>
              <w:rPr>
                <w:sz w:val="20"/>
                <w:szCs w:val="20"/>
              </w:rPr>
            </w:pPr>
          </w:p>
        </w:tc>
        <w:tc>
          <w:tcPr>
            <w:tcW w:w="1524" w:type="dxa"/>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150</w:t>
            </w:r>
          </w:p>
        </w:tc>
        <w:tc>
          <w:tcPr>
            <w:tcW w:w="1134" w:type="dxa"/>
          </w:tcPr>
          <w:p w:rsidR="004C73CD" w:rsidRPr="00F829BF" w:rsidRDefault="004C73CD" w:rsidP="00F829BF">
            <w:pPr>
              <w:spacing w:before="60" w:after="60"/>
              <w:ind w:left="0" w:right="0"/>
              <w:rPr>
                <w:sz w:val="20"/>
                <w:szCs w:val="20"/>
              </w:rPr>
            </w:pPr>
            <w:r w:rsidRPr="00F829BF">
              <w:rPr>
                <w:sz w:val="20"/>
                <w:szCs w:val="20"/>
              </w:rPr>
              <w:t>900</w:t>
            </w:r>
          </w:p>
        </w:tc>
        <w:tc>
          <w:tcPr>
            <w:tcW w:w="1134" w:type="dxa"/>
          </w:tcPr>
          <w:p w:rsidR="004C73CD" w:rsidRPr="00F829BF" w:rsidRDefault="004C73CD" w:rsidP="00F829BF">
            <w:pPr>
              <w:spacing w:before="60" w:after="60"/>
              <w:ind w:left="0" w:right="0"/>
              <w:rPr>
                <w:sz w:val="20"/>
                <w:szCs w:val="20"/>
              </w:rPr>
            </w:pPr>
            <w:r w:rsidRPr="00F829BF">
              <w:rPr>
                <w:sz w:val="20"/>
                <w:szCs w:val="20"/>
              </w:rPr>
              <w:t>136</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1169" w:type="dxa"/>
            <w:vMerge/>
          </w:tcPr>
          <w:p w:rsidR="004C73CD" w:rsidRPr="00F829BF" w:rsidRDefault="004C73CD" w:rsidP="00F829BF">
            <w:pPr>
              <w:spacing w:before="60" w:after="60"/>
              <w:ind w:left="0" w:right="0"/>
              <w:rPr>
                <w:sz w:val="20"/>
                <w:szCs w:val="20"/>
              </w:rPr>
            </w:pPr>
          </w:p>
        </w:tc>
        <w:tc>
          <w:tcPr>
            <w:tcW w:w="1524" w:type="dxa"/>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450</w:t>
            </w:r>
          </w:p>
        </w:tc>
        <w:tc>
          <w:tcPr>
            <w:tcW w:w="1134" w:type="dxa"/>
          </w:tcPr>
          <w:p w:rsidR="004C73CD" w:rsidRPr="00F829BF" w:rsidRDefault="004C73CD" w:rsidP="00F829BF">
            <w:pPr>
              <w:spacing w:before="60" w:after="60"/>
              <w:ind w:left="0" w:right="0"/>
              <w:rPr>
                <w:sz w:val="20"/>
                <w:szCs w:val="20"/>
              </w:rPr>
            </w:pPr>
            <w:r w:rsidRPr="00F829BF">
              <w:rPr>
                <w:sz w:val="20"/>
                <w:szCs w:val="20"/>
              </w:rPr>
              <w:t>2700</w:t>
            </w:r>
          </w:p>
        </w:tc>
        <w:tc>
          <w:tcPr>
            <w:tcW w:w="1134" w:type="dxa"/>
          </w:tcPr>
          <w:p w:rsidR="004C73CD" w:rsidRPr="00F829BF" w:rsidRDefault="004C73CD" w:rsidP="00F829BF">
            <w:pPr>
              <w:spacing w:before="60" w:after="60"/>
              <w:ind w:left="0" w:right="0"/>
              <w:rPr>
                <w:sz w:val="20"/>
                <w:szCs w:val="20"/>
              </w:rPr>
            </w:pPr>
            <w:r w:rsidRPr="00F829BF">
              <w:rPr>
                <w:sz w:val="20"/>
                <w:szCs w:val="20"/>
              </w:rPr>
              <w:t>409</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2693" w:type="dxa"/>
            <w:gridSpan w:val="2"/>
            <w:vMerge w:val="restart"/>
          </w:tcPr>
          <w:p w:rsidR="004C73CD" w:rsidRPr="00F829BF" w:rsidRDefault="004C73CD" w:rsidP="00CF126D">
            <w:pPr>
              <w:spacing w:before="60" w:after="60"/>
              <w:ind w:left="0" w:right="0"/>
              <w:rPr>
                <w:sz w:val="20"/>
                <w:szCs w:val="20"/>
              </w:rPr>
            </w:pPr>
            <w:proofErr w:type="spellStart"/>
            <w:r w:rsidRPr="00F829BF">
              <w:rPr>
                <w:b/>
                <w:sz w:val="20"/>
                <w:szCs w:val="20"/>
              </w:rPr>
              <w:t>Embryofetal</w:t>
            </w:r>
            <w:proofErr w:type="spellEnd"/>
            <w:r w:rsidRPr="00F829BF">
              <w:rPr>
                <w:b/>
                <w:sz w:val="20"/>
                <w:szCs w:val="20"/>
              </w:rPr>
              <w:t xml:space="preserve"> development</w:t>
            </w:r>
          </w:p>
        </w:tc>
        <w:tc>
          <w:tcPr>
            <w:tcW w:w="885" w:type="dxa"/>
            <w:vMerge w:val="restart"/>
          </w:tcPr>
          <w:p w:rsidR="004C73CD" w:rsidRPr="00F829BF" w:rsidRDefault="004C73CD" w:rsidP="00F829BF">
            <w:pPr>
              <w:spacing w:before="60" w:after="60"/>
              <w:ind w:left="0" w:right="0"/>
              <w:rPr>
                <w:sz w:val="20"/>
                <w:szCs w:val="20"/>
              </w:rPr>
            </w:pPr>
            <w:r w:rsidRPr="00F829BF">
              <w:rPr>
                <w:sz w:val="20"/>
                <w:szCs w:val="20"/>
              </w:rPr>
              <w:t>PO</w:t>
            </w:r>
          </w:p>
        </w:tc>
        <w:tc>
          <w:tcPr>
            <w:tcW w:w="1525" w:type="dxa"/>
          </w:tcPr>
          <w:p w:rsidR="004C73CD" w:rsidRPr="00F829BF" w:rsidRDefault="004C73CD" w:rsidP="00F829BF">
            <w:pPr>
              <w:spacing w:before="60" w:after="60"/>
              <w:ind w:left="0" w:right="0"/>
              <w:rPr>
                <w:sz w:val="20"/>
                <w:szCs w:val="20"/>
              </w:rPr>
            </w:pPr>
            <w:r w:rsidRPr="00F829BF">
              <w:rPr>
                <w:sz w:val="20"/>
                <w:szCs w:val="20"/>
              </w:rPr>
              <w:t>50</w:t>
            </w:r>
          </w:p>
        </w:tc>
        <w:tc>
          <w:tcPr>
            <w:tcW w:w="1134" w:type="dxa"/>
          </w:tcPr>
          <w:p w:rsidR="004C73CD" w:rsidRPr="00F829BF" w:rsidRDefault="004C73CD" w:rsidP="00F829BF">
            <w:pPr>
              <w:spacing w:before="60" w:after="60"/>
              <w:ind w:left="0" w:right="0"/>
              <w:rPr>
                <w:sz w:val="20"/>
                <w:szCs w:val="20"/>
              </w:rPr>
            </w:pPr>
            <w:r w:rsidRPr="00F829BF">
              <w:rPr>
                <w:sz w:val="20"/>
                <w:szCs w:val="20"/>
              </w:rPr>
              <w:t>300</w:t>
            </w:r>
          </w:p>
        </w:tc>
        <w:tc>
          <w:tcPr>
            <w:tcW w:w="1134" w:type="dxa"/>
          </w:tcPr>
          <w:p w:rsidR="004C73CD" w:rsidRPr="00F829BF" w:rsidRDefault="004C73CD" w:rsidP="00F829BF">
            <w:pPr>
              <w:spacing w:before="60" w:after="60"/>
              <w:ind w:left="0" w:right="0"/>
              <w:rPr>
                <w:sz w:val="20"/>
                <w:szCs w:val="20"/>
              </w:rPr>
            </w:pPr>
            <w:r w:rsidRPr="00F829BF">
              <w:rPr>
                <w:sz w:val="20"/>
                <w:szCs w:val="20"/>
              </w:rPr>
              <w:t>45</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2693" w:type="dxa"/>
            <w:gridSpan w:val="2"/>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150</w:t>
            </w:r>
          </w:p>
        </w:tc>
        <w:tc>
          <w:tcPr>
            <w:tcW w:w="1134" w:type="dxa"/>
          </w:tcPr>
          <w:p w:rsidR="004C73CD" w:rsidRPr="00F829BF" w:rsidRDefault="004C73CD" w:rsidP="00F829BF">
            <w:pPr>
              <w:spacing w:before="60" w:after="60"/>
              <w:ind w:left="0" w:right="0"/>
              <w:rPr>
                <w:sz w:val="20"/>
                <w:szCs w:val="20"/>
              </w:rPr>
            </w:pPr>
            <w:r w:rsidRPr="00F829BF">
              <w:rPr>
                <w:sz w:val="20"/>
                <w:szCs w:val="20"/>
              </w:rPr>
              <w:t>900</w:t>
            </w:r>
          </w:p>
        </w:tc>
        <w:tc>
          <w:tcPr>
            <w:tcW w:w="1134" w:type="dxa"/>
          </w:tcPr>
          <w:p w:rsidR="004C73CD" w:rsidRPr="00F829BF" w:rsidRDefault="004C73CD" w:rsidP="00F829BF">
            <w:pPr>
              <w:spacing w:before="60" w:after="60"/>
              <w:ind w:left="0" w:right="0"/>
              <w:rPr>
                <w:sz w:val="20"/>
                <w:szCs w:val="20"/>
              </w:rPr>
            </w:pPr>
            <w:r w:rsidRPr="00F829BF">
              <w:rPr>
                <w:sz w:val="20"/>
                <w:szCs w:val="20"/>
              </w:rPr>
              <w:t>136</w:t>
            </w:r>
          </w:p>
        </w:tc>
      </w:tr>
      <w:tr w:rsidR="004C73CD" w:rsidRPr="00F829BF" w:rsidTr="00CF126D">
        <w:trPr>
          <w:trHeight w:val="227"/>
        </w:trPr>
        <w:tc>
          <w:tcPr>
            <w:tcW w:w="1418" w:type="dxa"/>
            <w:vMerge/>
          </w:tcPr>
          <w:p w:rsidR="004C73CD" w:rsidRPr="00F829BF" w:rsidRDefault="004C73CD" w:rsidP="00F829BF">
            <w:pPr>
              <w:spacing w:before="60" w:after="60"/>
              <w:ind w:left="0" w:right="0"/>
              <w:rPr>
                <w:sz w:val="20"/>
                <w:szCs w:val="20"/>
              </w:rPr>
            </w:pPr>
          </w:p>
        </w:tc>
        <w:tc>
          <w:tcPr>
            <w:tcW w:w="2693" w:type="dxa"/>
            <w:gridSpan w:val="2"/>
            <w:vMerge/>
          </w:tcPr>
          <w:p w:rsidR="004C73CD" w:rsidRPr="00F829BF" w:rsidRDefault="004C73CD" w:rsidP="00F829BF">
            <w:pPr>
              <w:spacing w:before="60" w:after="60"/>
              <w:ind w:left="0" w:right="0"/>
              <w:rPr>
                <w:sz w:val="20"/>
                <w:szCs w:val="20"/>
              </w:rPr>
            </w:pPr>
          </w:p>
        </w:tc>
        <w:tc>
          <w:tcPr>
            <w:tcW w:w="885" w:type="dxa"/>
            <w:vMerge/>
          </w:tcPr>
          <w:p w:rsidR="004C73CD" w:rsidRPr="00F829BF" w:rsidRDefault="004C73CD" w:rsidP="00F829BF">
            <w:pPr>
              <w:spacing w:before="60" w:after="60"/>
              <w:ind w:left="0" w:right="0"/>
              <w:rPr>
                <w:sz w:val="20"/>
                <w:szCs w:val="20"/>
              </w:rPr>
            </w:pPr>
          </w:p>
        </w:tc>
        <w:tc>
          <w:tcPr>
            <w:tcW w:w="1525" w:type="dxa"/>
          </w:tcPr>
          <w:p w:rsidR="004C73CD" w:rsidRPr="00F829BF" w:rsidRDefault="004C73CD" w:rsidP="00F829BF">
            <w:pPr>
              <w:spacing w:before="60" w:after="60"/>
              <w:ind w:left="0" w:right="0"/>
              <w:rPr>
                <w:sz w:val="20"/>
                <w:szCs w:val="20"/>
              </w:rPr>
            </w:pPr>
            <w:r w:rsidRPr="00F829BF">
              <w:rPr>
                <w:sz w:val="20"/>
                <w:szCs w:val="20"/>
              </w:rPr>
              <w:t>450</w:t>
            </w:r>
          </w:p>
        </w:tc>
        <w:tc>
          <w:tcPr>
            <w:tcW w:w="1134" w:type="dxa"/>
          </w:tcPr>
          <w:p w:rsidR="004C73CD" w:rsidRPr="00F829BF" w:rsidRDefault="004C73CD" w:rsidP="00F829BF">
            <w:pPr>
              <w:spacing w:before="60" w:after="60"/>
              <w:ind w:left="0" w:right="0"/>
              <w:rPr>
                <w:sz w:val="20"/>
                <w:szCs w:val="20"/>
              </w:rPr>
            </w:pPr>
            <w:r w:rsidRPr="00F829BF">
              <w:rPr>
                <w:sz w:val="20"/>
                <w:szCs w:val="20"/>
              </w:rPr>
              <w:t>2700</w:t>
            </w:r>
          </w:p>
        </w:tc>
        <w:tc>
          <w:tcPr>
            <w:tcW w:w="1134" w:type="dxa"/>
          </w:tcPr>
          <w:p w:rsidR="004C73CD" w:rsidRPr="00F829BF" w:rsidRDefault="004C73CD" w:rsidP="00F829BF">
            <w:pPr>
              <w:spacing w:before="60" w:after="60"/>
              <w:ind w:left="0" w:right="0"/>
              <w:rPr>
                <w:sz w:val="20"/>
                <w:szCs w:val="20"/>
              </w:rPr>
            </w:pPr>
            <w:r w:rsidRPr="00F829BF">
              <w:rPr>
                <w:sz w:val="20"/>
                <w:szCs w:val="20"/>
              </w:rPr>
              <w:t>409</w:t>
            </w:r>
          </w:p>
        </w:tc>
      </w:tr>
      <w:tr w:rsidR="004C73CD" w:rsidRPr="00F829BF" w:rsidTr="00CF126D">
        <w:trPr>
          <w:trHeight w:val="227"/>
        </w:trPr>
        <w:tc>
          <w:tcPr>
            <w:tcW w:w="1418" w:type="dxa"/>
          </w:tcPr>
          <w:p w:rsidR="004C73CD" w:rsidRPr="00F829BF" w:rsidRDefault="004C73CD" w:rsidP="00F829BF">
            <w:pPr>
              <w:spacing w:before="60" w:after="60"/>
              <w:ind w:left="0" w:right="0"/>
              <w:rPr>
                <w:sz w:val="20"/>
                <w:szCs w:val="20"/>
              </w:rPr>
            </w:pPr>
            <w:r w:rsidRPr="00F829BF">
              <w:rPr>
                <w:b/>
                <w:sz w:val="20"/>
                <w:szCs w:val="20"/>
              </w:rPr>
              <w:t>Human</w:t>
            </w:r>
            <w:r w:rsidRPr="00F829BF">
              <w:rPr>
                <w:sz w:val="20"/>
                <w:szCs w:val="20"/>
              </w:rPr>
              <w:br/>
              <w:t>(healthy volunteers)</w:t>
            </w:r>
          </w:p>
        </w:tc>
        <w:tc>
          <w:tcPr>
            <w:tcW w:w="2693" w:type="dxa"/>
            <w:gridSpan w:val="2"/>
          </w:tcPr>
          <w:p w:rsidR="004C73CD" w:rsidRPr="00F829BF" w:rsidRDefault="004C73CD" w:rsidP="00F829BF">
            <w:pPr>
              <w:spacing w:before="60" w:after="60"/>
              <w:ind w:left="0" w:right="0"/>
              <w:rPr>
                <w:sz w:val="20"/>
                <w:szCs w:val="20"/>
              </w:rPr>
            </w:pPr>
            <w:r w:rsidRPr="00F829BF">
              <w:rPr>
                <w:sz w:val="20"/>
                <w:szCs w:val="20"/>
              </w:rPr>
              <w:t>Single dose</w:t>
            </w:r>
          </w:p>
          <w:p w:rsidR="004C73CD" w:rsidRPr="00F829BF" w:rsidRDefault="004C73CD" w:rsidP="00F829BF">
            <w:pPr>
              <w:spacing w:before="60" w:after="60"/>
              <w:ind w:left="0" w:right="0"/>
              <w:rPr>
                <w:sz w:val="20"/>
                <w:szCs w:val="20"/>
              </w:rPr>
            </w:pPr>
            <w:r w:rsidRPr="00F829BF">
              <w:rPr>
                <w:sz w:val="20"/>
                <w:szCs w:val="20"/>
              </w:rPr>
              <w:t>Clinical study 026</w:t>
            </w:r>
          </w:p>
        </w:tc>
        <w:tc>
          <w:tcPr>
            <w:tcW w:w="885" w:type="dxa"/>
          </w:tcPr>
          <w:p w:rsidR="004C73CD" w:rsidRPr="00F829BF" w:rsidRDefault="004C73CD" w:rsidP="00F829BF">
            <w:pPr>
              <w:spacing w:before="60" w:after="60"/>
              <w:ind w:left="0" w:right="0"/>
              <w:rPr>
                <w:sz w:val="20"/>
                <w:szCs w:val="20"/>
              </w:rPr>
            </w:pPr>
            <w:r w:rsidRPr="00F829BF">
              <w:rPr>
                <w:sz w:val="20"/>
                <w:szCs w:val="20"/>
              </w:rPr>
              <w:t>dermal</w:t>
            </w:r>
          </w:p>
        </w:tc>
        <w:tc>
          <w:tcPr>
            <w:tcW w:w="1525" w:type="dxa"/>
          </w:tcPr>
          <w:p w:rsidR="004C73CD" w:rsidRPr="00F829BF" w:rsidRDefault="004C73CD" w:rsidP="00F829BF">
            <w:pPr>
              <w:spacing w:before="60" w:after="60"/>
              <w:ind w:left="0" w:right="0"/>
              <w:rPr>
                <w:sz w:val="20"/>
                <w:szCs w:val="20"/>
              </w:rPr>
            </w:pPr>
            <w:r w:rsidRPr="00F829BF">
              <w:rPr>
                <w:sz w:val="20"/>
                <w:szCs w:val="20"/>
              </w:rPr>
              <w:t>0.2</w:t>
            </w:r>
            <w:r w:rsidRPr="00F829BF">
              <w:rPr>
                <w:sz w:val="20"/>
                <w:szCs w:val="20"/>
                <w:vertAlign w:val="superscript"/>
              </w:rPr>
              <w:t>a</w:t>
            </w:r>
          </w:p>
        </w:tc>
        <w:tc>
          <w:tcPr>
            <w:tcW w:w="1134" w:type="dxa"/>
          </w:tcPr>
          <w:p w:rsidR="004C73CD" w:rsidRPr="00F829BF" w:rsidRDefault="004C73CD" w:rsidP="00F829BF">
            <w:pPr>
              <w:spacing w:before="60" w:after="60"/>
              <w:ind w:left="0" w:right="0"/>
              <w:rPr>
                <w:sz w:val="20"/>
                <w:szCs w:val="20"/>
              </w:rPr>
            </w:pPr>
            <w:r w:rsidRPr="00F829BF">
              <w:rPr>
                <w:sz w:val="20"/>
                <w:szCs w:val="20"/>
              </w:rPr>
              <w:t>6.6</w:t>
            </w:r>
          </w:p>
        </w:tc>
        <w:tc>
          <w:tcPr>
            <w:tcW w:w="1134" w:type="dxa"/>
          </w:tcPr>
          <w:p w:rsidR="004C73CD" w:rsidRPr="00F829BF" w:rsidRDefault="004C73CD" w:rsidP="00F829BF">
            <w:pPr>
              <w:spacing w:before="60" w:after="60"/>
              <w:ind w:left="0" w:right="0"/>
              <w:rPr>
                <w:sz w:val="20"/>
                <w:szCs w:val="20"/>
              </w:rPr>
            </w:pPr>
            <w:r w:rsidRPr="00F829BF">
              <w:rPr>
                <w:sz w:val="20"/>
                <w:szCs w:val="20"/>
              </w:rPr>
              <w:t>–</w:t>
            </w:r>
          </w:p>
        </w:tc>
      </w:tr>
    </w:tbl>
    <w:p w:rsidR="004C73CD" w:rsidRPr="00CA4B19" w:rsidRDefault="004C73CD" w:rsidP="00CF126D">
      <w:pPr>
        <w:pStyle w:val="TableDescription"/>
      </w:pPr>
      <w:proofErr w:type="spellStart"/>
      <w:proofErr w:type="gramStart"/>
      <w:r w:rsidRPr="00CA4B19">
        <w:rPr>
          <w:vertAlign w:val="superscript"/>
        </w:rPr>
        <w:t>a</w:t>
      </w:r>
      <w:proofErr w:type="spellEnd"/>
      <w:proofErr w:type="gramEnd"/>
      <w:r w:rsidRPr="00CA4B19">
        <w:t xml:space="preserve"> The maximum amount of retapamulin ointment applied per dose to a subject was estimated to be 200 to 500 mg per 100 cm</w:t>
      </w:r>
      <w:r w:rsidRPr="00CA4B19">
        <w:rPr>
          <w:vertAlign w:val="superscript"/>
        </w:rPr>
        <w:t xml:space="preserve">2 </w:t>
      </w:r>
      <w:r w:rsidRPr="00CA4B19">
        <w:t>by the sponsor in the clinical overview document. For BD dosing, the total daily dose applied is estimated to be 0.4 to 1 g of 1% retapamulin ointment per 100 cm</w:t>
      </w:r>
      <w:r w:rsidRPr="00CA4B19">
        <w:rPr>
          <w:vertAlign w:val="superscript"/>
        </w:rPr>
        <w:t>2</w:t>
      </w:r>
      <w:r w:rsidRPr="00CA4B19">
        <w:t>. This corresponds to 4 to 10 mg of retapamulin. Conversion to mg/kg for a 50kg human gives a daily dose of 0.2 mg/kg. Conversion to mg/m</w:t>
      </w:r>
      <w:r w:rsidRPr="00CA4B19">
        <w:rPr>
          <w:vertAlign w:val="superscript"/>
        </w:rPr>
        <w:t>2</w:t>
      </w:r>
      <w:r w:rsidRPr="00CA4B19">
        <w:t xml:space="preserve"> was calculated using a factor of 33 for human and of 6 for rat. # Dose ratios were calculated using </w:t>
      </w:r>
      <w:r w:rsidR="00CF126D">
        <w:t>human adult body surface areas.</w:t>
      </w:r>
    </w:p>
    <w:p w:rsidR="004C73CD" w:rsidRPr="004C73CD" w:rsidRDefault="004C73CD" w:rsidP="004C73CD">
      <w:r w:rsidRPr="004C73CD">
        <w:t>No effects on male or female fertility or early embryonic development were observed in male or female rats treated with doses ≤ 450</w:t>
      </w:r>
      <w:r w:rsidR="00730A0D">
        <w:t> </w:t>
      </w:r>
      <w:r w:rsidRPr="004C73CD">
        <w:t>mg/kg/day (dose ratio 409), NOAEL 450</w:t>
      </w:r>
      <w:r w:rsidR="0003523F">
        <w:t> </w:t>
      </w:r>
      <w:r w:rsidRPr="004C73CD">
        <w:t xml:space="preserve">mg/kg/day. </w:t>
      </w:r>
      <w:proofErr w:type="spellStart"/>
      <w:r w:rsidRPr="004C73CD">
        <w:t>Embryofetal</w:t>
      </w:r>
      <w:proofErr w:type="spellEnd"/>
      <w:r w:rsidRPr="004C73CD">
        <w:t xml:space="preserve"> development studies showed decreased </w:t>
      </w:r>
      <w:proofErr w:type="spellStart"/>
      <w:r w:rsidRPr="004C73CD">
        <w:t>fetal</w:t>
      </w:r>
      <w:proofErr w:type="spellEnd"/>
      <w:r w:rsidRPr="004C73CD">
        <w:t xml:space="preserve"> body weight and incomplete </w:t>
      </w:r>
      <w:r w:rsidRPr="004C73CD">
        <w:lastRenderedPageBreak/>
        <w:t>ossification from 150</w:t>
      </w:r>
      <w:r w:rsidR="00730A0D">
        <w:t> </w:t>
      </w:r>
      <w:r w:rsidRPr="004C73CD">
        <w:t>mg/kg/day PO in rats (dose ratio 136). Maternal body weight gain was decreased only at 450</w:t>
      </w:r>
      <w:r w:rsidR="00730A0D">
        <w:t> </w:t>
      </w:r>
      <w:r w:rsidRPr="004C73CD">
        <w:t>mg/kg/day in rats (dose ratio 409) and 7.2</w:t>
      </w:r>
      <w:r w:rsidR="00730A0D">
        <w:t> </w:t>
      </w:r>
      <w:r w:rsidRPr="004C73CD">
        <w:t xml:space="preserve">mg/kg IV (continuous perfusion) in rabbits (exposure ratio 8). In rabbits massive chronic </w:t>
      </w:r>
      <w:proofErr w:type="spellStart"/>
      <w:r w:rsidRPr="004C73CD">
        <w:t>suppurative</w:t>
      </w:r>
      <w:proofErr w:type="spellEnd"/>
      <w:r w:rsidRPr="004C73CD">
        <w:t xml:space="preserve"> phlebitis was observed at the infusion site at 0.72 and 7.2 mg/kg/day. The NOAEL for </w:t>
      </w:r>
      <w:proofErr w:type="spellStart"/>
      <w:r w:rsidRPr="004C73CD">
        <w:t>fetal</w:t>
      </w:r>
      <w:proofErr w:type="spellEnd"/>
      <w:r w:rsidRPr="004C73CD">
        <w:t xml:space="preserve"> development in rats was 50 mg/kg/day PO. The dose ratio at NOAEL is 45. The NOAEL for </w:t>
      </w:r>
      <w:proofErr w:type="spellStart"/>
      <w:r w:rsidRPr="004C73CD">
        <w:t>embryofetal</w:t>
      </w:r>
      <w:proofErr w:type="spellEnd"/>
      <w:r w:rsidRPr="004C73CD">
        <w:t xml:space="preserve"> development in rabbits was 7.2mg/kg/day IV (relative plasma AUC exposure ratio 8). No evidence of </w:t>
      </w:r>
      <w:proofErr w:type="spellStart"/>
      <w:r w:rsidRPr="004C73CD">
        <w:t>teratogenic</w:t>
      </w:r>
      <w:proofErr w:type="spellEnd"/>
      <w:r w:rsidRPr="004C73CD">
        <w:t xml:space="preserve"> effects wa</w:t>
      </w:r>
      <w:r w:rsidR="00CF126D">
        <w:t>s observed in rats and rabbits.</w:t>
      </w:r>
    </w:p>
    <w:p w:rsidR="004C73CD" w:rsidRPr="004C73CD" w:rsidRDefault="004C73CD" w:rsidP="00730A0D">
      <w:pPr>
        <w:pStyle w:val="Heading5"/>
      </w:pPr>
      <w:r w:rsidRPr="004C73CD">
        <w:t>Pregnancy classification</w:t>
      </w:r>
    </w:p>
    <w:p w:rsidR="004C73CD" w:rsidRPr="004C73CD" w:rsidRDefault="004C73CD" w:rsidP="004C73CD">
      <w:r w:rsidRPr="004C73CD">
        <w:t xml:space="preserve">The sponsor has </w:t>
      </w:r>
      <w:r w:rsidR="00CF126D">
        <w:t>proposed Pregnancy Category B3.</w:t>
      </w:r>
    </w:p>
    <w:p w:rsidR="004C73CD" w:rsidRPr="00730A0D" w:rsidRDefault="00730A0D" w:rsidP="004C73CD">
      <w:pPr>
        <w:rPr>
          <w:i/>
          <w:iCs/>
        </w:rPr>
      </w:pPr>
      <w:r>
        <w:t xml:space="preserve">The definition of </w:t>
      </w:r>
      <w:r w:rsidR="004C73CD" w:rsidRPr="004C73CD">
        <w:t>Category B3 is</w:t>
      </w:r>
      <w:r>
        <w:t>:</w:t>
      </w:r>
      <w:r w:rsidR="004C73CD" w:rsidRPr="004C73CD">
        <w:t xml:space="preserve"> </w:t>
      </w:r>
      <w:r w:rsidR="004C73CD" w:rsidRPr="00730A0D">
        <w:rPr>
          <w:i/>
          <w:iCs/>
        </w:rPr>
        <w:t>“drugs which have been taken by only a limited number of pregnant women and women of childbearing age, without an increase in the frequency of malformation or other direct or indirect harmful effects on the human foetus having been observed.</w:t>
      </w:r>
    </w:p>
    <w:p w:rsidR="004C73CD" w:rsidRPr="004C73CD" w:rsidRDefault="004C73CD" w:rsidP="004C73CD">
      <w:r w:rsidRPr="00730A0D">
        <w:rPr>
          <w:i/>
          <w:iCs/>
        </w:rPr>
        <w:t xml:space="preserve">Studies in animals have shown evidence of an increased occurrence of </w:t>
      </w:r>
      <w:proofErr w:type="spellStart"/>
      <w:r w:rsidRPr="00730A0D">
        <w:rPr>
          <w:i/>
          <w:iCs/>
        </w:rPr>
        <w:t>fetal</w:t>
      </w:r>
      <w:proofErr w:type="spellEnd"/>
      <w:r w:rsidRPr="00730A0D">
        <w:rPr>
          <w:i/>
          <w:iCs/>
        </w:rPr>
        <w:t xml:space="preserve"> damage, the significance of which is considered uncertain in humans.”</w:t>
      </w:r>
    </w:p>
    <w:p w:rsidR="004C73CD" w:rsidRPr="004C73CD" w:rsidRDefault="004C73CD" w:rsidP="004C73CD">
      <w:r w:rsidRPr="004C73CD">
        <w:t xml:space="preserve">This is appropriate from a nonclinical perspective due to the findings of decreased </w:t>
      </w:r>
      <w:proofErr w:type="spellStart"/>
      <w:r w:rsidRPr="004C73CD">
        <w:t>fetal</w:t>
      </w:r>
      <w:proofErr w:type="spellEnd"/>
      <w:r w:rsidRPr="004C73CD">
        <w:t xml:space="preserve"> growth and incomplete ossification in rats. The appropriateness of this category from a clinical perspective is not evaluated in this nonclinical report</w:t>
      </w:r>
      <w:r w:rsidR="00CF126D">
        <w:t xml:space="preserve"> and requires clinical comment.</w:t>
      </w:r>
    </w:p>
    <w:p w:rsidR="004C73CD" w:rsidRPr="004C73CD" w:rsidRDefault="00CF126D" w:rsidP="00730A0D">
      <w:pPr>
        <w:pStyle w:val="Heading4"/>
      </w:pPr>
      <w:r>
        <w:t>Local tolerance</w:t>
      </w:r>
    </w:p>
    <w:p w:rsidR="004C73CD" w:rsidRPr="004C73CD" w:rsidRDefault="004C73CD" w:rsidP="004C73CD">
      <w:r w:rsidRPr="004C73CD">
        <w:t>Retapamulin act</w:t>
      </w:r>
      <w:r w:rsidR="008658F2">
        <w:t>s as a dermal irritant in mice</w:t>
      </w:r>
      <w:r w:rsidRPr="004C73CD">
        <w:t>, rabbits and guinea-pigs, consistent with rabbit findings in the dermal repeat-dose studies. Retapamulin d</w:t>
      </w:r>
      <w:r w:rsidR="008658F2">
        <w:t>id not act as a contact sensitis</w:t>
      </w:r>
      <w:r w:rsidRPr="004C73CD">
        <w:t xml:space="preserve">er in mice but showed mild sensitizing potential in guinea-pigs. Reactions upon injection were more severe and included minimal to moderate necrosis of </w:t>
      </w:r>
      <w:proofErr w:type="spellStart"/>
      <w:r w:rsidRPr="004C73CD">
        <w:t>cutaneous</w:t>
      </w:r>
      <w:proofErr w:type="spellEnd"/>
      <w:r w:rsidRPr="004C73CD">
        <w:t xml:space="preserve"> muscle (</w:t>
      </w:r>
      <w:r w:rsidR="008658F2">
        <w:t xml:space="preserve">subcutaneous, </w:t>
      </w:r>
      <w:r w:rsidRPr="004C73CD">
        <w:t>SC), mild to moderate necrosis of skeletal muscle (</w:t>
      </w:r>
      <w:r w:rsidR="008658F2">
        <w:t xml:space="preserve">intramuscular, </w:t>
      </w:r>
      <w:r w:rsidRPr="004C73CD">
        <w:t xml:space="preserve">IM) in rabbits. In an </w:t>
      </w:r>
      <w:proofErr w:type="spellStart"/>
      <w:r w:rsidRPr="004C73CD">
        <w:t>embryofetal</w:t>
      </w:r>
      <w:proofErr w:type="spellEnd"/>
      <w:r w:rsidRPr="004C73CD">
        <w:t xml:space="preserve"> development study in rabbits, IV injection induced massive chronic </w:t>
      </w:r>
      <w:proofErr w:type="spellStart"/>
      <w:r w:rsidRPr="004C73CD">
        <w:t>suppurative</w:t>
      </w:r>
      <w:proofErr w:type="spellEnd"/>
      <w:r w:rsidRPr="004C73CD">
        <w:t xml:space="preserve"> phlebitis. There were no studies of eye irritancy. The US product </w:t>
      </w:r>
      <w:r w:rsidR="008658F2">
        <w:t>i</w:t>
      </w:r>
      <w:r w:rsidRPr="004C73CD">
        <w:t xml:space="preserve">nformation states that </w:t>
      </w:r>
      <w:proofErr w:type="spellStart"/>
      <w:r w:rsidRPr="004C73CD">
        <w:t>epistaxis</w:t>
      </w:r>
      <w:proofErr w:type="spellEnd"/>
      <w:r w:rsidRPr="004C73CD">
        <w:t xml:space="preserve"> has been reported with retapamulin use on nasal mucos</w:t>
      </w:r>
      <w:r w:rsidR="00CF126D">
        <w:t>a.</w:t>
      </w:r>
    </w:p>
    <w:p w:rsidR="004C73CD" w:rsidRPr="004C73CD" w:rsidRDefault="004C73CD" w:rsidP="004C73CD">
      <w:r w:rsidRPr="004C73CD">
        <w:t xml:space="preserve">The </w:t>
      </w:r>
      <w:r w:rsidRPr="008658F2">
        <w:rPr>
          <w:i/>
          <w:iCs/>
        </w:rPr>
        <w:t>Precautions</w:t>
      </w:r>
      <w:r w:rsidRPr="004C73CD">
        <w:t xml:space="preserve"> section of the </w:t>
      </w:r>
      <w:r w:rsidR="008658F2">
        <w:t xml:space="preserve">proposed </w:t>
      </w:r>
      <w:r w:rsidRPr="004C73CD">
        <w:t>PI stat</w:t>
      </w:r>
      <w:r w:rsidR="008658F2">
        <w:t>es that in the event of sensitis</w:t>
      </w:r>
      <w:r w:rsidRPr="004C73CD">
        <w:t>ation or severe local irritation, treatment should be discontinued, the ointment wiped off, and alternative therapy instituted. It also states that retapamulin should not be used in the eyes, on or mucous membranes, including the nasal mucosa. Th</w:t>
      </w:r>
      <w:r w:rsidR="00CF126D">
        <w:t>ese statements are appropriate.</w:t>
      </w:r>
    </w:p>
    <w:p w:rsidR="004C73CD" w:rsidRPr="004C73CD" w:rsidRDefault="004C73CD" w:rsidP="008658F2">
      <w:pPr>
        <w:pStyle w:val="Heading4"/>
      </w:pPr>
      <w:proofErr w:type="spellStart"/>
      <w:r w:rsidRPr="004C73CD">
        <w:t>Antigenicity</w:t>
      </w:r>
      <w:proofErr w:type="spellEnd"/>
    </w:p>
    <w:p w:rsidR="004C73CD" w:rsidRPr="004C73CD" w:rsidRDefault="004C73CD" w:rsidP="008658F2">
      <w:pPr>
        <w:pStyle w:val="Heading5"/>
      </w:pPr>
      <w:r w:rsidRPr="004C73CD">
        <w:t>Skin sensiti</w:t>
      </w:r>
      <w:r w:rsidR="008658F2">
        <w:t>s</w:t>
      </w:r>
      <w:r w:rsidRPr="004C73CD">
        <w:t>ation</w:t>
      </w:r>
    </w:p>
    <w:p w:rsidR="004C73CD" w:rsidRPr="004C73CD" w:rsidRDefault="004C73CD" w:rsidP="004C73CD">
      <w:r w:rsidRPr="004C73CD">
        <w:t xml:space="preserve">Retapamulin was shown not to act as a contact sensitizer in mice but showed mild sensitizing potential in guinea pigs. The </w:t>
      </w:r>
      <w:r w:rsidR="008658F2">
        <w:t xml:space="preserve">sponsor’s </w:t>
      </w:r>
      <w:r w:rsidRPr="004C73CD">
        <w:t>clinical overview reported lo</w:t>
      </w:r>
      <w:r w:rsidR="008658F2">
        <w:t>w potential for contact sensitis</w:t>
      </w:r>
      <w:r w:rsidRPr="004C73CD">
        <w:t>ation with retapamulin in</w:t>
      </w:r>
      <w:r w:rsidR="008658F2">
        <w:t xml:space="preserve"> humans. The finding of sensitis</w:t>
      </w:r>
      <w:r w:rsidRPr="004C73CD">
        <w:t>ation in guinea pigs is therefore considered not to be clinically relevant</w:t>
      </w:r>
      <w:r w:rsidR="008658F2">
        <w:t>.</w:t>
      </w:r>
    </w:p>
    <w:p w:rsidR="004C73CD" w:rsidRPr="004C73CD" w:rsidRDefault="004C73CD" w:rsidP="008658F2">
      <w:pPr>
        <w:pStyle w:val="Heading4"/>
      </w:pPr>
      <w:proofErr w:type="spellStart"/>
      <w:r w:rsidRPr="004C73CD">
        <w:t>Photosafety</w:t>
      </w:r>
      <w:proofErr w:type="spellEnd"/>
    </w:p>
    <w:p w:rsidR="004C73CD" w:rsidRPr="004C73CD" w:rsidRDefault="004C73CD" w:rsidP="004C73CD">
      <w:proofErr w:type="spellStart"/>
      <w:r w:rsidRPr="004C73CD">
        <w:t>Photosafety</w:t>
      </w:r>
      <w:proofErr w:type="spellEnd"/>
      <w:r w:rsidRPr="004C73CD">
        <w:t xml:space="preserve"> testing is warranted for those chemicals that absorb l</w:t>
      </w:r>
      <w:r w:rsidR="008658F2">
        <w:t>ight in the wavelength of 290-</w:t>
      </w:r>
      <w:r w:rsidRPr="004C73CD">
        <w:t>700 nm and are either topically applied, or reach the skin or eyes following systemic exposure (</w:t>
      </w:r>
      <w:r w:rsidRPr="008658F2">
        <w:rPr>
          <w:i/>
          <w:iCs/>
        </w:rPr>
        <w:t xml:space="preserve">Note for Guidance on </w:t>
      </w:r>
      <w:proofErr w:type="spellStart"/>
      <w:r w:rsidRPr="008658F2">
        <w:rPr>
          <w:i/>
          <w:iCs/>
        </w:rPr>
        <w:t>Photosafety</w:t>
      </w:r>
      <w:proofErr w:type="spellEnd"/>
      <w:r w:rsidRPr="008658F2">
        <w:rPr>
          <w:i/>
          <w:iCs/>
        </w:rPr>
        <w:t xml:space="preserve"> Testing</w:t>
      </w:r>
      <w:r w:rsidRPr="004C73CD">
        <w:t>; CPMP/SWP/398/01). Retapamulin did not exhibit absorbance in this range, though the white soft paraffin ointment base exhibited a low level of absorption</w:t>
      </w:r>
      <w:r w:rsidR="008658F2">
        <w:t xml:space="preserve"> due to a tail from a peak at approximately </w:t>
      </w:r>
      <w:r w:rsidRPr="004C73CD">
        <w:t xml:space="preserve">270 nm. Due to the wide spread use of white soft paraffin in dermal prescription and non prescription medicines, and the lack of </w:t>
      </w:r>
      <w:r w:rsidRPr="004C73CD">
        <w:lastRenderedPageBreak/>
        <w:t xml:space="preserve">absorption exhibited by retapamulin the lack of </w:t>
      </w:r>
      <w:proofErr w:type="spellStart"/>
      <w:r w:rsidRPr="004C73CD">
        <w:t>phototoxicity</w:t>
      </w:r>
      <w:proofErr w:type="spellEnd"/>
      <w:r w:rsidRPr="004C73CD">
        <w:t xml:space="preserve"> stu</w:t>
      </w:r>
      <w:r w:rsidR="00E9404C">
        <w:t>dies was considered acceptable.</w:t>
      </w:r>
    </w:p>
    <w:p w:rsidR="00B70341" w:rsidRDefault="00B70341" w:rsidP="00B70341">
      <w:pPr>
        <w:pStyle w:val="Heading4"/>
        <w:rPr>
          <w:kern w:val="22"/>
        </w:rPr>
      </w:pPr>
      <w:r>
        <w:rPr>
          <w:kern w:val="22"/>
        </w:rPr>
        <w:t>Impurities</w:t>
      </w:r>
    </w:p>
    <w:p w:rsidR="00B70341" w:rsidRDefault="00B70341" w:rsidP="00B70341">
      <w:pPr>
        <w:rPr>
          <w:kern w:val="22"/>
        </w:rPr>
      </w:pPr>
      <w:r w:rsidRPr="00B70341">
        <w:rPr>
          <w:kern w:val="22"/>
        </w:rPr>
        <w:t>Though four of the impurities contained in the retapamulin drug substance exceeded the threshold for qualification, the daily intake of these impurities at the maximum recommen</w:t>
      </w:r>
      <w:r w:rsidR="00AC3915">
        <w:rPr>
          <w:kern w:val="22"/>
        </w:rPr>
        <w:t>ded human dose of 10 mg</w:t>
      </w:r>
      <w:r w:rsidR="006001F8">
        <w:rPr>
          <w:kern w:val="22"/>
        </w:rPr>
        <w:t xml:space="preserve"> is</w:t>
      </w:r>
      <w:r w:rsidR="00AC3915">
        <w:rPr>
          <w:kern w:val="22"/>
        </w:rPr>
        <w:t xml:space="preserve"> </w:t>
      </w:r>
      <w:r w:rsidRPr="00B70341">
        <w:rPr>
          <w:kern w:val="22"/>
        </w:rPr>
        <w:t>below the threshold of toxicological concern. None of these impurities requir</w:t>
      </w:r>
      <w:r w:rsidR="00E9404C">
        <w:rPr>
          <w:kern w:val="22"/>
        </w:rPr>
        <w:t>es toxicological qualification.</w:t>
      </w:r>
    </w:p>
    <w:p w:rsidR="00D37B36" w:rsidRPr="00D37B36" w:rsidRDefault="00D37B36" w:rsidP="00AC3915">
      <w:pPr>
        <w:pStyle w:val="Heading4"/>
        <w:rPr>
          <w:kern w:val="22"/>
        </w:rPr>
      </w:pPr>
      <w:r w:rsidRPr="00D37B36">
        <w:rPr>
          <w:kern w:val="22"/>
        </w:rPr>
        <w:t>Paediatric use</w:t>
      </w:r>
    </w:p>
    <w:p w:rsidR="00D37B36" w:rsidRPr="00D37B36" w:rsidRDefault="00D37B36" w:rsidP="00D37B36">
      <w:pPr>
        <w:rPr>
          <w:kern w:val="22"/>
        </w:rPr>
      </w:pPr>
      <w:r w:rsidRPr="00D37B36">
        <w:rPr>
          <w:kern w:val="22"/>
        </w:rPr>
        <w:t xml:space="preserve">Retapamulin is proposed for use in adults, children and infants aged 9 months and over. Dermal toxicity was tested in neonatal and juvenile </w:t>
      </w:r>
      <w:proofErr w:type="spellStart"/>
      <w:r w:rsidRPr="00D37B36">
        <w:rPr>
          <w:kern w:val="22"/>
        </w:rPr>
        <w:t>minpigs</w:t>
      </w:r>
      <w:proofErr w:type="spellEnd"/>
      <w:r w:rsidRPr="00D37B36">
        <w:rPr>
          <w:kern w:val="22"/>
        </w:rPr>
        <w:t>. In neonatal rats, 6 weeks of retapamulin 0.5% or 1% treatment commencing on</w:t>
      </w:r>
      <w:r w:rsidR="00420812">
        <w:rPr>
          <w:kern w:val="22"/>
        </w:rPr>
        <w:t xml:space="preserve"> postnatal day (</w:t>
      </w:r>
      <w:r w:rsidRPr="00D37B36">
        <w:rPr>
          <w:kern w:val="22"/>
        </w:rPr>
        <w:t>PND</w:t>
      </w:r>
      <w:r w:rsidR="00420812">
        <w:rPr>
          <w:kern w:val="22"/>
        </w:rPr>
        <w:t>)</w:t>
      </w:r>
      <w:r w:rsidRPr="00D37B36">
        <w:rPr>
          <w:kern w:val="22"/>
        </w:rPr>
        <w:t xml:space="preserve"> 9 under semi-occlusive conditions induced a concentration dependent increase in incidence of clinical grade 1 erythema flaking and scabbing, without microscopic evidence of skin damage from ≥ 0.5% compared to control. No microscopic signs of skin damage or signs of systemic toxicity were observed up to1% retapamulin ointment. Respective plasma retapamulin exposure multiples at the retapamulin 1% concentration, based on </w:t>
      </w:r>
      <w:proofErr w:type="spellStart"/>
      <w:r w:rsidRPr="00D37B36">
        <w:rPr>
          <w:kern w:val="22"/>
        </w:rPr>
        <w:t>C</w:t>
      </w:r>
      <w:r w:rsidRPr="00D37B36">
        <w:rPr>
          <w:kern w:val="22"/>
          <w:vertAlign w:val="subscript"/>
        </w:rPr>
        <w:t>max</w:t>
      </w:r>
      <w:proofErr w:type="spellEnd"/>
      <w:r w:rsidRPr="00D37B36">
        <w:rPr>
          <w:kern w:val="22"/>
        </w:rPr>
        <w:t xml:space="preserve"> values of 1.17 and 2.53 </w:t>
      </w:r>
      <w:proofErr w:type="spellStart"/>
      <w:r w:rsidRPr="00D37B36">
        <w:rPr>
          <w:kern w:val="22"/>
        </w:rPr>
        <w:t>ng</w:t>
      </w:r>
      <w:proofErr w:type="spellEnd"/>
      <w:r w:rsidRPr="00D37B36">
        <w:rPr>
          <w:kern w:val="22"/>
        </w:rPr>
        <w:t>/</w:t>
      </w:r>
      <w:proofErr w:type="spellStart"/>
      <w:r w:rsidRPr="00D37B36">
        <w:rPr>
          <w:kern w:val="22"/>
        </w:rPr>
        <w:t>mL</w:t>
      </w:r>
      <w:proofErr w:type="spellEnd"/>
      <w:r w:rsidRPr="00D37B36">
        <w:rPr>
          <w:kern w:val="22"/>
        </w:rPr>
        <w:t xml:space="preserve"> on PND</w:t>
      </w:r>
      <w:r w:rsidR="00420812">
        <w:rPr>
          <w:kern w:val="22"/>
        </w:rPr>
        <w:t xml:space="preserve"> 51, were 0.05 and 0.12. </w:t>
      </w:r>
      <w:r w:rsidRPr="00D37B36">
        <w:rPr>
          <w:kern w:val="22"/>
        </w:rPr>
        <w:t>There was no dermal stud</w:t>
      </w:r>
      <w:r w:rsidR="00E9404C">
        <w:rPr>
          <w:kern w:val="22"/>
        </w:rPr>
        <w:t>y in adult rats for comparison.</w:t>
      </w:r>
    </w:p>
    <w:p w:rsidR="00D37B36" w:rsidRPr="00D37B36" w:rsidRDefault="00420812" w:rsidP="00D37B36">
      <w:pPr>
        <w:rPr>
          <w:kern w:val="22"/>
        </w:rPr>
      </w:pPr>
      <w:r>
        <w:rPr>
          <w:kern w:val="22"/>
        </w:rPr>
        <w:t xml:space="preserve">Application </w:t>
      </w:r>
      <w:r w:rsidR="00D37B36" w:rsidRPr="00D37B36">
        <w:rPr>
          <w:kern w:val="22"/>
        </w:rPr>
        <w:t xml:space="preserve">of retapamulin 0.5%, 1% or 2% ointment daily for 14 days to shaved, semi-occluded intact skin in juvenile </w:t>
      </w:r>
      <w:proofErr w:type="spellStart"/>
      <w:r w:rsidR="00D37B36" w:rsidRPr="00D37B36">
        <w:rPr>
          <w:kern w:val="22"/>
        </w:rPr>
        <w:t>minipigs</w:t>
      </w:r>
      <w:proofErr w:type="spellEnd"/>
      <w:r w:rsidR="00D37B36" w:rsidRPr="00D37B36">
        <w:rPr>
          <w:kern w:val="22"/>
        </w:rPr>
        <w:t xml:space="preserve"> (1/sex/concentration, 11-12 weeks old) elicited no evidence of skin irritancy or systemic toxicity. </w:t>
      </w:r>
      <w:proofErr w:type="spellStart"/>
      <w:r w:rsidR="00D37B36" w:rsidRPr="00D37B36">
        <w:rPr>
          <w:kern w:val="22"/>
        </w:rPr>
        <w:t>Toxicokinetics</w:t>
      </w:r>
      <w:proofErr w:type="spellEnd"/>
      <w:r w:rsidR="00D37B36" w:rsidRPr="00D37B36">
        <w:rPr>
          <w:kern w:val="22"/>
        </w:rPr>
        <w:t xml:space="preserve"> in juvenile </w:t>
      </w:r>
      <w:proofErr w:type="spellStart"/>
      <w:r w:rsidR="00D37B36" w:rsidRPr="00D37B36">
        <w:rPr>
          <w:kern w:val="22"/>
        </w:rPr>
        <w:t>minipigs</w:t>
      </w:r>
      <w:proofErr w:type="spellEnd"/>
      <w:r w:rsidR="00D37B36" w:rsidRPr="00D37B36">
        <w:rPr>
          <w:kern w:val="22"/>
        </w:rPr>
        <w:t xml:space="preserve"> showed all plasma retapamulin levels below the level of detection </w:t>
      </w:r>
      <w:proofErr w:type="gramStart"/>
      <w:r w:rsidR="00D37B36" w:rsidRPr="00D37B36">
        <w:rPr>
          <w:kern w:val="22"/>
        </w:rPr>
        <w:t xml:space="preserve">of 0.5 </w:t>
      </w:r>
      <w:proofErr w:type="spellStart"/>
      <w:r w:rsidR="00D37B36" w:rsidRPr="00D37B36">
        <w:rPr>
          <w:kern w:val="22"/>
        </w:rPr>
        <w:t>ng</w:t>
      </w:r>
      <w:proofErr w:type="spellEnd"/>
      <w:r w:rsidR="00D37B36" w:rsidRPr="00D37B36">
        <w:rPr>
          <w:kern w:val="22"/>
        </w:rPr>
        <w:t>/</w:t>
      </w:r>
      <w:proofErr w:type="spellStart"/>
      <w:r w:rsidR="00D37B36" w:rsidRPr="00D37B36">
        <w:rPr>
          <w:kern w:val="22"/>
        </w:rPr>
        <w:t>mL</w:t>
      </w:r>
      <w:proofErr w:type="spellEnd"/>
      <w:proofErr w:type="gramEnd"/>
      <w:r w:rsidR="00D37B36" w:rsidRPr="00D37B36">
        <w:rPr>
          <w:kern w:val="22"/>
        </w:rPr>
        <w:t xml:space="preserve"> on day 1, measurements were not conducted on day 14 samples. Systemic exposures were also inadequate (&lt;1</w:t>
      </w:r>
      <w:r w:rsidR="00E9404C">
        <w:rPr>
          <w:kern w:val="22"/>
        </w:rPr>
        <w:t>) in the rabbit dermal studies.</w:t>
      </w:r>
    </w:p>
    <w:p w:rsidR="00D37B36" w:rsidRDefault="00D37B36" w:rsidP="00D37B36">
      <w:pPr>
        <w:rPr>
          <w:kern w:val="22"/>
        </w:rPr>
      </w:pPr>
      <w:r w:rsidRPr="00D37B36">
        <w:rPr>
          <w:kern w:val="22"/>
        </w:rPr>
        <w:t xml:space="preserve">The juvenile </w:t>
      </w:r>
      <w:proofErr w:type="spellStart"/>
      <w:r w:rsidRPr="00D37B36">
        <w:rPr>
          <w:kern w:val="22"/>
        </w:rPr>
        <w:t>minipig</w:t>
      </w:r>
      <w:proofErr w:type="spellEnd"/>
      <w:r w:rsidRPr="00D37B36">
        <w:rPr>
          <w:kern w:val="22"/>
        </w:rPr>
        <w:t xml:space="preserve"> (dose range-finding) study was supported by a 10-day study in adult (18-weeks old) </w:t>
      </w:r>
      <w:proofErr w:type="spellStart"/>
      <w:r w:rsidRPr="00D37B36">
        <w:rPr>
          <w:kern w:val="22"/>
        </w:rPr>
        <w:t>minipigs</w:t>
      </w:r>
      <w:proofErr w:type="spellEnd"/>
      <w:r w:rsidRPr="00D37B36">
        <w:rPr>
          <w:kern w:val="22"/>
        </w:rPr>
        <w:t xml:space="preserve"> at </w:t>
      </w:r>
      <w:proofErr w:type="spellStart"/>
      <w:r w:rsidRPr="00D37B36">
        <w:rPr>
          <w:kern w:val="22"/>
        </w:rPr>
        <w:t>retapamulin</w:t>
      </w:r>
      <w:proofErr w:type="spellEnd"/>
      <w:r w:rsidRPr="00D37B36">
        <w:rPr>
          <w:kern w:val="22"/>
        </w:rPr>
        <w:t xml:space="preserve"> concentrations of 1%, 2% and 5%, which showed no signs of erythema or oedema in intact skin. These results contrast with the severe irritancy of the 2% formulation reported in abraded skin in humans. The structure, permeability and metabolic properties of porcine skin are similar to humans for most compounds (Mortensen 1998</w:t>
      </w:r>
      <w:r w:rsidR="00DA6E66">
        <w:rPr>
          <w:rStyle w:val="FootnoteReference"/>
          <w:kern w:val="22"/>
        </w:rPr>
        <w:footnoteReference w:id="13"/>
      </w:r>
      <w:r w:rsidRPr="00D37B36">
        <w:rPr>
          <w:kern w:val="22"/>
        </w:rPr>
        <w:t>, Bode 2010</w:t>
      </w:r>
      <w:r w:rsidR="00DA6E66">
        <w:rPr>
          <w:rStyle w:val="FootnoteReference"/>
          <w:kern w:val="22"/>
        </w:rPr>
        <w:footnoteReference w:id="14"/>
      </w:r>
      <w:r w:rsidRPr="00D37B36">
        <w:rPr>
          <w:kern w:val="22"/>
        </w:rPr>
        <w:t xml:space="preserve">, van </w:t>
      </w:r>
      <w:proofErr w:type="spellStart"/>
      <w:r w:rsidRPr="00D37B36">
        <w:rPr>
          <w:kern w:val="22"/>
        </w:rPr>
        <w:t>der</w:t>
      </w:r>
      <w:proofErr w:type="spellEnd"/>
      <w:r w:rsidRPr="00D37B36">
        <w:rPr>
          <w:kern w:val="22"/>
        </w:rPr>
        <w:t xml:space="preserve"> </w:t>
      </w:r>
      <w:proofErr w:type="spellStart"/>
      <w:r w:rsidRPr="00D37B36">
        <w:rPr>
          <w:kern w:val="22"/>
        </w:rPr>
        <w:t>Laan</w:t>
      </w:r>
      <w:proofErr w:type="spellEnd"/>
      <w:r w:rsidRPr="00D37B36">
        <w:rPr>
          <w:kern w:val="22"/>
        </w:rPr>
        <w:t xml:space="preserve"> 2010</w:t>
      </w:r>
      <w:r w:rsidR="00DA6E66">
        <w:rPr>
          <w:rStyle w:val="FootnoteReference"/>
          <w:kern w:val="22"/>
        </w:rPr>
        <w:footnoteReference w:id="15"/>
      </w:r>
      <w:r w:rsidRPr="00D37B36">
        <w:rPr>
          <w:kern w:val="22"/>
        </w:rPr>
        <w:t>, Swindle 2012</w:t>
      </w:r>
      <w:r w:rsidR="00DA6E66">
        <w:rPr>
          <w:rStyle w:val="FootnoteReference"/>
          <w:kern w:val="22"/>
        </w:rPr>
        <w:footnoteReference w:id="16"/>
      </w:r>
      <w:r w:rsidRPr="00D37B36">
        <w:rPr>
          <w:kern w:val="22"/>
        </w:rPr>
        <w:t>).</w:t>
      </w:r>
    </w:p>
    <w:p w:rsidR="008E7846" w:rsidRDefault="008E7846" w:rsidP="008E7846">
      <w:pPr>
        <w:pStyle w:val="Heading3"/>
      </w:pPr>
      <w:bookmarkStart w:id="55" w:name="PIstart"/>
      <w:bookmarkStart w:id="56" w:name="_Toc247691515"/>
      <w:bookmarkStart w:id="57" w:name="_Toc314842499"/>
      <w:bookmarkStart w:id="58" w:name="_Toc371925750"/>
      <w:bookmarkEnd w:id="55"/>
      <w:r>
        <w:t>Nonclinical summary and conclusions</w:t>
      </w:r>
      <w:bookmarkEnd w:id="56"/>
      <w:bookmarkEnd w:id="57"/>
      <w:bookmarkEnd w:id="58"/>
    </w:p>
    <w:p w:rsidR="00D35641" w:rsidRPr="00D35641" w:rsidRDefault="00D35641" w:rsidP="006001F8">
      <w:pPr>
        <w:pStyle w:val="ListBullet"/>
      </w:pPr>
      <w:r w:rsidRPr="00D35641">
        <w:t>The sponsor conducted studies on primary, secondary and safety pharmacology, kinetics, dermal irritancy, repeat-dose and reproductive toxicity of retapamulin. Pivotal toxicity studies were GLP-compliant.</w:t>
      </w:r>
    </w:p>
    <w:p w:rsidR="00D35641" w:rsidRPr="00D35641" w:rsidRDefault="00D35641" w:rsidP="006001F8">
      <w:pPr>
        <w:pStyle w:val="ListBullet"/>
      </w:pPr>
      <w:r w:rsidRPr="00D35641">
        <w:t xml:space="preserve">Two species of bacteria, </w:t>
      </w:r>
      <w:r w:rsidRPr="00D35641">
        <w:rPr>
          <w:i/>
        </w:rPr>
        <w:t>S</w:t>
      </w:r>
      <w:r w:rsidR="006001F8">
        <w:rPr>
          <w:i/>
        </w:rPr>
        <w:t xml:space="preserve">. </w:t>
      </w:r>
      <w:r w:rsidRPr="00D35641">
        <w:rPr>
          <w:i/>
        </w:rPr>
        <w:t>aureus</w:t>
      </w:r>
      <w:r w:rsidRPr="00D35641">
        <w:t xml:space="preserve"> and </w:t>
      </w:r>
      <w:r w:rsidRPr="00D35641">
        <w:rPr>
          <w:i/>
        </w:rPr>
        <w:t>S</w:t>
      </w:r>
      <w:r w:rsidR="006001F8">
        <w:rPr>
          <w:i/>
        </w:rPr>
        <w:t xml:space="preserve">. </w:t>
      </w:r>
      <w:r w:rsidRPr="00D35641">
        <w:rPr>
          <w:i/>
        </w:rPr>
        <w:t>pyogenes,</w:t>
      </w:r>
      <w:r w:rsidRPr="00D35641">
        <w:t xml:space="preserve"> commonly cause impetigo, SITL and SID</w:t>
      </w:r>
      <w:r w:rsidRPr="00D35641">
        <w:rPr>
          <w:i/>
        </w:rPr>
        <w:t xml:space="preserve"> </w:t>
      </w:r>
      <w:r w:rsidRPr="00D35641">
        <w:t xml:space="preserve">in both adult and paediatric patients. </w:t>
      </w:r>
      <w:proofErr w:type="spellStart"/>
      <w:r w:rsidRPr="00D35641">
        <w:t>Retapamulin</w:t>
      </w:r>
      <w:proofErr w:type="spellEnd"/>
      <w:r w:rsidRPr="00D35641">
        <w:t xml:space="preserve"> is </w:t>
      </w:r>
      <w:proofErr w:type="spellStart"/>
      <w:r w:rsidRPr="00D35641">
        <w:t>bacteriostatic</w:t>
      </w:r>
      <w:proofErr w:type="spellEnd"/>
      <w:r w:rsidRPr="00D35641">
        <w:t xml:space="preserve"> against </w:t>
      </w:r>
      <w:r w:rsidR="00DA1782">
        <w:rPr>
          <w:i/>
          <w:iCs/>
        </w:rPr>
        <w:t>S. </w:t>
      </w:r>
      <w:proofErr w:type="spellStart"/>
      <w:r w:rsidRPr="00D35641">
        <w:rPr>
          <w:i/>
          <w:iCs/>
        </w:rPr>
        <w:t>aureu</w:t>
      </w:r>
      <w:r w:rsidRPr="00D35641">
        <w:t>s</w:t>
      </w:r>
      <w:proofErr w:type="spellEnd"/>
      <w:r w:rsidRPr="00D35641">
        <w:t xml:space="preserve"> and </w:t>
      </w:r>
      <w:r w:rsidRPr="00D35641">
        <w:rPr>
          <w:i/>
          <w:iCs/>
        </w:rPr>
        <w:t>S. pyogene</w:t>
      </w:r>
      <w:r w:rsidRPr="00D35641">
        <w:t>s, with only minimal bactericidal activity. Retapamulin was shown to be effective against most single or multi-drug resistant isolates, including those resistant to β-</w:t>
      </w:r>
      <w:proofErr w:type="spellStart"/>
      <w:r w:rsidRPr="00D35641">
        <w:t>lactams</w:t>
      </w:r>
      <w:proofErr w:type="spellEnd"/>
      <w:r w:rsidRPr="00D35641">
        <w:t xml:space="preserve">, </w:t>
      </w:r>
      <w:proofErr w:type="spellStart"/>
      <w:r w:rsidRPr="00D35641">
        <w:t>macrolides</w:t>
      </w:r>
      <w:proofErr w:type="spellEnd"/>
      <w:r w:rsidRPr="00D35641">
        <w:t xml:space="preserve">, </w:t>
      </w:r>
      <w:proofErr w:type="spellStart"/>
      <w:r w:rsidRPr="00D35641">
        <w:t>quinolones</w:t>
      </w:r>
      <w:proofErr w:type="spellEnd"/>
      <w:r w:rsidRPr="00D35641">
        <w:t xml:space="preserve">, </w:t>
      </w:r>
      <w:proofErr w:type="spellStart"/>
      <w:r w:rsidRPr="00D35641">
        <w:t>fusidic</w:t>
      </w:r>
      <w:proofErr w:type="spellEnd"/>
      <w:r w:rsidR="00DA1782">
        <w:t xml:space="preserve">-acid and </w:t>
      </w:r>
      <w:proofErr w:type="spellStart"/>
      <w:r w:rsidR="00DA1782">
        <w:t>mupirocin</w:t>
      </w:r>
      <w:proofErr w:type="spellEnd"/>
      <w:r w:rsidR="00DA1782">
        <w:t>, and MRSA</w:t>
      </w:r>
      <w:r w:rsidRPr="00D35641">
        <w:t xml:space="preserve">. The mechanism of action is </w:t>
      </w:r>
      <w:r w:rsidRPr="00D35641">
        <w:lastRenderedPageBreak/>
        <w:t xml:space="preserve">the inhibition of protein synthesis by interaction with the 50S prokaryotic ribosomal unit. The site of retapamulin action differs from other antibiotic </w:t>
      </w:r>
      <w:r w:rsidR="00E9404C">
        <w:t>classes.</w:t>
      </w:r>
    </w:p>
    <w:p w:rsidR="00D35641" w:rsidRPr="00D35641" w:rsidRDefault="00D35641" w:rsidP="006001F8">
      <w:pPr>
        <w:pStyle w:val="ListBullet"/>
      </w:pPr>
      <w:r w:rsidRPr="00D35641">
        <w:t xml:space="preserve">Retapamulin 1% ointment applied BD for 4 days was efficacious against </w:t>
      </w:r>
      <w:r w:rsidRPr="00D35641">
        <w:rPr>
          <w:i/>
        </w:rPr>
        <w:t>S. aureus</w:t>
      </w:r>
      <w:r w:rsidRPr="00D35641">
        <w:t xml:space="preserve"> and </w:t>
      </w:r>
      <w:r w:rsidRPr="00D35641">
        <w:rPr>
          <w:i/>
        </w:rPr>
        <w:t>S. pyogenes</w:t>
      </w:r>
      <w:r w:rsidRPr="00D35641">
        <w:t xml:space="preserve"> in a mouse surgical wound infection model. Other animal models of infection were not assessed.</w:t>
      </w:r>
    </w:p>
    <w:p w:rsidR="00D35641" w:rsidRPr="00D35641" w:rsidRDefault="00D35641" w:rsidP="006001F8">
      <w:pPr>
        <w:pStyle w:val="ListBullet"/>
      </w:pPr>
      <w:r w:rsidRPr="00D35641">
        <w:t xml:space="preserve">Secondary pharmacodynamic studies revealed that </w:t>
      </w:r>
      <w:proofErr w:type="spellStart"/>
      <w:r w:rsidRPr="00D35641">
        <w:t>retapamulin</w:t>
      </w:r>
      <w:proofErr w:type="spellEnd"/>
      <w:r w:rsidRPr="00D35641">
        <w:t xml:space="preserve"> inhibits the </w:t>
      </w:r>
      <w:proofErr w:type="spellStart"/>
      <w:r w:rsidRPr="00D35641">
        <w:t>muscarinic</w:t>
      </w:r>
      <w:proofErr w:type="spellEnd"/>
      <w:r w:rsidRPr="00D35641">
        <w:t xml:space="preserve"> M1 receptor </w:t>
      </w:r>
      <w:r w:rsidRPr="00D35641">
        <w:rPr>
          <w:i/>
        </w:rPr>
        <w:t>in vitro</w:t>
      </w:r>
      <w:r w:rsidRPr="00D35641">
        <w:t xml:space="preserve"> with an IC</w:t>
      </w:r>
      <w:r w:rsidRPr="00D35641">
        <w:rPr>
          <w:vertAlign w:val="subscript"/>
        </w:rPr>
        <w:t>50</w:t>
      </w:r>
      <w:r w:rsidR="006001F8">
        <w:t xml:space="preserve"> of approximately </w:t>
      </w:r>
      <w:r w:rsidRPr="00D35641">
        <w:t>3-fold the highest clinically measured concentration. Safety pharmacology studies covered the CNS, respiratory, cardiovascular, renal and gastrointestinal systems. The more severe findings consisted of fatal hypotension, loss of diurnal blood pressure rhythm and heart rate rhythm and seizures in monkeys, as well as a possible centrally mediated increase in expiratory time in rats, after oral or IV dosing. Effects were only observed at concentrations substantially higher than anticipated in patients and were not thought to possess clinical relevance.</w:t>
      </w:r>
    </w:p>
    <w:p w:rsidR="00D35641" w:rsidRPr="00D35641" w:rsidRDefault="00267E2F" w:rsidP="006001F8">
      <w:pPr>
        <w:pStyle w:val="ListBullet"/>
      </w:pPr>
      <w:r w:rsidRPr="00267E2F">
        <w:rPr>
          <w:i/>
          <w:iCs/>
        </w:rPr>
        <w:t>In vitro</w:t>
      </w:r>
      <w:r w:rsidR="00FA5953">
        <w:t xml:space="preserve"> t</w:t>
      </w:r>
      <w:r w:rsidR="00D35641" w:rsidRPr="00D35641">
        <w:t xml:space="preserve">ransfer </w:t>
      </w:r>
      <w:r w:rsidR="00FA5953">
        <w:t xml:space="preserve">across human intact skin was </w:t>
      </w:r>
      <w:r w:rsidR="00D35641" w:rsidRPr="00D35641">
        <w:t xml:space="preserve">0.044% and 0.199% across abraded skin. In line with the low skin flux </w:t>
      </w:r>
      <w:r w:rsidR="00D35641" w:rsidRPr="00D35641">
        <w:rPr>
          <w:i/>
        </w:rPr>
        <w:t>in vitro</w:t>
      </w:r>
      <w:r w:rsidR="00D35641" w:rsidRPr="00D35641">
        <w:t xml:space="preserve">, the highest plasma </w:t>
      </w:r>
      <w:proofErr w:type="spellStart"/>
      <w:r w:rsidR="00D35641" w:rsidRPr="00D35641">
        <w:t>C</w:t>
      </w:r>
      <w:r w:rsidR="00D35641" w:rsidRPr="00D35641">
        <w:rPr>
          <w:vertAlign w:val="subscript"/>
        </w:rPr>
        <w:t>max</w:t>
      </w:r>
      <w:proofErr w:type="spellEnd"/>
      <w:r w:rsidR="00D35641" w:rsidRPr="00D35641">
        <w:t xml:space="preserve"> in human adults after single dermal application of 1% ointment (20 mg retapamulin, 2</w:t>
      </w:r>
      <w:r w:rsidR="006001F8">
        <w:t xml:space="preserve"> times the </w:t>
      </w:r>
      <w:r w:rsidR="00D35641" w:rsidRPr="00D35641">
        <w:t>clinical dose) to 200cm</w:t>
      </w:r>
      <w:r w:rsidR="00D35641" w:rsidRPr="00D35641">
        <w:rPr>
          <w:vertAlign w:val="superscript"/>
        </w:rPr>
        <w:t>2</w:t>
      </w:r>
      <w:r w:rsidR="006001F8">
        <w:t xml:space="preserve"> of abraded skin was 22.1 </w:t>
      </w:r>
      <w:proofErr w:type="spellStart"/>
      <w:r w:rsidR="00D35641" w:rsidRPr="00D35641">
        <w:t>ng</w:t>
      </w:r>
      <w:proofErr w:type="spellEnd"/>
      <w:r w:rsidR="00D35641" w:rsidRPr="00D35641">
        <w:t>/</w:t>
      </w:r>
      <w:proofErr w:type="spellStart"/>
      <w:r w:rsidR="00D35641" w:rsidRPr="00D35641">
        <w:t>mL</w:t>
      </w:r>
      <w:proofErr w:type="spellEnd"/>
      <w:r w:rsidR="00D35641" w:rsidRPr="00D35641">
        <w:t xml:space="preserve"> (AUC</w:t>
      </w:r>
      <w:r w:rsidR="00D35641" w:rsidRPr="00D35641">
        <w:rPr>
          <w:vertAlign w:val="subscript"/>
        </w:rPr>
        <w:t xml:space="preserve">0-t </w:t>
      </w:r>
      <w:r w:rsidR="00E9404C">
        <w:t xml:space="preserve">238.4 </w:t>
      </w:r>
      <w:proofErr w:type="spellStart"/>
      <w:r w:rsidR="00E9404C">
        <w:t>ng∙h</w:t>
      </w:r>
      <w:proofErr w:type="spellEnd"/>
      <w:r w:rsidR="00E9404C">
        <w:t>/</w:t>
      </w:r>
      <w:proofErr w:type="spellStart"/>
      <w:r w:rsidR="00E9404C">
        <w:t>mL</w:t>
      </w:r>
      <w:proofErr w:type="spellEnd"/>
      <w:r w:rsidR="00E9404C">
        <w:t>).</w:t>
      </w:r>
    </w:p>
    <w:p w:rsidR="00D35641" w:rsidRPr="00D35641" w:rsidRDefault="00D35641" w:rsidP="006001F8">
      <w:pPr>
        <w:pStyle w:val="ListBullet"/>
      </w:pPr>
      <w:r w:rsidRPr="00D35641">
        <w:t>In common with humans, plasma retapamulin levels after once daily dermal application of 2% retapamulin to intact skin were u</w:t>
      </w:r>
      <w:r w:rsidR="006001F8">
        <w:t>ndetectable, and very low (&lt;</w:t>
      </w:r>
      <w:r w:rsidR="008B20FA">
        <w:t> </w:t>
      </w:r>
      <w:r w:rsidR="006001F8">
        <w:t>0.5</w:t>
      </w:r>
      <w:r w:rsidR="006001F8">
        <w:noBreakHyphen/>
      </w:r>
      <w:r w:rsidRPr="00D35641">
        <w:t>1</w:t>
      </w:r>
      <w:r w:rsidR="006001F8">
        <w:t> </w:t>
      </w:r>
      <w:proofErr w:type="spellStart"/>
      <w:r w:rsidRPr="00D35641">
        <w:t>ng</w:t>
      </w:r>
      <w:proofErr w:type="spellEnd"/>
      <w:r w:rsidRPr="00D35641">
        <w:t>/</w:t>
      </w:r>
      <w:proofErr w:type="spellStart"/>
      <w:r w:rsidRPr="00D35641">
        <w:t>mL</w:t>
      </w:r>
      <w:proofErr w:type="spellEnd"/>
      <w:r w:rsidRPr="00D35641">
        <w:t>) after application to abraded skin,</w:t>
      </w:r>
      <w:r w:rsidR="00E9404C">
        <w:t xml:space="preserve"> in rats, rabbits and </w:t>
      </w:r>
      <w:proofErr w:type="spellStart"/>
      <w:r w:rsidR="00E9404C">
        <w:t>minipigs</w:t>
      </w:r>
      <w:proofErr w:type="spellEnd"/>
      <w:r w:rsidR="00E9404C">
        <w:t>.</w:t>
      </w:r>
    </w:p>
    <w:p w:rsidR="00D35641" w:rsidRPr="00D35641" w:rsidRDefault="00D35641" w:rsidP="006001F8">
      <w:pPr>
        <w:pStyle w:val="ListBullet"/>
      </w:pPr>
      <w:r w:rsidRPr="00D35641">
        <w:t xml:space="preserve">Oral bioavailability in rats was 1-2%. Plasma protein binding </w:t>
      </w:r>
      <w:r w:rsidRPr="00D35641">
        <w:rPr>
          <w:i/>
        </w:rPr>
        <w:t>in vitro</w:t>
      </w:r>
      <w:r w:rsidRPr="00D35641">
        <w:t xml:space="preserve"> was moderate to high (75-94%) in monkeys, rats and humans. In rats, IV application of </w:t>
      </w:r>
      <w:proofErr w:type="spellStart"/>
      <w:r w:rsidRPr="00D35641">
        <w:t>radiolabelled</w:t>
      </w:r>
      <w:proofErr w:type="spellEnd"/>
      <w:r w:rsidRPr="00D35641">
        <w:t xml:space="preserve"> drug resulted in rapid and wide tissue distribution, CNS penetration was low. Due to very low systemic exposures after dermal application, retapamulin is not expected to induce drug interactions via CYP450 or P-</w:t>
      </w:r>
      <w:proofErr w:type="spellStart"/>
      <w:r w:rsidR="00A2509B">
        <w:t>gp</w:t>
      </w:r>
      <w:proofErr w:type="spellEnd"/>
      <w:r w:rsidRPr="00D35641">
        <w:t xml:space="preserve">. </w:t>
      </w:r>
      <w:r w:rsidRPr="00D35641">
        <w:rPr>
          <w:i/>
        </w:rPr>
        <w:t>In vitro</w:t>
      </w:r>
      <w:r w:rsidRPr="00D35641">
        <w:t xml:space="preserve"> hepatocyte studies showed extensive retapamulin metabolism which was qualitatively similar in toxicity test species and human samples. Metabolism of retapamulin in human skin </w:t>
      </w:r>
      <w:r w:rsidRPr="00D35641">
        <w:rPr>
          <w:i/>
        </w:rPr>
        <w:t>in vitro</w:t>
      </w:r>
      <w:r w:rsidRPr="00D35641">
        <w:t xml:space="preserve"> appeared to be lo</w:t>
      </w:r>
      <w:r w:rsidR="00E9404C">
        <w:t>w.</w:t>
      </w:r>
    </w:p>
    <w:p w:rsidR="00D35641" w:rsidRPr="00D35641" w:rsidRDefault="00D35641" w:rsidP="006001F8">
      <w:pPr>
        <w:pStyle w:val="ListBullet"/>
      </w:pPr>
      <w:r w:rsidRPr="00D35641">
        <w:t xml:space="preserve">Retapamulin had a low order of primary irritancy in rabbits after dermal application (semi-occluded) at up to 5-times the clinical concentration over the maximum area recommended for paediatric patients (2% total body surface area). Dermal irritancy of retapamulin was increased (transient erythema up to well defined and very </w:t>
      </w:r>
      <w:r w:rsidR="00E9404C">
        <w:t>slight oedema) in abraded skin.</w:t>
      </w:r>
    </w:p>
    <w:p w:rsidR="00D35641" w:rsidRPr="00D35641" w:rsidRDefault="00D35641" w:rsidP="006001F8">
      <w:pPr>
        <w:pStyle w:val="ListBullet"/>
      </w:pPr>
      <w:r w:rsidRPr="00D35641">
        <w:t xml:space="preserve">Repeat-dose dermal irritancy studies were conducted on semi-occluded, intact skin in rabbits (13 weeks duration) and </w:t>
      </w:r>
      <w:proofErr w:type="spellStart"/>
      <w:r w:rsidRPr="00D35641">
        <w:t>minipigs</w:t>
      </w:r>
      <w:proofErr w:type="spellEnd"/>
      <w:r w:rsidRPr="00D35641">
        <w:t xml:space="preserve"> (2 weeks), and intact and abraded skin in rabbits (2 and 4 weeks) and </w:t>
      </w:r>
      <w:proofErr w:type="spellStart"/>
      <w:r w:rsidRPr="00D35641">
        <w:t>minipigs</w:t>
      </w:r>
      <w:proofErr w:type="spellEnd"/>
      <w:r w:rsidRPr="00D35641">
        <w:t xml:space="preserve"> (10 days), using up to 2 or 5% retapamulin ointment over 0.3 to 1.4% of total body surface area. Animals were treated once daily in all studies. Dermal application of retapamulin to rabbits induced a concentration-dependent minimal to moderate irritation that was similar to vehicle on intact skin (0.5% and 1% concentrations) and more severe on abraded skin. The ointment alone elicited very slight to well defined erythema in intact skin. There was no evidence of systemic toxicity. Plasma r</w:t>
      </w:r>
      <w:r w:rsidR="008B20FA">
        <w:t xml:space="preserve">etapamulin levels were very low or </w:t>
      </w:r>
      <w:r w:rsidRPr="00D35641">
        <w:t>undetectable, and systemic exposure (AUC) ratios were inadequate (&lt;</w:t>
      </w:r>
      <w:r w:rsidR="006001F8">
        <w:t xml:space="preserve"> </w:t>
      </w:r>
      <w:r w:rsidR="00E9404C">
        <w:t>1) in all test species.</w:t>
      </w:r>
    </w:p>
    <w:p w:rsidR="00D35641" w:rsidRPr="00D35641" w:rsidRDefault="00D35641" w:rsidP="006001F8">
      <w:pPr>
        <w:pStyle w:val="ListBullet"/>
      </w:pPr>
      <w:r w:rsidRPr="00D35641">
        <w:t>Systemic toxicity was consequently investigated in oral studies in rats and monkeys, which attained adequate exposure (AUC) ratios, although the longest treatment duration was only 2 weeks, and dosing was once daily. No clinically relevant systemic toxicity was observed.</w:t>
      </w:r>
    </w:p>
    <w:p w:rsidR="00D35641" w:rsidRPr="00D35641" w:rsidRDefault="00D35641" w:rsidP="006001F8">
      <w:pPr>
        <w:pStyle w:val="ListBullet"/>
      </w:pPr>
      <w:r w:rsidRPr="00D35641">
        <w:t>Retapamulin did not act as a contact sensitizer in mice but showed mild sensitizing potential in guinea pigs. There was no study of eye irritancy.</w:t>
      </w:r>
    </w:p>
    <w:p w:rsidR="00D35641" w:rsidRPr="006001F8" w:rsidRDefault="00D35641" w:rsidP="006001F8">
      <w:pPr>
        <w:pStyle w:val="ListBullet"/>
      </w:pPr>
      <w:r w:rsidRPr="006001F8">
        <w:t xml:space="preserve">Paediatric use was supported by studies in neonatal rats and juvenile </w:t>
      </w:r>
      <w:proofErr w:type="spellStart"/>
      <w:r w:rsidRPr="006001F8">
        <w:t>minipigs</w:t>
      </w:r>
      <w:proofErr w:type="spellEnd"/>
      <w:r w:rsidRPr="006001F8">
        <w:t xml:space="preserve">. Neonatal rats treated on PND 9-51 with 0.5% or 1% retapamulin on semi-occluded, intact skin </w:t>
      </w:r>
      <w:r w:rsidRPr="006001F8">
        <w:lastRenderedPageBreak/>
        <w:t>showed grade 1 erythema, without microscopic evidence of skin damage, and no systemic toxicity. Systemic</w:t>
      </w:r>
      <w:r w:rsidR="006001F8">
        <w:t xml:space="preserve"> exposure ratios were low (0.05</w:t>
      </w:r>
      <w:r w:rsidRPr="006001F8">
        <w:t xml:space="preserve">, 0.12). Dermal toxicity was not investigated in adult rats for comparison. Retapamulin up to 5% ointment was also well tolerated in juvenile </w:t>
      </w:r>
      <w:proofErr w:type="spellStart"/>
      <w:r w:rsidRPr="006001F8">
        <w:t>minipigs</w:t>
      </w:r>
      <w:proofErr w:type="spellEnd"/>
      <w:r w:rsidRPr="006001F8">
        <w:t xml:space="preserve">, although </w:t>
      </w:r>
      <w:proofErr w:type="spellStart"/>
      <w:r w:rsidRPr="006001F8">
        <w:t>minipig</w:t>
      </w:r>
      <w:proofErr w:type="spellEnd"/>
      <w:r w:rsidRPr="006001F8">
        <w:t xml:space="preserve"> numbers were low and retapamulin </w:t>
      </w:r>
      <w:r w:rsidR="00E9404C">
        <w:t>was not quantifiable in plasma.</w:t>
      </w:r>
    </w:p>
    <w:p w:rsidR="00D35641" w:rsidRPr="00D35641" w:rsidRDefault="00D35641" w:rsidP="006001F8">
      <w:pPr>
        <w:pStyle w:val="ListBullet"/>
      </w:pPr>
      <w:r w:rsidRPr="006001F8">
        <w:t>Retapamulin was negative in a standard battery of genotoxicity tests. Concentrations and doses were limited by cytotoxicity. Carcinogenicity was not investigated which is</w:t>
      </w:r>
      <w:r w:rsidRPr="00D35641">
        <w:t xml:space="preserve"> acceptable due to the lack of genotoxicity, low systemic exposure a</w:t>
      </w:r>
      <w:r w:rsidR="00E9404C">
        <w:t>nd short duration of treatment.</w:t>
      </w:r>
    </w:p>
    <w:p w:rsidR="00D35641" w:rsidRDefault="00D35641" w:rsidP="006001F8">
      <w:pPr>
        <w:pStyle w:val="ListBullet"/>
      </w:pPr>
      <w:r w:rsidRPr="00D35641">
        <w:t xml:space="preserve">Fertility was unaffected in male and female rats after oral treatment with retapamulin. Developmental studies showed decreased </w:t>
      </w:r>
      <w:proofErr w:type="spellStart"/>
      <w:r w:rsidRPr="00D35641">
        <w:t>fetal</w:t>
      </w:r>
      <w:proofErr w:type="spellEnd"/>
      <w:r w:rsidRPr="00D35641">
        <w:t xml:space="preserve"> weight and incomplete ossification in rats after oral treatment. Estimated and measured exposure ratios were adequate in these studies.</w:t>
      </w:r>
    </w:p>
    <w:p w:rsidR="00296FA8" w:rsidRPr="00296FA8" w:rsidRDefault="00296FA8" w:rsidP="00296FA8">
      <w:pPr>
        <w:pStyle w:val="Heading4"/>
      </w:pPr>
      <w:r w:rsidRPr="00296FA8">
        <w:t>Conclusions</w:t>
      </w:r>
    </w:p>
    <w:p w:rsidR="00296FA8" w:rsidRPr="00296FA8" w:rsidRDefault="00296FA8" w:rsidP="00296FA8">
      <w:pPr>
        <w:pStyle w:val="ListBullet"/>
      </w:pPr>
      <w:r w:rsidRPr="00296FA8">
        <w:t xml:space="preserve">Retapamulin was shown to be active in vitro against Gram-positive bacteria including </w:t>
      </w:r>
      <w:r w:rsidRPr="00296FA8">
        <w:rPr>
          <w:i/>
          <w:iCs/>
        </w:rPr>
        <w:t>S. aureus</w:t>
      </w:r>
      <w:r w:rsidRPr="00296FA8">
        <w:t xml:space="preserve"> and </w:t>
      </w:r>
      <w:r w:rsidRPr="00296FA8">
        <w:rPr>
          <w:i/>
          <w:iCs/>
        </w:rPr>
        <w:t>S. pyogenes</w:t>
      </w:r>
      <w:r w:rsidRPr="00296FA8">
        <w:t>, with respective MIC</w:t>
      </w:r>
      <w:r w:rsidRPr="00296FA8">
        <w:rPr>
          <w:vertAlign w:val="subscript"/>
        </w:rPr>
        <w:t>90</w:t>
      </w:r>
      <w:r w:rsidRPr="00296FA8">
        <w:t xml:space="preserve"> </w:t>
      </w:r>
      <w:r w:rsidR="00AE5570">
        <w:t xml:space="preserve">values </w:t>
      </w:r>
      <w:r w:rsidRPr="00296FA8">
        <w:t xml:space="preserve">ranging from 0.06-0.5 µg/mL and ≤0.016-0.06 µg/mL. Retapamulin 1% ointment was efficacious against </w:t>
      </w:r>
      <w:r w:rsidRPr="00296FA8">
        <w:rPr>
          <w:i/>
          <w:iCs/>
        </w:rPr>
        <w:t>S. aureus</w:t>
      </w:r>
      <w:r w:rsidRPr="00296FA8">
        <w:t xml:space="preserve"> and </w:t>
      </w:r>
      <w:r w:rsidRPr="00296FA8">
        <w:rPr>
          <w:i/>
          <w:iCs/>
        </w:rPr>
        <w:t>S. pyogenes</w:t>
      </w:r>
      <w:r w:rsidRPr="00296FA8">
        <w:t xml:space="preserve"> in a mouse surgical wound infection model. Other animal models of infection</w:t>
      </w:r>
      <w:r>
        <w:t>,</w:t>
      </w:r>
      <w:r w:rsidRPr="00296FA8">
        <w:t xml:space="preserve"> </w:t>
      </w:r>
      <w:r>
        <w:t xml:space="preserve">such as </w:t>
      </w:r>
      <w:proofErr w:type="spellStart"/>
      <w:r w:rsidRPr="00296FA8">
        <w:t>dermatoses</w:t>
      </w:r>
      <w:proofErr w:type="spellEnd"/>
      <w:r>
        <w:t>,</w:t>
      </w:r>
      <w:r w:rsidRPr="00296FA8">
        <w:t xml:space="preserve"> were not tested.</w:t>
      </w:r>
    </w:p>
    <w:p w:rsidR="00296FA8" w:rsidRPr="00296FA8" w:rsidRDefault="00296FA8" w:rsidP="00296FA8">
      <w:pPr>
        <w:pStyle w:val="ListBullet"/>
      </w:pPr>
      <w:r w:rsidRPr="00296FA8">
        <w:t xml:space="preserve">Secondary pharmacodynamic studies revealed that </w:t>
      </w:r>
      <w:proofErr w:type="spellStart"/>
      <w:r w:rsidRPr="00296FA8">
        <w:t>retapamulin</w:t>
      </w:r>
      <w:proofErr w:type="spellEnd"/>
      <w:r w:rsidRPr="00296FA8">
        <w:t xml:space="preserve"> inhibits the </w:t>
      </w:r>
      <w:proofErr w:type="spellStart"/>
      <w:r w:rsidRPr="00296FA8">
        <w:t>muscarinic</w:t>
      </w:r>
      <w:proofErr w:type="spellEnd"/>
      <w:r w:rsidRPr="00296FA8">
        <w:t xml:space="preserve"> M1 receptor in vitro with an IC</w:t>
      </w:r>
      <w:r w:rsidRPr="00296FA8">
        <w:rPr>
          <w:vertAlign w:val="subscript"/>
        </w:rPr>
        <w:t>50</w:t>
      </w:r>
      <w:r w:rsidRPr="00296FA8">
        <w:t xml:space="preserve"> of </w:t>
      </w:r>
      <w:r>
        <w:t xml:space="preserve">approximately </w:t>
      </w:r>
      <w:r w:rsidRPr="00296FA8">
        <w:t xml:space="preserve">3-fold the maximum plasma retapamulin concentration measured in clinical studies, however safety pharmacology studies at high estimated systemic exposures did not indicate an </w:t>
      </w:r>
      <w:r w:rsidRPr="00296FA8">
        <w:rPr>
          <w:i/>
          <w:iCs/>
        </w:rPr>
        <w:t>in vivo</w:t>
      </w:r>
      <w:r w:rsidRPr="00296FA8">
        <w:t xml:space="preserve"> effect.</w:t>
      </w:r>
    </w:p>
    <w:p w:rsidR="00296FA8" w:rsidRPr="00296FA8" w:rsidRDefault="00296FA8" w:rsidP="00296FA8">
      <w:pPr>
        <w:pStyle w:val="ListBullet"/>
      </w:pPr>
      <w:r w:rsidRPr="00296FA8">
        <w:t>Single and repeat-dose dermal toxicity studies up to 3-months duration in rabbits with retapamulin 0.5%, 1%, 2% and 5% ointment showed a concentration-dependent minimal to moderate irritation that was similar to vehicle on semi-occluded intact skin (0.5% and 1% concentrations) and more severe on abraded skin. The ointment alone elicited very slight to well defined erythema in intact skin. Animals were treated only once daily in all the dermal studies, in contrast to the proposed twice daily clinical regimen. Systemic exposure ratios in dermal studies were inadequate (&lt;</w:t>
      </w:r>
      <w:r>
        <w:t> </w:t>
      </w:r>
      <w:r w:rsidRPr="00296FA8">
        <w:t>1)</w:t>
      </w:r>
      <w:r w:rsidR="008B20FA" w:rsidRPr="00296FA8">
        <w:t>;</w:t>
      </w:r>
      <w:r w:rsidRPr="00296FA8">
        <w:t xml:space="preserve"> hence systemic toxicity was also investigated in oral studies in rats and monkeys. Adequate exposure multiples were attained in these species, although treatment was once daily and for only 2 weeks (4 weeks is recommended to support the 5-day clinical regimen). The studies indicated that systemic toxicity is unlikely at the very low clinical exposure levels.</w:t>
      </w:r>
    </w:p>
    <w:p w:rsidR="00296FA8" w:rsidRPr="00296FA8" w:rsidRDefault="00296FA8" w:rsidP="00296FA8">
      <w:pPr>
        <w:pStyle w:val="ListBullet"/>
      </w:pPr>
      <w:r w:rsidRPr="00296FA8">
        <w:t xml:space="preserve">Paediatric use was supported by dermal toxicity studies which showed minimal irritancy of intact skin in neonatal rats and no skin irritancy in small numbers of juvenile </w:t>
      </w:r>
      <w:proofErr w:type="spellStart"/>
      <w:r w:rsidRPr="00296FA8">
        <w:t>minipigs</w:t>
      </w:r>
      <w:proofErr w:type="spellEnd"/>
      <w:r w:rsidRPr="00296FA8">
        <w:t>. Systemic toxicity was not evident in either species, but systemic exposure ratios were inadequate (&lt;</w:t>
      </w:r>
      <w:r w:rsidR="008B20FA">
        <w:t> </w:t>
      </w:r>
      <w:r w:rsidRPr="00296FA8">
        <w:t>1). Dermal toxicity was not studied in adult rats for comparison.</w:t>
      </w:r>
    </w:p>
    <w:p w:rsidR="00296FA8" w:rsidRPr="00296FA8" w:rsidRDefault="00296FA8" w:rsidP="00296FA8">
      <w:pPr>
        <w:pStyle w:val="ListBullet"/>
      </w:pPr>
      <w:r w:rsidRPr="00296FA8">
        <w:t>There was no study of eye irritancy.</w:t>
      </w:r>
    </w:p>
    <w:p w:rsidR="00296FA8" w:rsidRPr="00296FA8" w:rsidRDefault="00296FA8" w:rsidP="00296FA8">
      <w:pPr>
        <w:pStyle w:val="ListBullet"/>
      </w:pPr>
      <w:r w:rsidRPr="00296FA8">
        <w:t xml:space="preserve">Reproductive toxicity studies were conducted by the oral route in rats and IV route in rabbits, systemic exposure ratios were adequate. Decreased </w:t>
      </w:r>
      <w:proofErr w:type="spellStart"/>
      <w:r w:rsidRPr="00296FA8">
        <w:t>fetal</w:t>
      </w:r>
      <w:proofErr w:type="spellEnd"/>
      <w:r w:rsidRPr="00296FA8">
        <w:t xml:space="preserve"> growth and incomplete ossification were observed in rats, the proposed Pregnanc</w:t>
      </w:r>
      <w:r w:rsidR="00E9404C">
        <w:t>y Category of B3 is acceptable.</w:t>
      </w:r>
    </w:p>
    <w:p w:rsidR="00D35641" w:rsidRPr="00490145" w:rsidRDefault="004A776A" w:rsidP="000B3882">
      <w:pPr>
        <w:pStyle w:val="Heading3"/>
      </w:pPr>
      <w:bookmarkStart w:id="59" w:name="_Toc294861479"/>
      <w:bookmarkStart w:id="60" w:name="_Toc295290862"/>
      <w:bookmarkStart w:id="61" w:name="_Toc352238566"/>
      <w:bookmarkStart w:id="62" w:name="_Toc371925751"/>
      <w:r w:rsidRPr="00490145">
        <w:t>Recommendation</w:t>
      </w:r>
      <w:bookmarkEnd w:id="59"/>
      <w:bookmarkEnd w:id="60"/>
      <w:bookmarkEnd w:id="61"/>
      <w:bookmarkEnd w:id="62"/>
    </w:p>
    <w:p w:rsidR="00D35641" w:rsidRPr="00D35641" w:rsidRDefault="00D35641" w:rsidP="00490145">
      <w:r w:rsidRPr="00D35641">
        <w:t xml:space="preserve">Taking into consideration the above limitations of the nonclinical data, there are no overall objections to registration of retapamulin ointment for the proposed indications. </w:t>
      </w:r>
    </w:p>
    <w:p w:rsidR="00D35641" w:rsidRPr="00D35641" w:rsidRDefault="00A2266C" w:rsidP="00490145">
      <w:r>
        <w:lastRenderedPageBreak/>
        <w:t xml:space="preserve">Recommendations </w:t>
      </w:r>
      <w:r w:rsidR="00786F95">
        <w:t xml:space="preserve">regarding </w:t>
      </w:r>
      <w:r>
        <w:t>revisions to nonclinical information in t</w:t>
      </w:r>
      <w:r w:rsidR="00D35641" w:rsidRPr="00D35641">
        <w:t>he draft P</w:t>
      </w:r>
      <w:r w:rsidR="00786F95">
        <w:t xml:space="preserve">I </w:t>
      </w:r>
      <w:r w:rsidR="00D35641" w:rsidRPr="00D35641">
        <w:t xml:space="preserve">and </w:t>
      </w:r>
      <w:r>
        <w:t xml:space="preserve">the </w:t>
      </w:r>
      <w:r w:rsidR="00D35641" w:rsidRPr="00D35641">
        <w:t xml:space="preserve">Risk </w:t>
      </w:r>
      <w:r w:rsidR="00786F95">
        <w:t>M</w:t>
      </w:r>
      <w:r w:rsidR="00D35641" w:rsidRPr="00D35641">
        <w:t xml:space="preserve">anagement </w:t>
      </w:r>
      <w:r w:rsidR="00786F95">
        <w:t>P</w:t>
      </w:r>
      <w:r w:rsidR="00D35641" w:rsidRPr="00D35641">
        <w:t xml:space="preserve">lan </w:t>
      </w:r>
      <w:r w:rsidR="00786F95">
        <w:t xml:space="preserve">(RMP) </w:t>
      </w:r>
      <w:r>
        <w:t xml:space="preserve">are beyond the scope of the </w:t>
      </w:r>
      <w:proofErr w:type="spellStart"/>
      <w:r>
        <w:t>AusPAR</w:t>
      </w:r>
      <w:proofErr w:type="spellEnd"/>
      <w:r w:rsidR="00E9404C">
        <w:t>.</w:t>
      </w:r>
    </w:p>
    <w:p w:rsidR="008E7846" w:rsidRPr="00254787" w:rsidRDefault="008E7846" w:rsidP="008E7846">
      <w:pPr>
        <w:pStyle w:val="Heading2"/>
      </w:pPr>
      <w:bookmarkStart w:id="63" w:name="_Toc196046462"/>
      <w:bookmarkStart w:id="64" w:name="_Toc247691516"/>
      <w:bookmarkStart w:id="65" w:name="_Toc314842500"/>
      <w:bookmarkStart w:id="66" w:name="_Toc371925752"/>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rsidR="00C80137" w:rsidRPr="00B817F3" w:rsidRDefault="00C80137" w:rsidP="008E7846">
      <w:pPr>
        <w:rPr>
          <w:iCs/>
        </w:rPr>
      </w:pPr>
      <w:bookmarkStart w:id="69" w:name="_Toc196046463"/>
      <w:r w:rsidRPr="00B817F3">
        <w:rPr>
          <w:iCs/>
        </w:rPr>
        <w:t>A summary of the clinical findings is presented in this section. Further details of these clinical findings can be found in Attachment 2.</w:t>
      </w:r>
    </w:p>
    <w:p w:rsidR="008E7846" w:rsidRDefault="008E7846" w:rsidP="008E7846">
      <w:pPr>
        <w:pStyle w:val="Heading3"/>
      </w:pPr>
      <w:bookmarkStart w:id="70" w:name="_Toc247691517"/>
      <w:bookmarkStart w:id="71" w:name="_Toc314842501"/>
      <w:bookmarkStart w:id="72" w:name="_Toc371925753"/>
      <w:r w:rsidRPr="00254787">
        <w:t>Introduction</w:t>
      </w:r>
      <w:bookmarkEnd w:id="69"/>
      <w:bookmarkEnd w:id="70"/>
      <w:bookmarkEnd w:id="71"/>
      <w:bookmarkEnd w:id="72"/>
    </w:p>
    <w:p w:rsidR="00B817F3" w:rsidRPr="00B817F3" w:rsidRDefault="00B817F3" w:rsidP="00B817F3">
      <w:pPr>
        <w:pStyle w:val="Heading4"/>
      </w:pPr>
      <w:bookmarkStart w:id="73" w:name="_Toc339375250"/>
      <w:bookmarkStart w:id="74" w:name="_Toc290846223"/>
      <w:bookmarkStart w:id="75" w:name="_Toc272414601"/>
      <w:bookmarkStart w:id="76" w:name="_Toc369253113"/>
      <w:r w:rsidRPr="00B817F3">
        <w:t>Clinical rationale</w:t>
      </w:r>
      <w:bookmarkEnd w:id="73"/>
      <w:bookmarkEnd w:id="74"/>
      <w:bookmarkEnd w:id="75"/>
      <w:bookmarkEnd w:id="76"/>
    </w:p>
    <w:p w:rsidR="00B817F3" w:rsidRPr="00B817F3" w:rsidRDefault="00B817F3" w:rsidP="00B817F3">
      <w:r w:rsidRPr="00B817F3">
        <w:t xml:space="preserve">Retapamulin is the first drug of the </w:t>
      </w:r>
      <w:proofErr w:type="spellStart"/>
      <w:r w:rsidRPr="00B817F3">
        <w:t>pleuromutilin</w:t>
      </w:r>
      <w:proofErr w:type="spellEnd"/>
      <w:r w:rsidRPr="00B817F3">
        <w:t xml:space="preserve"> class to be registered </w:t>
      </w:r>
      <w:r>
        <w:t xml:space="preserve">anywhere in the world </w:t>
      </w:r>
      <w:r w:rsidRPr="00B817F3">
        <w:t xml:space="preserve">for human use. </w:t>
      </w:r>
      <w:proofErr w:type="spellStart"/>
      <w:r w:rsidRPr="00B817F3">
        <w:t>Tiamulin</w:t>
      </w:r>
      <w:proofErr w:type="spellEnd"/>
      <w:r w:rsidRPr="00B817F3">
        <w:t xml:space="preserve"> (</w:t>
      </w:r>
      <w:proofErr w:type="spellStart"/>
      <w:r w:rsidRPr="00B817F3">
        <w:t>Denagard</w:t>
      </w:r>
      <w:proofErr w:type="spellEnd"/>
      <w:r w:rsidRPr="00B817F3">
        <w:t xml:space="preserve">) and </w:t>
      </w:r>
      <w:proofErr w:type="spellStart"/>
      <w:r w:rsidRPr="00B817F3">
        <w:t>valnemulin</w:t>
      </w:r>
      <w:proofErr w:type="spellEnd"/>
      <w:r w:rsidRPr="00B817F3">
        <w:t xml:space="preserve"> (</w:t>
      </w:r>
      <w:proofErr w:type="spellStart"/>
      <w:r w:rsidRPr="00B817F3">
        <w:t>Econor</w:t>
      </w:r>
      <w:proofErr w:type="spellEnd"/>
      <w:r w:rsidRPr="00B817F3">
        <w:t>) from the same class are registered for veterinary use. Retapamulin ointment was first approved in the U</w:t>
      </w:r>
      <w:r w:rsidR="000319E1">
        <w:t xml:space="preserve">S </w:t>
      </w:r>
      <w:r w:rsidRPr="00B817F3">
        <w:t>in April 2007, and was approved in the EU in May 2007. Since tha</w:t>
      </w:r>
      <w:r>
        <w:t>t time r</w:t>
      </w:r>
      <w:r w:rsidRPr="00B817F3">
        <w:t xml:space="preserve">etapamulin ointment has been approved for use in 60 countries. Retapamulin has excellent </w:t>
      </w:r>
      <w:r w:rsidRPr="00B817F3">
        <w:rPr>
          <w:i/>
          <w:iCs/>
        </w:rPr>
        <w:t>in vitro</w:t>
      </w:r>
      <w:r w:rsidRPr="00B817F3">
        <w:t xml:space="preserve"> activity against Gram-positive bacteria commonly associated with skin infections and a low propensity for development of resistance </w:t>
      </w:r>
      <w:r w:rsidRPr="000319E1">
        <w:rPr>
          <w:i/>
          <w:iCs/>
        </w:rPr>
        <w:t>in vitro</w:t>
      </w:r>
      <w:r w:rsidRPr="00B817F3">
        <w:t>, suggesting a low likelihood that resistance would develop during treatment.</w:t>
      </w:r>
    </w:p>
    <w:p w:rsidR="00B817F3" w:rsidRPr="00B817F3" w:rsidRDefault="00B817F3" w:rsidP="008D5864">
      <w:pPr>
        <w:pStyle w:val="Heading4"/>
      </w:pPr>
      <w:bookmarkStart w:id="77" w:name="_Toc369253115"/>
      <w:r w:rsidRPr="00B817F3">
        <w:t>Scope of the clinical dossier</w:t>
      </w:r>
      <w:bookmarkEnd w:id="77"/>
    </w:p>
    <w:p w:rsidR="00B817F3" w:rsidRPr="00B817F3" w:rsidRDefault="00B817F3" w:rsidP="00B817F3">
      <w:r w:rsidRPr="00B817F3">
        <w:t>The clinical dosser documented a full clinical development program of pharmacology, efficacy and safety studies.</w:t>
      </w:r>
      <w:r w:rsidR="004C7F70">
        <w:t xml:space="preserve"> </w:t>
      </w:r>
      <w:r w:rsidRPr="00B817F3">
        <w:t xml:space="preserve">The submission </w:t>
      </w:r>
      <w:r w:rsidR="008D5864">
        <w:t xml:space="preserve">included </w:t>
      </w:r>
      <w:r w:rsidRPr="00B817F3">
        <w:t>the following clinical information:</w:t>
      </w:r>
    </w:p>
    <w:p w:rsidR="00B817F3" w:rsidRPr="00B817F3" w:rsidRDefault="000319E1" w:rsidP="00493571">
      <w:pPr>
        <w:pStyle w:val="ListBullet"/>
      </w:pPr>
      <w:r>
        <w:t>Phase I/II s</w:t>
      </w:r>
      <w:r w:rsidR="00B817F3" w:rsidRPr="00B817F3">
        <w:t>tudies</w:t>
      </w:r>
    </w:p>
    <w:p w:rsidR="00B817F3" w:rsidRPr="00B817F3" w:rsidRDefault="00B817F3" w:rsidP="00B817F3">
      <w:r w:rsidRPr="00B817F3">
        <w:t xml:space="preserve">Six clinical Phase I studies in healthy adults, assessing irritation, safety, tolerability, pharmacokinetics (PK), </w:t>
      </w:r>
      <w:r w:rsidR="00493571">
        <w:t>and sensitisation after use of r</w:t>
      </w:r>
      <w:r w:rsidRPr="00B817F3">
        <w:t>etapamulin ointment are included in this application. Study TOC1</w:t>
      </w:r>
      <w:r w:rsidR="00493571">
        <w:t xml:space="preserve">01825 evaluated </w:t>
      </w:r>
      <w:r w:rsidR="00E17660">
        <w:t xml:space="preserve">the </w:t>
      </w:r>
      <w:r w:rsidR="00493571">
        <w:t>interaction of r</w:t>
      </w:r>
      <w:r w:rsidRPr="00B817F3">
        <w:t>etapamulin with ketoconazole, a potent CYP3A4 and P</w:t>
      </w:r>
      <w:r w:rsidR="00A2509B">
        <w:t>-</w:t>
      </w:r>
      <w:proofErr w:type="spellStart"/>
      <w:r w:rsidRPr="00B817F3">
        <w:t>gp</w:t>
      </w:r>
      <w:proofErr w:type="spellEnd"/>
      <w:r w:rsidRPr="00B817F3">
        <w:t xml:space="preserve"> inhibitor. Two studies (Study 001 and Study 034) were conducted in healthy adults using alternative formulations (an aqueous nasal spray solution and </w:t>
      </w:r>
      <w:r w:rsidR="00493571">
        <w:t xml:space="preserve">an alternative </w:t>
      </w:r>
      <w:proofErr w:type="spellStart"/>
      <w:r w:rsidR="00493571">
        <w:t>succinate</w:t>
      </w:r>
      <w:proofErr w:type="spellEnd"/>
      <w:r w:rsidR="00493571">
        <w:t xml:space="preserve"> salt, </w:t>
      </w:r>
      <w:proofErr w:type="spellStart"/>
      <w:r w:rsidR="00493571">
        <w:t>r</w:t>
      </w:r>
      <w:r w:rsidRPr="00B817F3">
        <w:t>etapamulin</w:t>
      </w:r>
      <w:proofErr w:type="spellEnd"/>
      <w:r w:rsidRPr="00B817F3">
        <w:t>-AAA ointment) that are no longer being developed. The open-label</w:t>
      </w:r>
      <w:r w:rsidR="00493571">
        <w:t>,</w:t>
      </w:r>
      <w:r w:rsidRPr="00B817F3">
        <w:t xml:space="preserve"> non</w:t>
      </w:r>
      <w:r w:rsidR="00493571">
        <w:t>-</w:t>
      </w:r>
      <w:r w:rsidRPr="00B817F3">
        <w:t xml:space="preserve">comparative Phase II Study 029 evaluated the PK of </w:t>
      </w:r>
      <w:r w:rsidR="00493571">
        <w:t>r</w:t>
      </w:r>
      <w:r w:rsidRPr="00B817F3">
        <w:t>etapamulin ointment in adult subjects with uncomplicated bacterial skin infections. There was minimal systemic exposure following topical administration according to the proposed clinical dosing regimen, along with an excellent safety profile.</w:t>
      </w:r>
    </w:p>
    <w:p w:rsidR="00B817F3" w:rsidRPr="00B817F3" w:rsidRDefault="000319E1" w:rsidP="008D5864">
      <w:pPr>
        <w:pStyle w:val="ListBullet"/>
      </w:pPr>
      <w:r>
        <w:t>Phase III s</w:t>
      </w:r>
      <w:r w:rsidR="00B817F3" w:rsidRPr="00B817F3">
        <w:t>tudies</w:t>
      </w:r>
    </w:p>
    <w:p w:rsidR="00B817F3" w:rsidRPr="00B817F3" w:rsidRDefault="00B817F3" w:rsidP="00B817F3">
      <w:r w:rsidRPr="00B817F3">
        <w:t xml:space="preserve">The clinical and microbiological efficacy of </w:t>
      </w:r>
      <w:r w:rsidR="000319E1">
        <w:t>r</w:t>
      </w:r>
      <w:r w:rsidRPr="00B817F3">
        <w:t>etapamulin ointment was evaluated in 7 phase III clinical studies involving 4</w:t>
      </w:r>
      <w:r w:rsidR="000319E1">
        <w:t>,</w:t>
      </w:r>
      <w:r w:rsidRPr="00B817F3">
        <w:t>088 adult and paediatric s</w:t>
      </w:r>
      <w:r w:rsidR="008D5864">
        <w:t>ubjects, of who 2,724 received r</w:t>
      </w:r>
      <w:r w:rsidRPr="00B817F3">
        <w:t xml:space="preserve">etapamulin. There were 2 studies in primary impetigo; one a comparator study versus topical sodium </w:t>
      </w:r>
      <w:proofErr w:type="spellStart"/>
      <w:r w:rsidRPr="00B817F3">
        <w:t>fusidate</w:t>
      </w:r>
      <w:proofErr w:type="spellEnd"/>
      <w:r w:rsidRPr="00B817F3">
        <w:t xml:space="preserve"> ointment (Study TOC100224) and the other a placebo controlled study (Study TOC103469). Two</w:t>
      </w:r>
      <w:r w:rsidR="00E17660">
        <w:t xml:space="preserve"> identical studies were in SITL,</w:t>
      </w:r>
      <w:r w:rsidRPr="00B817F3">
        <w:t xml:space="preserve"> using oral </w:t>
      </w:r>
      <w:proofErr w:type="spellStart"/>
      <w:r w:rsidRPr="00B817F3">
        <w:t>cephalexin</w:t>
      </w:r>
      <w:proofErr w:type="spellEnd"/>
      <w:r w:rsidRPr="00B817F3">
        <w:t xml:space="preserve"> as a comparator (Studies 030A and 030B). A further study (TOC110977) was conducted in subjects with SITL</w:t>
      </w:r>
      <w:r w:rsidR="00E17660">
        <w:t>,</w:t>
      </w:r>
      <w:r w:rsidRPr="00B817F3">
        <w:t xml:space="preserve"> using a placebo control. Single PK plasma samples were collected in the SITL</w:t>
      </w:r>
      <w:r w:rsidR="008D5864">
        <w:t xml:space="preserve"> studies to assess exposure to r</w:t>
      </w:r>
      <w:r w:rsidRPr="00B817F3">
        <w:t>etapamulin under the proposed conditions of clinical use. A study was conducted in subjects with SITL and impetigo to evalu</w:t>
      </w:r>
      <w:r w:rsidR="000319E1">
        <w:t xml:space="preserve">ate the efficacy and safety of </w:t>
      </w:r>
      <w:proofErr w:type="spellStart"/>
      <w:r w:rsidR="000319E1">
        <w:t>r</w:t>
      </w:r>
      <w:r w:rsidRPr="00B817F3">
        <w:t>etapamulin</w:t>
      </w:r>
      <w:proofErr w:type="spellEnd"/>
      <w:r w:rsidRPr="00B817F3">
        <w:t xml:space="preserve"> versus </w:t>
      </w:r>
      <w:proofErr w:type="spellStart"/>
      <w:r w:rsidRPr="00B817F3">
        <w:t>linezolid</w:t>
      </w:r>
      <w:proofErr w:type="spellEnd"/>
      <w:r w:rsidRPr="00B817F3">
        <w:t xml:space="preserve"> in subjects with MRSA (Study TOC110978).</w:t>
      </w:r>
      <w:r w:rsidR="008D5864">
        <w:t xml:space="preserve"> One study was in SID in which r</w:t>
      </w:r>
      <w:r w:rsidRPr="00B817F3">
        <w:t xml:space="preserve">etapamulin was compared with oral </w:t>
      </w:r>
      <w:proofErr w:type="spellStart"/>
      <w:r w:rsidRPr="00B817F3">
        <w:t>cephalexin</w:t>
      </w:r>
      <w:proofErr w:type="spellEnd"/>
      <w:r w:rsidRPr="00B817F3">
        <w:t xml:space="preserve"> (Study 032).</w:t>
      </w:r>
    </w:p>
    <w:p w:rsidR="00B817F3" w:rsidRPr="00B817F3" w:rsidRDefault="000319E1" w:rsidP="0011721E">
      <w:pPr>
        <w:pStyle w:val="ListBullet"/>
        <w:keepNext/>
      </w:pPr>
      <w:r>
        <w:lastRenderedPageBreak/>
        <w:t>Phase IV s</w:t>
      </w:r>
      <w:r w:rsidR="00B817F3" w:rsidRPr="00B817F3">
        <w:t>tudy</w:t>
      </w:r>
    </w:p>
    <w:p w:rsidR="00B817F3" w:rsidRPr="00B817F3" w:rsidRDefault="00B817F3" w:rsidP="00B817F3">
      <w:r w:rsidRPr="00B817F3">
        <w:t>Phase IV Study TOC106489 was c</w:t>
      </w:r>
      <w:r w:rsidR="00E17660">
        <w:t>onducted to evaluate the PK of r</w:t>
      </w:r>
      <w:r w:rsidRPr="00B817F3">
        <w:t>etapamulin in children 2 to 24 months of age. Safety and efficacy were secondary endpoints.</w:t>
      </w:r>
    </w:p>
    <w:p w:rsidR="00B817F3" w:rsidRPr="00B817F3" w:rsidRDefault="000319E1" w:rsidP="008D5864">
      <w:pPr>
        <w:pStyle w:val="ListBullet"/>
      </w:pPr>
      <w:r>
        <w:t>Other s</w:t>
      </w:r>
      <w:r w:rsidR="00B817F3" w:rsidRPr="00B817F3">
        <w:t>tudies</w:t>
      </w:r>
    </w:p>
    <w:p w:rsidR="00B817F3" w:rsidRDefault="00B817F3" w:rsidP="00B817F3">
      <w:r w:rsidRPr="00B817F3">
        <w:t>Study ALB110247 was a Phase I study con</w:t>
      </w:r>
      <w:r w:rsidR="008D5864">
        <w:t>ducted to evaluate efficacy of r</w:t>
      </w:r>
      <w:r w:rsidRPr="00B817F3">
        <w:t xml:space="preserve">etapamulin ointment on nasal decolonization of </w:t>
      </w:r>
      <w:r w:rsidRPr="008D5864">
        <w:rPr>
          <w:i/>
          <w:iCs/>
        </w:rPr>
        <w:t>S. aureus</w:t>
      </w:r>
      <w:r w:rsidRPr="00B817F3">
        <w:t>. Study ALT111065 was a</w:t>
      </w:r>
      <w:r w:rsidR="0094033D">
        <w:t xml:space="preserve"> study to evaluate the efficacy of r</w:t>
      </w:r>
      <w:r w:rsidRPr="00B817F3">
        <w:t xml:space="preserve">etapamulin in subjects with </w:t>
      </w:r>
      <w:r w:rsidRPr="00B817F3">
        <w:rPr>
          <w:i/>
        </w:rPr>
        <w:t>P. acnes</w:t>
      </w:r>
      <w:r w:rsidR="0094033D">
        <w:t xml:space="preserve"> colonis</w:t>
      </w:r>
      <w:r w:rsidRPr="00B817F3">
        <w:t>ation of the forehead.</w:t>
      </w:r>
    </w:p>
    <w:p w:rsidR="00E17660" w:rsidRPr="00B817F3" w:rsidRDefault="0094033D" w:rsidP="00B817F3">
      <w:r>
        <w:t>A summary of t</w:t>
      </w:r>
      <w:r w:rsidR="00E17660">
        <w:t xml:space="preserve">he clinical studies </w:t>
      </w:r>
      <w:r>
        <w:t xml:space="preserve">is shown in </w:t>
      </w:r>
      <w:r w:rsidR="00E17660" w:rsidRPr="00E17660">
        <w:t xml:space="preserve">Table </w:t>
      </w:r>
      <w:r>
        <w:t>7</w:t>
      </w:r>
      <w:r w:rsidR="00E17660">
        <w:t>.</w:t>
      </w:r>
    </w:p>
    <w:p w:rsidR="00B817F3" w:rsidRPr="00B817F3" w:rsidRDefault="00E17660" w:rsidP="00E17660">
      <w:r>
        <w:t xml:space="preserve">The dossier included </w:t>
      </w:r>
      <w:r w:rsidR="00B817F3" w:rsidRPr="00B817F3">
        <w:t xml:space="preserve">draft Australian PI and </w:t>
      </w:r>
      <w:r w:rsidR="0094033D">
        <w:t>Consumer Medicine Information (</w:t>
      </w:r>
      <w:r w:rsidR="00B817F3" w:rsidRPr="00B817F3">
        <w:t>CMI</w:t>
      </w:r>
      <w:r w:rsidR="0094033D">
        <w:t>)</w:t>
      </w:r>
      <w:r>
        <w:t xml:space="preserve"> and a</w:t>
      </w:r>
      <w:r w:rsidR="005F11BC">
        <w:t xml:space="preserve"> </w:t>
      </w:r>
      <w:r w:rsidR="005F11BC" w:rsidRPr="005F11BC">
        <w:rPr>
          <w:i/>
          <w:iCs/>
        </w:rPr>
        <w:t>Risk Assessment of Microbial Resistance</w:t>
      </w:r>
      <w:r w:rsidR="005F11BC" w:rsidRPr="005F11BC">
        <w:rPr>
          <w:b/>
          <w:bCs/>
        </w:rPr>
        <w:t xml:space="preserve"> </w:t>
      </w:r>
      <w:r w:rsidR="0094033D" w:rsidRPr="0094033D">
        <w:t>[for]</w:t>
      </w:r>
      <w:r w:rsidR="0094033D">
        <w:rPr>
          <w:b/>
          <w:bCs/>
        </w:rPr>
        <w:t xml:space="preserve"> </w:t>
      </w:r>
      <w:proofErr w:type="spellStart"/>
      <w:r w:rsidR="005F11BC" w:rsidRPr="005F11BC">
        <w:rPr>
          <w:i/>
          <w:iCs/>
        </w:rPr>
        <w:t>Altargo</w:t>
      </w:r>
      <w:proofErr w:type="spellEnd"/>
      <w:r w:rsidR="005F11BC" w:rsidRPr="005F11BC">
        <w:rPr>
          <w:i/>
          <w:iCs/>
        </w:rPr>
        <w:t xml:space="preserve"> 1% Ointment</w:t>
      </w:r>
      <w:r>
        <w:rPr>
          <w:i/>
          <w:iCs/>
        </w:rPr>
        <w:t>.</w:t>
      </w:r>
    </w:p>
    <w:p w:rsidR="00B817F3" w:rsidRPr="00B817F3" w:rsidRDefault="00B817F3" w:rsidP="00B817F3"/>
    <w:p w:rsidR="00B817F3" w:rsidRPr="00B817F3" w:rsidRDefault="00B817F3" w:rsidP="00B817F3">
      <w:pPr>
        <w:sectPr w:rsidR="00B817F3" w:rsidRPr="00B817F3" w:rsidSect="00B817F3">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p>
    <w:p w:rsidR="00B817F3" w:rsidRPr="00B817F3" w:rsidRDefault="00B817F3" w:rsidP="00E9404C">
      <w:pPr>
        <w:pStyle w:val="TableTitle"/>
      </w:pPr>
      <w:bookmarkStart w:id="78" w:name="_Ref337893797"/>
      <w:bookmarkStart w:id="79" w:name="_Ref338245595"/>
      <w:bookmarkStart w:id="80" w:name="_Toc338250701"/>
      <w:proofErr w:type="gramStart"/>
      <w:r w:rsidRPr="00B817F3">
        <w:lastRenderedPageBreak/>
        <w:t>Table</w:t>
      </w:r>
      <w:bookmarkEnd w:id="78"/>
      <w:r w:rsidR="0094033D">
        <w:t xml:space="preserve"> 7.</w:t>
      </w:r>
      <w:proofErr w:type="gramEnd"/>
      <w:r w:rsidRPr="00B817F3">
        <w:t xml:space="preserve"> Complete Summary of Studies – Design and Methodology</w:t>
      </w:r>
      <w:bookmarkEnd w:id="79"/>
      <w:bookmarkEnd w:id="80"/>
    </w:p>
    <w:p w:rsidR="00B817F3" w:rsidRPr="00B817F3" w:rsidRDefault="00B817F3" w:rsidP="00B817F3">
      <w:r w:rsidRPr="00B817F3">
        <w:rPr>
          <w:noProof/>
          <w:lang w:eastAsia="en-AU"/>
        </w:rPr>
        <w:drawing>
          <wp:inline distT="0" distB="0" distL="0" distR="0">
            <wp:extent cx="8623300" cy="5226242"/>
            <wp:effectExtent l="19050" t="0" r="6350" b="0"/>
            <wp:docPr id="13" name="Picture 49" descr="Table 7.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7805" cy="5228972"/>
                    </a:xfrm>
                    <a:prstGeom prst="rect">
                      <a:avLst/>
                    </a:prstGeom>
                    <a:noFill/>
                    <a:ln>
                      <a:noFill/>
                    </a:ln>
                  </pic:spPr>
                </pic:pic>
              </a:graphicData>
            </a:graphic>
          </wp:inline>
        </w:drawing>
      </w:r>
    </w:p>
    <w:p w:rsidR="00B817F3" w:rsidRPr="00B817F3" w:rsidRDefault="0094033D" w:rsidP="00020DAB">
      <w:pPr>
        <w:pStyle w:val="TableTitle"/>
      </w:pPr>
      <w:r>
        <w:lastRenderedPageBreak/>
        <w:t>Table 7 continued.</w:t>
      </w:r>
      <w:r w:rsidR="00B817F3" w:rsidRPr="00B817F3">
        <w:t xml:space="preserve"> Complete Summary of Studies – Design and Methodology</w:t>
      </w:r>
    </w:p>
    <w:p w:rsidR="00B817F3" w:rsidRPr="00B817F3" w:rsidRDefault="00B817F3" w:rsidP="00B817F3">
      <w:r w:rsidRPr="00B817F3">
        <w:rPr>
          <w:noProof/>
          <w:lang w:eastAsia="en-AU"/>
        </w:rPr>
        <w:drawing>
          <wp:inline distT="0" distB="0" distL="0" distR="0">
            <wp:extent cx="8863330" cy="5304243"/>
            <wp:effectExtent l="19050" t="0" r="0" b="0"/>
            <wp:docPr id="14" name="Picture 50" descr="Table 7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5304243"/>
                    </a:xfrm>
                    <a:prstGeom prst="rect">
                      <a:avLst/>
                    </a:prstGeom>
                    <a:noFill/>
                    <a:ln>
                      <a:noFill/>
                    </a:ln>
                  </pic:spPr>
                </pic:pic>
              </a:graphicData>
            </a:graphic>
          </wp:inline>
        </w:drawing>
      </w:r>
    </w:p>
    <w:p w:rsidR="00B817F3" w:rsidRPr="00B817F3" w:rsidRDefault="0094033D" w:rsidP="00020DAB">
      <w:pPr>
        <w:pStyle w:val="TableTitle"/>
      </w:pPr>
      <w:r>
        <w:lastRenderedPageBreak/>
        <w:t>Table 7</w:t>
      </w:r>
      <w:r w:rsidR="00B817F3" w:rsidRPr="00B817F3">
        <w:t xml:space="preserve"> continued</w:t>
      </w:r>
      <w:r>
        <w:t>.</w:t>
      </w:r>
      <w:r w:rsidR="00B817F3" w:rsidRPr="00B817F3">
        <w:t xml:space="preserve"> Complete Summary of Studies – Design and Methodology</w:t>
      </w:r>
    </w:p>
    <w:p w:rsidR="00B817F3" w:rsidRPr="00B817F3" w:rsidRDefault="00B817F3" w:rsidP="00B817F3">
      <w:r w:rsidRPr="00B817F3">
        <w:rPr>
          <w:noProof/>
          <w:lang w:eastAsia="en-AU"/>
        </w:rPr>
        <w:drawing>
          <wp:inline distT="0" distB="0" distL="0" distR="0">
            <wp:extent cx="8813800" cy="5154919"/>
            <wp:effectExtent l="19050" t="0" r="6350" b="0"/>
            <wp:docPr id="16" name="Picture 51" descr="Table 7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5277" cy="5161631"/>
                    </a:xfrm>
                    <a:prstGeom prst="rect">
                      <a:avLst/>
                    </a:prstGeom>
                    <a:noFill/>
                    <a:ln>
                      <a:noFill/>
                    </a:ln>
                  </pic:spPr>
                </pic:pic>
              </a:graphicData>
            </a:graphic>
          </wp:inline>
        </w:drawing>
      </w:r>
    </w:p>
    <w:p w:rsidR="00B817F3" w:rsidRPr="00B817F3" w:rsidRDefault="00B817F3" w:rsidP="00020DAB">
      <w:pPr>
        <w:pStyle w:val="TableTitle"/>
      </w:pPr>
      <w:r w:rsidRPr="00B817F3">
        <w:lastRenderedPageBreak/>
        <w:t xml:space="preserve">Table </w:t>
      </w:r>
      <w:r w:rsidR="0094033D">
        <w:t>7</w:t>
      </w:r>
      <w:r w:rsidRPr="00B817F3">
        <w:t xml:space="preserve"> continued</w:t>
      </w:r>
      <w:r w:rsidR="0094033D">
        <w:t>.</w:t>
      </w:r>
      <w:r w:rsidRPr="00B817F3">
        <w:t xml:space="preserve"> Complete Summary of Studies – Design and Methodology</w:t>
      </w:r>
    </w:p>
    <w:p w:rsidR="00B817F3" w:rsidRPr="00B817F3" w:rsidRDefault="00B817F3" w:rsidP="00B817F3">
      <w:r w:rsidRPr="00B817F3">
        <w:rPr>
          <w:noProof/>
          <w:lang w:eastAsia="en-AU"/>
        </w:rPr>
        <w:drawing>
          <wp:inline distT="0" distB="0" distL="0" distR="0">
            <wp:extent cx="8643900" cy="5357021"/>
            <wp:effectExtent l="19050" t="0" r="4800" b="0"/>
            <wp:docPr id="17" name="Picture 52" descr="Table 7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4726" cy="5357533"/>
                    </a:xfrm>
                    <a:prstGeom prst="rect">
                      <a:avLst/>
                    </a:prstGeom>
                    <a:noFill/>
                    <a:ln>
                      <a:noFill/>
                    </a:ln>
                  </pic:spPr>
                </pic:pic>
              </a:graphicData>
            </a:graphic>
          </wp:inline>
        </w:drawing>
      </w:r>
    </w:p>
    <w:p w:rsidR="00B817F3" w:rsidRPr="00B817F3" w:rsidRDefault="00B817F3" w:rsidP="00020DAB">
      <w:pPr>
        <w:pStyle w:val="TableTitle"/>
      </w:pPr>
      <w:r w:rsidRPr="00B817F3">
        <w:lastRenderedPageBreak/>
        <w:t xml:space="preserve">Table </w:t>
      </w:r>
      <w:r w:rsidR="0094033D">
        <w:t>7</w:t>
      </w:r>
      <w:r w:rsidRPr="00B817F3">
        <w:t xml:space="preserve"> continued</w:t>
      </w:r>
      <w:r w:rsidR="0094033D">
        <w:t>.</w:t>
      </w:r>
      <w:r w:rsidRPr="00B817F3">
        <w:t xml:space="preserve"> Complete Summary of Studies – Design and Methodology</w:t>
      </w:r>
    </w:p>
    <w:p w:rsidR="00B817F3" w:rsidRPr="00B817F3" w:rsidRDefault="00B817F3" w:rsidP="00E17660">
      <w:pPr>
        <w:spacing w:after="0"/>
      </w:pPr>
      <w:r w:rsidRPr="00B817F3">
        <w:rPr>
          <w:noProof/>
          <w:lang w:eastAsia="en-AU"/>
        </w:rPr>
        <w:drawing>
          <wp:inline distT="0" distB="0" distL="0" distR="0">
            <wp:extent cx="8587996" cy="1485900"/>
            <wp:effectExtent l="19050" t="0" r="3554" b="0"/>
            <wp:docPr id="20" name="Picture 53" descr="Table 7 continued. Complete Summary of Studies – Design and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9837" cy="1486219"/>
                    </a:xfrm>
                    <a:prstGeom prst="rect">
                      <a:avLst/>
                    </a:prstGeom>
                    <a:noFill/>
                    <a:ln>
                      <a:noFill/>
                    </a:ln>
                  </pic:spPr>
                </pic:pic>
              </a:graphicData>
            </a:graphic>
          </wp:inline>
        </w:drawing>
      </w:r>
    </w:p>
    <w:p w:rsidR="00B817F3" w:rsidRPr="00E17660" w:rsidRDefault="00B817F3" w:rsidP="00020DAB">
      <w:pPr>
        <w:pStyle w:val="TableDescription"/>
        <w:sectPr w:rsidR="00B817F3" w:rsidRPr="00E17660" w:rsidSect="00B817F3">
          <w:footerReference w:type="default" r:id="rId24"/>
          <w:pgSz w:w="16838" w:h="11906" w:orient="landscape" w:code="9"/>
          <w:pgMar w:top="1440" w:right="1440" w:bottom="1440" w:left="1440" w:header="907" w:footer="216" w:gutter="0"/>
          <w:cols w:space="708"/>
          <w:docGrid w:linePitch="360"/>
        </w:sectPr>
      </w:pPr>
      <w:r w:rsidRPr="00E17660">
        <w:t>BD</w:t>
      </w:r>
      <w:r w:rsidR="00E17660">
        <w:t>:</w:t>
      </w:r>
      <w:r w:rsidRPr="00E17660">
        <w:t xml:space="preserve"> twice a day, CSR</w:t>
      </w:r>
      <w:r w:rsidR="00E17660">
        <w:t>:</w:t>
      </w:r>
      <w:r w:rsidRPr="00E17660">
        <w:t xml:space="preserve"> clinical study report, F</w:t>
      </w:r>
      <w:r w:rsidR="00E17660">
        <w:t>:</w:t>
      </w:r>
      <w:r w:rsidRPr="00E17660">
        <w:t xml:space="preserve"> female, ITTC</w:t>
      </w:r>
      <w:r w:rsidR="00E17660">
        <w:t>:</w:t>
      </w:r>
      <w:r w:rsidRPr="00E17660">
        <w:t xml:space="preserve"> intent-to-treat clinical population, M</w:t>
      </w:r>
      <w:r w:rsidR="00E17660">
        <w:t>:</w:t>
      </w:r>
      <w:r w:rsidRPr="00E17660">
        <w:t xml:space="preserve"> male, MRSA</w:t>
      </w:r>
      <w:r w:rsidR="00E17660">
        <w:t>:</w:t>
      </w:r>
      <w:r w:rsidRPr="00E17660">
        <w:t xml:space="preserve"> </w:t>
      </w:r>
      <w:proofErr w:type="spellStart"/>
      <w:r w:rsidRPr="00E17660">
        <w:t>methicillin</w:t>
      </w:r>
      <w:proofErr w:type="spellEnd"/>
      <w:r w:rsidRPr="00E17660">
        <w:t xml:space="preserve">-resistant </w:t>
      </w:r>
      <w:r w:rsidRPr="00E17660">
        <w:rPr>
          <w:i/>
          <w:iCs/>
        </w:rPr>
        <w:t>S. aureus</w:t>
      </w:r>
      <w:r w:rsidRPr="00E17660">
        <w:t>, PK</w:t>
      </w:r>
      <w:r w:rsidR="00E17660">
        <w:t>:</w:t>
      </w:r>
      <w:r w:rsidRPr="00E17660">
        <w:t xml:space="preserve"> pharmacokinetic(s), SID</w:t>
      </w:r>
      <w:r w:rsidR="00E17660">
        <w:t>:</w:t>
      </w:r>
      <w:r w:rsidRPr="00E17660">
        <w:t xml:space="preserve"> secondarily infected </w:t>
      </w:r>
      <w:proofErr w:type="spellStart"/>
      <w:r w:rsidRPr="00E17660">
        <w:t>dermatoses</w:t>
      </w:r>
      <w:proofErr w:type="spellEnd"/>
      <w:r w:rsidRPr="00E17660">
        <w:t>, SIRS</w:t>
      </w:r>
      <w:r w:rsidR="00E17660">
        <w:t>:</w:t>
      </w:r>
      <w:r w:rsidRPr="00E17660">
        <w:t xml:space="preserve"> skin infection rating scale, SITL</w:t>
      </w:r>
      <w:r w:rsidR="00E17660">
        <w:t>:</w:t>
      </w:r>
      <w:r w:rsidRPr="00E17660">
        <w:t xml:space="preserve"> secondarily infected traumatic lesions, TID</w:t>
      </w:r>
      <w:r w:rsidR="00E17660">
        <w:t>:</w:t>
      </w:r>
      <w:r w:rsidRPr="00E17660">
        <w:t xml:space="preserve"> three times a day</w:t>
      </w:r>
    </w:p>
    <w:p w:rsidR="00B817F3" w:rsidRPr="00B817F3" w:rsidRDefault="00B817F3" w:rsidP="00511F64">
      <w:pPr>
        <w:pStyle w:val="Heading4"/>
      </w:pPr>
      <w:bookmarkStart w:id="81" w:name="_Toc369253116"/>
      <w:r w:rsidRPr="00B817F3">
        <w:lastRenderedPageBreak/>
        <w:t>Paediatric data</w:t>
      </w:r>
      <w:bookmarkEnd w:id="81"/>
    </w:p>
    <w:p w:rsidR="00B817F3" w:rsidRPr="00B817F3" w:rsidRDefault="00B817F3" w:rsidP="00B817F3">
      <w:r w:rsidRPr="00B817F3">
        <w:t xml:space="preserve">The submission includes paediatric </w:t>
      </w:r>
      <w:r w:rsidR="00A2509B">
        <w:t>PK</w:t>
      </w:r>
      <w:r w:rsidR="004C7F70">
        <w:t>,</w:t>
      </w:r>
      <w:r w:rsidRPr="00B817F3">
        <w:t xml:space="preserve"> pharmacodynamic</w:t>
      </w:r>
      <w:r w:rsidR="004C7F70">
        <w:t>,</w:t>
      </w:r>
      <w:r w:rsidRPr="00B817F3">
        <w:t xml:space="preserve"> efficacy </w:t>
      </w:r>
      <w:r w:rsidR="004C7F70">
        <w:t xml:space="preserve">and </w:t>
      </w:r>
      <w:r w:rsidRPr="00B817F3">
        <w:t>safety data.</w:t>
      </w:r>
    </w:p>
    <w:p w:rsidR="00B817F3" w:rsidRPr="00B817F3" w:rsidRDefault="00B817F3" w:rsidP="00511F64">
      <w:pPr>
        <w:pStyle w:val="Heading4"/>
      </w:pPr>
      <w:bookmarkStart w:id="82" w:name="_Toc369253117"/>
      <w:r w:rsidRPr="00B817F3">
        <w:t>Good clinical practice</w:t>
      </w:r>
      <w:bookmarkEnd w:id="82"/>
    </w:p>
    <w:p w:rsidR="00B817F3" w:rsidRPr="00B817F3" w:rsidRDefault="00B817F3" w:rsidP="00B817F3">
      <w:r w:rsidRPr="00B817F3">
        <w:t>All studies were undertaken in accordance with standard operating procedures of the GlaxoSmithKline Group of Companies, which comply with the principles of Good Clinical Practice. All studies were conducted with the approval of Ethics Committees or Institutional Review Boards. Informed consent (and assent from minors, as applicable) was obtained for all subjects, and the studies were performed in accordance with the version of the Declaration of Helsinki that applied at the t</w:t>
      </w:r>
      <w:r w:rsidR="00020DAB">
        <w:t>ime the studies were conducted.</w:t>
      </w:r>
    </w:p>
    <w:p w:rsidR="008E7846" w:rsidRDefault="008E7846" w:rsidP="008E7846">
      <w:pPr>
        <w:pStyle w:val="Heading3"/>
      </w:pPr>
      <w:bookmarkStart w:id="83" w:name="_Toc196046464"/>
      <w:bookmarkStart w:id="84" w:name="_Toc247691518"/>
      <w:bookmarkStart w:id="85" w:name="_Toc314842502"/>
      <w:bookmarkStart w:id="86" w:name="_Toc371925754"/>
      <w:r w:rsidRPr="00254787">
        <w:t>Pharmacokinetics</w:t>
      </w:r>
      <w:bookmarkEnd w:id="67"/>
      <w:bookmarkEnd w:id="83"/>
      <w:bookmarkEnd w:id="84"/>
      <w:bookmarkEnd w:id="85"/>
      <w:bookmarkEnd w:id="86"/>
    </w:p>
    <w:p w:rsidR="00A2509B" w:rsidRPr="00A2509B" w:rsidRDefault="00A2509B" w:rsidP="00A2509B">
      <w:pPr>
        <w:pStyle w:val="Heading4"/>
      </w:pPr>
      <w:r>
        <w:t>Studies providing pharmacokinetic data</w:t>
      </w:r>
    </w:p>
    <w:p w:rsidR="00A2509B" w:rsidRDefault="008D5864" w:rsidP="00511F64">
      <w:r w:rsidRPr="00511F64">
        <w:t xml:space="preserve">The clinical pharmacology development program for retapamulin ointment was designed to establish safety and tolerability (including assessment of the potential for local irritation and sensitisation) and to describe </w:t>
      </w:r>
      <w:r w:rsidR="00A2509B">
        <w:t xml:space="preserve">PK </w:t>
      </w:r>
      <w:r w:rsidR="00020DAB">
        <w:t>parameters in humans.</w:t>
      </w:r>
    </w:p>
    <w:p w:rsidR="008D5864" w:rsidRPr="008D5864" w:rsidRDefault="008D5864" w:rsidP="008D5864">
      <w:r w:rsidRPr="00A2509B">
        <w:t xml:space="preserve">Three </w:t>
      </w:r>
      <w:proofErr w:type="gramStart"/>
      <w:r w:rsidRPr="00A2509B">
        <w:t>Phase</w:t>
      </w:r>
      <w:proofErr w:type="gramEnd"/>
      <w:r w:rsidRPr="00A2509B">
        <w:t xml:space="preserve"> </w:t>
      </w:r>
      <w:r w:rsidR="00A2509B">
        <w:t>I studies (Study 025, Study 026</w:t>
      </w:r>
      <w:r w:rsidRPr="00A2509B">
        <w:t xml:space="preserve"> and Study 027) evaluated 3 concentrations of retapamulin ointment (0.5%, 1%, and 2%). </w:t>
      </w:r>
      <w:r w:rsidRPr="008D5864">
        <w:t xml:space="preserve">Study 025 and Study 026 evaluated the irritation potential and PK, respectively, on both intact and abraded skin. Study 027 evaluated the sensitisation potential on intact skin. Study TOC101825 evaluated the PK of retapamulin 1% applied to abraded skin with and without oral ketoconazole, a potent CYP3A4 and </w:t>
      </w:r>
      <w:proofErr w:type="spellStart"/>
      <w:r w:rsidRPr="008D5864">
        <w:t>Pgp</w:t>
      </w:r>
      <w:proofErr w:type="spellEnd"/>
      <w:r w:rsidRPr="008D5864">
        <w:t xml:space="preserve"> inhibitor. In addition, a study was conducted to evaluate retapamulin ointment applied to the anterior </w:t>
      </w:r>
      <w:proofErr w:type="spellStart"/>
      <w:r w:rsidRPr="008D5864">
        <w:t>nares</w:t>
      </w:r>
      <w:proofErr w:type="spellEnd"/>
      <w:r w:rsidRPr="008D5864">
        <w:t xml:space="preserve"> of health</w:t>
      </w:r>
      <w:r w:rsidR="00AE261F">
        <w:t>y adult subjects nasally colonis</w:t>
      </w:r>
      <w:r w:rsidRPr="008D5864">
        <w:t xml:space="preserve">ed with </w:t>
      </w:r>
      <w:r w:rsidRPr="008D5864">
        <w:rPr>
          <w:i/>
        </w:rPr>
        <w:t>S</w:t>
      </w:r>
      <w:r w:rsidR="00A2509B">
        <w:rPr>
          <w:i/>
        </w:rPr>
        <w:t xml:space="preserve">. </w:t>
      </w:r>
      <w:proofErr w:type="spellStart"/>
      <w:r w:rsidRPr="008D5864">
        <w:rPr>
          <w:i/>
        </w:rPr>
        <w:t>aureus</w:t>
      </w:r>
      <w:proofErr w:type="spellEnd"/>
      <w:r w:rsidR="00020DAB">
        <w:t xml:space="preserve"> (Study ALB110247).</w:t>
      </w:r>
    </w:p>
    <w:p w:rsidR="00A2509B" w:rsidRDefault="008D5864" w:rsidP="008D5864">
      <w:r w:rsidRPr="008D5864">
        <w:t xml:space="preserve">Pharmacokinetic results from Phase II, III, </w:t>
      </w:r>
      <w:r w:rsidR="00511F64">
        <w:t xml:space="preserve">and IV studies are also </w:t>
      </w:r>
      <w:r w:rsidR="00A2509B">
        <w:t>provided</w:t>
      </w:r>
      <w:r w:rsidRPr="008D5864">
        <w:t xml:space="preserve">. </w:t>
      </w:r>
      <w:r w:rsidR="00A2509B" w:rsidRPr="00A2509B">
        <w:t>Phase II Study 029</w:t>
      </w:r>
      <w:r w:rsidR="00A2509B">
        <w:t xml:space="preserve"> </w:t>
      </w:r>
      <w:r w:rsidRPr="008D5864">
        <w:t xml:space="preserve">assessed systemic exposure to retapamulin after topical application of retapamulin ointment, 1%, to the skin of subjects with uncomplicated bacterial skin infections. </w:t>
      </w:r>
      <w:r w:rsidR="00A2509B" w:rsidRPr="00A2509B">
        <w:t>Phase III Studies</w:t>
      </w:r>
      <w:r w:rsidR="00A2509B" w:rsidRPr="00A2509B">
        <w:rPr>
          <w:b/>
        </w:rPr>
        <w:t xml:space="preserve"> </w:t>
      </w:r>
      <w:r w:rsidR="00A2509B" w:rsidRPr="00A2509B">
        <w:t xml:space="preserve">030A and 030B </w:t>
      </w:r>
      <w:r w:rsidRPr="008D5864">
        <w:t xml:space="preserve">compared the efficacy and safety of topical applications of retapamulin ointment, 1%, with oral </w:t>
      </w:r>
      <w:proofErr w:type="spellStart"/>
      <w:r w:rsidRPr="008D5864">
        <w:t>cephalexin</w:t>
      </w:r>
      <w:proofErr w:type="spellEnd"/>
      <w:r w:rsidRPr="008D5864">
        <w:t xml:space="preserve"> in the treatment of adult and paediatric (down to age 9 months) subjects with SITL. </w:t>
      </w:r>
      <w:r w:rsidR="00A2509B" w:rsidRPr="00A2509B">
        <w:t>Phase IV paediatric Study TOC106489</w:t>
      </w:r>
      <w:r w:rsidRPr="008D5864">
        <w:t xml:space="preserve"> assessed topical retapamulin ointment, 1%, in the treatment of uncomplicated skin and skin structure infections in paediatric</w:t>
      </w:r>
      <w:r w:rsidR="00020DAB">
        <w:t xml:space="preserve"> subjects aged 2 to 24 months.</w:t>
      </w:r>
    </w:p>
    <w:p w:rsidR="008D5864" w:rsidRPr="008D5864" w:rsidRDefault="008D5864" w:rsidP="00511F64">
      <w:pPr>
        <w:pStyle w:val="Heading4"/>
      </w:pPr>
      <w:bookmarkStart w:id="87" w:name="_Toc369253120"/>
      <w:bookmarkStart w:id="88" w:name="_Toc339375275"/>
      <w:bookmarkStart w:id="89" w:name="_Toc290888635"/>
      <w:bookmarkStart w:id="90" w:name="_Toc290888484"/>
      <w:bookmarkStart w:id="91" w:name="_Toc272414635"/>
      <w:bookmarkStart w:id="92" w:name="_Ref271018755"/>
      <w:bookmarkStart w:id="93" w:name="_Ref271018704"/>
      <w:bookmarkStart w:id="94" w:name="_Ref269982040"/>
      <w:bookmarkStart w:id="95" w:name="_Toc241374296"/>
      <w:r w:rsidRPr="008D5864">
        <w:t>Evaluator’s overall conclusions on pharmacokinetics</w:t>
      </w:r>
      <w:bookmarkEnd w:id="87"/>
      <w:bookmarkEnd w:id="88"/>
      <w:bookmarkEnd w:id="89"/>
      <w:bookmarkEnd w:id="90"/>
      <w:bookmarkEnd w:id="91"/>
      <w:bookmarkEnd w:id="92"/>
      <w:bookmarkEnd w:id="93"/>
      <w:bookmarkEnd w:id="94"/>
      <w:bookmarkEnd w:id="95"/>
    </w:p>
    <w:p w:rsidR="00A20CF5" w:rsidRDefault="006854E1" w:rsidP="008D5864">
      <w:r>
        <w:t>T</w:t>
      </w:r>
      <w:r w:rsidR="008D5864" w:rsidRPr="008D5864">
        <w:t xml:space="preserve">he studies </w:t>
      </w:r>
      <w:r w:rsidR="00A2509B">
        <w:t xml:space="preserve">described </w:t>
      </w:r>
      <w:r w:rsidR="008D5864" w:rsidRPr="008D5864">
        <w:t xml:space="preserve">above, both in healthy and target population studies, </w:t>
      </w:r>
      <w:r>
        <w:t xml:space="preserve">provided </w:t>
      </w:r>
      <w:r w:rsidR="008D5864" w:rsidRPr="008D5864">
        <w:t xml:space="preserve">a limited number of measurable concentrations in adult and paediatric subjects (99/630 subjects or 16%). The </w:t>
      </w:r>
      <w:r>
        <w:t xml:space="preserve">findings </w:t>
      </w:r>
      <w:r w:rsidR="008D5864" w:rsidRPr="008D5864">
        <w:t>demonstrated that in general there will be either minimal or no systemic retapamulin exposures following repeat topical appl</w:t>
      </w:r>
      <w:r w:rsidR="00AE261F">
        <w:t>ication of retapamulin ointment,</w:t>
      </w:r>
      <w:r w:rsidR="008D5864" w:rsidRPr="008D5864">
        <w:t xml:space="preserve"> 1%, BD to wound surface areas up to 100 cm</w:t>
      </w:r>
      <w:r w:rsidR="008D5864" w:rsidRPr="006854E1">
        <w:rPr>
          <w:vertAlign w:val="superscript"/>
        </w:rPr>
        <w:t>2</w:t>
      </w:r>
      <w:r w:rsidR="008D5864" w:rsidRPr="008D5864">
        <w:t xml:space="preserve"> in subjects with SITL, SID, impetigo or other uncomplicated bacterial skin infections (Study 029, Study 030A, Study 030B, and Study TOC106489). Additionally, the systemic exposure to retapamulin in the majority of adult and paediatric subjects with measurable concentrations (80/99 or 81% of subjects, Study 029, Study 30A, Study 030B, and Study TOC106489) following repeat topical applications of retapamulin ointment, 1%, was ≤2.5 </w:t>
      </w:r>
      <w:proofErr w:type="spellStart"/>
      <w:r w:rsidR="008D5864" w:rsidRPr="008D5864">
        <w:t>ng</w:t>
      </w:r>
      <w:proofErr w:type="spellEnd"/>
      <w:r w:rsidR="008D5864" w:rsidRPr="008D5864">
        <w:t>/</w:t>
      </w:r>
      <w:proofErr w:type="spellStart"/>
      <w:r w:rsidR="008D5864" w:rsidRPr="008D5864">
        <w:t>mL.</w:t>
      </w:r>
      <w:proofErr w:type="spellEnd"/>
      <w:r w:rsidR="008D5864" w:rsidRPr="008D5864">
        <w:t xml:space="preserve"> For all but 2 subjects with measurable retapamulin concentrations, this was below the NOAEL level in monkeys af</w:t>
      </w:r>
      <w:r w:rsidR="00020DAB">
        <w:t>ter oral dosing (50 mg/kg/day).</w:t>
      </w:r>
    </w:p>
    <w:p w:rsidR="008D5864" w:rsidRPr="008D5864" w:rsidRDefault="008D5864" w:rsidP="008D5864">
      <w:r w:rsidRPr="008D5864">
        <w:lastRenderedPageBreak/>
        <w:t>There is</w:t>
      </w:r>
      <w:r w:rsidR="00AE261F">
        <w:t>,</w:t>
      </w:r>
      <w:r w:rsidRPr="008D5864">
        <w:t xml:space="preserve"> however, limited PK data available in impetigo or SID subjects. The retapamulin systemic exposures in subjects with impetigo or SID are likely comparable to or less than those observed in subjects with SITL and other uncomplicated bacterial skin infections</w:t>
      </w:r>
      <w:r w:rsidR="00AE261F">
        <w:t>,</w:t>
      </w:r>
      <w:r w:rsidRPr="008D5864">
        <w:t xml:space="preserve"> based on depth and size of wounds. </w:t>
      </w:r>
      <w:r w:rsidR="00A20CF5">
        <w:t>I</w:t>
      </w:r>
      <w:r w:rsidRPr="008D5864">
        <w:t>n general, systemic retapamulin exposures are expected to be minimal after topical application of the proposed dose.</w:t>
      </w:r>
    </w:p>
    <w:p w:rsidR="008E7846" w:rsidRPr="00FB2770" w:rsidRDefault="008D5864" w:rsidP="008E7846">
      <w:r w:rsidRPr="008D5864">
        <w:t xml:space="preserve">Oral administration of ketoconazole, a potent CYP3A4 and </w:t>
      </w:r>
      <w:proofErr w:type="spellStart"/>
      <w:r w:rsidRPr="008D5864">
        <w:t>Pgp</w:t>
      </w:r>
      <w:proofErr w:type="spellEnd"/>
      <w:r w:rsidRPr="008D5864">
        <w:t xml:space="preserve"> inhibitor, increased the retapamulin </w:t>
      </w:r>
      <w:proofErr w:type="gramStart"/>
      <w:r w:rsidRPr="008D5864">
        <w:t>AUC</w:t>
      </w:r>
      <w:r w:rsidRPr="008D5864">
        <w:rPr>
          <w:vertAlign w:val="subscript"/>
        </w:rPr>
        <w:t>(</w:t>
      </w:r>
      <w:proofErr w:type="gramEnd"/>
      <w:r w:rsidRPr="008D5864">
        <w:rPr>
          <w:vertAlign w:val="subscript"/>
        </w:rPr>
        <w:t>0-24</w:t>
      </w:r>
      <w:r w:rsidR="007021BE">
        <w:rPr>
          <w:vertAlign w:val="subscript"/>
        </w:rPr>
        <w:t xml:space="preserve"> h</w:t>
      </w:r>
      <w:r w:rsidRPr="008D5864">
        <w:rPr>
          <w:vertAlign w:val="subscript"/>
        </w:rPr>
        <w:t>)</w:t>
      </w:r>
      <w:r w:rsidRPr="008D5864">
        <w:t xml:space="preserve"> and </w:t>
      </w:r>
      <w:proofErr w:type="spellStart"/>
      <w:r w:rsidRPr="008D5864">
        <w:t>C</w:t>
      </w:r>
      <w:r w:rsidRPr="008D5864">
        <w:rPr>
          <w:vertAlign w:val="subscript"/>
        </w:rPr>
        <w:t>max</w:t>
      </w:r>
      <w:proofErr w:type="spellEnd"/>
      <w:r w:rsidRPr="008D5864">
        <w:t xml:space="preserve"> by approximately 80% after topical application of retapamulin ointment, 1%, on abraded skin of healthy adult subjects (Study TOC101825). </w:t>
      </w:r>
      <w:r w:rsidR="007021BE">
        <w:t>However, d</w:t>
      </w:r>
      <w:r w:rsidRPr="008D5864">
        <w:t xml:space="preserve">ue to minimal systemic exposure to retapamulin after topical application of retapamulin ointment, 1%, the magnitude of these increases, which were within those seen in previous studies in healthy adult subjects, is unlikely to increase the incidence of adverse events </w:t>
      </w:r>
      <w:r w:rsidR="00AA4A79">
        <w:t xml:space="preserve">(AEs) </w:t>
      </w:r>
      <w:r w:rsidRPr="008D5864">
        <w:t>or to require dosage adjustments for retapamulin ointment, 1%, when co</w:t>
      </w:r>
      <w:r w:rsidR="007021BE">
        <w:t>-</w:t>
      </w:r>
      <w:r w:rsidRPr="008D5864">
        <w:t>administered with oral CYP3A4</w:t>
      </w:r>
      <w:r w:rsidR="007021BE">
        <w:t xml:space="preserve"> or </w:t>
      </w:r>
      <w:proofErr w:type="spellStart"/>
      <w:r w:rsidRPr="008D5864">
        <w:t>Pgp</w:t>
      </w:r>
      <w:proofErr w:type="spellEnd"/>
      <w:r w:rsidRPr="008D5864">
        <w:t xml:space="preserve"> inhibitors in patients.</w:t>
      </w:r>
    </w:p>
    <w:p w:rsidR="008E7846" w:rsidRDefault="008E7846" w:rsidP="008E7846">
      <w:pPr>
        <w:pStyle w:val="Heading3"/>
      </w:pPr>
      <w:bookmarkStart w:id="96" w:name="_Toc196046481"/>
      <w:bookmarkStart w:id="97" w:name="_Toc247691520"/>
      <w:bookmarkStart w:id="98" w:name="_Toc314842503"/>
      <w:bookmarkStart w:id="99" w:name="_Toc371925755"/>
      <w:r w:rsidRPr="00254787">
        <w:t>Pharmacodynamics</w:t>
      </w:r>
      <w:bookmarkEnd w:id="68"/>
      <w:bookmarkEnd w:id="96"/>
      <w:bookmarkEnd w:id="97"/>
      <w:bookmarkEnd w:id="98"/>
      <w:bookmarkEnd w:id="99"/>
    </w:p>
    <w:p w:rsidR="004C7F70" w:rsidRPr="004C7F70" w:rsidRDefault="004C7F70" w:rsidP="004C7F70">
      <w:pPr>
        <w:pStyle w:val="Heading4"/>
      </w:pPr>
      <w:r>
        <w:t>Studies providing pharmacodynamic</w:t>
      </w:r>
      <w:r w:rsidR="00DC0EEC">
        <w:t>s</w:t>
      </w:r>
      <w:r>
        <w:t xml:space="preserve"> data</w:t>
      </w:r>
    </w:p>
    <w:p w:rsidR="004323A9" w:rsidRPr="004323A9" w:rsidRDefault="004323A9" w:rsidP="00020DAB">
      <w:pPr>
        <w:pStyle w:val="TableTitle"/>
      </w:pPr>
      <w:bookmarkStart w:id="100" w:name="_Ref269985397"/>
      <w:bookmarkStart w:id="101" w:name="_Toc338250636"/>
      <w:proofErr w:type="gramStart"/>
      <w:r w:rsidRPr="004323A9">
        <w:t>Table</w:t>
      </w:r>
      <w:bookmarkEnd w:id="100"/>
      <w:r w:rsidR="004C7F70">
        <w:t xml:space="preserve"> </w:t>
      </w:r>
      <w:r w:rsidR="005A06CC">
        <w:t>8</w:t>
      </w:r>
      <w:r w:rsidRPr="004323A9">
        <w:t>.</w:t>
      </w:r>
      <w:proofErr w:type="gramEnd"/>
      <w:r w:rsidRPr="004323A9">
        <w:t xml:space="preserve"> </w:t>
      </w:r>
      <w:proofErr w:type="gramStart"/>
      <w:r w:rsidRPr="004323A9">
        <w:t>Submitted pharmacodynamic studies.</w:t>
      </w:r>
      <w:bookmarkEnd w:id="101"/>
      <w:proofErr w:type="gramEnd"/>
    </w:p>
    <w:tbl>
      <w:tblPr>
        <w:tblStyle w:val="TableTGAblue"/>
        <w:tblW w:w="0" w:type="auto"/>
        <w:tblLayout w:type="fixed"/>
        <w:tblLook w:val="04A0"/>
      </w:tblPr>
      <w:tblGrid>
        <w:gridCol w:w="1952"/>
        <w:gridCol w:w="2553"/>
        <w:gridCol w:w="2694"/>
      </w:tblGrid>
      <w:tr w:rsidR="004323A9" w:rsidRPr="00DC0EEC" w:rsidTr="00020DAB">
        <w:trPr>
          <w:cnfStyle w:val="100000000000"/>
          <w:tblHeader/>
        </w:trPr>
        <w:tc>
          <w:tcPr>
            <w:tcW w:w="1952" w:type="dxa"/>
            <w:hideMark/>
          </w:tcPr>
          <w:p w:rsidR="004323A9" w:rsidRPr="00020DAB" w:rsidRDefault="004323A9" w:rsidP="004323A9">
            <w:pPr>
              <w:autoSpaceDE w:val="0"/>
              <w:autoSpaceDN w:val="0"/>
              <w:adjustRightInd w:val="0"/>
              <w:ind w:left="0" w:right="0"/>
              <w:rPr>
                <w:sz w:val="20"/>
                <w:szCs w:val="20"/>
              </w:rPr>
            </w:pPr>
            <w:r w:rsidRPr="00020DAB">
              <w:rPr>
                <w:sz w:val="20"/>
                <w:szCs w:val="20"/>
              </w:rPr>
              <w:t>PD topic</w:t>
            </w:r>
          </w:p>
        </w:tc>
        <w:tc>
          <w:tcPr>
            <w:tcW w:w="2553" w:type="dxa"/>
            <w:hideMark/>
          </w:tcPr>
          <w:p w:rsidR="004323A9" w:rsidRPr="00020DAB" w:rsidRDefault="004323A9" w:rsidP="004323A9">
            <w:pPr>
              <w:autoSpaceDE w:val="0"/>
              <w:autoSpaceDN w:val="0"/>
              <w:adjustRightInd w:val="0"/>
              <w:ind w:left="0" w:right="0"/>
              <w:rPr>
                <w:sz w:val="20"/>
                <w:szCs w:val="20"/>
              </w:rPr>
            </w:pPr>
            <w:r w:rsidRPr="00020DAB">
              <w:rPr>
                <w:sz w:val="20"/>
                <w:szCs w:val="20"/>
              </w:rPr>
              <w:t>Subtopic</w:t>
            </w:r>
          </w:p>
        </w:tc>
        <w:tc>
          <w:tcPr>
            <w:tcW w:w="2694" w:type="dxa"/>
            <w:hideMark/>
          </w:tcPr>
          <w:p w:rsidR="004323A9" w:rsidRPr="00020DAB" w:rsidRDefault="004323A9" w:rsidP="004323A9">
            <w:pPr>
              <w:autoSpaceDE w:val="0"/>
              <w:autoSpaceDN w:val="0"/>
              <w:adjustRightInd w:val="0"/>
              <w:ind w:left="0" w:right="0"/>
              <w:rPr>
                <w:sz w:val="20"/>
                <w:szCs w:val="20"/>
              </w:rPr>
            </w:pPr>
            <w:r w:rsidRPr="00020DAB">
              <w:rPr>
                <w:sz w:val="20"/>
                <w:szCs w:val="20"/>
              </w:rPr>
              <w:t>Study ID</w:t>
            </w:r>
          </w:p>
        </w:tc>
      </w:tr>
      <w:tr w:rsidR="004323A9" w:rsidRPr="00DC0EEC" w:rsidTr="00020DAB">
        <w:trPr>
          <w:trHeight w:val="1396"/>
        </w:trPr>
        <w:tc>
          <w:tcPr>
            <w:tcW w:w="1952" w:type="dxa"/>
            <w:vMerge w:val="restart"/>
            <w:vAlign w:val="center"/>
          </w:tcPr>
          <w:p w:rsidR="004323A9" w:rsidRPr="00DC0EEC" w:rsidRDefault="004323A9" w:rsidP="00020DAB">
            <w:pPr>
              <w:autoSpaceDE w:val="0"/>
              <w:autoSpaceDN w:val="0"/>
              <w:adjustRightInd w:val="0"/>
              <w:ind w:left="0" w:right="0"/>
              <w:rPr>
                <w:b/>
                <w:bCs/>
                <w:color w:val="000000"/>
                <w:sz w:val="20"/>
                <w:szCs w:val="20"/>
              </w:rPr>
            </w:pPr>
            <w:r w:rsidRPr="00DC0EEC">
              <w:rPr>
                <w:b/>
                <w:color w:val="000000"/>
                <w:sz w:val="20"/>
                <w:szCs w:val="20"/>
              </w:rPr>
              <w:t>Primary Pharmacology</w:t>
            </w:r>
          </w:p>
        </w:tc>
        <w:tc>
          <w:tcPr>
            <w:tcW w:w="2553" w:type="dxa"/>
            <w:vAlign w:val="center"/>
          </w:tcPr>
          <w:p w:rsidR="004323A9" w:rsidRPr="00DC0EEC" w:rsidRDefault="004323A9" w:rsidP="00020DAB">
            <w:pPr>
              <w:autoSpaceDE w:val="0"/>
              <w:autoSpaceDN w:val="0"/>
              <w:adjustRightInd w:val="0"/>
              <w:ind w:left="0" w:right="0"/>
              <w:rPr>
                <w:color w:val="000000"/>
                <w:sz w:val="20"/>
                <w:szCs w:val="20"/>
              </w:rPr>
            </w:pPr>
            <w:r w:rsidRPr="00DC0EEC">
              <w:rPr>
                <w:color w:val="000000"/>
                <w:sz w:val="20"/>
                <w:szCs w:val="20"/>
              </w:rPr>
              <w:t>MIC of MSSA isolates</w:t>
            </w:r>
          </w:p>
        </w:tc>
        <w:tc>
          <w:tcPr>
            <w:tcW w:w="2694"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Study 030A, Study 030B, Study 032,</w:t>
            </w:r>
            <w:r w:rsidRPr="00DC0EEC">
              <w:rPr>
                <w:color w:val="000000"/>
                <w:sz w:val="20"/>
                <w:szCs w:val="20"/>
              </w:rPr>
              <w:br/>
              <w:t>TOC100224, TOC103469, TOC110977, and TOC110978</w:t>
            </w:r>
          </w:p>
        </w:tc>
      </w:tr>
      <w:tr w:rsidR="004323A9" w:rsidRPr="00DC0EEC" w:rsidTr="00020DAB">
        <w:trPr>
          <w:trHeight w:val="584"/>
        </w:trPr>
        <w:tc>
          <w:tcPr>
            <w:tcW w:w="1952" w:type="dxa"/>
            <w:vMerge/>
            <w:vAlign w:val="center"/>
            <w:hideMark/>
          </w:tcPr>
          <w:p w:rsidR="004323A9" w:rsidRPr="00DC0EEC" w:rsidRDefault="004323A9" w:rsidP="00020DAB">
            <w:pPr>
              <w:autoSpaceDE w:val="0"/>
              <w:autoSpaceDN w:val="0"/>
              <w:adjustRightInd w:val="0"/>
              <w:ind w:left="0" w:right="0"/>
              <w:rPr>
                <w:b/>
                <w:bCs/>
                <w:color w:val="000000"/>
                <w:sz w:val="20"/>
                <w:szCs w:val="20"/>
              </w:rPr>
            </w:pPr>
          </w:p>
        </w:tc>
        <w:tc>
          <w:tcPr>
            <w:tcW w:w="2553"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MIC of MRSA isolates</w:t>
            </w:r>
          </w:p>
        </w:tc>
        <w:tc>
          <w:tcPr>
            <w:tcW w:w="2694" w:type="dxa"/>
            <w:hideMark/>
          </w:tcPr>
          <w:p w:rsidR="004323A9" w:rsidRPr="00DC0EEC" w:rsidRDefault="004323A9" w:rsidP="009D1E2A">
            <w:pPr>
              <w:autoSpaceDE w:val="0"/>
              <w:autoSpaceDN w:val="0"/>
              <w:adjustRightInd w:val="0"/>
              <w:ind w:left="0" w:right="0"/>
              <w:rPr>
                <w:color w:val="000000"/>
                <w:sz w:val="20"/>
                <w:szCs w:val="20"/>
              </w:rPr>
            </w:pPr>
            <w:r w:rsidRPr="00DC0EEC">
              <w:rPr>
                <w:color w:val="000000"/>
                <w:sz w:val="20"/>
                <w:szCs w:val="20"/>
              </w:rPr>
              <w:t>ALB110247</w:t>
            </w:r>
            <w:r w:rsidR="009D1E2A">
              <w:rPr>
                <w:color w:val="000000"/>
                <w:sz w:val="20"/>
                <w:szCs w:val="20"/>
              </w:rPr>
              <w:br/>
            </w:r>
            <w:r w:rsidRPr="00DC0EEC">
              <w:rPr>
                <w:color w:val="000000"/>
                <w:sz w:val="20"/>
                <w:szCs w:val="20"/>
              </w:rPr>
              <w:t>TOC106489</w:t>
            </w:r>
          </w:p>
        </w:tc>
      </w:tr>
      <w:tr w:rsidR="004323A9" w:rsidRPr="00DC0EEC" w:rsidTr="00020DAB">
        <w:trPr>
          <w:trHeight w:val="646"/>
        </w:trPr>
        <w:tc>
          <w:tcPr>
            <w:tcW w:w="1952" w:type="dxa"/>
            <w:vMerge w:val="restart"/>
            <w:vAlign w:val="center"/>
          </w:tcPr>
          <w:p w:rsidR="004323A9" w:rsidRPr="00DC0EEC" w:rsidRDefault="004323A9" w:rsidP="00020DAB">
            <w:pPr>
              <w:autoSpaceDE w:val="0"/>
              <w:autoSpaceDN w:val="0"/>
              <w:adjustRightInd w:val="0"/>
              <w:ind w:left="0" w:right="0"/>
              <w:rPr>
                <w:b/>
                <w:color w:val="000000"/>
                <w:sz w:val="20"/>
                <w:szCs w:val="20"/>
              </w:rPr>
            </w:pPr>
            <w:r w:rsidRPr="00DC0EEC">
              <w:rPr>
                <w:b/>
                <w:color w:val="000000"/>
                <w:sz w:val="20"/>
                <w:szCs w:val="20"/>
              </w:rPr>
              <w:t>Secondary Pharmacology</w:t>
            </w:r>
          </w:p>
        </w:tc>
        <w:tc>
          <w:tcPr>
            <w:tcW w:w="2553"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Irritation potential</w:t>
            </w:r>
          </w:p>
        </w:tc>
        <w:tc>
          <w:tcPr>
            <w:tcW w:w="2694"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 xml:space="preserve">Study 025 </w:t>
            </w:r>
            <w:r w:rsidRPr="00DC0EEC">
              <w:rPr>
                <w:color w:val="000000"/>
                <w:sz w:val="20"/>
                <w:szCs w:val="20"/>
              </w:rPr>
              <w:br/>
              <w:t>Study 034</w:t>
            </w:r>
          </w:p>
        </w:tc>
      </w:tr>
      <w:tr w:rsidR="004323A9" w:rsidRPr="00DC0EEC" w:rsidTr="00561D10">
        <w:trPr>
          <w:trHeight w:val="898"/>
        </w:trPr>
        <w:tc>
          <w:tcPr>
            <w:tcW w:w="1952" w:type="dxa"/>
            <w:vMerge/>
            <w:hideMark/>
          </w:tcPr>
          <w:p w:rsidR="004323A9" w:rsidRPr="00DC0EEC" w:rsidRDefault="004323A9" w:rsidP="004323A9">
            <w:pPr>
              <w:autoSpaceDE w:val="0"/>
              <w:autoSpaceDN w:val="0"/>
              <w:adjustRightInd w:val="0"/>
              <w:ind w:left="0" w:right="0"/>
              <w:rPr>
                <w:b/>
                <w:color w:val="000000"/>
                <w:sz w:val="20"/>
                <w:szCs w:val="20"/>
              </w:rPr>
            </w:pPr>
          </w:p>
        </w:tc>
        <w:tc>
          <w:tcPr>
            <w:tcW w:w="2553"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Sensitisation</w:t>
            </w:r>
          </w:p>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Effect on QT interval</w:t>
            </w:r>
          </w:p>
        </w:tc>
        <w:tc>
          <w:tcPr>
            <w:tcW w:w="2694" w:type="dxa"/>
            <w:hideMark/>
          </w:tcPr>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Study 027</w:t>
            </w:r>
          </w:p>
          <w:p w:rsidR="004323A9" w:rsidRPr="00DC0EEC" w:rsidRDefault="004323A9" w:rsidP="004323A9">
            <w:pPr>
              <w:autoSpaceDE w:val="0"/>
              <w:autoSpaceDN w:val="0"/>
              <w:adjustRightInd w:val="0"/>
              <w:ind w:left="0" w:right="0"/>
              <w:rPr>
                <w:color w:val="000000"/>
                <w:sz w:val="20"/>
                <w:szCs w:val="20"/>
              </w:rPr>
            </w:pPr>
            <w:r w:rsidRPr="00DC0EEC">
              <w:rPr>
                <w:color w:val="000000"/>
                <w:sz w:val="20"/>
                <w:szCs w:val="20"/>
              </w:rPr>
              <w:t>Study 026 and TOC101825</w:t>
            </w:r>
          </w:p>
        </w:tc>
      </w:tr>
    </w:tbl>
    <w:p w:rsidR="00AE261F" w:rsidRPr="00AE261F" w:rsidRDefault="00AE261F" w:rsidP="00AE261F">
      <w:pPr>
        <w:pStyle w:val="Heading4"/>
      </w:pPr>
      <w:bookmarkStart w:id="102" w:name="_Toc339375281"/>
      <w:bookmarkStart w:id="103" w:name="_Toc290846264"/>
      <w:bookmarkStart w:id="104" w:name="_Toc272414642"/>
      <w:r w:rsidRPr="00AE261F">
        <w:t>Summary of primary pharmacodynamic</w:t>
      </w:r>
      <w:r>
        <w:t>s (microbiology)</w:t>
      </w:r>
      <w:r w:rsidRPr="00AE261F">
        <w:t xml:space="preserve"> </w:t>
      </w:r>
      <w:bookmarkEnd w:id="102"/>
      <w:bookmarkEnd w:id="103"/>
      <w:bookmarkEnd w:id="104"/>
    </w:p>
    <w:p w:rsidR="00DC0EEC" w:rsidRDefault="004323A9" w:rsidP="004323A9">
      <w:pPr>
        <w:autoSpaceDE w:val="0"/>
        <w:autoSpaceDN w:val="0"/>
        <w:adjustRightInd w:val="0"/>
        <w:rPr>
          <w:color w:val="000000"/>
        </w:rPr>
      </w:pPr>
      <w:proofErr w:type="spellStart"/>
      <w:r w:rsidRPr="004323A9">
        <w:rPr>
          <w:color w:val="000000"/>
        </w:rPr>
        <w:t>Pleuromutilins</w:t>
      </w:r>
      <w:proofErr w:type="spellEnd"/>
      <w:r w:rsidRPr="004323A9">
        <w:rPr>
          <w:color w:val="000000"/>
        </w:rPr>
        <w:t xml:space="preserve"> selectively inhibit the elongation phase of bacterial protein synthesis by interacting at a unique site on the prokaryotic ribosome. Retapamulin selectively inhibits multiple aspects of bacterial protein synthesis. Cross-resistance within the </w:t>
      </w:r>
      <w:proofErr w:type="spellStart"/>
      <w:r w:rsidRPr="004323A9">
        <w:rPr>
          <w:color w:val="000000"/>
        </w:rPr>
        <w:t>pleuromutilin</w:t>
      </w:r>
      <w:proofErr w:type="spellEnd"/>
      <w:r w:rsidRPr="004323A9">
        <w:rPr>
          <w:color w:val="000000"/>
        </w:rPr>
        <w:t xml:space="preserve"> class occurs for retapamulin; however, because of the specific mode of action, target-specific cross-resistance with currently available agents </w:t>
      </w:r>
      <w:r w:rsidR="00020DAB">
        <w:rPr>
          <w:color w:val="000000"/>
        </w:rPr>
        <w:t>is infrequently observed.</w:t>
      </w:r>
    </w:p>
    <w:p w:rsidR="004323A9" w:rsidRDefault="004323A9" w:rsidP="004323A9">
      <w:pPr>
        <w:autoSpaceDE w:val="0"/>
        <w:autoSpaceDN w:val="0"/>
        <w:adjustRightInd w:val="0"/>
        <w:rPr>
          <w:color w:val="000000"/>
        </w:rPr>
      </w:pPr>
      <w:r w:rsidRPr="004323A9">
        <w:rPr>
          <w:color w:val="000000"/>
        </w:rPr>
        <w:t xml:space="preserve">Retapamulin is fully active </w:t>
      </w:r>
      <w:r w:rsidRPr="004323A9">
        <w:rPr>
          <w:i/>
          <w:iCs/>
          <w:color w:val="000000"/>
        </w:rPr>
        <w:t>in vitro</w:t>
      </w:r>
      <w:r w:rsidRPr="004323A9">
        <w:rPr>
          <w:color w:val="000000"/>
        </w:rPr>
        <w:t xml:space="preserve"> against Gram-positive isolates associated with skin infections, including </w:t>
      </w:r>
      <w:r w:rsidRPr="00DC0EEC">
        <w:rPr>
          <w:i/>
          <w:iCs/>
          <w:color w:val="000000"/>
        </w:rPr>
        <w:t>S. aureus</w:t>
      </w:r>
      <w:r w:rsidRPr="004323A9">
        <w:rPr>
          <w:color w:val="000000"/>
        </w:rPr>
        <w:t xml:space="preserve">, </w:t>
      </w:r>
      <w:r w:rsidRPr="00DC0EEC">
        <w:rPr>
          <w:i/>
          <w:iCs/>
          <w:color w:val="000000"/>
        </w:rPr>
        <w:t>S. pyogenes</w:t>
      </w:r>
      <w:r w:rsidRPr="004323A9">
        <w:rPr>
          <w:color w:val="000000"/>
        </w:rPr>
        <w:t xml:space="preserve">, </w:t>
      </w:r>
      <w:r w:rsidRPr="00DC0EEC">
        <w:rPr>
          <w:i/>
          <w:iCs/>
          <w:color w:val="000000"/>
        </w:rPr>
        <w:t xml:space="preserve">S. </w:t>
      </w:r>
      <w:proofErr w:type="spellStart"/>
      <w:r w:rsidRPr="00DC0EEC">
        <w:rPr>
          <w:i/>
          <w:iCs/>
          <w:color w:val="000000"/>
        </w:rPr>
        <w:t>epidermidis</w:t>
      </w:r>
      <w:proofErr w:type="spellEnd"/>
      <w:r w:rsidRPr="004323A9">
        <w:rPr>
          <w:color w:val="000000"/>
        </w:rPr>
        <w:t xml:space="preserve"> and anaerobic bacteria, including isolates that are resistant to currently available agents including β-</w:t>
      </w:r>
      <w:proofErr w:type="spellStart"/>
      <w:r w:rsidRPr="004323A9">
        <w:rPr>
          <w:color w:val="000000"/>
        </w:rPr>
        <w:t>lactams</w:t>
      </w:r>
      <w:proofErr w:type="spellEnd"/>
      <w:r w:rsidRPr="004323A9">
        <w:rPr>
          <w:color w:val="000000"/>
        </w:rPr>
        <w:t xml:space="preserve">, </w:t>
      </w:r>
      <w:proofErr w:type="spellStart"/>
      <w:r w:rsidRPr="004323A9">
        <w:rPr>
          <w:color w:val="000000"/>
        </w:rPr>
        <w:t>macrolides</w:t>
      </w:r>
      <w:proofErr w:type="spellEnd"/>
      <w:r w:rsidRPr="004323A9">
        <w:rPr>
          <w:color w:val="000000"/>
        </w:rPr>
        <w:t xml:space="preserve">, </w:t>
      </w:r>
      <w:proofErr w:type="spellStart"/>
      <w:r w:rsidRPr="004323A9">
        <w:rPr>
          <w:color w:val="000000"/>
        </w:rPr>
        <w:t>quinolones</w:t>
      </w:r>
      <w:proofErr w:type="spellEnd"/>
      <w:r w:rsidRPr="004323A9">
        <w:rPr>
          <w:color w:val="000000"/>
        </w:rPr>
        <w:t xml:space="preserve">, </w:t>
      </w:r>
      <w:proofErr w:type="spellStart"/>
      <w:r w:rsidRPr="004323A9">
        <w:rPr>
          <w:color w:val="000000"/>
        </w:rPr>
        <w:t>fusidic</w:t>
      </w:r>
      <w:proofErr w:type="spellEnd"/>
      <w:r w:rsidRPr="004323A9">
        <w:rPr>
          <w:color w:val="000000"/>
        </w:rPr>
        <w:t xml:space="preserve"> acid, and </w:t>
      </w:r>
      <w:proofErr w:type="spellStart"/>
      <w:r w:rsidRPr="004323A9">
        <w:rPr>
          <w:color w:val="000000"/>
        </w:rPr>
        <w:t>mupirocin</w:t>
      </w:r>
      <w:proofErr w:type="spellEnd"/>
      <w:r w:rsidRPr="004323A9">
        <w:rPr>
          <w:color w:val="000000"/>
        </w:rPr>
        <w:t xml:space="preserve">. Nineteen isolates with elevated retapamulin MICs of ≥2 μg/mL were identified; these isolates are considered resistant to retapamulin based </w:t>
      </w:r>
      <w:r w:rsidRPr="004323A9">
        <w:rPr>
          <w:color w:val="000000"/>
        </w:rPr>
        <w:lastRenderedPageBreak/>
        <w:t>on recently published microbiological cut-offs</w:t>
      </w:r>
      <w:r w:rsidR="00DC0EEC">
        <w:rPr>
          <w:color w:val="000000"/>
        </w:rPr>
        <w:t>.</w:t>
      </w:r>
      <w:r w:rsidR="00DC0EEC">
        <w:rPr>
          <w:rStyle w:val="FootnoteReference"/>
          <w:color w:val="000000"/>
        </w:rPr>
        <w:footnoteReference w:id="17"/>
      </w:r>
      <w:r w:rsidRPr="004323A9">
        <w:rPr>
          <w:color w:val="000000"/>
        </w:rPr>
        <w:t xml:space="preserve"> Of these 19 isolates, the mechanism of resistance was determined to be efflux for 9 isolates and </w:t>
      </w:r>
      <w:proofErr w:type="spellStart"/>
      <w:r w:rsidRPr="004323A9">
        <w:rPr>
          <w:color w:val="000000"/>
        </w:rPr>
        <w:t>methyltransferase</w:t>
      </w:r>
      <w:proofErr w:type="spellEnd"/>
      <w:r w:rsidRPr="004323A9">
        <w:rPr>
          <w:color w:val="000000"/>
        </w:rPr>
        <w:t xml:space="preserve"> for 1 isolate; the mechanism of resistance has not been characterized for 9 isolates. The low potential for development of resistance to retapamulin is also supported by the finding that no isolates demonstrated a reduction in susceptibility to retapamulin during treatment with retapamulin in the Phase III clinical program</w:t>
      </w:r>
      <w:r w:rsidR="00AE261F">
        <w:rPr>
          <w:color w:val="000000"/>
        </w:rPr>
        <w:t xml:space="preserve">, </w:t>
      </w:r>
      <w:r w:rsidR="00AE261F" w:rsidRPr="00AE261F">
        <w:rPr>
          <w:color w:val="000000"/>
        </w:rPr>
        <w:t>based on outcomes of presumed eradication of pathogens and laboratory investigation of the limited number of subj</w:t>
      </w:r>
      <w:r w:rsidR="00AE261F">
        <w:rPr>
          <w:color w:val="000000"/>
        </w:rPr>
        <w:t>ects with post therapy isolates</w:t>
      </w:r>
      <w:r w:rsidR="00020DAB">
        <w:rPr>
          <w:color w:val="000000"/>
        </w:rPr>
        <w:t>.</w:t>
      </w:r>
    </w:p>
    <w:p w:rsidR="00AA4A79" w:rsidRDefault="00AA4A79" w:rsidP="008B68F0">
      <w:pPr>
        <w:autoSpaceDE w:val="0"/>
        <w:autoSpaceDN w:val="0"/>
        <w:adjustRightInd w:val="0"/>
        <w:rPr>
          <w:color w:val="000000"/>
        </w:rPr>
      </w:pPr>
      <w:r>
        <w:rPr>
          <w:color w:val="000000"/>
        </w:rPr>
        <w:t xml:space="preserve">The </w:t>
      </w:r>
      <w:r w:rsidRPr="00AA4A79">
        <w:rPr>
          <w:i/>
          <w:iCs/>
          <w:color w:val="000000"/>
        </w:rPr>
        <w:t>in vitro</w:t>
      </w:r>
      <w:r>
        <w:rPr>
          <w:color w:val="000000"/>
        </w:rPr>
        <w:t xml:space="preserve"> data characterising </w:t>
      </w:r>
      <w:r w:rsidRPr="00877B92">
        <w:rPr>
          <w:color w:val="000000"/>
        </w:rPr>
        <w:t xml:space="preserve">the activity of retapamulin and comparator antibacterial agents against </w:t>
      </w:r>
      <w:r>
        <w:rPr>
          <w:color w:val="000000"/>
        </w:rPr>
        <w:t xml:space="preserve">various bacterial isolates are </w:t>
      </w:r>
      <w:r w:rsidRPr="00AA4A79">
        <w:rPr>
          <w:color w:val="000000"/>
        </w:rPr>
        <w:t>summarised</w:t>
      </w:r>
      <w:r>
        <w:rPr>
          <w:color w:val="000000"/>
        </w:rPr>
        <w:t xml:space="preserve"> above under </w:t>
      </w:r>
      <w:r w:rsidRPr="00AA4A79">
        <w:rPr>
          <w:i/>
          <w:iCs/>
          <w:color w:val="000000"/>
        </w:rPr>
        <w:t>Nonclinical data Primary pharmacology</w:t>
      </w:r>
      <w:r>
        <w:rPr>
          <w:color w:val="000000"/>
        </w:rPr>
        <w:t xml:space="preserve"> and in the </w:t>
      </w:r>
      <w:r w:rsidR="008D3A1D">
        <w:rPr>
          <w:color w:val="000000"/>
        </w:rPr>
        <w:t>clinical evaluation report (</w:t>
      </w:r>
      <w:r>
        <w:rPr>
          <w:color w:val="000000"/>
        </w:rPr>
        <w:t>CER</w:t>
      </w:r>
      <w:r w:rsidR="008D3A1D">
        <w:rPr>
          <w:color w:val="000000"/>
        </w:rPr>
        <w:t>,</w:t>
      </w:r>
      <w:r>
        <w:rPr>
          <w:color w:val="000000"/>
        </w:rPr>
        <w:t xml:space="preserve"> </w:t>
      </w:r>
      <w:r w:rsidR="008D3A1D">
        <w:rPr>
          <w:color w:val="000000"/>
        </w:rPr>
        <w:t xml:space="preserve">see </w:t>
      </w:r>
      <w:r>
        <w:rPr>
          <w:color w:val="000000"/>
        </w:rPr>
        <w:t xml:space="preserve">Attachment 2 of this </w:t>
      </w:r>
      <w:proofErr w:type="spellStart"/>
      <w:r>
        <w:rPr>
          <w:color w:val="000000"/>
        </w:rPr>
        <w:t>AusPAR</w:t>
      </w:r>
      <w:proofErr w:type="spellEnd"/>
      <w:r>
        <w:rPr>
          <w:color w:val="000000"/>
        </w:rPr>
        <w:t>).</w:t>
      </w:r>
    </w:p>
    <w:p w:rsidR="00AA4A79" w:rsidRDefault="008B68F0" w:rsidP="00AA4A79">
      <w:pPr>
        <w:autoSpaceDE w:val="0"/>
        <w:autoSpaceDN w:val="0"/>
        <w:adjustRightInd w:val="0"/>
        <w:rPr>
          <w:color w:val="000000"/>
        </w:rPr>
      </w:pPr>
      <w:r w:rsidRPr="008B68F0">
        <w:rPr>
          <w:color w:val="000000"/>
        </w:rPr>
        <w:t xml:space="preserve">The proposed indications for retapamulin are impetigo, SITL and SID. The primary pathogens are usually </w:t>
      </w:r>
      <w:r w:rsidRPr="008B68F0">
        <w:rPr>
          <w:i/>
          <w:iCs/>
          <w:color w:val="000000"/>
        </w:rPr>
        <w:t>S</w:t>
      </w:r>
      <w:r w:rsidR="00877B92">
        <w:rPr>
          <w:i/>
          <w:iCs/>
          <w:color w:val="000000"/>
        </w:rPr>
        <w:t xml:space="preserve">. </w:t>
      </w:r>
      <w:r w:rsidRPr="008B68F0">
        <w:rPr>
          <w:i/>
          <w:iCs/>
          <w:color w:val="000000"/>
        </w:rPr>
        <w:t>aureus</w:t>
      </w:r>
      <w:r w:rsidRPr="008B68F0">
        <w:rPr>
          <w:color w:val="000000"/>
        </w:rPr>
        <w:t xml:space="preserve">, </w:t>
      </w:r>
      <w:r w:rsidR="00877B92">
        <w:rPr>
          <w:color w:val="000000"/>
        </w:rPr>
        <w:t xml:space="preserve">MRSA </w:t>
      </w:r>
      <w:r w:rsidRPr="008B68F0">
        <w:rPr>
          <w:color w:val="000000"/>
        </w:rPr>
        <w:t xml:space="preserve">and </w:t>
      </w:r>
      <w:r w:rsidR="00877B92">
        <w:rPr>
          <w:i/>
          <w:iCs/>
          <w:color w:val="000000"/>
        </w:rPr>
        <w:t xml:space="preserve">S. </w:t>
      </w:r>
      <w:r w:rsidRPr="008B68F0">
        <w:rPr>
          <w:i/>
          <w:iCs/>
          <w:color w:val="000000"/>
        </w:rPr>
        <w:t>pyogenes</w:t>
      </w:r>
      <w:r w:rsidRPr="008B68F0">
        <w:rPr>
          <w:color w:val="000000"/>
        </w:rPr>
        <w:t>.</w:t>
      </w:r>
      <w:r w:rsidR="00AA4A79">
        <w:rPr>
          <w:color w:val="000000"/>
        </w:rPr>
        <w:t xml:space="preserve"> </w:t>
      </w:r>
      <w:r w:rsidR="00AA4A79" w:rsidRPr="00AA4A79">
        <w:rPr>
          <w:color w:val="000000"/>
        </w:rPr>
        <w:t>Over</w:t>
      </w:r>
      <w:r w:rsidR="00FC7961">
        <w:rPr>
          <w:color w:val="000000"/>
        </w:rPr>
        <w:t xml:space="preserve">all, retapamulin demonstrated </w:t>
      </w:r>
      <w:r w:rsidR="00AA4A79" w:rsidRPr="00AA4A79">
        <w:rPr>
          <w:color w:val="000000"/>
        </w:rPr>
        <w:t xml:space="preserve">good </w:t>
      </w:r>
      <w:r w:rsidR="00AA4A79" w:rsidRPr="00AA4A79">
        <w:rPr>
          <w:i/>
          <w:iCs/>
          <w:color w:val="000000"/>
        </w:rPr>
        <w:t>in vitro</w:t>
      </w:r>
      <w:r w:rsidR="00AE261F">
        <w:rPr>
          <w:color w:val="000000"/>
        </w:rPr>
        <w:t xml:space="preserve"> activity against Gram-p</w:t>
      </w:r>
      <w:r w:rsidR="00AA4A79" w:rsidRPr="00AA4A79">
        <w:rPr>
          <w:color w:val="000000"/>
        </w:rPr>
        <w:t xml:space="preserve">ositive bacteria commonly associated with skin infections and a low propensity for development of resistance </w:t>
      </w:r>
      <w:r w:rsidR="00AA4A79" w:rsidRPr="00AA4A79">
        <w:rPr>
          <w:i/>
          <w:iCs/>
          <w:color w:val="000000"/>
        </w:rPr>
        <w:t>in vitro</w:t>
      </w:r>
      <w:r w:rsidR="00AA4A79" w:rsidRPr="00AA4A79">
        <w:rPr>
          <w:color w:val="000000"/>
        </w:rPr>
        <w:t>.</w:t>
      </w:r>
    </w:p>
    <w:p w:rsidR="006D72CA" w:rsidRPr="006D72CA" w:rsidRDefault="006D72CA" w:rsidP="00667E11">
      <w:pPr>
        <w:pStyle w:val="Heading5"/>
      </w:pPr>
      <w:bookmarkStart w:id="105" w:name="_Toc369253147"/>
      <w:r w:rsidRPr="006D72CA">
        <w:t>Antibiotic resistance risk assessment</w:t>
      </w:r>
      <w:bookmarkEnd w:id="105"/>
      <w:r w:rsidR="00667E11">
        <w:t>:</w:t>
      </w:r>
      <w:r w:rsidRPr="006D72CA">
        <w:t xml:space="preserve"> </w:t>
      </w:r>
      <w:r w:rsidR="00667E11">
        <w:t>conclusion</w:t>
      </w:r>
    </w:p>
    <w:p w:rsidR="006D72CA" w:rsidRPr="006D72CA" w:rsidRDefault="006D72CA" w:rsidP="006D72CA">
      <w:pPr>
        <w:autoSpaceDE w:val="0"/>
        <w:autoSpaceDN w:val="0"/>
        <w:adjustRightInd w:val="0"/>
        <w:rPr>
          <w:color w:val="000000"/>
        </w:rPr>
      </w:pPr>
      <w:bookmarkStart w:id="106" w:name="_GoBack"/>
      <w:bookmarkEnd w:id="106"/>
      <w:r w:rsidRPr="006D72CA">
        <w:rPr>
          <w:color w:val="000000"/>
        </w:rPr>
        <w:t xml:space="preserve">At present, the very low </w:t>
      </w:r>
      <w:r w:rsidRPr="006D72CA">
        <w:rPr>
          <w:i/>
          <w:iCs/>
          <w:color w:val="000000"/>
        </w:rPr>
        <w:t>in vitro</w:t>
      </w:r>
      <w:r w:rsidRPr="006D72CA">
        <w:rPr>
          <w:color w:val="000000"/>
        </w:rPr>
        <w:t xml:space="preserve"> resistance rates, combined with the fact that there is no oral agent in the same class as </w:t>
      </w:r>
      <w:proofErr w:type="gramStart"/>
      <w:r w:rsidRPr="006D72CA">
        <w:rPr>
          <w:color w:val="000000"/>
        </w:rPr>
        <w:t>retapamulin,</w:t>
      </w:r>
      <w:proofErr w:type="gramEnd"/>
      <w:r w:rsidRPr="006D72CA">
        <w:rPr>
          <w:color w:val="000000"/>
        </w:rPr>
        <w:t xml:space="preserve"> make the development of resistance unlikely to be an issue of major clinical importance.</w:t>
      </w:r>
    </w:p>
    <w:p w:rsidR="004323A9" w:rsidRPr="004323A9" w:rsidRDefault="004323A9" w:rsidP="00E25622">
      <w:pPr>
        <w:pStyle w:val="Heading4"/>
      </w:pPr>
      <w:bookmarkStart w:id="107" w:name="_Toc369253124"/>
      <w:bookmarkStart w:id="108" w:name="_Ref269983272"/>
      <w:bookmarkStart w:id="109" w:name="_Toc272414648"/>
      <w:bookmarkStart w:id="110" w:name="_Toc290846270"/>
      <w:bookmarkStart w:id="111" w:name="_Toc339375285"/>
      <w:r w:rsidRPr="004323A9">
        <w:t xml:space="preserve">Evaluator’s overall conclusions on </w:t>
      </w:r>
      <w:r w:rsidR="008B68F0">
        <w:t xml:space="preserve">secondary </w:t>
      </w:r>
      <w:r w:rsidRPr="004323A9">
        <w:t>pharmacodynamics</w:t>
      </w:r>
      <w:bookmarkEnd w:id="107"/>
      <w:bookmarkEnd w:id="108"/>
      <w:bookmarkEnd w:id="109"/>
      <w:bookmarkEnd w:id="110"/>
      <w:bookmarkEnd w:id="111"/>
    </w:p>
    <w:p w:rsidR="004323A9" w:rsidRPr="004323A9" w:rsidRDefault="004323A9" w:rsidP="004323A9">
      <w:pPr>
        <w:autoSpaceDE w:val="0"/>
        <w:autoSpaceDN w:val="0"/>
        <w:adjustRightInd w:val="0"/>
        <w:rPr>
          <w:color w:val="000000"/>
        </w:rPr>
      </w:pPr>
      <w:r w:rsidRPr="004323A9">
        <w:rPr>
          <w:color w:val="000000"/>
        </w:rPr>
        <w:t xml:space="preserve">Overall, retapamulin ointment, 1%, was well-tolerated (Study 025, Study 026, Study 027, and Study TOC101825). The studies examining local irritation, sensitisation and effects on </w:t>
      </w:r>
      <w:proofErr w:type="spellStart"/>
      <w:r w:rsidRPr="004323A9">
        <w:rPr>
          <w:color w:val="000000"/>
        </w:rPr>
        <w:t>QTc</w:t>
      </w:r>
      <w:proofErr w:type="spellEnd"/>
      <w:r w:rsidR="00FC7961">
        <w:rPr>
          <w:color w:val="000000"/>
        </w:rPr>
        <w:t xml:space="preserve"> interval</w:t>
      </w:r>
      <w:r w:rsidR="0093333B">
        <w:rPr>
          <w:rStyle w:val="FootnoteReference"/>
          <w:color w:val="000000"/>
        </w:rPr>
        <w:footnoteReference w:id="18"/>
      </w:r>
      <w:r w:rsidRPr="004323A9">
        <w:rPr>
          <w:color w:val="000000"/>
        </w:rPr>
        <w:t xml:space="preserve"> indicated that these were not likely to be issues (even </w:t>
      </w:r>
      <w:r w:rsidR="00E02DE1">
        <w:rPr>
          <w:color w:val="000000"/>
        </w:rPr>
        <w:t xml:space="preserve">when </w:t>
      </w:r>
      <w:r w:rsidR="00E02DE1" w:rsidRPr="00E02DE1">
        <w:rPr>
          <w:color w:val="000000"/>
        </w:rPr>
        <w:t xml:space="preserve">retapamulin </w:t>
      </w:r>
      <w:r w:rsidR="00E02DE1">
        <w:rPr>
          <w:color w:val="000000"/>
        </w:rPr>
        <w:t>is used in combination with CYP3A4</w:t>
      </w:r>
      <w:r w:rsidRPr="004323A9">
        <w:rPr>
          <w:color w:val="000000"/>
        </w:rPr>
        <w:t xml:space="preserve"> inhibitors</w:t>
      </w:r>
      <w:r w:rsidR="00E02DE1">
        <w:rPr>
          <w:color w:val="000000"/>
        </w:rPr>
        <w:t>)</w:t>
      </w:r>
      <w:r w:rsidRPr="004323A9">
        <w:rPr>
          <w:color w:val="000000"/>
        </w:rPr>
        <w:t>. In summary:</w:t>
      </w:r>
    </w:p>
    <w:p w:rsidR="004323A9" w:rsidRPr="004323A9" w:rsidRDefault="004323A9" w:rsidP="00020DAB">
      <w:pPr>
        <w:pStyle w:val="ListBullet"/>
      </w:pPr>
      <w:r w:rsidRPr="004323A9">
        <w:t>On intact and abraded skin, retapamulin ointment, 1%, was not a primary or cumulative irritant after daily 24 h</w:t>
      </w:r>
      <w:r w:rsidR="00E02DE1">
        <w:t xml:space="preserve"> </w:t>
      </w:r>
      <w:r w:rsidRPr="004323A9">
        <w:t>applications for 2 days and 21/14 days (Study 025).</w:t>
      </w:r>
    </w:p>
    <w:p w:rsidR="004323A9" w:rsidRPr="004323A9" w:rsidRDefault="004323A9" w:rsidP="00020DAB">
      <w:pPr>
        <w:pStyle w:val="ListBullet"/>
      </w:pPr>
      <w:r w:rsidRPr="004323A9">
        <w:t>One of 206 subjects demonstrated sensitisation upon challenge and re-challenge to retapamulin ointment, 1% and 2% (Study 027).</w:t>
      </w:r>
    </w:p>
    <w:p w:rsidR="004323A9" w:rsidRPr="004323A9" w:rsidRDefault="004323A9" w:rsidP="004323A9">
      <w:pPr>
        <w:autoSpaceDE w:val="0"/>
        <w:autoSpaceDN w:val="0"/>
        <w:adjustRightInd w:val="0"/>
        <w:rPr>
          <w:color w:val="000000"/>
        </w:rPr>
      </w:pPr>
      <w:r w:rsidRPr="004323A9">
        <w:rPr>
          <w:color w:val="000000"/>
        </w:rPr>
        <w:t>In post-hoc analyses of ECGs fr</w:t>
      </w:r>
      <w:r w:rsidR="00F97F09">
        <w:rPr>
          <w:color w:val="000000"/>
        </w:rPr>
        <w:t>om healthy adult subjects from S</w:t>
      </w:r>
      <w:r w:rsidRPr="004323A9">
        <w:rPr>
          <w:color w:val="000000"/>
        </w:rPr>
        <w:t>tudies 026 and TOC101825 (N=103), no significant effects on QT/</w:t>
      </w:r>
      <w:proofErr w:type="spellStart"/>
      <w:r w:rsidRPr="004323A9">
        <w:rPr>
          <w:color w:val="000000"/>
        </w:rPr>
        <w:t>QTc</w:t>
      </w:r>
      <w:proofErr w:type="spellEnd"/>
      <w:r w:rsidRPr="004323A9">
        <w:rPr>
          <w:color w:val="000000"/>
        </w:rPr>
        <w:t xml:space="preserve"> </w:t>
      </w:r>
      <w:r w:rsidR="00FC7961">
        <w:rPr>
          <w:color w:val="000000"/>
        </w:rPr>
        <w:t xml:space="preserve">interval </w:t>
      </w:r>
      <w:r w:rsidRPr="004323A9">
        <w:rPr>
          <w:color w:val="000000"/>
        </w:rPr>
        <w:t xml:space="preserve">were observed after topical application of retapamulin ointment on intact and abraded skin. Due to low systemic exposure to retapamulin with topical application, </w:t>
      </w:r>
      <w:proofErr w:type="spellStart"/>
      <w:r w:rsidRPr="004323A9">
        <w:rPr>
          <w:color w:val="000000"/>
        </w:rPr>
        <w:t>QTc</w:t>
      </w:r>
      <w:proofErr w:type="spellEnd"/>
      <w:r w:rsidRPr="004323A9">
        <w:rPr>
          <w:color w:val="000000"/>
        </w:rPr>
        <w:t xml:space="preserve"> interval prolongation is unlikely in the patient population</w:t>
      </w:r>
      <w:r w:rsidR="00E02DE1">
        <w:rPr>
          <w:color w:val="000000"/>
        </w:rPr>
        <w:t xml:space="preserve"> treated with </w:t>
      </w:r>
      <w:r w:rsidR="00E02DE1" w:rsidRPr="00E02DE1">
        <w:rPr>
          <w:color w:val="000000"/>
        </w:rPr>
        <w:t>retapamulin ointment</w:t>
      </w:r>
      <w:r w:rsidRPr="004323A9">
        <w:rPr>
          <w:color w:val="000000"/>
        </w:rPr>
        <w:t xml:space="preserve"> with or without co-administration of CYP3A4 or </w:t>
      </w:r>
      <w:proofErr w:type="spellStart"/>
      <w:r w:rsidRPr="004323A9">
        <w:rPr>
          <w:color w:val="000000"/>
        </w:rPr>
        <w:t>Pgp</w:t>
      </w:r>
      <w:proofErr w:type="spellEnd"/>
      <w:r w:rsidRPr="004323A9">
        <w:rPr>
          <w:color w:val="000000"/>
        </w:rPr>
        <w:t xml:space="preserve"> inhibitors.</w:t>
      </w:r>
    </w:p>
    <w:p w:rsidR="008E7846" w:rsidRPr="00254787" w:rsidRDefault="008E7846" w:rsidP="008E7846">
      <w:pPr>
        <w:pStyle w:val="Heading3"/>
      </w:pPr>
      <w:bookmarkStart w:id="112" w:name="_Toc163441372"/>
      <w:bookmarkStart w:id="113" w:name="_Toc196046485"/>
      <w:bookmarkStart w:id="114" w:name="_Toc247691521"/>
      <w:bookmarkStart w:id="115" w:name="_Toc314842504"/>
      <w:bookmarkStart w:id="116" w:name="_Toc371925756"/>
      <w:r w:rsidRPr="00254787">
        <w:t>Efficacy</w:t>
      </w:r>
      <w:bookmarkEnd w:id="112"/>
      <w:bookmarkEnd w:id="113"/>
      <w:bookmarkEnd w:id="114"/>
      <w:bookmarkEnd w:id="115"/>
      <w:bookmarkEnd w:id="116"/>
    </w:p>
    <w:p w:rsidR="00E25622" w:rsidRPr="00E25622" w:rsidRDefault="00E25622" w:rsidP="00E25622">
      <w:pPr>
        <w:pStyle w:val="Heading4"/>
      </w:pPr>
      <w:bookmarkStart w:id="117" w:name="_Toc369253125"/>
      <w:bookmarkStart w:id="118" w:name="_Toc184439992"/>
      <w:bookmarkStart w:id="119" w:name="_Toc184440279"/>
      <w:bookmarkStart w:id="120" w:name="_Toc184444657"/>
      <w:bookmarkStart w:id="121" w:name="_Toc196046487"/>
      <w:r w:rsidRPr="00E25622">
        <w:t>Dosage selection for the pivotal studies</w:t>
      </w:r>
      <w:bookmarkEnd w:id="117"/>
    </w:p>
    <w:p w:rsidR="00E25622" w:rsidRPr="00E25622" w:rsidRDefault="003F2095" w:rsidP="00E25622">
      <w:r>
        <w:t xml:space="preserve">Dosage selection was based on findings from </w:t>
      </w:r>
      <w:r w:rsidR="00E25622" w:rsidRPr="00E25622">
        <w:t xml:space="preserve">Phase I studies of irritation and tolerance </w:t>
      </w:r>
      <w:r w:rsidR="00F52A52">
        <w:t xml:space="preserve">which </w:t>
      </w:r>
      <w:r w:rsidR="00E25622" w:rsidRPr="00E25622">
        <w:t xml:space="preserve">indicated </w:t>
      </w:r>
      <w:r w:rsidR="00F52A52">
        <w:t xml:space="preserve">that </w:t>
      </w:r>
      <w:r w:rsidR="00E25622" w:rsidRPr="00E25622">
        <w:t xml:space="preserve">the 1% formulation was the maximal tolerated concentration when </w:t>
      </w:r>
      <w:r w:rsidR="00E25622" w:rsidRPr="00E25622">
        <w:lastRenderedPageBreak/>
        <w:t>used under proposed therapeutic conditions. Twice-daily (BD) dosing was proposed based on</w:t>
      </w:r>
      <w:r w:rsidR="00E25622">
        <w:t xml:space="preserve"> studies done in animal models.</w:t>
      </w:r>
      <w:r w:rsidR="00E25622" w:rsidRPr="00E25622">
        <w:t xml:space="preserve"> The findings of </w:t>
      </w:r>
      <w:r>
        <w:t xml:space="preserve">nonclinical </w:t>
      </w:r>
      <w:r w:rsidR="00E25622" w:rsidRPr="00E25622">
        <w:t xml:space="preserve">studies were </w:t>
      </w:r>
      <w:r>
        <w:t xml:space="preserve">further explored </w:t>
      </w:r>
      <w:r w:rsidR="00E25622" w:rsidRPr="00E25622">
        <w:t xml:space="preserve">in a </w:t>
      </w:r>
      <w:r>
        <w:t xml:space="preserve">human </w:t>
      </w:r>
      <w:r w:rsidR="00E25622" w:rsidRPr="00E25622">
        <w:t xml:space="preserve">Phase I study (029) </w:t>
      </w:r>
      <w:r w:rsidR="00F52A52">
        <w:t>that evaluated PK and proof-of-</w:t>
      </w:r>
      <w:r w:rsidR="00E25622" w:rsidRPr="00E25622">
        <w:t xml:space="preserve">concept for administration of retapamulin ointment topically for treatment of </w:t>
      </w:r>
      <w:r w:rsidRPr="003F2095">
        <w:t xml:space="preserve">uncomplicated skin and skin structure infections </w:t>
      </w:r>
      <w:r>
        <w:t>(</w:t>
      </w:r>
      <w:proofErr w:type="spellStart"/>
      <w:r w:rsidR="00E25622" w:rsidRPr="00E25622">
        <w:t>uSSSI</w:t>
      </w:r>
      <w:proofErr w:type="spellEnd"/>
      <w:r>
        <w:t>)</w:t>
      </w:r>
      <w:r w:rsidR="00E25622" w:rsidRPr="00E25622">
        <w:t>.</w:t>
      </w:r>
    </w:p>
    <w:p w:rsidR="00E25622" w:rsidRDefault="00E25622" w:rsidP="00E25622">
      <w:pPr>
        <w:pStyle w:val="Heading4"/>
      </w:pPr>
      <w:r>
        <w:t>Studies providing efficacy data</w:t>
      </w:r>
    </w:p>
    <w:p w:rsidR="00E25622" w:rsidRPr="00E25622" w:rsidRDefault="00E25622" w:rsidP="00E25622">
      <w:r w:rsidRPr="00E25622">
        <w:t>This application contains efficacy data from 7 multi-national Pha</w:t>
      </w:r>
      <w:r w:rsidR="003F2095">
        <w:t>se III clinica</w:t>
      </w:r>
      <w:r w:rsidR="00F52A52">
        <w:t>l studies (summarised in Table 7</w:t>
      </w:r>
      <w:r w:rsidR="003F2095">
        <w:t xml:space="preserve"> above</w:t>
      </w:r>
      <w:r w:rsidR="004C7F70">
        <w:t>)</w:t>
      </w:r>
    </w:p>
    <w:p w:rsidR="00E25622" w:rsidRPr="00E25622" w:rsidRDefault="00E25622" w:rsidP="00020DAB">
      <w:pPr>
        <w:pStyle w:val="ListBullet"/>
      </w:pPr>
      <w:r w:rsidRPr="00E25622">
        <w:t>1 active-comparator study (Study 100224) and 1 placebo-controlled study (Study 103469) for the treatment of impetigo.</w:t>
      </w:r>
    </w:p>
    <w:p w:rsidR="00E25622" w:rsidRPr="00E25622" w:rsidRDefault="00E25622" w:rsidP="00020DAB">
      <w:pPr>
        <w:pStyle w:val="ListBullet"/>
      </w:pPr>
      <w:r w:rsidRPr="00E25622">
        <w:t>2 identical active-comparator studies (Study 030A, Study 030B) and 1 placebo controlled study (TOC110977) for the treatment of SITL.</w:t>
      </w:r>
    </w:p>
    <w:p w:rsidR="00E25622" w:rsidRPr="00E25622" w:rsidRDefault="00E25622" w:rsidP="00020DAB">
      <w:pPr>
        <w:pStyle w:val="ListBullet"/>
      </w:pPr>
      <w:r w:rsidRPr="00E25622">
        <w:t>1 active-comparator study (TOC110978) for the treatment of SITL and impetigo due to MRSA.</w:t>
      </w:r>
    </w:p>
    <w:p w:rsidR="00E25622" w:rsidRPr="00E25622" w:rsidRDefault="00E25622" w:rsidP="00020DAB">
      <w:pPr>
        <w:pStyle w:val="ListBullet"/>
      </w:pPr>
      <w:r w:rsidRPr="00E25622">
        <w:t>1 active-comparator study (Study 032) for the treatment of SID.</w:t>
      </w:r>
    </w:p>
    <w:p w:rsidR="00E25622" w:rsidRPr="00E25622" w:rsidRDefault="00E25622" w:rsidP="00E25622">
      <w:r w:rsidRPr="00E25622">
        <w:t xml:space="preserve">Adult and paediatric subjects were enrolled in all 7 studies; subjects had skin infections that were suspected to be caused by </w:t>
      </w:r>
      <w:r w:rsidRPr="00E25622">
        <w:rPr>
          <w:i/>
          <w:iCs/>
        </w:rPr>
        <w:t xml:space="preserve">S. </w:t>
      </w:r>
      <w:proofErr w:type="spellStart"/>
      <w:r w:rsidRPr="00E25622">
        <w:rPr>
          <w:i/>
          <w:iCs/>
        </w:rPr>
        <w:t>aureus</w:t>
      </w:r>
      <w:proofErr w:type="spellEnd"/>
      <w:r w:rsidRPr="00E25622">
        <w:t xml:space="preserve"> (</w:t>
      </w:r>
      <w:proofErr w:type="spellStart"/>
      <w:r w:rsidRPr="00E25622">
        <w:t>methicillin</w:t>
      </w:r>
      <w:proofErr w:type="spellEnd"/>
      <w:r w:rsidRPr="00E25622">
        <w:t xml:space="preserve"> susceptible and </w:t>
      </w:r>
      <w:proofErr w:type="spellStart"/>
      <w:r w:rsidRPr="00E25622">
        <w:t>methicillin</w:t>
      </w:r>
      <w:proofErr w:type="spellEnd"/>
      <w:r w:rsidRPr="00E25622">
        <w:t xml:space="preserve"> resistant) and/or </w:t>
      </w:r>
      <w:r w:rsidRPr="00E25622">
        <w:rPr>
          <w:i/>
          <w:iCs/>
        </w:rPr>
        <w:t>S. pyogenes</w:t>
      </w:r>
      <w:r w:rsidRPr="00E25622">
        <w:t>. The total number e</w:t>
      </w:r>
      <w:r w:rsidR="003F2095">
        <w:t>nrolled is summari</w:t>
      </w:r>
      <w:r w:rsidR="005A06CC">
        <w:t>sed in Table 9</w:t>
      </w:r>
      <w:r w:rsidRPr="00E25622">
        <w:t>.</w:t>
      </w:r>
    </w:p>
    <w:p w:rsidR="00E25622" w:rsidRPr="00E25622" w:rsidRDefault="00E25622" w:rsidP="00020DAB">
      <w:pPr>
        <w:pStyle w:val="TableTitle"/>
      </w:pPr>
      <w:bookmarkStart w:id="122" w:name="_Ref337029836"/>
      <w:bookmarkStart w:id="123" w:name="_Toc338250639"/>
      <w:proofErr w:type="gramStart"/>
      <w:r w:rsidRPr="00E25622">
        <w:t>Table</w:t>
      </w:r>
      <w:bookmarkEnd w:id="122"/>
      <w:r w:rsidR="005A06CC">
        <w:t xml:space="preserve"> 9</w:t>
      </w:r>
      <w:r w:rsidR="003F2095">
        <w:t>.</w:t>
      </w:r>
      <w:proofErr w:type="gramEnd"/>
      <w:r w:rsidRPr="00E25622">
        <w:t xml:space="preserve"> Summary of subject numbers in the Phase III Primary Efficacy studies</w:t>
      </w:r>
      <w:bookmarkEnd w:id="123"/>
    </w:p>
    <w:p w:rsidR="00E25622" w:rsidRPr="00E25622" w:rsidRDefault="00E25622" w:rsidP="00E25622">
      <w:r w:rsidRPr="00E25622">
        <w:rPr>
          <w:noProof/>
          <w:lang w:eastAsia="en-AU"/>
        </w:rPr>
        <w:drawing>
          <wp:inline distT="0" distB="0" distL="0" distR="0">
            <wp:extent cx="4368941" cy="3190875"/>
            <wp:effectExtent l="19050" t="0" r="0" b="0"/>
            <wp:docPr id="23" name="Picture 47" descr="Table 9. Summary of subject numbers in the Phase III  Primary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6: Summary of subject numbers in the Phase III  Primary Efficacy studies"/>
                    <pic:cNvPicPr>
                      <a:picLocks noChangeAspect="1" noChangeArrowheads="1"/>
                    </pic:cNvPicPr>
                  </pic:nvPicPr>
                  <pic:blipFill>
                    <a:blip r:embed="rId25" cstate="print"/>
                    <a:srcRect/>
                    <a:stretch>
                      <a:fillRect/>
                    </a:stretch>
                  </pic:blipFill>
                  <pic:spPr bwMode="auto">
                    <a:xfrm>
                      <a:off x="0" y="0"/>
                      <a:ext cx="4371247" cy="3192559"/>
                    </a:xfrm>
                    <a:prstGeom prst="rect">
                      <a:avLst/>
                    </a:prstGeom>
                    <a:noFill/>
                    <a:ln w="9525">
                      <a:noFill/>
                      <a:miter lim="800000"/>
                      <a:headEnd/>
                      <a:tailEnd/>
                    </a:ln>
                  </pic:spPr>
                </pic:pic>
              </a:graphicData>
            </a:graphic>
          </wp:inline>
        </w:drawing>
      </w:r>
    </w:p>
    <w:p w:rsidR="00E25622" w:rsidRDefault="00E25622" w:rsidP="00E25622">
      <w:r w:rsidRPr="00E25622">
        <w:t>The primary efficacy populations were</w:t>
      </w:r>
      <w:r w:rsidR="00A80FF8">
        <w:t>:</w:t>
      </w:r>
      <w:r w:rsidRPr="00E25622">
        <w:t xml:space="preserve"> Per-Protocol Clinical </w:t>
      </w:r>
      <w:r w:rsidR="00A80FF8">
        <w:t xml:space="preserve">(PPC) </w:t>
      </w:r>
      <w:r w:rsidRPr="00E25622">
        <w:t xml:space="preserve">for Studies 100224, 030A, 030B, and 032; Intent-to-Treat Clinical </w:t>
      </w:r>
      <w:r w:rsidR="00A80FF8">
        <w:t xml:space="preserve">(ITTC) </w:t>
      </w:r>
      <w:r w:rsidRPr="00E25622">
        <w:t xml:space="preserve">for Study </w:t>
      </w:r>
      <w:proofErr w:type="gramStart"/>
      <w:r w:rsidRPr="00E25622">
        <w:t>103469,</w:t>
      </w:r>
      <w:proofErr w:type="gramEnd"/>
      <w:r w:rsidRPr="00E25622">
        <w:t xml:space="preserve"> and Intent-to-Treat Clinical Primary Analysis </w:t>
      </w:r>
      <w:r w:rsidR="00A80FF8">
        <w:t xml:space="preserve">(ITTPA) </w:t>
      </w:r>
      <w:r w:rsidRPr="00E25622">
        <w:t>for Study 977; and Per-Protocol MRSA for Study 978.</w:t>
      </w:r>
    </w:p>
    <w:p w:rsidR="004323A9" w:rsidRPr="00E25622" w:rsidRDefault="004323A9" w:rsidP="00E25622">
      <w:pPr>
        <w:pStyle w:val="Heading4"/>
      </w:pPr>
      <w:r w:rsidRPr="00E25622">
        <w:t xml:space="preserve">Evaluator’s overall conclusions on </w:t>
      </w:r>
      <w:r w:rsidR="00E25622">
        <w:t>efficacy</w:t>
      </w:r>
    </w:p>
    <w:p w:rsidR="00E25622" w:rsidRPr="00E25622" w:rsidRDefault="00A80FF8" w:rsidP="007A5F52">
      <w:pPr>
        <w:pStyle w:val="Heading5"/>
      </w:pPr>
      <w:r>
        <w:t>C</w:t>
      </w:r>
      <w:r w:rsidR="00E25622" w:rsidRPr="00E25622">
        <w:t>linical efficacy for impetigo</w:t>
      </w:r>
    </w:p>
    <w:p w:rsidR="003F2095" w:rsidRPr="00A80FF8" w:rsidRDefault="007A5F52" w:rsidP="00A80FF8">
      <w:r w:rsidRPr="00A80FF8">
        <w:t>R</w:t>
      </w:r>
      <w:r w:rsidR="00E25622" w:rsidRPr="00A80FF8">
        <w:t xml:space="preserve">etapamulin was compared with topical placebo in Study TOC103469 for the treatment of impetigo. Based on the primary efficacy endpoint of clinical response at End of Therapy </w:t>
      </w:r>
      <w:r w:rsidR="00A80FF8" w:rsidRPr="00A80FF8">
        <w:t>(</w:t>
      </w:r>
      <w:proofErr w:type="spellStart"/>
      <w:r w:rsidR="00A80FF8" w:rsidRPr="00A80FF8">
        <w:t>E</w:t>
      </w:r>
      <w:r w:rsidR="00A80FF8">
        <w:t>o</w:t>
      </w:r>
      <w:r w:rsidR="003F2095" w:rsidRPr="00A80FF8">
        <w:t>T</w:t>
      </w:r>
      <w:proofErr w:type="spellEnd"/>
      <w:r w:rsidR="003F2095" w:rsidRPr="00A80FF8">
        <w:t xml:space="preserve">) </w:t>
      </w:r>
      <w:r w:rsidR="00E25622" w:rsidRPr="00A80FF8">
        <w:t>in the ITTC population, retapamulin was superior</w:t>
      </w:r>
      <w:r w:rsidR="00A80FF8">
        <w:t xml:space="preserve"> to placebo,</w:t>
      </w:r>
      <w:r w:rsidR="00E25622" w:rsidRPr="00A80FF8">
        <w:t xml:space="preserve"> with an 85% versus </w:t>
      </w:r>
      <w:r w:rsidR="00E25622" w:rsidRPr="00A80FF8">
        <w:lastRenderedPageBreak/>
        <w:t xml:space="preserve">52% response </w:t>
      </w:r>
      <w:r w:rsidR="00A80FF8">
        <w:t xml:space="preserve">rate </w:t>
      </w:r>
      <w:r w:rsidR="00E25622" w:rsidRPr="00A80FF8">
        <w:t xml:space="preserve">(statistically significant). Superiority was also achieved in the </w:t>
      </w:r>
      <w:r w:rsidR="003F2095" w:rsidRPr="00A80FF8">
        <w:t xml:space="preserve">PPC </w:t>
      </w:r>
      <w:r w:rsidR="00E25622" w:rsidRPr="00A80FF8">
        <w:t>group (89% versus 53% clinical response</w:t>
      </w:r>
      <w:r w:rsidR="00083C6A">
        <w:t>)</w:t>
      </w:r>
      <w:r w:rsidR="00020DAB">
        <w:t>.</w:t>
      </w:r>
    </w:p>
    <w:p w:rsidR="00E25622" w:rsidRPr="00E25622" w:rsidRDefault="00E25622" w:rsidP="00E25622">
      <w:r w:rsidRPr="00E25622">
        <w:t xml:space="preserve">The other major study assessing this indication was Study TOC100224, in which retapamulin </w:t>
      </w:r>
      <w:r w:rsidR="003F2095">
        <w:t>was compared to topical s</w:t>
      </w:r>
      <w:r w:rsidRPr="00E25622">
        <w:t xml:space="preserve">odium </w:t>
      </w:r>
      <w:proofErr w:type="spellStart"/>
      <w:r w:rsidR="003F2095">
        <w:t>f</w:t>
      </w:r>
      <w:r w:rsidRPr="00E25622">
        <w:t>usidate</w:t>
      </w:r>
      <w:proofErr w:type="spellEnd"/>
      <w:r w:rsidRPr="00E25622">
        <w:t xml:space="preserve"> ointment. Based on the primary efficacy endpoint of clinical response at </w:t>
      </w:r>
      <w:proofErr w:type="spellStart"/>
      <w:r w:rsidRPr="00E25622">
        <w:t>E</w:t>
      </w:r>
      <w:r w:rsidR="00083C6A">
        <w:t>oT</w:t>
      </w:r>
      <w:proofErr w:type="spellEnd"/>
      <w:r w:rsidR="00083C6A">
        <w:t xml:space="preserve"> </w:t>
      </w:r>
      <w:r w:rsidRPr="00E25622">
        <w:t xml:space="preserve">in the PPC population, retapamulin was found to be non-inferior to topical sodium </w:t>
      </w:r>
      <w:proofErr w:type="spellStart"/>
      <w:r w:rsidRPr="00E25622">
        <w:t>fusidate</w:t>
      </w:r>
      <w:proofErr w:type="spellEnd"/>
      <w:r w:rsidRPr="00E25622">
        <w:t xml:space="preserve"> (94% versus 91% clinical response). Both the above studies appear to be well conducted with valid conclusions.</w:t>
      </w:r>
    </w:p>
    <w:p w:rsidR="00E25622" w:rsidRPr="00E25622" w:rsidRDefault="00083C6A" w:rsidP="007A5F52">
      <w:pPr>
        <w:pStyle w:val="Heading5"/>
      </w:pPr>
      <w:r>
        <w:t>C</w:t>
      </w:r>
      <w:r w:rsidR="00E25622" w:rsidRPr="00E25622">
        <w:t>linical efficacy for SITL</w:t>
      </w:r>
    </w:p>
    <w:p w:rsidR="00E25622" w:rsidRPr="00E25622" w:rsidRDefault="003F2095" w:rsidP="00E25622">
      <w:r>
        <w:t>Studies</w:t>
      </w:r>
      <w:r w:rsidR="00E25622" w:rsidRPr="00E25622">
        <w:t xml:space="preserve"> 30A and 30B showed non-inferiority when retap</w:t>
      </w:r>
      <w:r>
        <w:t xml:space="preserve">amulin 1% was compared to oral </w:t>
      </w:r>
      <w:proofErr w:type="spellStart"/>
      <w:r>
        <w:t>c</w:t>
      </w:r>
      <w:r w:rsidR="00E25622" w:rsidRPr="00E25622">
        <w:t>ephalexin</w:t>
      </w:r>
      <w:proofErr w:type="spellEnd"/>
      <w:r w:rsidR="00E25622" w:rsidRPr="00E25622">
        <w:t xml:space="preserve"> for this indication. This study appeared to be well conducted and </w:t>
      </w:r>
      <w:r w:rsidR="00083C6A" w:rsidRPr="00E25622">
        <w:t xml:space="preserve">retapamulin and control groups </w:t>
      </w:r>
      <w:r w:rsidR="00E25622" w:rsidRPr="00E25622">
        <w:t xml:space="preserve">were well balanced overall. Based on the results presented for this study, conservative estimates in the PPC group suggest </w:t>
      </w:r>
      <w:r>
        <w:t>that retapamulin is</w:t>
      </w:r>
      <w:r w:rsidR="00083C6A">
        <w:t>,</w:t>
      </w:r>
      <w:r>
        <w:t xml:space="preserve"> </w:t>
      </w:r>
      <w:r w:rsidR="00083C6A" w:rsidRPr="00E25622">
        <w:t>overall</w:t>
      </w:r>
      <w:r w:rsidR="00083C6A">
        <w:t xml:space="preserve">, </w:t>
      </w:r>
      <w:r>
        <w:t xml:space="preserve">as good as </w:t>
      </w:r>
      <w:proofErr w:type="spellStart"/>
      <w:r>
        <w:t>c</w:t>
      </w:r>
      <w:r w:rsidR="00E25622" w:rsidRPr="00E25622">
        <w:t>ephalexin</w:t>
      </w:r>
      <w:proofErr w:type="spellEnd"/>
      <w:r w:rsidR="00E25622" w:rsidRPr="00E25622">
        <w:t xml:space="preserve"> for mild SITL (likely to be caused by </w:t>
      </w:r>
      <w:r w:rsidR="00E25622" w:rsidRPr="00E25622">
        <w:rPr>
          <w:i/>
          <w:iCs/>
        </w:rPr>
        <w:t>S.</w:t>
      </w:r>
      <w:r>
        <w:rPr>
          <w:i/>
          <w:iCs/>
        </w:rPr>
        <w:t xml:space="preserve"> </w:t>
      </w:r>
      <w:r w:rsidR="00E25622" w:rsidRPr="00E25622">
        <w:rPr>
          <w:i/>
          <w:iCs/>
        </w:rPr>
        <w:t>aureus</w:t>
      </w:r>
      <w:r w:rsidR="00E25622" w:rsidRPr="00E25622">
        <w:t xml:space="preserve"> or </w:t>
      </w:r>
      <w:r w:rsidR="00E25622" w:rsidRPr="00E25622">
        <w:rPr>
          <w:i/>
          <w:iCs/>
        </w:rPr>
        <w:t>S. pyogenes</w:t>
      </w:r>
      <w:r>
        <w:t xml:space="preserve">). Retapamulin was better than </w:t>
      </w:r>
      <w:proofErr w:type="spellStart"/>
      <w:r>
        <w:t>c</w:t>
      </w:r>
      <w:r w:rsidR="00E25622" w:rsidRPr="00E25622">
        <w:t>ephalexin</w:t>
      </w:r>
      <w:proofErr w:type="spellEnd"/>
      <w:r w:rsidR="00E25622" w:rsidRPr="00E25622">
        <w:t xml:space="preserve"> for wounds infected with MRSA (not surprising as this antibiotic </w:t>
      </w:r>
      <w:r w:rsidR="00083C6A">
        <w:t>[</w:t>
      </w:r>
      <w:proofErr w:type="spellStart"/>
      <w:r w:rsidR="00083C6A">
        <w:t>cephalexin</w:t>
      </w:r>
      <w:proofErr w:type="spellEnd"/>
      <w:r w:rsidR="00083C6A">
        <w:t xml:space="preserve">] </w:t>
      </w:r>
      <w:r w:rsidR="00E25622" w:rsidRPr="00E25622">
        <w:t xml:space="preserve">would not be expected to have </w:t>
      </w:r>
      <w:r w:rsidR="00083C6A">
        <w:t xml:space="preserve">an </w:t>
      </w:r>
      <w:r w:rsidR="00E25622" w:rsidRPr="00E25622">
        <w:t>effect).</w:t>
      </w:r>
    </w:p>
    <w:p w:rsidR="00E25622" w:rsidRPr="005C562A" w:rsidRDefault="00E25622" w:rsidP="005C562A">
      <w:r w:rsidRPr="00E25622">
        <w:t xml:space="preserve">In Study TOC110977, retapamulin was compared to placebo for SITL and the differences in the primary efficacy ITTC group (clinical response) did not reach statistical significance for superiority (74% versus 66% for placebo). Response rates were slightly higher (and reached significance) with retapamulin for other groups (those that included clinical improvement or bacteriological cure). When a logistic regression analysis was used to adjust for the differences in baseline wound characteristics, for the primary endpoint, the retapamulin treatment was found to be superior to placebo (p=0.0336) with an odds ratio estimate of 1.73 and 95% </w:t>
      </w:r>
      <w:r w:rsidR="003F2095">
        <w:t>confidence interval (</w:t>
      </w:r>
      <w:r w:rsidRPr="00E25622">
        <w:t>CI</w:t>
      </w:r>
      <w:r w:rsidR="003F2095">
        <w:t>)</w:t>
      </w:r>
      <w:r w:rsidRPr="00E25622">
        <w:t xml:space="preserve"> of (1.04, 2.87). In the </w:t>
      </w:r>
      <w:proofErr w:type="spellStart"/>
      <w:r w:rsidRPr="00E25622">
        <w:t>bacteriologically</w:t>
      </w:r>
      <w:proofErr w:type="spellEnd"/>
      <w:r w:rsidRPr="00E25622">
        <w:t xml:space="preserve"> assessable group (ITTB group) outcome of clinical cure was statistically higher in the retapamulin group. It was also higher for retapamulin in the group with MRSA. It is interesting t</w:t>
      </w:r>
      <w:r w:rsidR="005C562A">
        <w:t>hat in the dossier, the sponsor</w:t>
      </w:r>
      <w:r w:rsidRPr="00E25622">
        <w:t xml:space="preserve"> </w:t>
      </w:r>
      <w:r w:rsidR="005C562A">
        <w:t>states that</w:t>
      </w:r>
      <w:r w:rsidR="005C562A" w:rsidRPr="005C562A">
        <w:t>: “Concerns inherent to placebo-controlled studies may have resulted in enrolment of a study population in the mild range of the SITL indication, resulting in a higher than an</w:t>
      </w:r>
      <w:r w:rsidR="005C562A">
        <w:t>ticipated placebo response rate” and “</w:t>
      </w:r>
      <w:r w:rsidRPr="005C562A">
        <w:t>lack of consistency in the population at entry and subject evaluation between countries</w:t>
      </w:r>
      <w:r w:rsidR="003967D1" w:rsidRPr="005C562A">
        <w:t xml:space="preserve"> </w:t>
      </w:r>
      <w:r w:rsidRPr="005C562A">
        <w:t>contributed to highly variable study results.</w:t>
      </w:r>
      <w:r w:rsidR="005C562A">
        <w:t>”</w:t>
      </w:r>
    </w:p>
    <w:p w:rsidR="00E25622" w:rsidRPr="00E25622" w:rsidRDefault="00E25622" w:rsidP="00E25622">
      <w:r w:rsidRPr="00E25622">
        <w:t xml:space="preserve">In Study TOC110978 retapamulin was compared to oral </w:t>
      </w:r>
      <w:proofErr w:type="spellStart"/>
      <w:r w:rsidRPr="00E25622">
        <w:t>linezolid</w:t>
      </w:r>
      <w:proofErr w:type="spellEnd"/>
      <w:r w:rsidRPr="00E25622">
        <w:t xml:space="preserve"> (an</w:t>
      </w:r>
      <w:r w:rsidR="005C562A">
        <w:t xml:space="preserve"> antibiotic effective for MRSA)</w:t>
      </w:r>
      <w:r w:rsidRPr="00E25622">
        <w:t xml:space="preserve"> for SITL (or impetigo) secondarily infected with </w:t>
      </w:r>
      <w:r w:rsidR="005C562A">
        <w:t>MRSA. The results of this study</w:t>
      </w:r>
      <w:r w:rsidRPr="00E25622">
        <w:t xml:space="preserve"> suggest that topical retapamulin is an inferior treatment in terms of efficacy. It is important to note that oral </w:t>
      </w:r>
      <w:proofErr w:type="spellStart"/>
      <w:r w:rsidRPr="00E25622">
        <w:t>linezolid</w:t>
      </w:r>
      <w:proofErr w:type="spellEnd"/>
      <w:r w:rsidRPr="00E25622">
        <w:t xml:space="preserve"> would not be first line systemic treatment for MRSA inf</w:t>
      </w:r>
      <w:r w:rsidR="003967D1">
        <w:t>ections (at this point in time)</w:t>
      </w:r>
      <w:r w:rsidRPr="00E25622">
        <w:t xml:space="preserve"> but </w:t>
      </w:r>
      <w:r w:rsidR="005C562A">
        <w:t xml:space="preserve">it </w:t>
      </w:r>
      <w:r w:rsidRPr="00E25622">
        <w:t>is highly efficacious. Topical treatment with retapamulin could not be recommended for SITL or impetigo known to be infected with SITL as there is a proven superior treatment.</w:t>
      </w:r>
    </w:p>
    <w:p w:rsidR="00E25622" w:rsidRPr="00E25622" w:rsidRDefault="005C562A" w:rsidP="00E25622">
      <w:r>
        <w:t>I</w:t>
      </w:r>
      <w:r w:rsidR="00E25622" w:rsidRPr="00E25622">
        <w:t xml:space="preserve">n </w:t>
      </w:r>
      <w:r w:rsidR="00454347">
        <w:t>summary,</w:t>
      </w:r>
      <w:r w:rsidR="00E25622" w:rsidRPr="00E25622">
        <w:t xml:space="preserve"> efficacy </w:t>
      </w:r>
      <w:r w:rsidR="00C07404">
        <w:t xml:space="preserve">in </w:t>
      </w:r>
      <w:r w:rsidR="00E25622" w:rsidRPr="00E25622">
        <w:t>SITL</w:t>
      </w:r>
      <w:r w:rsidR="00C07404" w:rsidRPr="00C07404">
        <w:t xml:space="preserve"> </w:t>
      </w:r>
      <w:r w:rsidR="00C07404" w:rsidRPr="00E25622">
        <w:t>was shown for ret</w:t>
      </w:r>
      <w:r w:rsidR="00C07404">
        <w:t xml:space="preserve">apamulin ointment (compared to </w:t>
      </w:r>
      <w:proofErr w:type="spellStart"/>
      <w:r w:rsidR="00C07404">
        <w:t>c</w:t>
      </w:r>
      <w:r w:rsidR="00C07404" w:rsidRPr="00E25622">
        <w:t>ephalexin</w:t>
      </w:r>
      <w:proofErr w:type="spellEnd"/>
      <w:r w:rsidR="00C07404" w:rsidRPr="00E25622">
        <w:t>)</w:t>
      </w:r>
      <w:r w:rsidR="00C07404">
        <w:t xml:space="preserve"> </w:t>
      </w:r>
      <w:r w:rsidR="00454347" w:rsidRPr="00E25622">
        <w:t>in two pivotal efficacy studies</w:t>
      </w:r>
      <w:r w:rsidR="00E25622" w:rsidRPr="00E25622">
        <w:t xml:space="preserve">, but not in the placebo controlled study or in the </w:t>
      </w:r>
      <w:r w:rsidR="00C07404">
        <w:t>active comparator (</w:t>
      </w:r>
      <w:proofErr w:type="spellStart"/>
      <w:r w:rsidR="00C07404">
        <w:t>linezolid</w:t>
      </w:r>
      <w:proofErr w:type="spellEnd"/>
      <w:r w:rsidR="00C07404">
        <w:t xml:space="preserve">) </w:t>
      </w:r>
      <w:r w:rsidR="00E25622" w:rsidRPr="00E25622">
        <w:t xml:space="preserve">study specifically examining efficacy in MRSA infected wounds. </w:t>
      </w:r>
      <w:r w:rsidR="00C07404">
        <w:t xml:space="preserve">The evaluator </w:t>
      </w:r>
      <w:r w:rsidR="00C07404" w:rsidRPr="00C07404">
        <w:t xml:space="preserve">concluded </w:t>
      </w:r>
      <w:r w:rsidR="00E25622" w:rsidRPr="00C07404">
        <w:t>from this</w:t>
      </w:r>
      <w:r w:rsidR="00E25622" w:rsidRPr="00E25622">
        <w:t xml:space="preserve"> that retapamulin probably has some effect for MRSA infected wounds, but </w:t>
      </w:r>
      <w:proofErr w:type="spellStart"/>
      <w:r w:rsidR="00E25622" w:rsidRPr="00E25622">
        <w:t>linezolid</w:t>
      </w:r>
      <w:proofErr w:type="spellEnd"/>
      <w:r w:rsidR="00E25622" w:rsidRPr="00E25622">
        <w:t xml:space="preserve"> is better. The likelihood is that for many mildly infected wounds, there would be clinical cure with or without specific treatment (as shown in Study TOC110977). There may be some benefit from topical retapamulin (as shown in </w:t>
      </w:r>
      <w:r w:rsidR="00454347">
        <w:t>a number of secondary endpoints</w:t>
      </w:r>
      <w:r w:rsidR="00E25622" w:rsidRPr="00E25622">
        <w:t xml:space="preserve"> and also in Studies 30A and 30B for mild wounds, and obviously one of the major advantages is the avoidance of a systemic antibiotic.</w:t>
      </w:r>
    </w:p>
    <w:p w:rsidR="00E25622" w:rsidRPr="00E25622" w:rsidRDefault="00E25622" w:rsidP="007A5F52">
      <w:pPr>
        <w:pStyle w:val="Heading5"/>
      </w:pPr>
      <w:r w:rsidRPr="00E25622">
        <w:lastRenderedPageBreak/>
        <w:t>Evaluator’s conclusions on clinical efficacy for SID</w:t>
      </w:r>
    </w:p>
    <w:p w:rsidR="00E25622" w:rsidRPr="00E25622" w:rsidRDefault="00E25622" w:rsidP="00E25622">
      <w:r w:rsidRPr="00E25622">
        <w:t>In the one study assessing efficacy for this indi</w:t>
      </w:r>
      <w:r w:rsidR="00B5271A">
        <w:t>cation, Study 032, retapamulin o</w:t>
      </w:r>
      <w:r w:rsidRPr="00E25622">
        <w:t xml:space="preserve">intment, 1%, was shown to be </w:t>
      </w:r>
      <w:proofErr w:type="spellStart"/>
      <w:r w:rsidRPr="00E25622">
        <w:t>noninferior</w:t>
      </w:r>
      <w:proofErr w:type="spellEnd"/>
      <w:r w:rsidRPr="00E25622">
        <w:t xml:space="preserve"> to </w:t>
      </w:r>
      <w:proofErr w:type="spellStart"/>
      <w:r w:rsidRPr="00E25622">
        <w:t>cephalexin</w:t>
      </w:r>
      <w:proofErr w:type="spellEnd"/>
      <w:r w:rsidRPr="00E25622">
        <w:t xml:space="preserve"> in the treatment of subjects with SID in the primary efficacy population. This study does not appear to have any major flaws.</w:t>
      </w:r>
    </w:p>
    <w:p w:rsidR="008E7846" w:rsidRPr="002E238E" w:rsidRDefault="008E7846" w:rsidP="008E7846">
      <w:pPr>
        <w:pStyle w:val="Heading3"/>
      </w:pPr>
      <w:bookmarkStart w:id="124" w:name="_Toc163441378"/>
      <w:bookmarkStart w:id="125" w:name="_Toc196046495"/>
      <w:bookmarkStart w:id="126" w:name="_Toc247691522"/>
      <w:bookmarkStart w:id="127" w:name="_Toc314842505"/>
      <w:bookmarkStart w:id="128" w:name="_Toc371925757"/>
      <w:bookmarkEnd w:id="118"/>
      <w:bookmarkEnd w:id="119"/>
      <w:bookmarkEnd w:id="120"/>
      <w:bookmarkEnd w:id="121"/>
      <w:r w:rsidRPr="002E238E">
        <w:t>Safety</w:t>
      </w:r>
      <w:bookmarkEnd w:id="124"/>
      <w:bookmarkEnd w:id="125"/>
      <w:bookmarkEnd w:id="126"/>
      <w:bookmarkEnd w:id="127"/>
      <w:bookmarkEnd w:id="128"/>
    </w:p>
    <w:p w:rsidR="002307C5" w:rsidRPr="002307C5" w:rsidRDefault="002307C5" w:rsidP="007A5F52">
      <w:pPr>
        <w:pStyle w:val="Heading4"/>
      </w:pPr>
      <w:bookmarkStart w:id="129" w:name="_Toc369253131"/>
      <w:bookmarkStart w:id="130" w:name="_Toc339375306"/>
      <w:bookmarkStart w:id="131" w:name="_Toc290846284"/>
      <w:bookmarkStart w:id="132" w:name="_Toc272414659"/>
      <w:bookmarkStart w:id="133" w:name="_Toc184440288"/>
      <w:bookmarkStart w:id="134" w:name="_Toc184444666"/>
      <w:bookmarkStart w:id="135" w:name="_Toc196046496"/>
      <w:r w:rsidRPr="002307C5">
        <w:t>Studies providing evaluable safety data</w:t>
      </w:r>
      <w:bookmarkEnd w:id="129"/>
      <w:bookmarkEnd w:id="130"/>
      <w:bookmarkEnd w:id="131"/>
      <w:bookmarkEnd w:id="132"/>
    </w:p>
    <w:p w:rsidR="002307C5" w:rsidRPr="002307C5" w:rsidRDefault="005B1DA2" w:rsidP="002307C5">
      <w:pPr>
        <w:autoSpaceDE w:val="0"/>
        <w:autoSpaceDN w:val="0"/>
        <w:adjustRightInd w:val="0"/>
      </w:pPr>
      <w:bookmarkStart w:id="136" w:name="_Ref268776745"/>
      <w:r>
        <w:t>This s</w:t>
      </w:r>
      <w:r w:rsidR="002307C5" w:rsidRPr="002307C5">
        <w:t xml:space="preserve">afety </w:t>
      </w:r>
      <w:r>
        <w:t>s</w:t>
      </w:r>
      <w:r w:rsidR="002307C5" w:rsidRPr="002307C5">
        <w:t>ummary comprises safety data from 7 Phase III studies: 2 studies (TOC103469 and TOC100224) for the indication of primary impetigo, 2 identical comparator-controlled studies (Study 030A and Study 030B) and 1 placebo-controlled study (TOC110977) for the indication of SITL, 1 comparator-controlled study (TOC110978) for the indication of SITL and impetigo due to MRSA, and 1 study (Study 032) for the indication of SID (</w:t>
      </w:r>
      <w:r>
        <w:t xml:space="preserve">summarised in </w:t>
      </w:r>
      <w:r w:rsidR="002307C5" w:rsidRPr="002307C5">
        <w:t xml:space="preserve">Table </w:t>
      </w:r>
      <w:r w:rsidR="007F571C">
        <w:t>7</w:t>
      </w:r>
      <w:r w:rsidR="002307C5" w:rsidRPr="002307C5">
        <w:t xml:space="preserve"> above). These studies are included in the safety integrated analysis set.</w:t>
      </w:r>
    </w:p>
    <w:p w:rsidR="002307C5" w:rsidRPr="002307C5" w:rsidRDefault="002307C5" w:rsidP="002307C5">
      <w:pPr>
        <w:autoSpaceDE w:val="0"/>
        <w:autoSpaceDN w:val="0"/>
        <w:adjustRightInd w:val="0"/>
      </w:pPr>
      <w:r w:rsidRPr="002307C5">
        <w:t xml:space="preserve">Overall, there were 4088 subjects in the integrated analysis set: 2724 treated with retapamulin, 137 treated with </w:t>
      </w:r>
      <w:proofErr w:type="spellStart"/>
      <w:r w:rsidRPr="002307C5">
        <w:t>linezolid</w:t>
      </w:r>
      <w:proofErr w:type="spellEnd"/>
      <w:r w:rsidRPr="002307C5">
        <w:t xml:space="preserve">, 819 treated with </w:t>
      </w:r>
      <w:proofErr w:type="spellStart"/>
      <w:r w:rsidRPr="002307C5">
        <w:t>cephalexin</w:t>
      </w:r>
      <w:proofErr w:type="spellEnd"/>
      <w:r w:rsidRPr="002307C5">
        <w:t xml:space="preserve">, 172 treated with </w:t>
      </w:r>
      <w:proofErr w:type="spellStart"/>
      <w:r w:rsidRPr="002307C5">
        <w:t>fusidic</w:t>
      </w:r>
      <w:proofErr w:type="spellEnd"/>
      <w:r w:rsidRPr="002307C5">
        <w:t xml:space="preserve"> acid, and 236 given placebo.</w:t>
      </w:r>
    </w:p>
    <w:bookmarkEnd w:id="136"/>
    <w:p w:rsidR="002307C5" w:rsidRPr="002307C5" w:rsidRDefault="002307C5" w:rsidP="002307C5">
      <w:pPr>
        <w:autoSpaceDE w:val="0"/>
        <w:autoSpaceDN w:val="0"/>
        <w:adjustRightInd w:val="0"/>
      </w:pPr>
      <w:r w:rsidRPr="002307C5">
        <w:t>Age ranges of the subjects who participated in the st</w:t>
      </w:r>
      <w:r w:rsidR="005A06CC">
        <w:t>udies are summaris</w:t>
      </w:r>
      <w:r w:rsidR="007F571C">
        <w:t xml:space="preserve">ed in Table </w:t>
      </w:r>
      <w:r w:rsidR="005A06CC">
        <w:t>10</w:t>
      </w:r>
      <w:r w:rsidRPr="002307C5">
        <w:t xml:space="preserve">. There were 3 subjects in the retapamulin ointment group and 1 subject in the </w:t>
      </w:r>
      <w:proofErr w:type="spellStart"/>
      <w:r w:rsidRPr="002307C5">
        <w:t>fusidic</w:t>
      </w:r>
      <w:proofErr w:type="spellEnd"/>
      <w:r w:rsidRPr="002307C5">
        <w:t xml:space="preserve"> acid group who were ≥2 and &lt;9 months of age.</w:t>
      </w:r>
    </w:p>
    <w:p w:rsidR="002307C5" w:rsidRPr="002307C5" w:rsidRDefault="002307C5" w:rsidP="00020DAB">
      <w:pPr>
        <w:pStyle w:val="TableTitle"/>
      </w:pPr>
      <w:bookmarkStart w:id="137" w:name="_Ref337814494"/>
      <w:bookmarkStart w:id="138" w:name="_Toc338250681"/>
      <w:proofErr w:type="gramStart"/>
      <w:r w:rsidRPr="002307C5">
        <w:t>Table</w:t>
      </w:r>
      <w:bookmarkEnd w:id="137"/>
      <w:r w:rsidR="005A06CC">
        <w:t xml:space="preserve"> 10</w:t>
      </w:r>
      <w:r w:rsidR="007F571C">
        <w:t>.</w:t>
      </w:r>
      <w:proofErr w:type="gramEnd"/>
      <w:r w:rsidR="005A06CC">
        <w:t xml:space="preserve"> Summary of a</w:t>
      </w:r>
      <w:r w:rsidRPr="002307C5">
        <w:t xml:space="preserve">ge </w:t>
      </w:r>
      <w:r w:rsidR="005A06CC">
        <w:t>g</w:t>
      </w:r>
      <w:r w:rsidRPr="002307C5">
        <w:t>roup (Integrated Analysis Set, ITTC Population)</w:t>
      </w:r>
      <w:bookmarkEnd w:id="138"/>
    </w:p>
    <w:p w:rsidR="002307C5" w:rsidRPr="002307C5" w:rsidRDefault="002307C5" w:rsidP="002307C5">
      <w:pPr>
        <w:autoSpaceDE w:val="0"/>
        <w:autoSpaceDN w:val="0"/>
        <w:adjustRightInd w:val="0"/>
      </w:pPr>
      <w:r w:rsidRPr="002307C5">
        <w:rPr>
          <w:noProof/>
          <w:lang w:eastAsia="en-AU"/>
        </w:rPr>
        <w:drawing>
          <wp:inline distT="0" distB="0" distL="0" distR="0">
            <wp:extent cx="5111193" cy="1181100"/>
            <wp:effectExtent l="19050" t="0" r="0" b="0"/>
            <wp:docPr id="27" name="Picture 183" descr="Table 10. Summary of age group (Integrated Analysis Set, ITT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able 41: Summary of Age Group (Integrated Analysis Set, ITTC Population)"/>
                    <pic:cNvPicPr>
                      <a:picLocks noChangeAspect="1" noChangeArrowheads="1"/>
                    </pic:cNvPicPr>
                  </pic:nvPicPr>
                  <pic:blipFill>
                    <a:blip r:embed="rId26" cstate="print"/>
                    <a:srcRect/>
                    <a:stretch>
                      <a:fillRect/>
                    </a:stretch>
                  </pic:blipFill>
                  <pic:spPr bwMode="auto">
                    <a:xfrm>
                      <a:off x="0" y="0"/>
                      <a:ext cx="5119751" cy="1183078"/>
                    </a:xfrm>
                    <a:prstGeom prst="rect">
                      <a:avLst/>
                    </a:prstGeom>
                    <a:noFill/>
                    <a:ln w="9525">
                      <a:noFill/>
                      <a:miter lim="800000"/>
                      <a:headEnd/>
                      <a:tailEnd/>
                    </a:ln>
                  </pic:spPr>
                </pic:pic>
              </a:graphicData>
            </a:graphic>
          </wp:inline>
        </w:drawing>
      </w:r>
    </w:p>
    <w:p w:rsidR="002307C5" w:rsidRPr="002307C5" w:rsidRDefault="005A06CC" w:rsidP="002307C5">
      <w:pPr>
        <w:autoSpaceDE w:val="0"/>
        <w:autoSpaceDN w:val="0"/>
        <w:adjustRightInd w:val="0"/>
      </w:pPr>
      <w:r>
        <w:t>Table 11 summaris</w:t>
      </w:r>
      <w:r w:rsidR="002307C5" w:rsidRPr="002307C5">
        <w:t>es the end-of-study records for the subjects in the integrated analysis set. Approximately 90% of all subjects completed the studies in which they were enrolled. In general, the proportion of subjects in each treatment group was similar in regard</w:t>
      </w:r>
      <w:r w:rsidR="007F571C">
        <w:t xml:space="preserve"> to reason for early withdrawal,</w:t>
      </w:r>
      <w:r w:rsidR="002307C5" w:rsidRPr="002307C5">
        <w:t xml:space="preserve"> except that the placebo group has higher proportions of subjects withdrawing early due to lack of efficacy and lost to follow-up than the other groups.</w:t>
      </w:r>
    </w:p>
    <w:p w:rsidR="002307C5" w:rsidRPr="002307C5" w:rsidRDefault="002307C5" w:rsidP="00020DAB">
      <w:pPr>
        <w:pStyle w:val="TableTitle"/>
      </w:pPr>
      <w:bookmarkStart w:id="139" w:name="_Ref337814560"/>
      <w:bookmarkStart w:id="140" w:name="_Toc338250682"/>
      <w:proofErr w:type="gramStart"/>
      <w:r w:rsidRPr="002307C5">
        <w:lastRenderedPageBreak/>
        <w:t>Table</w:t>
      </w:r>
      <w:bookmarkEnd w:id="139"/>
      <w:r w:rsidR="007F571C">
        <w:t xml:space="preserve"> 1</w:t>
      </w:r>
      <w:r w:rsidR="005A06CC">
        <w:t>1</w:t>
      </w:r>
      <w:r w:rsidR="006F0ADE">
        <w:t>.</w:t>
      </w:r>
      <w:proofErr w:type="gramEnd"/>
      <w:r w:rsidR="00235EA0">
        <w:t xml:space="preserve"> Summary of e</w:t>
      </w:r>
      <w:r w:rsidRPr="002307C5">
        <w:t xml:space="preserve">nd of </w:t>
      </w:r>
      <w:r w:rsidR="00235EA0">
        <w:t>s</w:t>
      </w:r>
      <w:r w:rsidRPr="002307C5">
        <w:t xml:space="preserve">tudy </w:t>
      </w:r>
      <w:r w:rsidR="00235EA0">
        <w:t>r</w:t>
      </w:r>
      <w:r w:rsidRPr="002307C5">
        <w:t>ecord (Integrated Analysis Set)</w:t>
      </w:r>
      <w:bookmarkEnd w:id="140"/>
    </w:p>
    <w:p w:rsidR="002307C5" w:rsidRPr="002307C5" w:rsidRDefault="002307C5" w:rsidP="002307C5">
      <w:pPr>
        <w:autoSpaceDE w:val="0"/>
        <w:autoSpaceDN w:val="0"/>
        <w:adjustRightInd w:val="0"/>
      </w:pPr>
      <w:r w:rsidRPr="002307C5">
        <w:rPr>
          <w:noProof/>
          <w:lang w:eastAsia="en-AU"/>
        </w:rPr>
        <w:drawing>
          <wp:inline distT="0" distB="0" distL="0" distR="0">
            <wp:extent cx="4112260" cy="2257821"/>
            <wp:effectExtent l="19050" t="0" r="2540" b="0"/>
            <wp:docPr id="26" name="Picture 184" descr="Table 11. Summary of End of Study Record (Integr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ble 42: Summary of End of Study Record (Integrated Analysis Set)"/>
                    <pic:cNvPicPr>
                      <a:picLocks noChangeAspect="1" noChangeArrowheads="1"/>
                    </pic:cNvPicPr>
                  </pic:nvPicPr>
                  <pic:blipFill>
                    <a:blip r:embed="rId27" cstate="print"/>
                    <a:srcRect/>
                    <a:stretch>
                      <a:fillRect/>
                    </a:stretch>
                  </pic:blipFill>
                  <pic:spPr bwMode="auto">
                    <a:xfrm>
                      <a:off x="0" y="0"/>
                      <a:ext cx="4113194" cy="2258334"/>
                    </a:xfrm>
                    <a:prstGeom prst="rect">
                      <a:avLst/>
                    </a:prstGeom>
                    <a:noFill/>
                    <a:ln w="9525">
                      <a:noFill/>
                      <a:miter lim="800000"/>
                      <a:headEnd/>
                      <a:tailEnd/>
                    </a:ln>
                  </pic:spPr>
                </pic:pic>
              </a:graphicData>
            </a:graphic>
          </wp:inline>
        </w:drawing>
      </w:r>
    </w:p>
    <w:p w:rsidR="007A5F52" w:rsidRPr="007A5F52" w:rsidRDefault="007A5F52" w:rsidP="0011721E">
      <w:pPr>
        <w:pStyle w:val="Heading4"/>
      </w:pPr>
      <w:bookmarkStart w:id="141" w:name="_Toc241374326"/>
      <w:bookmarkStart w:id="142" w:name="_Ref272333048"/>
      <w:bookmarkStart w:id="143" w:name="_Toc272414679"/>
      <w:bookmarkStart w:id="144" w:name="_Toc290846317"/>
      <w:bookmarkStart w:id="145" w:name="_Toc339375321"/>
      <w:bookmarkStart w:id="146" w:name="_Toc369253135"/>
      <w:r w:rsidRPr="007A5F52">
        <w:t>Post-marketing experience</w:t>
      </w:r>
      <w:bookmarkEnd w:id="141"/>
      <w:bookmarkEnd w:id="142"/>
      <w:bookmarkEnd w:id="143"/>
      <w:bookmarkEnd w:id="144"/>
      <w:bookmarkEnd w:id="145"/>
      <w:bookmarkEnd w:id="146"/>
    </w:p>
    <w:p w:rsidR="007A5F52" w:rsidRPr="007A5F52" w:rsidRDefault="007A5F52" w:rsidP="007A5F52">
      <w:pPr>
        <w:autoSpaceDE w:val="0"/>
        <w:autoSpaceDN w:val="0"/>
        <w:adjustRightInd w:val="0"/>
      </w:pPr>
      <w:r w:rsidRPr="007A5F52">
        <w:t xml:space="preserve">Retapamulin has been approved in 60 countries and currently is available in 27 countries. The dosing recommendation is BD application for 5 days in adult and paediatric patients aged 9 months and older. From product launch through </w:t>
      </w:r>
      <w:r w:rsidR="007F571C">
        <w:t xml:space="preserve">to </w:t>
      </w:r>
      <w:r w:rsidRPr="007A5F52">
        <w:t>01 December 2011, there have been approximately 2.58 million units of retapamulin distributed over the 27 countries where it is available. The number of reports re</w:t>
      </w:r>
      <w:r w:rsidR="007F571C">
        <w:t>ceived is summarised in Table 1</w:t>
      </w:r>
      <w:r w:rsidR="005A06CC">
        <w:t>2</w:t>
      </w:r>
      <w:r w:rsidRPr="007A5F52">
        <w:t>.</w:t>
      </w:r>
    </w:p>
    <w:p w:rsidR="007A5F52" w:rsidRPr="007A5F52" w:rsidRDefault="007A5F52" w:rsidP="00020DAB">
      <w:pPr>
        <w:pStyle w:val="TableTitle"/>
      </w:pPr>
      <w:bookmarkStart w:id="147" w:name="_Ref337822835"/>
      <w:bookmarkStart w:id="148" w:name="_Toc338250694"/>
      <w:proofErr w:type="gramStart"/>
      <w:r w:rsidRPr="007A5F52">
        <w:t>Table</w:t>
      </w:r>
      <w:bookmarkEnd w:id="147"/>
      <w:r w:rsidR="007F571C">
        <w:t xml:space="preserve"> 1</w:t>
      </w:r>
      <w:r w:rsidR="005A06CC">
        <w:t>2</w:t>
      </w:r>
      <w:r w:rsidR="006F0ADE">
        <w:t>.</w:t>
      </w:r>
      <w:proofErr w:type="gramEnd"/>
      <w:r w:rsidR="007F571C">
        <w:t xml:space="preserve"> Post-marketing r</w:t>
      </w:r>
      <w:r w:rsidRPr="007A5F52">
        <w:t xml:space="preserve">eports </w:t>
      </w:r>
      <w:r w:rsidR="007F571C">
        <w:t>r</w:t>
      </w:r>
      <w:r w:rsidRPr="007A5F52">
        <w:t xml:space="preserve">eceived </w:t>
      </w:r>
      <w:r w:rsidR="007F571C">
        <w:t>f</w:t>
      </w:r>
      <w:r w:rsidRPr="007A5F52">
        <w:t xml:space="preserve">or retapamulin </w:t>
      </w:r>
      <w:r w:rsidR="007F571C">
        <w:t>f</w:t>
      </w:r>
      <w:r w:rsidRPr="007A5F52">
        <w:t xml:space="preserve">rom </w:t>
      </w:r>
      <w:r w:rsidR="007F571C">
        <w:t>p</w:t>
      </w:r>
      <w:r w:rsidRPr="007A5F52">
        <w:t xml:space="preserve">roduct </w:t>
      </w:r>
      <w:r w:rsidR="007F571C">
        <w:t>l</w:t>
      </w:r>
      <w:r w:rsidRPr="007A5F52">
        <w:t>aunch through 01 December 2011</w:t>
      </w:r>
      <w:bookmarkEnd w:id="148"/>
    </w:p>
    <w:p w:rsidR="007A5F52" w:rsidRPr="007A5F52" w:rsidRDefault="007A5F52" w:rsidP="007A5F52">
      <w:pPr>
        <w:autoSpaceDE w:val="0"/>
        <w:autoSpaceDN w:val="0"/>
        <w:adjustRightInd w:val="0"/>
      </w:pPr>
      <w:r w:rsidRPr="007A5F52">
        <w:rPr>
          <w:noProof/>
          <w:lang w:eastAsia="en-AU"/>
        </w:rPr>
        <w:drawing>
          <wp:inline distT="0" distB="0" distL="0" distR="0">
            <wp:extent cx="4119563" cy="1557070"/>
            <wp:effectExtent l="19050" t="0" r="0" b="0"/>
            <wp:docPr id="28" name="Picture 193" descr="Table 12. Post-marketing Reports Received For Retapamulin From Product Launch through 01 Dec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946" cy="1558349"/>
                    </a:xfrm>
                    <a:prstGeom prst="rect">
                      <a:avLst/>
                    </a:prstGeom>
                    <a:noFill/>
                    <a:ln>
                      <a:noFill/>
                    </a:ln>
                  </pic:spPr>
                </pic:pic>
              </a:graphicData>
            </a:graphic>
          </wp:inline>
        </w:drawing>
      </w:r>
    </w:p>
    <w:p w:rsidR="007A5F52" w:rsidRPr="007A5F52" w:rsidRDefault="007F571C" w:rsidP="007A5F52">
      <w:pPr>
        <w:autoSpaceDE w:val="0"/>
        <w:autoSpaceDN w:val="0"/>
        <w:adjustRightInd w:val="0"/>
      </w:pPr>
      <w:r>
        <w:t>Table 1</w:t>
      </w:r>
      <w:r w:rsidR="005A06CC">
        <w:t>3</w:t>
      </w:r>
      <w:r w:rsidR="007A5F52" w:rsidRPr="007A5F52">
        <w:t xml:space="preserve"> lists the most frequently reported events from spontaneous case reports from product launch through to 01</w:t>
      </w:r>
      <w:r>
        <w:t xml:space="preserve"> December </w:t>
      </w:r>
      <w:r w:rsidR="007A5F52" w:rsidRPr="007A5F52">
        <w:t>2011. Local application site reactions are by far the most common.</w:t>
      </w:r>
    </w:p>
    <w:p w:rsidR="007A5F52" w:rsidRPr="007A5F52" w:rsidRDefault="005A06CC" w:rsidP="00020DAB">
      <w:pPr>
        <w:pStyle w:val="TableTitle"/>
      </w:pPr>
      <w:proofErr w:type="gramStart"/>
      <w:r>
        <w:lastRenderedPageBreak/>
        <w:t>Table 13</w:t>
      </w:r>
      <w:r w:rsidR="006F0ADE">
        <w:t>.</w:t>
      </w:r>
      <w:proofErr w:type="gramEnd"/>
      <w:r w:rsidR="007F571C">
        <w:t xml:space="preserve"> Most f</w:t>
      </w:r>
      <w:r w:rsidR="007A5F52" w:rsidRPr="007A5F52">
        <w:t xml:space="preserve">requently </w:t>
      </w:r>
      <w:r w:rsidR="007F571C">
        <w:t>r</w:t>
      </w:r>
      <w:r w:rsidR="007A5F52" w:rsidRPr="007A5F52">
        <w:t xml:space="preserve">eported </w:t>
      </w:r>
      <w:r w:rsidR="007F571C">
        <w:t>e</w:t>
      </w:r>
      <w:r w:rsidR="007A5F52" w:rsidRPr="007A5F52">
        <w:t xml:space="preserve">vents from </w:t>
      </w:r>
      <w:r w:rsidR="007F571C">
        <w:t>s</w:t>
      </w:r>
      <w:r w:rsidR="007A5F52" w:rsidRPr="007A5F52">
        <w:t xml:space="preserve">pontaneous </w:t>
      </w:r>
      <w:r w:rsidR="007F571C">
        <w:t>c</w:t>
      </w:r>
      <w:r w:rsidR="007A5F52" w:rsidRPr="007A5F52">
        <w:t xml:space="preserve">ase </w:t>
      </w:r>
      <w:r w:rsidR="007F571C">
        <w:t>r</w:t>
      </w:r>
      <w:r w:rsidR="007A5F52" w:rsidRPr="007A5F52">
        <w:t>eports</w:t>
      </w:r>
    </w:p>
    <w:p w:rsidR="007A5F52" w:rsidRPr="007A5F52" w:rsidRDefault="007A5F52" w:rsidP="007A5F52">
      <w:pPr>
        <w:autoSpaceDE w:val="0"/>
        <w:autoSpaceDN w:val="0"/>
        <w:adjustRightInd w:val="0"/>
      </w:pPr>
      <w:r w:rsidRPr="007A5F52">
        <w:rPr>
          <w:noProof/>
          <w:lang w:eastAsia="en-AU"/>
        </w:rPr>
        <w:drawing>
          <wp:inline distT="0" distB="0" distL="0" distR="0">
            <wp:extent cx="3501784" cy="4976812"/>
            <wp:effectExtent l="19050" t="0" r="3416" b="0"/>
            <wp:docPr id="29" name="Picture 194" descr="Table 13. Most Frequently Reported Events from Spontaneous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182" cy="4981641"/>
                    </a:xfrm>
                    <a:prstGeom prst="rect">
                      <a:avLst/>
                    </a:prstGeom>
                    <a:noFill/>
                    <a:ln>
                      <a:noFill/>
                    </a:ln>
                  </pic:spPr>
                </pic:pic>
              </a:graphicData>
            </a:graphic>
          </wp:inline>
        </w:drawing>
      </w:r>
    </w:p>
    <w:p w:rsidR="002307C5" w:rsidRPr="002307C5" w:rsidRDefault="002307C5" w:rsidP="007A5F52">
      <w:pPr>
        <w:pStyle w:val="Heading4"/>
      </w:pPr>
      <w:bookmarkStart w:id="149" w:name="_Toc369253138"/>
      <w:bookmarkStart w:id="150" w:name="_Toc339375326"/>
      <w:bookmarkStart w:id="151" w:name="_Toc290846329"/>
      <w:bookmarkStart w:id="152" w:name="_Toc272414691"/>
      <w:bookmarkStart w:id="153" w:name="_Toc241374328"/>
      <w:r w:rsidRPr="002307C5">
        <w:t>Evaluator’s overall conclusions on clinical safety</w:t>
      </w:r>
      <w:bookmarkEnd w:id="149"/>
      <w:bookmarkEnd w:id="150"/>
      <w:bookmarkEnd w:id="151"/>
      <w:bookmarkEnd w:id="152"/>
      <w:bookmarkEnd w:id="153"/>
    </w:p>
    <w:p w:rsidR="002307C5" w:rsidRPr="002307C5" w:rsidRDefault="002307C5" w:rsidP="002307C5">
      <w:pPr>
        <w:autoSpaceDE w:val="0"/>
        <w:autoSpaceDN w:val="0"/>
        <w:adjustRightInd w:val="0"/>
      </w:pPr>
      <w:r w:rsidRPr="002307C5">
        <w:t xml:space="preserve">In the integrated analysis set, one or more AEs were reported in 20% of subjects in the retapamulin ointment group, 25% of subjects in the </w:t>
      </w:r>
      <w:proofErr w:type="spellStart"/>
      <w:r w:rsidRPr="002307C5">
        <w:t>cephalexin</w:t>
      </w:r>
      <w:proofErr w:type="spellEnd"/>
      <w:r w:rsidRPr="002307C5">
        <w:t xml:space="preserve"> group, 15% of subjects in the sodium </w:t>
      </w:r>
      <w:proofErr w:type="spellStart"/>
      <w:r w:rsidRPr="002307C5">
        <w:t>fusidate</w:t>
      </w:r>
      <w:proofErr w:type="spellEnd"/>
      <w:r w:rsidRPr="002307C5">
        <w:t xml:space="preserve"> ointment group, 31% of the </w:t>
      </w:r>
      <w:proofErr w:type="spellStart"/>
      <w:r w:rsidRPr="002307C5">
        <w:t>linezolid</w:t>
      </w:r>
      <w:proofErr w:type="spellEnd"/>
      <w:r w:rsidRPr="002307C5">
        <w:t xml:space="preserve"> group, and 11% of subjects in the placebo group. Most AEs were of mild to moderate intensity and relatively f</w:t>
      </w:r>
      <w:r w:rsidR="00235EA0">
        <w:t>ew AEs led to discontinuation (≤</w:t>
      </w:r>
      <w:r w:rsidRPr="002307C5">
        <w:t>3% of subject</w:t>
      </w:r>
      <w:r w:rsidR="00235EA0">
        <w:t xml:space="preserve">s in any treatment group). Drug </w:t>
      </w:r>
      <w:r w:rsidRPr="002307C5">
        <w:t xml:space="preserve">related AEs were infrequent, with application site pain reported in &gt;1% of the retapamulin group. Application site pain was the most frequently reported related AE in the retapamulin group (1.54% of subjects). Proportionally many more subjects in the </w:t>
      </w:r>
      <w:proofErr w:type="spellStart"/>
      <w:r w:rsidRPr="002307C5">
        <w:t>linezolid</w:t>
      </w:r>
      <w:proofErr w:type="spellEnd"/>
      <w:r w:rsidRPr="002307C5">
        <w:t xml:space="preserve"> and </w:t>
      </w:r>
      <w:proofErr w:type="spellStart"/>
      <w:r w:rsidRPr="002307C5">
        <w:t>cephalexin</w:t>
      </w:r>
      <w:proofErr w:type="spellEnd"/>
      <w:r w:rsidRPr="002307C5">
        <w:t xml:space="preserve"> groups experienced the systemic AEs of diarrhoea and nausea considered to be related to study treatment than the retapamulin group. The local skin reactions pain, </w:t>
      </w:r>
      <w:proofErr w:type="spellStart"/>
      <w:r w:rsidRPr="002307C5">
        <w:t>pruritis</w:t>
      </w:r>
      <w:proofErr w:type="spellEnd"/>
      <w:r w:rsidRPr="002307C5">
        <w:t>, burning and redness were more common in the retapamulin group. This has also been borne out</w:t>
      </w:r>
      <w:r w:rsidR="00020DAB">
        <w:t xml:space="preserve"> in the post-marketing reports.</w:t>
      </w:r>
    </w:p>
    <w:p w:rsidR="002307C5" w:rsidRPr="002307C5" w:rsidRDefault="002307C5" w:rsidP="002307C5">
      <w:pPr>
        <w:autoSpaceDE w:val="0"/>
        <w:autoSpaceDN w:val="0"/>
        <w:adjustRightInd w:val="0"/>
      </w:pPr>
      <w:r w:rsidRPr="002307C5">
        <w:t xml:space="preserve">The incidence of </w:t>
      </w:r>
      <w:r w:rsidR="006F0ADE">
        <w:t>serious AEs (</w:t>
      </w:r>
      <w:r w:rsidRPr="002307C5">
        <w:t>SAEs</w:t>
      </w:r>
      <w:r w:rsidR="006F0ADE">
        <w:t>)</w:t>
      </w:r>
      <w:r w:rsidRPr="002307C5">
        <w:t xml:space="preserve"> was low (n/N = 26/4088 subjects)</w:t>
      </w:r>
      <w:r w:rsidR="00235EA0">
        <w:t>:</w:t>
      </w:r>
      <w:r w:rsidRPr="002307C5">
        <w:t xml:space="preserve"> </w:t>
      </w:r>
      <w:r w:rsidR="00B20F42">
        <w:t xml:space="preserve">these were reported in </w:t>
      </w:r>
      <w:r w:rsidRPr="002307C5">
        <w:t xml:space="preserve">approximately 2% </w:t>
      </w:r>
      <w:r w:rsidR="00B20F42">
        <w:t xml:space="preserve">of </w:t>
      </w:r>
      <w:r w:rsidRPr="002307C5">
        <w:t xml:space="preserve">the </w:t>
      </w:r>
      <w:proofErr w:type="spellStart"/>
      <w:r w:rsidRPr="002307C5">
        <w:t>linezolid</w:t>
      </w:r>
      <w:proofErr w:type="spellEnd"/>
      <w:r w:rsidRPr="002307C5">
        <w:t xml:space="preserve"> group</w:t>
      </w:r>
      <w:r w:rsidR="00B20F42">
        <w:t>,</w:t>
      </w:r>
      <w:r w:rsidRPr="002307C5">
        <w:t xml:space="preserve"> </w:t>
      </w:r>
      <w:r w:rsidR="00B20F42">
        <w:t xml:space="preserve">in </w:t>
      </w:r>
      <w:r w:rsidRPr="002307C5">
        <w:t xml:space="preserve">&lt;1% of subjects in the </w:t>
      </w:r>
      <w:proofErr w:type="spellStart"/>
      <w:r w:rsidRPr="002307C5">
        <w:t>retapamulin</w:t>
      </w:r>
      <w:proofErr w:type="spellEnd"/>
      <w:r w:rsidRPr="002307C5">
        <w:t xml:space="preserve"> ointment, </w:t>
      </w:r>
      <w:proofErr w:type="spellStart"/>
      <w:r w:rsidRPr="002307C5">
        <w:t>cephalexin</w:t>
      </w:r>
      <w:proofErr w:type="spellEnd"/>
      <w:r w:rsidRPr="002307C5">
        <w:t xml:space="preserve"> treatment or placebo ointment groups, and </w:t>
      </w:r>
      <w:r w:rsidR="00B20F42">
        <w:t xml:space="preserve">in </w:t>
      </w:r>
      <w:r w:rsidRPr="002307C5">
        <w:t xml:space="preserve">no subjects in the sodium </w:t>
      </w:r>
      <w:proofErr w:type="spellStart"/>
      <w:r w:rsidRPr="002307C5">
        <w:t>fusidate</w:t>
      </w:r>
      <w:proofErr w:type="spellEnd"/>
      <w:r w:rsidRPr="002307C5">
        <w:t xml:space="preserve"> ointment group. Most of these SAEs were related to progression of the infectious condition (</w:t>
      </w:r>
      <w:proofErr w:type="spellStart"/>
      <w:r w:rsidRPr="002307C5">
        <w:t>cellulitis</w:t>
      </w:r>
      <w:proofErr w:type="spellEnd"/>
      <w:r w:rsidRPr="002307C5">
        <w:t xml:space="preserve">, abscess formation). </w:t>
      </w:r>
      <w:proofErr w:type="spellStart"/>
      <w:r w:rsidRPr="002307C5">
        <w:t>Cellulitis</w:t>
      </w:r>
      <w:proofErr w:type="spellEnd"/>
      <w:r w:rsidRPr="002307C5">
        <w:t xml:space="preserve"> was reported by 4 subjects in the retapamulin ointment group, 1 subject in the </w:t>
      </w:r>
      <w:proofErr w:type="spellStart"/>
      <w:r w:rsidRPr="002307C5">
        <w:t>linezolid</w:t>
      </w:r>
      <w:proofErr w:type="spellEnd"/>
      <w:r w:rsidRPr="002307C5">
        <w:t xml:space="preserve"> group, and by 1 subject in the </w:t>
      </w:r>
      <w:proofErr w:type="spellStart"/>
      <w:r w:rsidRPr="002307C5">
        <w:t>cephalexin</w:t>
      </w:r>
      <w:proofErr w:type="spellEnd"/>
      <w:r w:rsidRPr="002307C5">
        <w:t xml:space="preserve"> group; all other SAEs were reported in no more than 1 </w:t>
      </w:r>
      <w:r w:rsidRPr="002307C5">
        <w:lastRenderedPageBreak/>
        <w:t>subject. Five deaths occurred in the studies. None of the</w:t>
      </w:r>
      <w:r w:rsidR="00B20F42">
        <w:t>se</w:t>
      </w:r>
      <w:r w:rsidRPr="002307C5">
        <w:t xml:space="preserve"> were considered by the investigators to be related to study drug administration.</w:t>
      </w:r>
    </w:p>
    <w:p w:rsidR="00B20F42" w:rsidRDefault="002307C5" w:rsidP="002307C5">
      <w:pPr>
        <w:autoSpaceDE w:val="0"/>
        <w:autoSpaceDN w:val="0"/>
        <w:adjustRightInd w:val="0"/>
      </w:pPr>
      <w:r w:rsidRPr="002307C5">
        <w:t>None of the commonly reported AEs in the retapamulin group occurred in &gt;4% of subjects (application site pruritus in 6 to 12 years olds was 3.90%). In the integrated analysis set, application site reactions occurred more frequently in the retapamulin group than in the placebo group (formulation comparator) or the active comparator grou</w:t>
      </w:r>
      <w:r w:rsidR="00020DAB">
        <w:t>ps plus their placebo ointment.</w:t>
      </w:r>
    </w:p>
    <w:p w:rsidR="002307C5" w:rsidRPr="002307C5" w:rsidRDefault="002307C5" w:rsidP="002307C5">
      <w:pPr>
        <w:autoSpaceDE w:val="0"/>
        <w:autoSpaceDN w:val="0"/>
        <w:adjustRightInd w:val="0"/>
      </w:pPr>
      <w:r w:rsidRPr="002307C5">
        <w:t xml:space="preserve">The incidence of AEs identified as possibly related to QT prolongation or torsades de pointes was low (&lt;1%) in any treatment group. Moreover, ECGs taken in healthy adult subjects exposed to several different doses of retapamulin ointment (0.5%, 1%, and 2%) during Phase I studies showed no significant effect of topical administration of retapamulin ointment on QT or </w:t>
      </w:r>
      <w:proofErr w:type="spellStart"/>
      <w:r w:rsidRPr="002307C5">
        <w:t>QTc</w:t>
      </w:r>
      <w:proofErr w:type="spellEnd"/>
      <w:r w:rsidRPr="002307C5">
        <w:t xml:space="preserve"> intervals. Overall, for all clinical laboratory values, ther</w:t>
      </w:r>
      <w:r w:rsidR="00B20F42">
        <w:t>e were no notable changes from b</w:t>
      </w:r>
      <w:r w:rsidRPr="002307C5">
        <w:t>aseline to Days</w:t>
      </w:r>
      <w:r w:rsidR="00020DAB">
        <w:t xml:space="preserve"> 7 to 9 in any treatment group.</w:t>
      </w:r>
    </w:p>
    <w:p w:rsidR="002307C5" w:rsidRPr="002307C5" w:rsidRDefault="002307C5" w:rsidP="002307C5">
      <w:pPr>
        <w:autoSpaceDE w:val="0"/>
        <w:autoSpaceDN w:val="0"/>
        <w:adjustRightInd w:val="0"/>
      </w:pPr>
      <w:r w:rsidRPr="002307C5">
        <w:t>Due to the very low systemic exposure and rapid clearance of retapamulin ointment, the only events likely to be drug-related are the non-serious reactions at the site of application.</w:t>
      </w:r>
    </w:p>
    <w:p w:rsidR="002307C5" w:rsidRPr="002307C5" w:rsidRDefault="002307C5" w:rsidP="002307C5">
      <w:pPr>
        <w:autoSpaceDE w:val="0"/>
        <w:autoSpaceDN w:val="0"/>
        <w:adjustRightInd w:val="0"/>
      </w:pPr>
      <w:r w:rsidRPr="002307C5">
        <w:t xml:space="preserve">Due to the low system exposure to retapamulin after topical application, the drug interaction observed between retapamulin ointment and oral CYP3A4 and </w:t>
      </w:r>
      <w:proofErr w:type="spellStart"/>
      <w:r w:rsidRPr="002307C5">
        <w:t>Pgp</w:t>
      </w:r>
      <w:proofErr w:type="spellEnd"/>
      <w:r w:rsidRPr="002307C5">
        <w:t xml:space="preserve"> inhibitors is unlikely to increase the incidence of AEs or require dosing adjustment.</w:t>
      </w:r>
    </w:p>
    <w:p w:rsidR="002307C5" w:rsidRPr="002307C5" w:rsidRDefault="002307C5" w:rsidP="0063121F">
      <w:pPr>
        <w:pStyle w:val="Heading3"/>
      </w:pPr>
      <w:bookmarkStart w:id="154" w:name="_Toc369253139"/>
      <w:bookmarkStart w:id="155" w:name="_Toc371925758"/>
      <w:bookmarkStart w:id="156" w:name="_Toc163441387"/>
      <w:bookmarkEnd w:id="133"/>
      <w:bookmarkEnd w:id="134"/>
      <w:bookmarkEnd w:id="135"/>
      <w:r w:rsidRPr="002307C5">
        <w:t>First round benefit-risk assessment</w:t>
      </w:r>
      <w:bookmarkEnd w:id="154"/>
      <w:bookmarkEnd w:id="155"/>
    </w:p>
    <w:p w:rsidR="002307C5" w:rsidRPr="002307C5" w:rsidRDefault="002307C5" w:rsidP="0063121F">
      <w:pPr>
        <w:pStyle w:val="Heading4"/>
      </w:pPr>
      <w:bookmarkStart w:id="157" w:name="_Toc369253140"/>
      <w:bookmarkStart w:id="158" w:name="_Toc236802592"/>
      <w:bookmarkStart w:id="159" w:name="_Toc241374331"/>
      <w:bookmarkStart w:id="160" w:name="_Ref272160836"/>
      <w:bookmarkStart w:id="161" w:name="_Toc272414693"/>
      <w:bookmarkStart w:id="162" w:name="_Toc290846331"/>
      <w:bookmarkStart w:id="163" w:name="_Toc339375328"/>
      <w:r w:rsidRPr="002307C5">
        <w:t>First round assessment of benefits</w:t>
      </w:r>
      <w:bookmarkEnd w:id="157"/>
      <w:bookmarkEnd w:id="158"/>
      <w:bookmarkEnd w:id="159"/>
      <w:bookmarkEnd w:id="160"/>
      <w:bookmarkEnd w:id="161"/>
      <w:bookmarkEnd w:id="162"/>
      <w:bookmarkEnd w:id="163"/>
    </w:p>
    <w:p w:rsidR="002307C5" w:rsidRPr="002307C5" w:rsidRDefault="002307C5" w:rsidP="002307C5">
      <w:r w:rsidRPr="002307C5">
        <w:t>The benefits of retapamulin in the proposed usage are:</w:t>
      </w:r>
    </w:p>
    <w:p w:rsidR="002307C5" w:rsidRPr="00D909AC" w:rsidRDefault="0063121F" w:rsidP="00D909AC">
      <w:pPr>
        <w:pStyle w:val="ListBullet"/>
      </w:pPr>
      <w:r w:rsidRPr="00D909AC">
        <w:t>R</w:t>
      </w:r>
      <w:r w:rsidR="002307C5" w:rsidRPr="00D909AC">
        <w:t xml:space="preserve">etapamulin ointment is an effective alternative to topical sodium </w:t>
      </w:r>
      <w:proofErr w:type="spellStart"/>
      <w:r w:rsidR="002307C5" w:rsidRPr="00D909AC">
        <w:t>fusidate</w:t>
      </w:r>
      <w:proofErr w:type="spellEnd"/>
      <w:r w:rsidR="002307C5" w:rsidRPr="00D909AC">
        <w:t xml:space="preserve"> for the treatment of impetigo, and to oral </w:t>
      </w:r>
      <w:proofErr w:type="spellStart"/>
      <w:r w:rsidR="002307C5" w:rsidRPr="00D909AC">
        <w:t>cephalexin</w:t>
      </w:r>
      <w:proofErr w:type="spellEnd"/>
      <w:r w:rsidR="002307C5" w:rsidRPr="00D909AC">
        <w:t xml:space="preserve"> for the topical treatment of SITL and SID.</w:t>
      </w:r>
    </w:p>
    <w:p w:rsidR="002307C5" w:rsidRPr="00D909AC" w:rsidRDefault="002307C5" w:rsidP="00D909AC">
      <w:pPr>
        <w:pStyle w:val="ListBullet"/>
      </w:pPr>
      <w:r w:rsidRPr="00D909AC">
        <w:t xml:space="preserve">Efficacy for impetigo </w:t>
      </w:r>
      <w:r w:rsidR="006D72CA">
        <w:t xml:space="preserve">is </w:t>
      </w:r>
      <w:r w:rsidRPr="00D909AC">
        <w:t xml:space="preserve">comparable to oral </w:t>
      </w:r>
      <w:proofErr w:type="spellStart"/>
      <w:r w:rsidRPr="00D909AC">
        <w:t>cephalexin</w:t>
      </w:r>
      <w:proofErr w:type="spellEnd"/>
      <w:r w:rsidRPr="00D909AC">
        <w:t xml:space="preserve"> and topical sodium </w:t>
      </w:r>
      <w:proofErr w:type="spellStart"/>
      <w:r w:rsidRPr="00D909AC">
        <w:t>fusidate</w:t>
      </w:r>
      <w:proofErr w:type="spellEnd"/>
      <w:r w:rsidRPr="00D909AC">
        <w:t>.</w:t>
      </w:r>
    </w:p>
    <w:p w:rsidR="002307C5" w:rsidRPr="00D909AC" w:rsidRDefault="002307C5" w:rsidP="00D909AC">
      <w:pPr>
        <w:pStyle w:val="ListBullet"/>
      </w:pPr>
      <w:r w:rsidRPr="00D909AC">
        <w:t xml:space="preserve">Efficacy for SITL is comparable to </w:t>
      </w:r>
      <w:proofErr w:type="spellStart"/>
      <w:r w:rsidRPr="00D909AC">
        <w:t>cephalexin</w:t>
      </w:r>
      <w:proofErr w:type="spellEnd"/>
      <w:r w:rsidRPr="00D909AC">
        <w:t xml:space="preserve"> and probably slightly better than placebo (for mild disease).</w:t>
      </w:r>
    </w:p>
    <w:p w:rsidR="002307C5" w:rsidRPr="00D909AC" w:rsidRDefault="002307C5" w:rsidP="00D909AC">
      <w:pPr>
        <w:pStyle w:val="ListBullet"/>
      </w:pPr>
      <w:r w:rsidRPr="00D909AC">
        <w:t>Efficacy for SID</w:t>
      </w:r>
      <w:r w:rsidR="00D909AC" w:rsidRPr="00D909AC">
        <w:t xml:space="preserve"> appears to be non-inferior to </w:t>
      </w:r>
      <w:proofErr w:type="spellStart"/>
      <w:r w:rsidR="00D909AC" w:rsidRPr="00D909AC">
        <w:t>c</w:t>
      </w:r>
      <w:r w:rsidRPr="00D909AC">
        <w:t>ephalexin</w:t>
      </w:r>
      <w:proofErr w:type="spellEnd"/>
      <w:r w:rsidRPr="00D909AC">
        <w:t xml:space="preserve"> (based only on one study)</w:t>
      </w:r>
      <w:r w:rsidR="006D72CA">
        <w:t>.</w:t>
      </w:r>
    </w:p>
    <w:p w:rsidR="002307C5" w:rsidRPr="00D909AC" w:rsidRDefault="002307C5" w:rsidP="00D909AC">
      <w:pPr>
        <w:pStyle w:val="ListBullet"/>
      </w:pPr>
      <w:r w:rsidRPr="00D909AC">
        <w:t xml:space="preserve">With retapamulin ointment, there is no need for dosage adjustments based on age or </w:t>
      </w:r>
      <w:r w:rsidR="00020DAB">
        <w:t>use of concomitant medications.</w:t>
      </w:r>
    </w:p>
    <w:p w:rsidR="002307C5" w:rsidRPr="00D909AC" w:rsidRDefault="002307C5" w:rsidP="00D909AC">
      <w:pPr>
        <w:pStyle w:val="ListBullet"/>
      </w:pPr>
      <w:r w:rsidRPr="00D909AC">
        <w:t>Minimal systemic absorption.</w:t>
      </w:r>
    </w:p>
    <w:p w:rsidR="002307C5" w:rsidRPr="00D909AC" w:rsidRDefault="002307C5" w:rsidP="00D909AC">
      <w:pPr>
        <w:pStyle w:val="ListBullet"/>
      </w:pPr>
      <w:r w:rsidRPr="00D909AC">
        <w:t>Low incidence of side effects and these tend to be only local reactions.</w:t>
      </w:r>
    </w:p>
    <w:p w:rsidR="002307C5" w:rsidRPr="00D909AC" w:rsidRDefault="002307C5" w:rsidP="00D909AC">
      <w:pPr>
        <w:pStyle w:val="ListBullet"/>
      </w:pPr>
      <w:r w:rsidRPr="00D909AC">
        <w:t>Low incidence of microbial resistance (and not related to any oral antibiotics currently in use).</w:t>
      </w:r>
    </w:p>
    <w:p w:rsidR="002307C5" w:rsidRPr="00D909AC" w:rsidRDefault="002307C5" w:rsidP="00D909AC">
      <w:pPr>
        <w:pStyle w:val="ListBullet"/>
      </w:pPr>
      <w:r w:rsidRPr="00D909AC">
        <w:t>Topical treatment, avoiding the need for oral antibiotic administration.</w:t>
      </w:r>
    </w:p>
    <w:p w:rsidR="002307C5" w:rsidRPr="002307C5" w:rsidRDefault="002307C5" w:rsidP="0063121F">
      <w:pPr>
        <w:pStyle w:val="Heading4"/>
      </w:pPr>
      <w:bookmarkStart w:id="164" w:name="_Toc369253141"/>
      <w:bookmarkStart w:id="165" w:name="_Toc236802596"/>
      <w:bookmarkStart w:id="166" w:name="_Toc241374334"/>
      <w:bookmarkStart w:id="167" w:name="_Ref272160964"/>
      <w:bookmarkStart w:id="168" w:name="_Toc272414694"/>
      <w:bookmarkStart w:id="169" w:name="_Toc290846332"/>
      <w:bookmarkStart w:id="170" w:name="_Toc339375329"/>
      <w:r w:rsidRPr="002307C5">
        <w:t>First round assessment of risks</w:t>
      </w:r>
      <w:bookmarkEnd w:id="164"/>
      <w:bookmarkEnd w:id="165"/>
      <w:bookmarkEnd w:id="166"/>
      <w:bookmarkEnd w:id="167"/>
      <w:bookmarkEnd w:id="168"/>
      <w:bookmarkEnd w:id="169"/>
      <w:bookmarkEnd w:id="170"/>
    </w:p>
    <w:p w:rsidR="002307C5" w:rsidRPr="00D909AC" w:rsidRDefault="002307C5" w:rsidP="00D909AC">
      <w:r w:rsidRPr="00D909AC">
        <w:t>The risks of retapamulin in the proposed usage are:</w:t>
      </w:r>
    </w:p>
    <w:p w:rsidR="002307C5" w:rsidRPr="002307C5" w:rsidRDefault="002307C5" w:rsidP="00D909AC">
      <w:pPr>
        <w:pStyle w:val="ListBullet"/>
      </w:pPr>
      <w:r w:rsidRPr="002307C5">
        <w:t>Local side effects (pain, burning, itch and hypersensitivity)</w:t>
      </w:r>
      <w:r w:rsidR="006D72CA">
        <w:t>.</w:t>
      </w:r>
    </w:p>
    <w:p w:rsidR="002307C5" w:rsidRPr="002307C5" w:rsidRDefault="002307C5" w:rsidP="00D909AC">
      <w:pPr>
        <w:pStyle w:val="ListBullet"/>
      </w:pPr>
      <w:r w:rsidRPr="002307C5">
        <w:t>Ineffectiveness of trea</w:t>
      </w:r>
      <w:r w:rsidR="006D72CA">
        <w:t>tment for severe infection (that is p</w:t>
      </w:r>
      <w:r w:rsidRPr="002307C5">
        <w:t>rogression to abscess/</w:t>
      </w:r>
      <w:proofErr w:type="spellStart"/>
      <w:r w:rsidRPr="002307C5">
        <w:t>cellulitis</w:t>
      </w:r>
      <w:proofErr w:type="spellEnd"/>
      <w:r w:rsidRPr="002307C5">
        <w:t>)</w:t>
      </w:r>
      <w:r w:rsidR="006D72CA">
        <w:t>.</w:t>
      </w:r>
    </w:p>
    <w:p w:rsidR="002307C5" w:rsidRPr="002307C5" w:rsidRDefault="002307C5" w:rsidP="00D909AC">
      <w:pPr>
        <w:pStyle w:val="ListBullet"/>
      </w:pPr>
      <w:r w:rsidRPr="002307C5">
        <w:t xml:space="preserve">Relative poor efficacy for MRSA infections (compared to </w:t>
      </w:r>
      <w:proofErr w:type="spellStart"/>
      <w:r w:rsidRPr="002307C5">
        <w:t>linezolid</w:t>
      </w:r>
      <w:proofErr w:type="spellEnd"/>
      <w:r w:rsidRPr="002307C5">
        <w:t>).</w:t>
      </w:r>
    </w:p>
    <w:p w:rsidR="002307C5" w:rsidRPr="002307C5" w:rsidRDefault="002307C5" w:rsidP="0063121F">
      <w:pPr>
        <w:pStyle w:val="Heading4"/>
      </w:pPr>
      <w:bookmarkStart w:id="171" w:name="_Toc369253142"/>
      <w:bookmarkStart w:id="172" w:name="_Toc236802597"/>
      <w:bookmarkStart w:id="173" w:name="_Toc241374335"/>
      <w:bookmarkStart w:id="174" w:name="_Toc272414695"/>
      <w:bookmarkStart w:id="175" w:name="_Toc290846333"/>
      <w:bookmarkStart w:id="176" w:name="_Toc339375330"/>
      <w:r w:rsidRPr="002307C5">
        <w:lastRenderedPageBreak/>
        <w:t>First round assessment of benefit-risk balance</w:t>
      </w:r>
      <w:bookmarkEnd w:id="171"/>
      <w:bookmarkEnd w:id="172"/>
      <w:bookmarkEnd w:id="173"/>
      <w:bookmarkEnd w:id="174"/>
      <w:bookmarkEnd w:id="175"/>
      <w:bookmarkEnd w:id="176"/>
    </w:p>
    <w:p w:rsidR="002307C5" w:rsidRPr="00D909AC" w:rsidRDefault="002307C5" w:rsidP="00D909AC">
      <w:r w:rsidRPr="00D909AC">
        <w:t>The benefit-risk balance of retapamulin, given the proposed usage, is favourable.</w:t>
      </w:r>
    </w:p>
    <w:p w:rsidR="002307C5" w:rsidRPr="002307C5" w:rsidRDefault="002307C5" w:rsidP="0063121F">
      <w:pPr>
        <w:pStyle w:val="Heading3"/>
      </w:pPr>
      <w:bookmarkStart w:id="177" w:name="_Toc369253144"/>
      <w:bookmarkStart w:id="178" w:name="_Toc371925759"/>
      <w:r w:rsidRPr="002307C5">
        <w:t>Clinical questions</w:t>
      </w:r>
      <w:bookmarkEnd w:id="177"/>
      <w:bookmarkEnd w:id="178"/>
    </w:p>
    <w:p w:rsidR="008E7846" w:rsidRDefault="002307C5" w:rsidP="002307C5">
      <w:r w:rsidRPr="002307C5">
        <w:t>None</w:t>
      </w:r>
    </w:p>
    <w:p w:rsidR="002307C5" w:rsidRPr="00902225" w:rsidRDefault="00902225" w:rsidP="00902225">
      <w:pPr>
        <w:pStyle w:val="Heading3"/>
      </w:pPr>
      <w:bookmarkStart w:id="179" w:name="_Toc369253143"/>
      <w:bookmarkStart w:id="180" w:name="_Toc371925760"/>
      <w:bookmarkStart w:id="181" w:name="_Toc196046504"/>
      <w:bookmarkStart w:id="182" w:name="_Toc163441390"/>
      <w:bookmarkEnd w:id="156"/>
      <w:r>
        <w:t>R</w:t>
      </w:r>
      <w:r w:rsidR="002307C5" w:rsidRPr="00902225">
        <w:t>ecommendation regarding authorisation</w:t>
      </w:r>
      <w:bookmarkEnd w:id="179"/>
      <w:bookmarkEnd w:id="180"/>
    </w:p>
    <w:p w:rsidR="00902225" w:rsidRPr="00902225" w:rsidRDefault="00CB100B" w:rsidP="00CB100B">
      <w:r>
        <w:t>Pending amendments to the PI, the clinical evaluator</w:t>
      </w:r>
      <w:r w:rsidR="00902225" w:rsidRPr="00902225">
        <w:t xml:space="preserve"> recommend</w:t>
      </w:r>
      <w:r>
        <w:t>ed</w:t>
      </w:r>
      <w:r w:rsidR="00902225" w:rsidRPr="00902225">
        <w:t xml:space="preserve"> approval</w:t>
      </w:r>
      <w:r>
        <w:t xml:space="preserve"> for the following, amended, </w:t>
      </w:r>
      <w:r w:rsidRPr="00FD0421">
        <w:t xml:space="preserve">Indication </w:t>
      </w:r>
      <w:r>
        <w:t>(evaluators recommended amendments bolded)</w:t>
      </w:r>
    </w:p>
    <w:p w:rsidR="00902225" w:rsidRPr="00CB100B" w:rsidRDefault="00902225" w:rsidP="00CB100B">
      <w:pPr>
        <w:ind w:left="360"/>
        <w:rPr>
          <w:i/>
          <w:iCs/>
        </w:rPr>
      </w:pPr>
      <w:r w:rsidRPr="00CB100B">
        <w:rPr>
          <w:i/>
          <w:iCs/>
        </w:rPr>
        <w:t xml:space="preserve">Altargo is indicated for the topical treatment of the following bacterial skin and skin structure infections (SSSI) in the absence of systemic signs or symptoms: </w:t>
      </w:r>
    </w:p>
    <w:p w:rsidR="00902225" w:rsidRPr="00020DAB" w:rsidRDefault="00902225" w:rsidP="00020DAB">
      <w:pPr>
        <w:pStyle w:val="ListBullet"/>
        <w:ind w:left="709"/>
        <w:rPr>
          <w:i/>
        </w:rPr>
      </w:pPr>
      <w:r w:rsidRPr="00020DAB">
        <w:rPr>
          <w:i/>
        </w:rPr>
        <w:t>primary impet</w:t>
      </w:r>
      <w:r w:rsidR="00020DAB" w:rsidRPr="00020DAB">
        <w:rPr>
          <w:i/>
        </w:rPr>
        <w:t>igo</w:t>
      </w:r>
    </w:p>
    <w:p w:rsidR="00902225" w:rsidRPr="00020DAB" w:rsidRDefault="00902225" w:rsidP="00020DAB">
      <w:pPr>
        <w:pStyle w:val="ListBullet"/>
        <w:ind w:left="709"/>
        <w:rPr>
          <w:i/>
        </w:rPr>
      </w:pPr>
      <w:r w:rsidRPr="00020DAB">
        <w:rPr>
          <w:i/>
        </w:rPr>
        <w:t xml:space="preserve">secondarily infected traumatic lesions e.g. small lacerations, abrasions, sutured wounds </w:t>
      </w:r>
    </w:p>
    <w:p w:rsidR="00902225" w:rsidRPr="00020DAB" w:rsidRDefault="00902225" w:rsidP="00020DAB">
      <w:pPr>
        <w:pStyle w:val="ListBullet"/>
        <w:ind w:left="709"/>
        <w:rPr>
          <w:i/>
        </w:rPr>
      </w:pPr>
      <w:r w:rsidRPr="00020DAB">
        <w:rPr>
          <w:i/>
        </w:rPr>
        <w:t xml:space="preserve">secondarily infected </w:t>
      </w:r>
      <w:proofErr w:type="spellStart"/>
      <w:r w:rsidRPr="00020DAB">
        <w:rPr>
          <w:i/>
        </w:rPr>
        <w:t>dermatoses</w:t>
      </w:r>
      <w:proofErr w:type="spellEnd"/>
      <w:r w:rsidRPr="00020DAB">
        <w:rPr>
          <w:i/>
        </w:rPr>
        <w:t xml:space="preserve"> including infected psoriasis, infected atopic dermatitis and infected contact dermatitis </w:t>
      </w:r>
    </w:p>
    <w:p w:rsidR="00902225" w:rsidRPr="00CB100B" w:rsidRDefault="00902225" w:rsidP="00CB100B">
      <w:pPr>
        <w:ind w:left="360"/>
        <w:rPr>
          <w:b/>
          <w:bCs/>
          <w:i/>
          <w:iCs/>
        </w:rPr>
      </w:pPr>
      <w:proofErr w:type="gramStart"/>
      <w:r w:rsidRPr="00CB100B">
        <w:rPr>
          <w:b/>
          <w:bCs/>
          <w:i/>
          <w:iCs/>
        </w:rPr>
        <w:t>In the absence of known or suspected infection due to MRSA.</w:t>
      </w:r>
      <w:proofErr w:type="gramEnd"/>
    </w:p>
    <w:p w:rsidR="00CB100B" w:rsidRPr="00CB100B" w:rsidRDefault="00CB100B" w:rsidP="00CB100B">
      <w:r>
        <w:t xml:space="preserve">The evaluator also recommended that the </w:t>
      </w:r>
      <w:r w:rsidRPr="00D909AC">
        <w:rPr>
          <w:i/>
          <w:iCs/>
        </w:rPr>
        <w:t>Precautions</w:t>
      </w:r>
      <w:r>
        <w:t xml:space="preserve"> section of the PI include the following as </w:t>
      </w:r>
      <w:r w:rsidRPr="00CB100B">
        <w:t>the first and second points:</w:t>
      </w:r>
    </w:p>
    <w:p w:rsidR="00CB100B" w:rsidRPr="00CB100B" w:rsidRDefault="00CB100B" w:rsidP="00CB100B">
      <w:pPr>
        <w:pStyle w:val="ListBullet"/>
      </w:pPr>
      <w:r w:rsidRPr="00CB100B">
        <w:t>Patients should be frequently assessed for non‐responsiveness or progression of infection. If this occurs, change to a systemic antimicrobial agent may be necessary.</w:t>
      </w:r>
    </w:p>
    <w:p w:rsidR="00CB100B" w:rsidRPr="00CB100B" w:rsidRDefault="00CB100B" w:rsidP="00CB100B">
      <w:pPr>
        <w:pStyle w:val="ListBullet"/>
      </w:pPr>
      <w:r w:rsidRPr="00CB100B">
        <w:t>This agent is less effective than appropriate oral agent for the treatment of SSSI’s caused by MRSA.</w:t>
      </w:r>
    </w:p>
    <w:p w:rsidR="00CB100B" w:rsidRDefault="00D909AC" w:rsidP="008E7846">
      <w:r>
        <w:t>Other recommended revisions to the PI are beyond the scope of the AusPAR.</w:t>
      </w:r>
    </w:p>
    <w:p w:rsidR="008E7846" w:rsidRPr="00E41208" w:rsidRDefault="008E7846" w:rsidP="008E7846">
      <w:pPr>
        <w:pStyle w:val="Heading2"/>
      </w:pPr>
      <w:bookmarkStart w:id="183" w:name="_Toc247691524"/>
      <w:bookmarkStart w:id="184" w:name="_Toc314842508"/>
      <w:bookmarkStart w:id="185" w:name="_Toc371925761"/>
      <w:r w:rsidRPr="00E41208">
        <w:t xml:space="preserve">V. Pharmacovigilance </w:t>
      </w:r>
      <w:r>
        <w:t>f</w:t>
      </w:r>
      <w:r w:rsidRPr="00E41208">
        <w:t>indings</w:t>
      </w:r>
      <w:bookmarkEnd w:id="183"/>
      <w:bookmarkEnd w:id="184"/>
      <w:bookmarkEnd w:id="185"/>
    </w:p>
    <w:p w:rsidR="008E7846" w:rsidRDefault="00386150" w:rsidP="008E7846">
      <w:pPr>
        <w:pStyle w:val="Heading3"/>
        <w:rPr>
          <w:lang w:eastAsia="en-AU"/>
        </w:rPr>
      </w:pPr>
      <w:bookmarkStart w:id="186" w:name="_Toc247691526"/>
      <w:bookmarkStart w:id="187" w:name="_Toc314842509"/>
      <w:bookmarkStart w:id="188" w:name="_Toc371925762"/>
      <w:r>
        <w:rPr>
          <w:lang w:eastAsia="en-AU"/>
        </w:rPr>
        <w:t>Risk m</w:t>
      </w:r>
      <w:r w:rsidR="008E7846">
        <w:rPr>
          <w:lang w:eastAsia="en-AU"/>
        </w:rPr>
        <w:t xml:space="preserve">anagement </w:t>
      </w:r>
      <w:r>
        <w:rPr>
          <w:lang w:eastAsia="en-AU"/>
        </w:rPr>
        <w:t>p</w:t>
      </w:r>
      <w:r w:rsidR="008E7846">
        <w:rPr>
          <w:lang w:eastAsia="en-AU"/>
        </w:rPr>
        <w:t>lan</w:t>
      </w:r>
      <w:bookmarkEnd w:id="186"/>
      <w:bookmarkEnd w:id="187"/>
      <w:bookmarkEnd w:id="188"/>
    </w:p>
    <w:p w:rsidR="008A76F0" w:rsidRDefault="00DC0EF3" w:rsidP="008A76F0">
      <w:r>
        <w:t xml:space="preserve">The sponsor submitted an EU </w:t>
      </w:r>
      <w:r w:rsidR="008E7846" w:rsidRPr="008A76F0">
        <w:t xml:space="preserve">Risk Management Plan </w:t>
      </w:r>
      <w:r w:rsidR="008A76F0">
        <w:t>(</w:t>
      </w:r>
      <w:r w:rsidR="008A76F0" w:rsidRPr="008A76F0">
        <w:t>EU-RMP Version: 03, dated 4 April 2012, with an Australian Specific Annex (ASA) undated</w:t>
      </w:r>
      <w:r w:rsidR="008A76F0">
        <w:t>)</w:t>
      </w:r>
      <w:r w:rsidR="008A76F0" w:rsidRPr="008A76F0">
        <w:t xml:space="preserve"> </w:t>
      </w:r>
      <w:r w:rsidR="008E7846" w:rsidRPr="008A76F0">
        <w:t>which was reviewed by the TGA’s Office of Product Review (OPR).</w:t>
      </w:r>
      <w:r w:rsidR="00A16E70">
        <w:t xml:space="preserve"> </w:t>
      </w:r>
      <w:r w:rsidR="008A76F0">
        <w:t>A summar</w:t>
      </w:r>
      <w:r>
        <w:t>y of the RMP is shown in Table 1</w:t>
      </w:r>
      <w:r w:rsidR="005A06CC">
        <w:t>4</w:t>
      </w:r>
      <w:r w:rsidR="008A76F0">
        <w:t>.</w:t>
      </w:r>
    </w:p>
    <w:p w:rsidR="00A16E70" w:rsidRDefault="00DC0EF3" w:rsidP="00020DAB">
      <w:pPr>
        <w:pStyle w:val="TableTitle"/>
      </w:pPr>
      <w:proofErr w:type="gramStart"/>
      <w:r>
        <w:lastRenderedPageBreak/>
        <w:t>Table 1</w:t>
      </w:r>
      <w:r w:rsidR="005A06CC">
        <w:t>4</w:t>
      </w:r>
      <w:r w:rsidR="00A16E70">
        <w:t>.</w:t>
      </w:r>
      <w:proofErr w:type="gramEnd"/>
      <w:r w:rsidR="00A16E70">
        <w:t xml:space="preserve"> S</w:t>
      </w:r>
      <w:r w:rsidR="00A16E70" w:rsidRPr="00A16E70">
        <w:t>ummary of the RMP</w:t>
      </w:r>
    </w:p>
    <w:p w:rsidR="008A76F0" w:rsidRPr="008A76F0" w:rsidRDefault="008A76F0" w:rsidP="008A76F0">
      <w:r>
        <w:rPr>
          <w:noProof/>
          <w:lang w:eastAsia="en-AU"/>
        </w:rPr>
        <w:drawing>
          <wp:inline distT="0" distB="0" distL="0" distR="0">
            <wp:extent cx="4650921" cy="5410928"/>
            <wp:effectExtent l="19050" t="0" r="0" b="0"/>
            <wp:docPr id="15" name="Picture 15" descr="Table 14. Summary of th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4652456" cy="5412714"/>
                    </a:xfrm>
                    <a:prstGeom prst="rect">
                      <a:avLst/>
                    </a:prstGeom>
                    <a:noFill/>
                    <a:ln w="9525">
                      <a:noFill/>
                      <a:miter lim="800000"/>
                      <a:headEnd/>
                      <a:tailEnd/>
                    </a:ln>
                  </pic:spPr>
                </pic:pic>
              </a:graphicData>
            </a:graphic>
          </wp:inline>
        </w:drawing>
      </w:r>
    </w:p>
    <w:p w:rsidR="008E7846" w:rsidRDefault="003A7F6C" w:rsidP="008E7846">
      <w:pPr>
        <w:pStyle w:val="Heading4"/>
        <w:rPr>
          <w:lang w:eastAsia="en-AU"/>
        </w:rPr>
      </w:pPr>
      <w:r>
        <w:rPr>
          <w:lang w:eastAsia="en-AU"/>
        </w:rPr>
        <w:t>Safety s</w:t>
      </w:r>
      <w:r w:rsidR="008E7846">
        <w:rPr>
          <w:lang w:eastAsia="en-AU"/>
        </w:rPr>
        <w:t>pecification</w:t>
      </w:r>
    </w:p>
    <w:p w:rsidR="008A76F0" w:rsidRPr="008A76F0" w:rsidRDefault="008A76F0" w:rsidP="008A76F0">
      <w:pPr>
        <w:rPr>
          <w:lang w:eastAsia="en-AU"/>
        </w:rPr>
      </w:pPr>
      <w:r w:rsidRPr="008A76F0">
        <w:rPr>
          <w:lang w:eastAsia="en-AU"/>
        </w:rPr>
        <w:t>Subject to the evaluation of the non-clinical aspects of the Safety Specification (SS) by the Toxicology area of the O</w:t>
      </w:r>
      <w:r w:rsidR="00824D91">
        <w:rPr>
          <w:lang w:eastAsia="en-AU"/>
        </w:rPr>
        <w:t xml:space="preserve">ffice of </w:t>
      </w:r>
      <w:r w:rsidRPr="008A76F0">
        <w:rPr>
          <w:lang w:eastAsia="en-AU"/>
        </w:rPr>
        <w:t>S</w:t>
      </w:r>
      <w:r w:rsidR="00824D91">
        <w:rPr>
          <w:lang w:eastAsia="en-AU"/>
        </w:rPr>
        <w:t xml:space="preserve">cientific </w:t>
      </w:r>
      <w:r w:rsidRPr="008A76F0">
        <w:rPr>
          <w:lang w:eastAsia="en-AU"/>
        </w:rPr>
        <w:t>E</w:t>
      </w:r>
      <w:r w:rsidR="00824D91">
        <w:rPr>
          <w:lang w:eastAsia="en-AU"/>
        </w:rPr>
        <w:t>valuation</w:t>
      </w:r>
      <w:r w:rsidRPr="008A76F0">
        <w:rPr>
          <w:lang w:eastAsia="en-AU"/>
        </w:rPr>
        <w:t xml:space="preserve"> and the clinical aspects of the SS by the O</w:t>
      </w:r>
      <w:r w:rsidR="00824D91">
        <w:rPr>
          <w:lang w:eastAsia="en-AU"/>
        </w:rPr>
        <w:t xml:space="preserve">ffice of </w:t>
      </w:r>
      <w:r w:rsidRPr="008A76F0">
        <w:rPr>
          <w:lang w:eastAsia="en-AU"/>
        </w:rPr>
        <w:t>M</w:t>
      </w:r>
      <w:r w:rsidR="00824D91">
        <w:rPr>
          <w:lang w:eastAsia="en-AU"/>
        </w:rPr>
        <w:t xml:space="preserve">edicines </w:t>
      </w:r>
      <w:r w:rsidRPr="008A76F0">
        <w:rPr>
          <w:lang w:eastAsia="en-AU"/>
        </w:rPr>
        <w:t>A</w:t>
      </w:r>
      <w:r w:rsidR="00824D91">
        <w:rPr>
          <w:lang w:eastAsia="en-AU"/>
        </w:rPr>
        <w:t>uthorisation</w:t>
      </w:r>
      <w:r w:rsidR="00DC0EF3">
        <w:rPr>
          <w:lang w:eastAsia="en-AU"/>
        </w:rPr>
        <w:t>, the summary of the o</w:t>
      </w:r>
      <w:r w:rsidRPr="008A76F0">
        <w:rPr>
          <w:lang w:eastAsia="en-AU"/>
        </w:rPr>
        <w:t xml:space="preserve">ngoing </w:t>
      </w:r>
      <w:r w:rsidR="00DC0EF3">
        <w:rPr>
          <w:lang w:eastAsia="en-AU"/>
        </w:rPr>
        <w:t>s</w:t>
      </w:r>
      <w:r w:rsidRPr="008A76F0">
        <w:rPr>
          <w:lang w:eastAsia="en-AU"/>
        </w:rPr>
        <w:t xml:space="preserve">afety </w:t>
      </w:r>
      <w:r w:rsidR="00DC0EF3">
        <w:rPr>
          <w:lang w:eastAsia="en-AU"/>
        </w:rPr>
        <w:t>c</w:t>
      </w:r>
      <w:r w:rsidRPr="008A76F0">
        <w:rPr>
          <w:lang w:eastAsia="en-AU"/>
        </w:rPr>
        <w:t>oncerns as specified by the sponsor is as follows:</w:t>
      </w:r>
    </w:p>
    <w:p w:rsidR="00A16E70" w:rsidRDefault="00A16E70" w:rsidP="00824D91">
      <w:pPr>
        <w:pStyle w:val="ListBullet"/>
        <w:rPr>
          <w:lang w:eastAsia="en-AU"/>
        </w:rPr>
      </w:pPr>
      <w:r>
        <w:rPr>
          <w:lang w:eastAsia="en-AU"/>
        </w:rPr>
        <w:t>Important identified risks:</w:t>
      </w:r>
    </w:p>
    <w:p w:rsidR="00A16E70" w:rsidRDefault="00A16E70" w:rsidP="00824D91">
      <w:pPr>
        <w:pStyle w:val="ListBullet2"/>
        <w:rPr>
          <w:lang w:eastAsia="en-AU"/>
        </w:rPr>
      </w:pPr>
      <w:r>
        <w:rPr>
          <w:lang w:eastAsia="en-AU"/>
        </w:rPr>
        <w:t>Hypersensitivity</w:t>
      </w:r>
    </w:p>
    <w:p w:rsidR="00A16E70" w:rsidRPr="00A16E70" w:rsidRDefault="00A16E70" w:rsidP="00824D91">
      <w:pPr>
        <w:pStyle w:val="ListBullet"/>
        <w:rPr>
          <w:lang w:eastAsia="en-AU"/>
        </w:rPr>
      </w:pPr>
      <w:r w:rsidRPr="00A16E70">
        <w:rPr>
          <w:lang w:eastAsia="en-AU"/>
        </w:rPr>
        <w:t xml:space="preserve">Important </w:t>
      </w:r>
      <w:r>
        <w:rPr>
          <w:lang w:eastAsia="en-AU"/>
        </w:rPr>
        <w:t xml:space="preserve">potential </w:t>
      </w:r>
      <w:r w:rsidRPr="00A16E70">
        <w:rPr>
          <w:lang w:eastAsia="en-AU"/>
        </w:rPr>
        <w:t>risks:</w:t>
      </w:r>
    </w:p>
    <w:p w:rsidR="00A16E70" w:rsidRDefault="00A16E70" w:rsidP="00824D91">
      <w:pPr>
        <w:pStyle w:val="ListBullet2"/>
        <w:rPr>
          <w:lang w:eastAsia="en-AU"/>
        </w:rPr>
      </w:pPr>
      <w:r>
        <w:rPr>
          <w:lang w:eastAsia="en-AU"/>
        </w:rPr>
        <w:t>Off-label use – mucosal surfaces</w:t>
      </w:r>
    </w:p>
    <w:p w:rsidR="00A16E70" w:rsidRDefault="00A16E70" w:rsidP="00824D91">
      <w:pPr>
        <w:pStyle w:val="ListBullet2"/>
        <w:rPr>
          <w:lang w:eastAsia="en-AU"/>
        </w:rPr>
      </w:pPr>
      <w:r>
        <w:rPr>
          <w:lang w:eastAsia="en-AU"/>
        </w:rPr>
        <w:t>Off-label paediatric use</w:t>
      </w:r>
    </w:p>
    <w:p w:rsidR="00A16E70" w:rsidRDefault="00A16E70" w:rsidP="00824D91">
      <w:pPr>
        <w:pStyle w:val="ListBullet2"/>
        <w:rPr>
          <w:lang w:eastAsia="en-AU"/>
        </w:rPr>
      </w:pPr>
      <w:r>
        <w:rPr>
          <w:lang w:eastAsia="en-AU"/>
        </w:rPr>
        <w:t>Development of resistance</w:t>
      </w:r>
    </w:p>
    <w:p w:rsidR="00A16E70" w:rsidRDefault="00A16E70" w:rsidP="00824D91">
      <w:pPr>
        <w:pStyle w:val="ListBullet"/>
        <w:rPr>
          <w:lang w:eastAsia="en-AU"/>
        </w:rPr>
      </w:pPr>
      <w:r>
        <w:rPr>
          <w:lang w:eastAsia="en-AU"/>
        </w:rPr>
        <w:t>Important missing information:</w:t>
      </w:r>
    </w:p>
    <w:p w:rsidR="00A16E70" w:rsidRDefault="00A16E70" w:rsidP="00824D91">
      <w:pPr>
        <w:pStyle w:val="ListBullet2"/>
        <w:rPr>
          <w:lang w:eastAsia="en-AU"/>
        </w:rPr>
      </w:pPr>
      <w:r>
        <w:rPr>
          <w:lang w:eastAsia="en-AU"/>
        </w:rPr>
        <w:t>None</w:t>
      </w:r>
    </w:p>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8A76F0" w:rsidRDefault="008A76F0" w:rsidP="008E7846">
      <w:pPr>
        <w:rPr>
          <w:lang w:eastAsia="en-AU"/>
        </w:rPr>
      </w:pPr>
      <w:r w:rsidRPr="008A76F0">
        <w:rPr>
          <w:lang w:eastAsia="en-AU"/>
        </w:rPr>
        <w:t xml:space="preserve">The sponsor states that routine pharmacovigilance activities, consistent with the activities outlined in </w:t>
      </w:r>
      <w:r w:rsidRPr="008A76F0">
        <w:rPr>
          <w:i/>
          <w:lang w:eastAsia="en-AU"/>
        </w:rPr>
        <w:t>3.1.2 Routine pharmacovigilance practices, Note for Guidance on Planning Pharmacovigilance Activities</w:t>
      </w:r>
      <w:r w:rsidRPr="008A76F0">
        <w:rPr>
          <w:bCs/>
          <w:i/>
          <w:lang w:eastAsia="en-AU"/>
        </w:rPr>
        <w:t xml:space="preserve"> </w:t>
      </w:r>
      <w:r w:rsidRPr="008A76F0">
        <w:rPr>
          <w:i/>
          <w:lang w:eastAsia="en-AU"/>
        </w:rPr>
        <w:t>(CPMP/ICH/5716/03),</w:t>
      </w:r>
      <w:r w:rsidRPr="008A76F0">
        <w:rPr>
          <w:lang w:eastAsia="en-AU"/>
        </w:rPr>
        <w:t xml:space="preserve"> are proposed to monitor all the spec</w:t>
      </w:r>
      <w:r w:rsidR="00A16E70">
        <w:rPr>
          <w:lang w:eastAsia="en-AU"/>
        </w:rPr>
        <w:t xml:space="preserve">ified ongoing safety concerns. </w:t>
      </w:r>
      <w:r w:rsidRPr="008A76F0">
        <w:rPr>
          <w:lang w:eastAsia="en-AU"/>
        </w:rPr>
        <w:t xml:space="preserve">This includes the use of targeted follow up questionnaires for the important identified risk: “Hypersensitivity’ and the important potential risk: ‘Off </w:t>
      </w:r>
      <w:r w:rsidR="00020DAB">
        <w:rPr>
          <w:lang w:eastAsia="en-AU"/>
        </w:rPr>
        <w:t>label Use – Mucosal Surfaces’.</w:t>
      </w:r>
    </w:p>
    <w:p w:rsidR="00A16E70" w:rsidRDefault="008A76F0" w:rsidP="008E7846">
      <w:pPr>
        <w:rPr>
          <w:lang w:eastAsia="en-AU"/>
        </w:rPr>
      </w:pPr>
      <w:r w:rsidRPr="008A76F0">
        <w:rPr>
          <w:lang w:eastAsia="en-AU"/>
        </w:rPr>
        <w:t>For the important potential risk: ‘Off label Use - paediatrics aged less than 9 months’, ongoing studies aim to determine the use of retapamulin in children aged less than 9 months by using an administrative medical claims database in the US</w:t>
      </w:r>
      <w:r w:rsidR="00A16E70">
        <w:rPr>
          <w:lang w:eastAsia="en-AU"/>
        </w:rPr>
        <w:t>.</w:t>
      </w:r>
    </w:p>
    <w:p w:rsidR="00A16E70" w:rsidRDefault="00A16E70" w:rsidP="00A16E70">
      <w:pPr>
        <w:rPr>
          <w:lang w:eastAsia="en-AU"/>
        </w:rPr>
      </w:pPr>
      <w:r w:rsidRPr="00A16E70">
        <w:rPr>
          <w:lang w:eastAsia="en-AU"/>
        </w:rPr>
        <w:t xml:space="preserve">For the important potential risk: ‘Development of resistance’, the sponsor reports that a prospective surveillance study was conducted in six European countries in order to assess the </w:t>
      </w:r>
      <w:r w:rsidRPr="00A16E70">
        <w:rPr>
          <w:i/>
          <w:iCs/>
          <w:lang w:eastAsia="en-AU"/>
        </w:rPr>
        <w:t xml:space="preserve">in vitro </w:t>
      </w:r>
      <w:r w:rsidRPr="00A16E70">
        <w:rPr>
          <w:lang w:eastAsia="en-AU"/>
        </w:rPr>
        <w:t>activity of</w:t>
      </w:r>
      <w:r>
        <w:rPr>
          <w:lang w:eastAsia="en-AU"/>
        </w:rPr>
        <w:t xml:space="preserve"> </w:t>
      </w:r>
      <w:r w:rsidRPr="00A16E70">
        <w:rPr>
          <w:lang w:eastAsia="en-AU"/>
        </w:rPr>
        <w:t xml:space="preserve">retapamulin and 14 comparative agents against 1,500 recent clinical isolates of </w:t>
      </w:r>
      <w:r w:rsidRPr="00A16E70">
        <w:rPr>
          <w:i/>
          <w:iCs/>
          <w:lang w:eastAsia="en-AU"/>
        </w:rPr>
        <w:t>S</w:t>
      </w:r>
      <w:r w:rsidR="00A145A5">
        <w:rPr>
          <w:i/>
          <w:iCs/>
          <w:lang w:eastAsia="en-AU"/>
        </w:rPr>
        <w:t xml:space="preserve">. </w:t>
      </w:r>
      <w:r w:rsidRPr="00A16E70">
        <w:rPr>
          <w:i/>
          <w:iCs/>
          <w:lang w:eastAsia="en-AU"/>
        </w:rPr>
        <w:t xml:space="preserve">aureus </w:t>
      </w:r>
      <w:r w:rsidRPr="00A16E70">
        <w:rPr>
          <w:lang w:eastAsia="en-AU"/>
        </w:rPr>
        <w:t xml:space="preserve">and </w:t>
      </w:r>
      <w:r w:rsidRPr="00A16E70">
        <w:rPr>
          <w:i/>
          <w:iCs/>
          <w:lang w:eastAsia="en-AU"/>
        </w:rPr>
        <w:t>S</w:t>
      </w:r>
      <w:r w:rsidR="00A145A5">
        <w:rPr>
          <w:i/>
          <w:iCs/>
          <w:lang w:eastAsia="en-AU"/>
        </w:rPr>
        <w:t xml:space="preserve">. </w:t>
      </w:r>
      <w:r w:rsidRPr="00A16E70">
        <w:rPr>
          <w:i/>
          <w:iCs/>
          <w:lang w:eastAsia="en-AU"/>
        </w:rPr>
        <w:t xml:space="preserve">pyogenes </w:t>
      </w:r>
      <w:r w:rsidRPr="00A16E70">
        <w:rPr>
          <w:lang w:eastAsia="en-AU"/>
        </w:rPr>
        <w:t>from commun</w:t>
      </w:r>
      <w:r>
        <w:rPr>
          <w:lang w:eastAsia="en-AU"/>
        </w:rPr>
        <w:t xml:space="preserve">ity acquired skin infections. </w:t>
      </w:r>
      <w:r w:rsidRPr="00A16E70">
        <w:rPr>
          <w:lang w:eastAsia="en-AU"/>
        </w:rPr>
        <w:t xml:space="preserve">The surveillance study was completed in 2010 and the report was submitted in January 2011 to the </w:t>
      </w:r>
      <w:r w:rsidR="00DC0EF3">
        <w:rPr>
          <w:lang w:eastAsia="en-AU"/>
        </w:rPr>
        <w:t>European Medicines Agency (</w:t>
      </w:r>
      <w:r w:rsidRPr="00A16E70">
        <w:rPr>
          <w:lang w:eastAsia="en-AU"/>
        </w:rPr>
        <w:t>EMA</w:t>
      </w:r>
      <w:r w:rsidR="00DC0EF3">
        <w:rPr>
          <w:lang w:eastAsia="en-AU"/>
        </w:rPr>
        <w:t>)</w:t>
      </w:r>
      <w:r w:rsidR="00020DAB">
        <w:rPr>
          <w:lang w:eastAsia="en-AU"/>
        </w:rPr>
        <w:t>.</w:t>
      </w:r>
    </w:p>
    <w:p w:rsidR="00A16E70" w:rsidRPr="00A16E70" w:rsidRDefault="00A16E70" w:rsidP="00A16E70">
      <w:pPr>
        <w:rPr>
          <w:lang w:eastAsia="en-AU"/>
        </w:rPr>
      </w:pPr>
      <w:r w:rsidRPr="00A16E70">
        <w:rPr>
          <w:lang w:eastAsia="en-AU"/>
        </w:rPr>
        <w:t xml:space="preserve">The sponsor states that retapamulin demonstrated excellent </w:t>
      </w:r>
      <w:r w:rsidRPr="00A16E70">
        <w:rPr>
          <w:i/>
          <w:iCs/>
          <w:lang w:eastAsia="en-AU"/>
        </w:rPr>
        <w:t xml:space="preserve">in vitro </w:t>
      </w:r>
      <w:r w:rsidRPr="00A16E70">
        <w:rPr>
          <w:lang w:eastAsia="en-AU"/>
        </w:rPr>
        <w:t xml:space="preserve">activity against the tested isolates of </w:t>
      </w:r>
      <w:r w:rsidRPr="00A16E70">
        <w:rPr>
          <w:i/>
          <w:iCs/>
          <w:lang w:eastAsia="en-AU"/>
        </w:rPr>
        <w:t xml:space="preserve">S. aureus </w:t>
      </w:r>
      <w:r w:rsidRPr="00A16E70">
        <w:rPr>
          <w:lang w:eastAsia="en-AU"/>
        </w:rPr>
        <w:t xml:space="preserve">and </w:t>
      </w:r>
      <w:r w:rsidRPr="00A16E70">
        <w:rPr>
          <w:i/>
          <w:iCs/>
          <w:lang w:eastAsia="en-AU"/>
        </w:rPr>
        <w:t>S. pyogenes</w:t>
      </w:r>
      <w:r w:rsidRPr="00A16E70">
        <w:rPr>
          <w:lang w:eastAsia="en-AU"/>
        </w:rPr>
        <w:t>, with MIC</w:t>
      </w:r>
      <w:r w:rsidRPr="00A145A5">
        <w:rPr>
          <w:vertAlign w:val="subscript"/>
          <w:lang w:eastAsia="en-AU"/>
        </w:rPr>
        <w:t>90</w:t>
      </w:r>
      <w:r w:rsidR="00A145A5">
        <w:rPr>
          <w:lang w:eastAsia="en-AU"/>
        </w:rPr>
        <w:t xml:space="preserve"> values</w:t>
      </w:r>
      <w:r w:rsidRPr="00A16E70">
        <w:rPr>
          <w:lang w:eastAsia="en-AU"/>
        </w:rPr>
        <w:t xml:space="preserve"> of 0.12-0.25 and 0.06 g/mL, respectively, regardless of phenotype or country.</w:t>
      </w:r>
      <w:r>
        <w:rPr>
          <w:lang w:eastAsia="en-AU"/>
        </w:rPr>
        <w:t xml:space="preserve"> </w:t>
      </w:r>
      <w:r w:rsidRPr="00A16E70">
        <w:rPr>
          <w:lang w:eastAsia="en-AU"/>
        </w:rPr>
        <w:t>The sponsor concludes that no further action is required and the ASA states no Australia specific surveillance will be conducted.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A16E70" w:rsidRPr="00A16E70" w:rsidRDefault="00A16E70" w:rsidP="00A16E70">
      <w:pPr>
        <w:rPr>
          <w:lang w:eastAsia="en-AU"/>
        </w:rPr>
      </w:pPr>
      <w:bookmarkStart w:id="189" w:name="_Toc247691527"/>
      <w:r w:rsidRPr="00A16E70">
        <w:rPr>
          <w:lang w:eastAsia="en-AU"/>
        </w:rPr>
        <w:t xml:space="preserve">The ASA states: </w:t>
      </w:r>
      <w:r w:rsidRPr="00A16E70">
        <w:rPr>
          <w:i/>
          <w:lang w:eastAsia="en-AU"/>
        </w:rPr>
        <w:t>“As outlined in the EU-RMP, due to the nature of the product, including the predominantly low systemic exposure, rapid clearance and absence of any important safety issues in the targeted population, retapamulin does not require a specific risk minimisation plan.”</w:t>
      </w:r>
      <w:r w:rsidR="00A145A5">
        <w:rPr>
          <w:lang w:eastAsia="en-AU"/>
        </w:rPr>
        <w:t xml:space="preserve"> </w:t>
      </w:r>
      <w:r w:rsidRPr="00A16E70">
        <w:rPr>
          <w:lang w:eastAsia="en-AU"/>
        </w:rPr>
        <w:t>Therefore the sponsor considers that no additional risk minimisation activities are needed.</w:t>
      </w:r>
    </w:p>
    <w:p w:rsidR="008E7846" w:rsidRDefault="008E7846" w:rsidP="008E7846">
      <w:pPr>
        <w:pStyle w:val="Heading4"/>
        <w:rPr>
          <w:lang w:eastAsia="en-AU"/>
        </w:rPr>
      </w:pPr>
      <w:r>
        <w:rPr>
          <w:lang w:eastAsia="en-AU"/>
        </w:rPr>
        <w:t xml:space="preserve">Summary of </w:t>
      </w:r>
      <w:r w:rsidR="00824D91">
        <w:rPr>
          <w:lang w:eastAsia="en-AU"/>
        </w:rPr>
        <w:t xml:space="preserve">first round evaluation </w:t>
      </w:r>
      <w:r w:rsidR="003A7F6C">
        <w:rPr>
          <w:lang w:eastAsia="en-AU"/>
        </w:rPr>
        <w:t>r</w:t>
      </w:r>
      <w:r>
        <w:rPr>
          <w:lang w:eastAsia="en-AU"/>
        </w:rPr>
        <w:t>ecommendations</w:t>
      </w:r>
      <w:r w:rsidR="00824D91">
        <w:rPr>
          <w:lang w:eastAsia="en-AU"/>
        </w:rPr>
        <w:t xml:space="preserve"> to the sponsor</w:t>
      </w:r>
    </w:p>
    <w:p w:rsidR="00A16E70" w:rsidRPr="00A16E70" w:rsidRDefault="00A16E70" w:rsidP="00A16E70">
      <w:pPr>
        <w:rPr>
          <w:lang w:eastAsia="en-AU"/>
        </w:rPr>
      </w:pPr>
      <w:r w:rsidRPr="00A16E70">
        <w:rPr>
          <w:lang w:eastAsia="en-AU"/>
        </w:rPr>
        <w:t xml:space="preserve">The OPR provides these recommendations </w:t>
      </w:r>
      <w:r w:rsidR="006D17E9">
        <w:rPr>
          <w:lang w:eastAsia="en-AU"/>
        </w:rPr>
        <w:t xml:space="preserve">to the sponsor </w:t>
      </w:r>
      <w:r w:rsidRPr="00A16E70">
        <w:rPr>
          <w:lang w:eastAsia="en-AU"/>
        </w:rPr>
        <w:t xml:space="preserve">in the context that the submitted RMP is supportive to the application; the implementation of a RMP satisfactory to the TGA is imposed as a condition of registration; the submitted EU-RMP is applicable without modification in Australia unless so qualified; and the draft </w:t>
      </w:r>
      <w:r w:rsidR="00824D91">
        <w:rPr>
          <w:lang w:eastAsia="en-AU"/>
        </w:rPr>
        <w:t xml:space="preserve">PI </w:t>
      </w:r>
      <w:r w:rsidRPr="00A16E70">
        <w:rPr>
          <w:lang w:eastAsia="en-AU"/>
        </w:rPr>
        <w:t xml:space="preserve">and </w:t>
      </w:r>
      <w:r w:rsidR="00824D91">
        <w:rPr>
          <w:lang w:eastAsia="en-AU"/>
        </w:rPr>
        <w:t xml:space="preserve">CMI </w:t>
      </w:r>
      <w:r w:rsidRPr="00A16E70">
        <w:rPr>
          <w:lang w:eastAsia="en-AU"/>
        </w:rPr>
        <w:t xml:space="preserve">documents </w:t>
      </w:r>
      <w:r w:rsidR="00824D91">
        <w:rPr>
          <w:lang w:eastAsia="en-AU"/>
        </w:rPr>
        <w:t xml:space="preserve">are not </w:t>
      </w:r>
      <w:r w:rsidRPr="00A16E70">
        <w:rPr>
          <w:lang w:eastAsia="en-AU"/>
        </w:rPr>
        <w:t>revised until the Delegates Overview has been received:</w:t>
      </w:r>
    </w:p>
    <w:p w:rsidR="00A16E70" w:rsidRPr="00A16E70" w:rsidRDefault="00A16E70" w:rsidP="00822CED">
      <w:pPr>
        <w:pStyle w:val="Numberbullet0"/>
        <w:rPr>
          <w:lang w:eastAsia="en-AU"/>
        </w:rPr>
      </w:pPr>
      <w:r w:rsidRPr="00A16E70">
        <w:rPr>
          <w:lang w:eastAsia="en-AU"/>
        </w:rPr>
        <w:t xml:space="preserve">Safety considerations may be raised by the nonclinical and clinical evaluators through the consolidated </w:t>
      </w:r>
      <w:r w:rsidR="006D17E9">
        <w:rPr>
          <w:lang w:eastAsia="en-AU"/>
        </w:rPr>
        <w:t xml:space="preserve">request for information </w:t>
      </w:r>
      <w:r w:rsidRPr="00A16E70">
        <w:rPr>
          <w:lang w:eastAsia="en-AU"/>
        </w:rPr>
        <w:t>and/or the Nonclinical and Clinical Ev</w:t>
      </w:r>
      <w:r w:rsidR="006D17E9">
        <w:rPr>
          <w:lang w:eastAsia="en-AU"/>
        </w:rPr>
        <w:t xml:space="preserve">aluation Reports respectively. </w:t>
      </w:r>
      <w:r w:rsidRPr="00A16E70">
        <w:rPr>
          <w:lang w:eastAsia="en-AU"/>
        </w:rPr>
        <w:t>It is important to ensure that the information provided in response to these include</w:t>
      </w:r>
      <w:r w:rsidR="00DC0EF3">
        <w:rPr>
          <w:lang w:eastAsia="en-AU"/>
        </w:rPr>
        <w:t>s</w:t>
      </w:r>
      <w:r w:rsidRPr="00A16E70">
        <w:rPr>
          <w:lang w:eastAsia="en-AU"/>
        </w:rPr>
        <w:t xml:space="preserve"> consideration of the relevance for the </w:t>
      </w:r>
      <w:r w:rsidR="006D17E9">
        <w:rPr>
          <w:lang w:eastAsia="en-AU"/>
        </w:rPr>
        <w:t>RMP</w:t>
      </w:r>
      <w:r w:rsidRPr="00A16E70">
        <w:rPr>
          <w:lang w:eastAsia="en-AU"/>
        </w:rPr>
        <w:t xml:space="preserve">, and any specific information needed to </w:t>
      </w:r>
      <w:r w:rsidR="006D17E9">
        <w:rPr>
          <w:lang w:eastAsia="en-AU"/>
        </w:rPr>
        <w:t xml:space="preserve">address this issue in the RMP. </w:t>
      </w:r>
      <w:r w:rsidRPr="00A16E70">
        <w:rPr>
          <w:bCs/>
          <w:lang w:eastAsia="en-AU"/>
        </w:rPr>
        <w:t xml:space="preserve">For any safety considerations so raised, </w:t>
      </w:r>
      <w:r w:rsidRPr="00A16E70">
        <w:rPr>
          <w:lang w:eastAsia="en-AU"/>
        </w:rPr>
        <w:t>the sponsor should</w:t>
      </w:r>
      <w:r w:rsidRPr="00A16E70">
        <w:rPr>
          <w:bCs/>
          <w:lang w:eastAsia="en-AU"/>
        </w:rPr>
        <w:t xml:space="preserve"> provide information that is relevant and necessary to address the issue in the RMP.</w:t>
      </w:r>
    </w:p>
    <w:p w:rsidR="00A16E70" w:rsidRPr="00A16E70" w:rsidRDefault="00A16E70" w:rsidP="00822CED">
      <w:pPr>
        <w:pStyle w:val="Numberbullet0"/>
        <w:rPr>
          <w:lang w:eastAsia="en-AU"/>
        </w:rPr>
      </w:pPr>
      <w:r w:rsidRPr="00A16E70">
        <w:rPr>
          <w:lang w:eastAsia="en-AU"/>
        </w:rPr>
        <w:t>Notwithstanding the evaluation of the non-clinical and clinical aspects of the SS, it is recommended that for completeness the sponsor include the important missing information: ‘Use in pregnant and lactating women’ as an ongoing safety concern</w:t>
      </w:r>
      <w:r w:rsidRPr="00A16E70">
        <w:rPr>
          <w:iCs/>
          <w:lang w:eastAsia="en-AU"/>
        </w:rPr>
        <w:t xml:space="preserve">. </w:t>
      </w:r>
      <w:r w:rsidRPr="00A16E70">
        <w:rPr>
          <w:lang w:eastAsia="en-AU"/>
        </w:rPr>
        <w:t>Consequently the RMP and/or the ASA will need to be amended accordingly when these documents are next updated.</w:t>
      </w:r>
    </w:p>
    <w:p w:rsidR="00A16E70" w:rsidRPr="00A16E70" w:rsidRDefault="00A16E70" w:rsidP="00822CED">
      <w:pPr>
        <w:pStyle w:val="Numberbullet0"/>
        <w:rPr>
          <w:lang w:eastAsia="en-AU"/>
        </w:rPr>
      </w:pPr>
      <w:r w:rsidRPr="00A16E70">
        <w:rPr>
          <w:lang w:eastAsia="en-AU"/>
        </w:rPr>
        <w:t xml:space="preserve">Details of the qualified person responsible for pharmacovigilance within the sponsor company, who has been nominated as the person responsible for the implementation </w:t>
      </w:r>
      <w:r w:rsidRPr="00A16E70">
        <w:rPr>
          <w:lang w:eastAsia="en-AU"/>
        </w:rPr>
        <w:lastRenderedPageBreak/>
        <w:t>of the RMP activities within Australia, should be included in the ASA when this document is next updated.</w:t>
      </w:r>
    </w:p>
    <w:p w:rsidR="00A16E70" w:rsidRPr="00824D91" w:rsidRDefault="00A16E70" w:rsidP="00822CED">
      <w:pPr>
        <w:pStyle w:val="Numberbullet0"/>
        <w:rPr>
          <w:lang w:eastAsia="en-AU"/>
        </w:rPr>
      </w:pPr>
      <w:r w:rsidRPr="00A16E70">
        <w:rPr>
          <w:lang w:eastAsia="en-AU"/>
        </w:rPr>
        <w:t>The ongoing studies are not considered to be part of the planned clinical studies in the pharmacovigil</w:t>
      </w:r>
      <w:r w:rsidR="006D17E9">
        <w:rPr>
          <w:lang w:eastAsia="en-AU"/>
        </w:rPr>
        <w:t xml:space="preserve">ance plan. </w:t>
      </w:r>
      <w:r w:rsidRPr="00A16E70">
        <w:rPr>
          <w:lang w:eastAsia="en-AU"/>
        </w:rPr>
        <w:t>Therefore the related study pro</w:t>
      </w:r>
      <w:r w:rsidR="006D17E9">
        <w:rPr>
          <w:lang w:eastAsia="en-AU"/>
        </w:rPr>
        <w:t xml:space="preserve">tocols have not been reviewed. </w:t>
      </w:r>
      <w:r w:rsidRPr="00A16E70">
        <w:rPr>
          <w:lang w:eastAsia="en-AU"/>
        </w:rPr>
        <w:t xml:space="preserve">Nevertheless an update on the progress/results/analysis of these studies, as </w:t>
      </w:r>
      <w:r w:rsidRPr="00824D91">
        <w:rPr>
          <w:lang w:eastAsia="en-AU"/>
        </w:rPr>
        <w:t xml:space="preserve">outlined in the RMP, will be expected in future </w:t>
      </w:r>
      <w:r w:rsidR="00DC0EF3">
        <w:rPr>
          <w:lang w:eastAsia="en-AU"/>
        </w:rPr>
        <w:t>periodic safety update reports (</w:t>
      </w:r>
      <w:r w:rsidRPr="00824D91">
        <w:rPr>
          <w:lang w:eastAsia="en-AU"/>
        </w:rPr>
        <w:t>PSURs</w:t>
      </w:r>
      <w:r w:rsidR="00DC0EF3">
        <w:rPr>
          <w:lang w:eastAsia="en-AU"/>
        </w:rPr>
        <w:t>)</w:t>
      </w:r>
      <w:r w:rsidR="00020DAB">
        <w:rPr>
          <w:lang w:eastAsia="en-AU"/>
        </w:rPr>
        <w:t>.</w:t>
      </w:r>
    </w:p>
    <w:p w:rsidR="00A16E70" w:rsidRPr="00824D91" w:rsidRDefault="00A16E70" w:rsidP="00822CED">
      <w:pPr>
        <w:pStyle w:val="Numberbullet0"/>
        <w:rPr>
          <w:lang w:eastAsia="en-AU"/>
        </w:rPr>
      </w:pPr>
      <w:r w:rsidRPr="00824D91">
        <w:rPr>
          <w:lang w:eastAsia="en-AU"/>
        </w:rPr>
        <w:t xml:space="preserve">Notwithstanding the evaluation of the supporting document: </w:t>
      </w:r>
      <w:r w:rsidRPr="00822CED">
        <w:rPr>
          <w:i/>
          <w:iCs/>
          <w:lang w:eastAsia="en-AU"/>
        </w:rPr>
        <w:t xml:space="preserve">‘Risk Assessment of Microbial Resistance </w:t>
      </w:r>
      <w:r w:rsidR="00DC0EF3">
        <w:rPr>
          <w:i/>
          <w:iCs/>
          <w:lang w:eastAsia="en-AU"/>
        </w:rPr>
        <w:t>[</w:t>
      </w:r>
      <w:r w:rsidRPr="005F11BC">
        <w:rPr>
          <w:lang w:eastAsia="en-AU"/>
        </w:rPr>
        <w:t>for</w:t>
      </w:r>
      <w:r w:rsidR="00DC0EF3">
        <w:rPr>
          <w:lang w:eastAsia="en-AU"/>
        </w:rPr>
        <w:t>]</w:t>
      </w:r>
      <w:r w:rsidRPr="00822CED">
        <w:rPr>
          <w:i/>
          <w:iCs/>
          <w:lang w:eastAsia="en-AU"/>
        </w:rPr>
        <w:t xml:space="preserve"> A</w:t>
      </w:r>
      <w:r w:rsidR="00822CED" w:rsidRPr="00822CED">
        <w:rPr>
          <w:i/>
          <w:iCs/>
          <w:lang w:eastAsia="en-AU"/>
        </w:rPr>
        <w:t xml:space="preserve">ltargo </w:t>
      </w:r>
      <w:r w:rsidRPr="00822CED">
        <w:rPr>
          <w:i/>
          <w:iCs/>
          <w:lang w:eastAsia="en-AU"/>
        </w:rPr>
        <w:t>(retapamulin)’</w:t>
      </w:r>
      <w:r w:rsidRPr="00824D91">
        <w:rPr>
          <w:lang w:eastAsia="en-AU"/>
        </w:rPr>
        <w:t xml:space="preserve"> by the OMA and the ASA statement that no Australia specific surveillance will be conducted, expert advice as to whether the EU surveillance study is applicable to the Aust</w:t>
      </w:r>
      <w:r w:rsidR="006D17E9" w:rsidRPr="00824D91">
        <w:rPr>
          <w:lang w:eastAsia="en-AU"/>
        </w:rPr>
        <w:t xml:space="preserve">ralian context </w:t>
      </w:r>
      <w:r w:rsidR="00020DAB">
        <w:rPr>
          <w:lang w:eastAsia="en-AU"/>
        </w:rPr>
        <w:t>will be sought.</w:t>
      </w:r>
    </w:p>
    <w:p w:rsidR="00A16E70" w:rsidRPr="00A16E70" w:rsidRDefault="006D17E9" w:rsidP="00822CED">
      <w:pPr>
        <w:pStyle w:val="Numberbullet0"/>
        <w:rPr>
          <w:lang w:eastAsia="en-AU"/>
        </w:rPr>
      </w:pPr>
      <w:r>
        <w:rPr>
          <w:lang w:eastAsia="en-AU"/>
        </w:rPr>
        <w:t xml:space="preserve">The </w:t>
      </w:r>
      <w:r w:rsidR="00DC0EF3">
        <w:rPr>
          <w:lang w:eastAsia="en-AU"/>
        </w:rPr>
        <w:t xml:space="preserve">section </w:t>
      </w:r>
      <w:r w:rsidR="00A16E70" w:rsidRPr="00A16E70">
        <w:rPr>
          <w:lang w:eastAsia="en-AU"/>
        </w:rPr>
        <w:t>‘Summary of the EU Risk Management Plan’ of the RMP should be amended to include all the specified ongoing safety concerns, including the important missing information: ‘Use in pregnant and lactating women’ when this document is next updated.</w:t>
      </w:r>
    </w:p>
    <w:p w:rsidR="00A16E70" w:rsidRPr="00A16E70" w:rsidRDefault="006D17E9" w:rsidP="00822CED">
      <w:pPr>
        <w:pStyle w:val="Numberbullet0"/>
        <w:rPr>
          <w:lang w:eastAsia="en-AU"/>
        </w:rPr>
      </w:pPr>
      <w:r>
        <w:rPr>
          <w:lang w:eastAsia="en-AU"/>
        </w:rPr>
        <w:t xml:space="preserve">The </w:t>
      </w:r>
      <w:r w:rsidR="00A16E70" w:rsidRPr="00A16E70">
        <w:rPr>
          <w:lang w:eastAsia="en-AU"/>
        </w:rPr>
        <w:t>‘Important identified and Potential Risks’ of the RMP refers to pharmacovigilance activities rather than</w:t>
      </w:r>
      <w:r>
        <w:rPr>
          <w:lang w:eastAsia="en-AU"/>
        </w:rPr>
        <w:t xml:space="preserve"> risk minimisation activities. </w:t>
      </w:r>
      <w:r w:rsidR="00A16E70" w:rsidRPr="00A16E70">
        <w:rPr>
          <w:lang w:eastAsia="en-AU"/>
        </w:rPr>
        <w:t xml:space="preserve">Nevertheless the sponsor’s conclusion that no additional risk minimisation activities are needed is consistent with </w:t>
      </w:r>
      <w:r w:rsidR="00DC0EF3">
        <w:rPr>
          <w:lang w:eastAsia="en-AU"/>
        </w:rPr>
        <w:t xml:space="preserve">the </w:t>
      </w:r>
      <w:r w:rsidR="00A16E70" w:rsidRPr="00A16E70">
        <w:rPr>
          <w:lang w:eastAsia="en-AU"/>
        </w:rPr>
        <w:t>assessment</w:t>
      </w:r>
      <w:r w:rsidR="00DC0EF3">
        <w:rPr>
          <w:lang w:eastAsia="en-AU"/>
        </w:rPr>
        <w:t>s</w:t>
      </w:r>
      <w:r w:rsidR="00A16E70" w:rsidRPr="00A16E70">
        <w:rPr>
          <w:lang w:eastAsia="en-AU"/>
        </w:rPr>
        <w:t xml:space="preserve"> of the US FDA and the </w:t>
      </w:r>
      <w:r w:rsidR="00DC0EF3">
        <w:rPr>
          <w:lang w:eastAsia="en-AU"/>
        </w:rPr>
        <w:t>Committee for Medicinal Products for Human use (</w:t>
      </w:r>
      <w:r w:rsidR="00A16E70" w:rsidRPr="00A16E70">
        <w:rPr>
          <w:lang w:eastAsia="en-AU"/>
        </w:rPr>
        <w:t>CHMP</w:t>
      </w:r>
      <w:r w:rsidR="00DC0EF3">
        <w:rPr>
          <w:lang w:eastAsia="en-AU"/>
        </w:rPr>
        <w:t>)</w:t>
      </w:r>
      <w:r w:rsidR="00A16E70" w:rsidRPr="00A16E70">
        <w:rPr>
          <w:lang w:eastAsia="en-AU"/>
        </w:rPr>
        <w:t xml:space="preserve"> and it is agreed the specified ongoing safety concerns would not appear to warrant additional</w:t>
      </w:r>
      <w:r w:rsidR="00020DAB">
        <w:rPr>
          <w:lang w:eastAsia="en-AU"/>
        </w:rPr>
        <w:t xml:space="preserve"> risk minimisation activities.</w:t>
      </w:r>
    </w:p>
    <w:p w:rsidR="00A16E70" w:rsidRDefault="00A16E70" w:rsidP="00822CED">
      <w:pPr>
        <w:pStyle w:val="Numberbullet0"/>
        <w:rPr>
          <w:lang w:eastAsia="en-AU"/>
        </w:rPr>
      </w:pPr>
      <w:r w:rsidRPr="00A16E70">
        <w:rPr>
          <w:lang w:eastAsia="en-AU"/>
        </w:rPr>
        <w:t xml:space="preserve">The sponsor should provide at least a short description of </w:t>
      </w:r>
      <w:r w:rsidR="00824D91">
        <w:rPr>
          <w:lang w:eastAsia="en-AU"/>
        </w:rPr>
        <w:t xml:space="preserve">information to be included </w:t>
      </w:r>
      <w:r w:rsidRPr="00A16E70">
        <w:rPr>
          <w:lang w:eastAsia="en-AU"/>
        </w:rPr>
        <w:t xml:space="preserve">in the </w:t>
      </w:r>
      <w:r w:rsidR="00824D91">
        <w:rPr>
          <w:lang w:eastAsia="en-AU"/>
        </w:rPr>
        <w:t>EU Summary of Product Characteristics (</w:t>
      </w:r>
      <w:proofErr w:type="spellStart"/>
      <w:r w:rsidRPr="00A16E70">
        <w:rPr>
          <w:lang w:eastAsia="en-AU"/>
        </w:rPr>
        <w:t>SmPC</w:t>
      </w:r>
      <w:proofErr w:type="spellEnd"/>
      <w:r w:rsidR="00824D91">
        <w:rPr>
          <w:lang w:eastAsia="en-AU"/>
        </w:rPr>
        <w:t>)</w:t>
      </w:r>
      <w:r w:rsidRPr="00A16E70">
        <w:rPr>
          <w:lang w:eastAsia="en-AU"/>
        </w:rPr>
        <w:t xml:space="preserve"> and the Australian PI to minimise risk for all the ongoing safety concerns, including justification for any difference</w:t>
      </w:r>
      <w:r w:rsidR="00824D91">
        <w:rPr>
          <w:lang w:eastAsia="en-AU"/>
        </w:rPr>
        <w:t xml:space="preserve">s between these two documents. </w:t>
      </w:r>
      <w:r w:rsidRPr="00A16E70">
        <w:rPr>
          <w:lang w:eastAsia="en-AU"/>
        </w:rPr>
        <w:t>This information should be included in the ASA and no assessment of the proposed routine risk minimisation can be made until such information is provided.</w:t>
      </w:r>
    </w:p>
    <w:p w:rsidR="00A35D2F" w:rsidRDefault="00020DAB" w:rsidP="00A35D2F">
      <w:pPr>
        <w:pStyle w:val="Heading4"/>
        <w:rPr>
          <w:lang w:eastAsia="en-AU"/>
        </w:rPr>
      </w:pPr>
      <w:r>
        <w:rPr>
          <w:lang w:eastAsia="en-AU"/>
        </w:rPr>
        <w:t>Second round evaluation</w:t>
      </w:r>
    </w:p>
    <w:p w:rsidR="00DC0EF3" w:rsidRPr="00822CED" w:rsidRDefault="00DC0EF3" w:rsidP="00020DAB">
      <w:pPr>
        <w:pStyle w:val="Heading5"/>
        <w:rPr>
          <w:lang w:eastAsia="en-AU"/>
        </w:rPr>
      </w:pPr>
      <w:r w:rsidRPr="00822CED">
        <w:rPr>
          <w:lang w:eastAsia="en-AU"/>
        </w:rPr>
        <w:t>Recommendation</w:t>
      </w:r>
      <w:r>
        <w:rPr>
          <w:lang w:eastAsia="en-AU"/>
        </w:rPr>
        <w:t>s 1 and</w:t>
      </w:r>
      <w:r w:rsidRPr="00822CED">
        <w:rPr>
          <w:lang w:eastAsia="en-AU"/>
        </w:rPr>
        <w:t xml:space="preserve"> 3</w:t>
      </w:r>
    </w:p>
    <w:p w:rsidR="00DC0EF3" w:rsidRPr="00822CED" w:rsidRDefault="00DC0EF3" w:rsidP="00DC0EF3">
      <w:pPr>
        <w:rPr>
          <w:lang w:eastAsia="en-AU"/>
        </w:rPr>
      </w:pPr>
      <w:r>
        <w:rPr>
          <w:lang w:eastAsia="en-AU"/>
        </w:rPr>
        <w:t>Acceptable responses were provided.</w:t>
      </w:r>
    </w:p>
    <w:p w:rsidR="00822CED" w:rsidRPr="00822CED" w:rsidRDefault="00822CED" w:rsidP="00020DAB">
      <w:pPr>
        <w:pStyle w:val="Heading5"/>
        <w:rPr>
          <w:lang w:eastAsia="en-AU"/>
        </w:rPr>
      </w:pPr>
      <w:r w:rsidRPr="00822CED">
        <w:rPr>
          <w:lang w:eastAsia="en-AU"/>
        </w:rPr>
        <w:t>Recommendation</w:t>
      </w:r>
      <w:r>
        <w:rPr>
          <w:lang w:eastAsia="en-AU"/>
        </w:rPr>
        <w:t>s</w:t>
      </w:r>
      <w:r w:rsidRPr="00822CED">
        <w:rPr>
          <w:lang w:eastAsia="en-AU"/>
        </w:rPr>
        <w:t xml:space="preserve"> 2</w:t>
      </w:r>
      <w:r>
        <w:rPr>
          <w:lang w:eastAsia="en-AU"/>
        </w:rPr>
        <w:t xml:space="preserve"> and</w:t>
      </w:r>
      <w:r w:rsidRPr="00822CED">
        <w:rPr>
          <w:lang w:eastAsia="en-AU"/>
        </w:rPr>
        <w:t xml:space="preserve"> 6</w:t>
      </w:r>
    </w:p>
    <w:p w:rsidR="00822CED" w:rsidRPr="00822CED" w:rsidRDefault="00822CED" w:rsidP="00822CED">
      <w:pPr>
        <w:rPr>
          <w:iCs/>
          <w:lang w:eastAsia="en-AU"/>
        </w:rPr>
      </w:pPr>
      <w:r w:rsidRPr="00822CED">
        <w:rPr>
          <w:iCs/>
          <w:lang w:eastAsia="en-AU"/>
        </w:rPr>
        <w:t xml:space="preserve">The sponsor </w:t>
      </w:r>
      <w:r w:rsidRPr="00822CED">
        <w:rPr>
          <w:lang w:eastAsia="en-AU"/>
        </w:rPr>
        <w:t>provided an updated ASA which includes an amended table of ongoing safety concerns with details of the routine pharmacovigilance activities and systems in place relating to the safety concern of use in</w:t>
      </w:r>
      <w:r>
        <w:rPr>
          <w:lang w:eastAsia="en-AU"/>
        </w:rPr>
        <w:t xml:space="preserve"> pregnant and lactating women. </w:t>
      </w:r>
      <w:r w:rsidRPr="00822CED">
        <w:rPr>
          <w:lang w:eastAsia="en-AU"/>
        </w:rPr>
        <w:t xml:space="preserve">The sponsor also provides an assurance that routine pharmacovigilance activities include the collection and follow up of reports in pregnant and lactating women; any </w:t>
      </w:r>
      <w:r w:rsidR="00DC0EF3">
        <w:rPr>
          <w:lang w:eastAsia="en-AU"/>
        </w:rPr>
        <w:t xml:space="preserve">SAEs </w:t>
      </w:r>
      <w:r w:rsidRPr="00822CED">
        <w:rPr>
          <w:lang w:eastAsia="en-AU"/>
        </w:rPr>
        <w:t>associated with a report in a pregnant or lactating woman would be communicated to the TGA; and such reports a</w:t>
      </w:r>
      <w:r>
        <w:rPr>
          <w:lang w:eastAsia="en-AU"/>
        </w:rPr>
        <w:t xml:space="preserve">re also included in the PSURs. </w:t>
      </w:r>
      <w:r w:rsidRPr="00822CED">
        <w:rPr>
          <w:lang w:eastAsia="en-AU"/>
        </w:rPr>
        <w:t xml:space="preserve">The sponsor does not propose to </w:t>
      </w:r>
      <w:r>
        <w:rPr>
          <w:lang w:eastAsia="en-AU"/>
        </w:rPr>
        <w:t xml:space="preserve">amend the EU-RMP in this case. </w:t>
      </w:r>
      <w:r w:rsidRPr="00822CED">
        <w:rPr>
          <w:bCs/>
          <w:lang w:eastAsia="en-AU"/>
        </w:rPr>
        <w:t>This is acceptable.</w:t>
      </w:r>
    </w:p>
    <w:p w:rsidR="00822CED" w:rsidRPr="00822CED" w:rsidRDefault="00822CED" w:rsidP="00020DAB">
      <w:pPr>
        <w:pStyle w:val="Heading5"/>
        <w:rPr>
          <w:lang w:eastAsia="en-AU"/>
        </w:rPr>
      </w:pPr>
      <w:r w:rsidRPr="00822CED">
        <w:rPr>
          <w:lang w:eastAsia="en-AU"/>
        </w:rPr>
        <w:t>Recommendation 4</w:t>
      </w:r>
    </w:p>
    <w:p w:rsidR="00822CED" w:rsidRPr="00822CED" w:rsidRDefault="00822CED" w:rsidP="00822CED">
      <w:pPr>
        <w:rPr>
          <w:lang w:eastAsia="en-AU"/>
        </w:rPr>
      </w:pPr>
      <w:r w:rsidRPr="00822CED">
        <w:rPr>
          <w:lang w:eastAsia="en-AU"/>
        </w:rPr>
        <w:t>The sponsor has provided an assurance that TGA will be updated on the progress of the on</w:t>
      </w:r>
      <w:r>
        <w:rPr>
          <w:lang w:eastAsia="en-AU"/>
        </w:rPr>
        <w:t xml:space="preserve">going studies in future PSURs. </w:t>
      </w:r>
      <w:r w:rsidRPr="00822CED">
        <w:rPr>
          <w:bCs/>
          <w:lang w:eastAsia="en-AU"/>
        </w:rPr>
        <w:t>This is acceptable.</w:t>
      </w:r>
    </w:p>
    <w:p w:rsidR="00822CED" w:rsidRPr="00822CED" w:rsidRDefault="00822CED" w:rsidP="00020DAB">
      <w:pPr>
        <w:pStyle w:val="Heading5"/>
        <w:rPr>
          <w:lang w:eastAsia="en-AU"/>
        </w:rPr>
      </w:pPr>
      <w:r w:rsidRPr="00822CED">
        <w:rPr>
          <w:lang w:eastAsia="en-AU"/>
        </w:rPr>
        <w:t>Recommendation 5</w:t>
      </w:r>
    </w:p>
    <w:p w:rsidR="00822CED" w:rsidRPr="00822CED" w:rsidRDefault="00822CED" w:rsidP="00822CED">
      <w:pPr>
        <w:rPr>
          <w:lang w:eastAsia="en-AU"/>
        </w:rPr>
      </w:pPr>
      <w:r w:rsidRPr="00822CED">
        <w:rPr>
          <w:lang w:eastAsia="en-AU"/>
        </w:rPr>
        <w:t xml:space="preserve">The discussion concerning the need for ongoing Australian specific surveillance of resistance development is detailed </w:t>
      </w:r>
      <w:r>
        <w:rPr>
          <w:lang w:eastAsia="en-AU"/>
        </w:rPr>
        <w:t xml:space="preserve">below </w:t>
      </w:r>
      <w:r w:rsidRPr="00822CED">
        <w:rPr>
          <w:lang w:eastAsia="en-AU"/>
        </w:rPr>
        <w:t>and remains an outstanding recommendation.</w:t>
      </w:r>
    </w:p>
    <w:p w:rsidR="00822CED" w:rsidRPr="00822CED" w:rsidRDefault="00822CED" w:rsidP="00020DAB">
      <w:pPr>
        <w:pStyle w:val="Heading5"/>
        <w:rPr>
          <w:lang w:eastAsia="en-AU"/>
        </w:rPr>
      </w:pPr>
      <w:r w:rsidRPr="00822CED">
        <w:rPr>
          <w:lang w:eastAsia="en-AU"/>
        </w:rPr>
        <w:lastRenderedPageBreak/>
        <w:t>Recommendation 7</w:t>
      </w:r>
    </w:p>
    <w:p w:rsidR="00822CED" w:rsidRPr="00822CED" w:rsidRDefault="00822CED" w:rsidP="00822CED">
      <w:pPr>
        <w:rPr>
          <w:lang w:eastAsia="en-AU"/>
        </w:rPr>
      </w:pPr>
      <w:r w:rsidRPr="00822CED">
        <w:rPr>
          <w:lang w:eastAsia="en-AU"/>
        </w:rPr>
        <w:t>The sponsor agrees with the TGA that the specified ongoing safety concerns would not appear to warrant additiona</w:t>
      </w:r>
      <w:r w:rsidR="00020DAB">
        <w:rPr>
          <w:lang w:eastAsia="en-AU"/>
        </w:rPr>
        <w:t>l risk minimisation activities.</w:t>
      </w:r>
    </w:p>
    <w:p w:rsidR="00822CED" w:rsidRPr="00822CED" w:rsidRDefault="00822CED" w:rsidP="00020DAB">
      <w:pPr>
        <w:pStyle w:val="Heading5"/>
        <w:rPr>
          <w:lang w:eastAsia="en-AU"/>
        </w:rPr>
      </w:pPr>
      <w:r w:rsidRPr="00822CED">
        <w:rPr>
          <w:lang w:eastAsia="en-AU"/>
        </w:rPr>
        <w:t>Recommendation 8</w:t>
      </w:r>
    </w:p>
    <w:p w:rsidR="00822CED" w:rsidRPr="00822CED" w:rsidRDefault="00822CED" w:rsidP="00822CED">
      <w:pPr>
        <w:rPr>
          <w:lang w:eastAsia="en-AU"/>
        </w:rPr>
      </w:pPr>
      <w:r w:rsidRPr="00822CED">
        <w:rPr>
          <w:lang w:eastAsia="en-AU"/>
        </w:rPr>
        <w:t xml:space="preserve">The sponsor has provided an updated ASA in which the proposed wording for the Australian PI is compared to the </w:t>
      </w:r>
      <w:proofErr w:type="spellStart"/>
      <w:r w:rsidRPr="00822CED">
        <w:rPr>
          <w:lang w:eastAsia="en-AU"/>
        </w:rPr>
        <w:t>SmPC</w:t>
      </w:r>
      <w:proofErr w:type="spellEnd"/>
      <w:r w:rsidRPr="00822CED">
        <w:rPr>
          <w:lang w:eastAsia="en-AU"/>
        </w:rPr>
        <w:t xml:space="preserve"> for ongoing safety concerns. The sponsor claims that although the proposed text is not identical, the meanings </w:t>
      </w:r>
      <w:r w:rsidR="009E2316">
        <w:rPr>
          <w:lang w:eastAsia="en-AU"/>
        </w:rPr>
        <w:t xml:space="preserve">are the same in each document. </w:t>
      </w:r>
      <w:r w:rsidRPr="00822CED">
        <w:rPr>
          <w:bCs/>
          <w:lang w:eastAsia="en-AU"/>
        </w:rPr>
        <w:t xml:space="preserve">This is acceptable. </w:t>
      </w:r>
    </w:p>
    <w:p w:rsidR="00822CED" w:rsidRPr="00822CED" w:rsidRDefault="00BC20CD" w:rsidP="00BC20CD">
      <w:pPr>
        <w:pStyle w:val="Heading4"/>
        <w:rPr>
          <w:lang w:eastAsia="en-AU"/>
        </w:rPr>
      </w:pPr>
      <w:r>
        <w:rPr>
          <w:lang w:eastAsia="en-AU"/>
        </w:rPr>
        <w:t>C</w:t>
      </w:r>
      <w:r w:rsidRPr="00BC20CD">
        <w:rPr>
          <w:lang w:eastAsia="en-AU"/>
        </w:rPr>
        <w:t>onclusions</w:t>
      </w:r>
      <w:r>
        <w:rPr>
          <w:lang w:eastAsia="en-AU"/>
        </w:rPr>
        <w:t xml:space="preserve"> and recommendation</w:t>
      </w:r>
    </w:p>
    <w:p w:rsidR="00AD42FB" w:rsidRDefault="00AD42FB" w:rsidP="00A35D2F">
      <w:r>
        <w:t xml:space="preserve">In summary the sponsor adequately addressed all OPR recommendations, except </w:t>
      </w:r>
      <w:r w:rsidR="006D17E9">
        <w:t>as follows</w:t>
      </w:r>
      <w:r>
        <w:t>:</w:t>
      </w:r>
    </w:p>
    <w:p w:rsidR="00AD42FB" w:rsidRDefault="00AD42FB" w:rsidP="006D17E9">
      <w:pPr>
        <w:pStyle w:val="ListBullet"/>
      </w:pPr>
      <w:r>
        <w:t xml:space="preserve">It was noted that the sponsor had provided the supporting document: </w:t>
      </w:r>
      <w:r w:rsidRPr="00BC20CD">
        <w:rPr>
          <w:i/>
          <w:iCs/>
        </w:rPr>
        <w:t xml:space="preserve">‘Risk Assessment of Microbial Resistance </w:t>
      </w:r>
      <w:r w:rsidR="003B10E7" w:rsidRPr="003B10E7">
        <w:t>[</w:t>
      </w:r>
      <w:r w:rsidRPr="003B10E7">
        <w:t>for</w:t>
      </w:r>
      <w:r w:rsidR="003B10E7">
        <w:t>]</w:t>
      </w:r>
      <w:r w:rsidRPr="00BC20CD">
        <w:rPr>
          <w:i/>
          <w:iCs/>
        </w:rPr>
        <w:t xml:space="preserve"> A</w:t>
      </w:r>
      <w:r w:rsidR="00BC20CD">
        <w:rPr>
          <w:i/>
          <w:iCs/>
        </w:rPr>
        <w:t xml:space="preserve">ltargo </w:t>
      </w:r>
      <w:r w:rsidRPr="00BC20CD">
        <w:rPr>
          <w:i/>
          <w:iCs/>
        </w:rPr>
        <w:t>(retapamulin)’</w:t>
      </w:r>
      <w:r>
        <w:t xml:space="preserve"> i</w:t>
      </w:r>
      <w:r w:rsidR="006D17E9">
        <w:t xml:space="preserve">n support of this application. </w:t>
      </w:r>
      <w:r>
        <w:t xml:space="preserve">In laboratory serial passage and spontaneous rate-of-mutation studies, and in the Phase III clinical studies, the sponsor claims the main skin pathogens </w:t>
      </w:r>
      <w:r w:rsidRPr="00AD42FB">
        <w:rPr>
          <w:i/>
        </w:rPr>
        <w:t>S. aureus</w:t>
      </w:r>
      <w:r>
        <w:t xml:space="preserve"> and </w:t>
      </w:r>
      <w:r w:rsidR="003B10E7">
        <w:rPr>
          <w:i/>
        </w:rPr>
        <w:t>S. p</w:t>
      </w:r>
      <w:r w:rsidRPr="00AD42FB">
        <w:rPr>
          <w:i/>
        </w:rPr>
        <w:t>yogenes</w:t>
      </w:r>
      <w:r>
        <w:t xml:space="preserve"> have demonstrated a low propensity for development of r</w:t>
      </w:r>
      <w:r w:rsidR="006D17E9">
        <w:t xml:space="preserve">esistance against retapamulin. </w:t>
      </w:r>
      <w:r>
        <w:t>This suggests that emergence of isolates with reduced susceptibility to retapamulin is likely to b</w:t>
      </w:r>
      <w:r w:rsidR="006D17E9">
        <w:t xml:space="preserve">e slow in actual clinical use. </w:t>
      </w:r>
      <w:r>
        <w:t>The sponsor concludes that no further action is required and the ASA states no Australia specific s</w:t>
      </w:r>
      <w:r w:rsidR="00020DAB">
        <w:t>urveillance will be conducted.</w:t>
      </w:r>
    </w:p>
    <w:p w:rsidR="00AD42FB" w:rsidRDefault="00AD42FB" w:rsidP="006D17E9">
      <w:pPr>
        <w:pStyle w:val="ListBullet"/>
        <w:numPr>
          <w:ilvl w:val="0"/>
          <w:numId w:val="0"/>
        </w:numPr>
        <w:ind w:left="360"/>
      </w:pPr>
      <w:r>
        <w:t>It is recommended to the Delegate that this matter be raised with the ACPM and that their expert opinion be considered as to whether ongoing Australian specific surveillance of resistance development is required if the medicine is approved for registration.</w:t>
      </w:r>
    </w:p>
    <w:p w:rsidR="00AD42FB" w:rsidRPr="006D17E9" w:rsidRDefault="006D17E9" w:rsidP="006D17E9">
      <w:r w:rsidRPr="006D17E9">
        <w:t>I</w:t>
      </w:r>
      <w:r w:rsidR="00AD42FB" w:rsidRPr="006D17E9">
        <w:t xml:space="preserve">f this application is approved without the need for ongoing Australian specific surveillance of resistance development the following specific conditions of </w:t>
      </w:r>
      <w:r w:rsidR="00020DAB">
        <w:t>registration should be applied:</w:t>
      </w:r>
    </w:p>
    <w:p w:rsidR="00AD42FB" w:rsidRPr="00AD42FB" w:rsidRDefault="00AD42FB" w:rsidP="006D17E9">
      <w:pPr>
        <w:pStyle w:val="ListBullet"/>
        <w:rPr>
          <w:lang w:eastAsia="en-AU"/>
        </w:rPr>
      </w:pPr>
      <w:r w:rsidRPr="00AD42FB">
        <w:rPr>
          <w:lang w:eastAsia="en-AU"/>
        </w:rPr>
        <w:t>The EU</w:t>
      </w:r>
      <w:r w:rsidR="003B10E7">
        <w:rPr>
          <w:lang w:eastAsia="en-AU"/>
        </w:rPr>
        <w:t>-RMP</w:t>
      </w:r>
      <w:r w:rsidRPr="00AD42FB">
        <w:rPr>
          <w:lang w:eastAsia="en-AU"/>
        </w:rPr>
        <w:t xml:space="preserve"> Version: 03 dated 4 April 2012 with ASA Version: 2.0 dated 18 January 2013, to be revised as specified in the sponsor’s correspondence dated 19 February 2013 with an amended nonclinical safety specification as agreed with the TGA, must be implemented.</w:t>
      </w:r>
    </w:p>
    <w:p w:rsidR="008E7846" w:rsidRPr="00792A32" w:rsidRDefault="008E7846" w:rsidP="008E7846">
      <w:pPr>
        <w:pStyle w:val="Heading2"/>
      </w:pPr>
      <w:bookmarkStart w:id="190" w:name="_Toc314842510"/>
      <w:bookmarkStart w:id="191" w:name="_Toc37192576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81"/>
      <w:bookmarkEnd w:id="189"/>
      <w:bookmarkEnd w:id="190"/>
      <w:bookmarkEnd w:id="191"/>
    </w:p>
    <w:p w:rsidR="008E7846" w:rsidRDefault="008E7846" w:rsidP="008E7846">
      <w:bookmarkStart w:id="192" w:name="_Toc247691528"/>
      <w:r>
        <w:t xml:space="preserve">The submission was summarised in the following </w:t>
      </w:r>
      <w:r w:rsidRPr="00EF5C48">
        <w:t xml:space="preserve">Delegate’s </w:t>
      </w:r>
      <w:r>
        <w:t>overview</w:t>
      </w:r>
      <w:r w:rsidRPr="00EF5C48">
        <w:t xml:space="preserve"> and recommendation</w:t>
      </w:r>
      <w:r>
        <w:t>s:</w:t>
      </w:r>
    </w:p>
    <w:p w:rsidR="003D0090" w:rsidRPr="00392FFF" w:rsidRDefault="003D0090" w:rsidP="00392FFF">
      <w:r w:rsidRPr="00392FFF">
        <w:t xml:space="preserve">In this application, </w:t>
      </w:r>
      <w:r w:rsidR="00392FFF" w:rsidRPr="00392FFF">
        <w:t xml:space="preserve">the sponsor </w:t>
      </w:r>
      <w:r w:rsidRPr="00392FFF">
        <w:t>seeks the registration of a topic</w:t>
      </w:r>
      <w:r w:rsidR="00392FFF" w:rsidRPr="00392FFF">
        <w:t>al retapamulin ointment, Altargo</w:t>
      </w:r>
      <w:r w:rsidRPr="00392FFF">
        <w:t xml:space="preserve"> 1% w/w. The proposed indications are as follows:</w:t>
      </w:r>
    </w:p>
    <w:p w:rsidR="003D0090" w:rsidRPr="003D0090" w:rsidRDefault="003D0090" w:rsidP="00392FFF">
      <w:pPr>
        <w:ind w:left="360"/>
        <w:rPr>
          <w:i/>
        </w:rPr>
      </w:pPr>
      <w:r w:rsidRPr="003D0090">
        <w:rPr>
          <w:i/>
        </w:rPr>
        <w:t xml:space="preserve">Altargo is indicated for the topical treatment of the following bacterial skin and skin structure infections (SSSI): </w:t>
      </w:r>
    </w:p>
    <w:p w:rsidR="003D0090" w:rsidRPr="00020DAB" w:rsidRDefault="00020DAB" w:rsidP="00020DAB">
      <w:pPr>
        <w:pStyle w:val="ListBullet"/>
        <w:ind w:left="851"/>
        <w:rPr>
          <w:i/>
        </w:rPr>
      </w:pPr>
      <w:r w:rsidRPr="00020DAB">
        <w:rPr>
          <w:i/>
        </w:rPr>
        <w:t>primary impetigo</w:t>
      </w:r>
    </w:p>
    <w:p w:rsidR="003D0090" w:rsidRPr="00020DAB" w:rsidRDefault="003D0090" w:rsidP="00020DAB">
      <w:pPr>
        <w:pStyle w:val="ListBullet"/>
        <w:ind w:left="851"/>
        <w:rPr>
          <w:i/>
        </w:rPr>
      </w:pPr>
      <w:r w:rsidRPr="00020DAB">
        <w:rPr>
          <w:i/>
        </w:rPr>
        <w:t xml:space="preserve">secondarily infected traumatic lesions e.g. small lacerations, abrasions, sutured wounds </w:t>
      </w:r>
    </w:p>
    <w:p w:rsidR="003D0090" w:rsidRPr="00020DAB" w:rsidRDefault="003D0090" w:rsidP="00020DAB">
      <w:pPr>
        <w:pStyle w:val="ListBullet"/>
        <w:ind w:left="851"/>
        <w:rPr>
          <w:i/>
        </w:rPr>
      </w:pPr>
      <w:r w:rsidRPr="00020DAB">
        <w:rPr>
          <w:i/>
        </w:rPr>
        <w:t xml:space="preserve">secondarily infected </w:t>
      </w:r>
      <w:proofErr w:type="spellStart"/>
      <w:r w:rsidRPr="00020DAB">
        <w:rPr>
          <w:i/>
        </w:rPr>
        <w:t>dermatoses</w:t>
      </w:r>
      <w:proofErr w:type="spellEnd"/>
      <w:r w:rsidRPr="00020DAB">
        <w:rPr>
          <w:i/>
        </w:rPr>
        <w:t xml:space="preserve"> including infected psoriasis, infected atopic dermatitis and infected contact dermatitis </w:t>
      </w:r>
    </w:p>
    <w:p w:rsidR="003D0090" w:rsidRPr="003D0090" w:rsidRDefault="003D0090" w:rsidP="00392FFF">
      <w:pPr>
        <w:ind w:left="360"/>
        <w:rPr>
          <w:i/>
        </w:rPr>
      </w:pPr>
      <w:r w:rsidRPr="003D0090">
        <w:rPr>
          <w:i/>
        </w:rPr>
        <w:lastRenderedPageBreak/>
        <w:t xml:space="preserve">The </w:t>
      </w:r>
      <w:r w:rsidRPr="003D0090">
        <w:rPr>
          <w:i/>
          <w:iCs/>
        </w:rPr>
        <w:t xml:space="preserve">in vitro </w:t>
      </w:r>
      <w:r w:rsidRPr="003D0090">
        <w:rPr>
          <w:i/>
        </w:rPr>
        <w:t>susceptibility to antibiotics varies geographically and with time; the local situation must always be considered whe</w:t>
      </w:r>
      <w:r w:rsidR="00020DAB">
        <w:rPr>
          <w:i/>
        </w:rPr>
        <w:t>n selecting antibiotic therapy.</w:t>
      </w:r>
    </w:p>
    <w:p w:rsidR="003D0090" w:rsidRPr="003D0090" w:rsidRDefault="003D0090" w:rsidP="003D0090">
      <w:r w:rsidRPr="003D0090">
        <w:t>In the EU, retapamulin (Altargo) was approved in 2007 for the short term treatment of superficial skin infections (including impetigo, infected small lacerations, abrasions, or sutured wounds) in adults, adolescents, infants and children (aged from 9 months), but not for treating abscesses and any infection due to MRSA. The S</w:t>
      </w:r>
      <w:r w:rsidR="00020DAB">
        <w:t>ID indication was not approved.</w:t>
      </w:r>
    </w:p>
    <w:p w:rsidR="003D0090" w:rsidRPr="003D0090" w:rsidRDefault="003D0090" w:rsidP="003D0090">
      <w:r w:rsidRPr="003D0090">
        <w:t xml:space="preserve">In Canada, retapamulin (Altargo) was approved by the Health Canada in 2008 for use in adults and paediatric patients 9 months and older for topical treatment of primary impetigo and secondary infected traumatic lesions (small lacerations, abrasions, or sutured wounds) due to </w:t>
      </w:r>
      <w:r w:rsidRPr="003D0090">
        <w:rPr>
          <w:i/>
        </w:rPr>
        <w:t>S</w:t>
      </w:r>
      <w:r w:rsidR="00392FFF">
        <w:rPr>
          <w:i/>
        </w:rPr>
        <w:t xml:space="preserve">. </w:t>
      </w:r>
      <w:proofErr w:type="spellStart"/>
      <w:r w:rsidRPr="003D0090">
        <w:rPr>
          <w:i/>
        </w:rPr>
        <w:t>aureus</w:t>
      </w:r>
      <w:proofErr w:type="spellEnd"/>
      <w:r w:rsidRPr="003D0090">
        <w:t xml:space="preserve"> (</w:t>
      </w:r>
      <w:proofErr w:type="spellStart"/>
      <w:r w:rsidRPr="003D0090">
        <w:t>methicillin</w:t>
      </w:r>
      <w:proofErr w:type="spellEnd"/>
      <w:r w:rsidRPr="003D0090">
        <w:t>-</w:t>
      </w:r>
      <w:r w:rsidR="00392FFF" w:rsidRPr="003D0090">
        <w:t>susceptible</w:t>
      </w:r>
      <w:r w:rsidRPr="003D0090">
        <w:t xml:space="preserve"> isolates only) or </w:t>
      </w:r>
      <w:r w:rsidRPr="003D0090">
        <w:rPr>
          <w:i/>
        </w:rPr>
        <w:t>S</w:t>
      </w:r>
      <w:r w:rsidR="00392FFF">
        <w:rPr>
          <w:i/>
        </w:rPr>
        <w:t xml:space="preserve">. </w:t>
      </w:r>
      <w:r w:rsidRPr="003D0090">
        <w:rPr>
          <w:i/>
        </w:rPr>
        <w:t>pyogenes</w:t>
      </w:r>
      <w:r w:rsidRPr="003D0090">
        <w:t>.</w:t>
      </w:r>
    </w:p>
    <w:p w:rsidR="003D0090" w:rsidRPr="003D0090" w:rsidRDefault="003D0090" w:rsidP="003D0090">
      <w:pPr>
        <w:rPr>
          <w:i/>
        </w:rPr>
      </w:pPr>
      <w:r w:rsidRPr="000D3BA8">
        <w:t xml:space="preserve">In the US, </w:t>
      </w:r>
      <w:proofErr w:type="spellStart"/>
      <w:r w:rsidRPr="000D3BA8">
        <w:t>retapamulin</w:t>
      </w:r>
      <w:proofErr w:type="spellEnd"/>
      <w:r w:rsidRPr="000D3BA8">
        <w:t xml:space="preserve"> (</w:t>
      </w:r>
      <w:proofErr w:type="spellStart"/>
      <w:r w:rsidRPr="000D3BA8">
        <w:t>Altabax</w:t>
      </w:r>
      <w:proofErr w:type="spellEnd"/>
      <w:r w:rsidRPr="000D3BA8">
        <w:t>) was approved by the FDA in 2007 for topical treatment of impetigo (up to 100</w:t>
      </w:r>
      <w:r w:rsidR="000D3BA8">
        <w:t xml:space="preserve"> </w:t>
      </w:r>
      <w:r w:rsidRPr="000D3BA8">
        <w:t>cm</w:t>
      </w:r>
      <w:r w:rsidRPr="000D3BA8">
        <w:rPr>
          <w:vertAlign w:val="superscript"/>
        </w:rPr>
        <w:t>2</w:t>
      </w:r>
      <w:r w:rsidRPr="000D3BA8">
        <w:t xml:space="preserve"> in total area in adults</w:t>
      </w:r>
      <w:r w:rsidRPr="003D0090">
        <w:t xml:space="preserve"> or 2% of total body surface area in paediatric patients aged 9 months or older) due to </w:t>
      </w:r>
      <w:r w:rsidRPr="003D0090">
        <w:rPr>
          <w:i/>
        </w:rPr>
        <w:t xml:space="preserve">S. </w:t>
      </w:r>
      <w:proofErr w:type="spellStart"/>
      <w:r w:rsidRPr="003D0090">
        <w:rPr>
          <w:i/>
        </w:rPr>
        <w:t>aureus</w:t>
      </w:r>
      <w:proofErr w:type="spellEnd"/>
      <w:r w:rsidRPr="003D0090">
        <w:t xml:space="preserve"> (</w:t>
      </w:r>
      <w:proofErr w:type="spellStart"/>
      <w:r w:rsidRPr="003D0090">
        <w:t>methicillin</w:t>
      </w:r>
      <w:proofErr w:type="spellEnd"/>
      <w:r w:rsidRPr="003D0090">
        <w:t xml:space="preserve">-susceptible isolates only) or </w:t>
      </w:r>
      <w:r w:rsidRPr="003D0090">
        <w:rPr>
          <w:i/>
        </w:rPr>
        <w:t>S. pyogene</w:t>
      </w:r>
      <w:r w:rsidR="000D3BA8">
        <w:rPr>
          <w:i/>
        </w:rPr>
        <w:t>s</w:t>
      </w:r>
      <w:r w:rsidRPr="003D0090">
        <w:rPr>
          <w:i/>
        </w:rPr>
        <w:t xml:space="preserve">, </w:t>
      </w:r>
      <w:r w:rsidRPr="003D0090">
        <w:t>in adults and paediatric</w:t>
      </w:r>
      <w:r w:rsidRPr="003D0090">
        <w:rPr>
          <w:i/>
        </w:rPr>
        <w:t xml:space="preserve"> </w:t>
      </w:r>
      <w:r w:rsidRPr="003D0090">
        <w:t xml:space="preserve">patients 9 months and older. Separate applications for SITL and SID indications were submitted to the FDA in 2005. For these two indications, FDA issued “not approvable” letters in 2006 and 2007 respectively. Additional data was requested by FDA to support the SITL indication. For the SID application, the FDA advised that the data did not establish that </w:t>
      </w:r>
      <w:proofErr w:type="spellStart"/>
      <w:r w:rsidRPr="003D0090">
        <w:t>Altabax</w:t>
      </w:r>
      <w:proofErr w:type="spellEnd"/>
      <w:r w:rsidRPr="003D0090">
        <w:t xml:space="preserve"> was non-inferior to </w:t>
      </w:r>
      <w:proofErr w:type="spellStart"/>
      <w:r w:rsidR="00F65B9A">
        <w:t>c</w:t>
      </w:r>
      <w:r w:rsidR="00020DAB">
        <w:t>ephalexin</w:t>
      </w:r>
      <w:proofErr w:type="spellEnd"/>
      <w:r w:rsidR="00020DAB">
        <w:t>.</w:t>
      </w:r>
    </w:p>
    <w:p w:rsidR="008E7846" w:rsidRDefault="008E7846" w:rsidP="008E7846">
      <w:pPr>
        <w:pStyle w:val="Heading3"/>
      </w:pPr>
      <w:bookmarkStart w:id="193" w:name="_Toc314842511"/>
      <w:bookmarkStart w:id="194" w:name="_Toc371925764"/>
      <w:r>
        <w:t>Quality</w:t>
      </w:r>
      <w:bookmarkEnd w:id="192"/>
      <w:bookmarkEnd w:id="193"/>
      <w:bookmarkEnd w:id="194"/>
    </w:p>
    <w:p w:rsidR="003D0090" w:rsidRPr="00ED39DD" w:rsidRDefault="003D0090" w:rsidP="00ED39DD">
      <w:r w:rsidRPr="00ED39DD">
        <w:t xml:space="preserve">The application and the supporting data relating to the composition, development, manufacture, quality control and stability of the product have been assessed and checked for compliance, as applicable, with Australian legislation and requirements for new medicines and in accordance with </w:t>
      </w:r>
      <w:proofErr w:type="spellStart"/>
      <w:r w:rsidRPr="00ED39DD">
        <w:t>pharmacopoeial</w:t>
      </w:r>
      <w:proofErr w:type="spellEnd"/>
      <w:r w:rsidRPr="00ED39DD">
        <w:t xml:space="preserve"> standards and the technical guidelines adopted by the TGA.</w:t>
      </w:r>
    </w:p>
    <w:p w:rsidR="00ED39DD" w:rsidRDefault="003D0090" w:rsidP="00ED39DD">
      <w:r w:rsidRPr="00ED39DD">
        <w:t>The product is non-sterile but is proposed for use on small skin lesions. Limits for four impurities that exceed the relevant ICH qualification threshold have been referred to t</w:t>
      </w:r>
      <w:r w:rsidR="007C7BE6">
        <w:t>he Toxicology s</w:t>
      </w:r>
      <w:r w:rsidRPr="00ED39DD">
        <w:t xml:space="preserve">ection for assessment. The </w:t>
      </w:r>
      <w:r w:rsidR="00ED39DD">
        <w:t xml:space="preserve">sponsor </w:t>
      </w:r>
      <w:r w:rsidRPr="00ED39DD">
        <w:t xml:space="preserve">was requested to include tests and limits in the drug substance specification for three potential </w:t>
      </w:r>
      <w:proofErr w:type="spellStart"/>
      <w:r w:rsidRPr="00ED39DD">
        <w:t>genotoxic</w:t>
      </w:r>
      <w:proofErr w:type="spellEnd"/>
      <w:r w:rsidRPr="00ED39DD">
        <w:t xml:space="preserve"> impurities. The finished product specifications include impurity limits within t</w:t>
      </w:r>
      <w:r w:rsidR="00020DAB">
        <w:t>he relevant ICH Q3B thresholds.</w:t>
      </w:r>
    </w:p>
    <w:p w:rsidR="00ED39DD" w:rsidRDefault="003D0090" w:rsidP="00ED39DD">
      <w:r w:rsidRPr="00ED39DD">
        <w:t>The ointment failed specification limits under accelerated conditions (40</w:t>
      </w:r>
      <w:r w:rsidR="00ED39DD">
        <w:t>°</w:t>
      </w:r>
      <w:r w:rsidRPr="00ED39DD">
        <w:t>C/75%</w:t>
      </w:r>
      <w:r w:rsidR="00ED39DD">
        <w:t xml:space="preserve"> </w:t>
      </w:r>
      <w:r w:rsidRPr="00ED39DD">
        <w:t>RH) due to the low melting point of the paraffin. However, satisfactory data generated at 30</w:t>
      </w:r>
      <w:r w:rsidR="00ED39DD">
        <w:t>°</w:t>
      </w:r>
      <w:r w:rsidRPr="00ED39DD">
        <w:t>C/65% RH and 25</w:t>
      </w:r>
      <w:r w:rsidR="00ED39DD">
        <w:t>°</w:t>
      </w:r>
      <w:r w:rsidRPr="00ED39DD">
        <w:t>C/60 RH support the claimed shelf-life of 24 months below 25</w:t>
      </w:r>
      <w:r w:rsidR="00ED39DD">
        <w:t>°</w:t>
      </w:r>
      <w:r w:rsidR="00020DAB">
        <w:t>C.</w:t>
      </w:r>
    </w:p>
    <w:p w:rsidR="003D0090" w:rsidRPr="00ED39DD" w:rsidRDefault="003D0090" w:rsidP="00ED39DD">
      <w:r w:rsidRPr="00ED39DD">
        <w:t>No bioavailability data have been evaluated as the product is a topical ointment. Adequate data was provided to show that the polymorphic form and particle size of the dispersed drug substance in the ointment does</w:t>
      </w:r>
      <w:r w:rsidR="00ED39DD">
        <w:t xml:space="preserve"> not change over 24 months. </w:t>
      </w:r>
      <w:r w:rsidR="00ED39DD" w:rsidRPr="00ED39DD">
        <w:rPr>
          <w:i/>
          <w:iCs/>
        </w:rPr>
        <w:t xml:space="preserve">In </w:t>
      </w:r>
      <w:r w:rsidRPr="00ED39DD">
        <w:rPr>
          <w:i/>
          <w:iCs/>
        </w:rPr>
        <w:t>vitro</w:t>
      </w:r>
      <w:r w:rsidRPr="00ED39DD">
        <w:t xml:space="preserve"> release rate testing data </w:t>
      </w:r>
      <w:r w:rsidR="00ED39DD">
        <w:t>of stability batches and Phase I</w:t>
      </w:r>
      <w:r w:rsidRPr="00ED39DD">
        <w:t xml:space="preserve"> and Phase </w:t>
      </w:r>
      <w:r w:rsidR="00ED39DD">
        <w:t>III</w:t>
      </w:r>
      <w:r w:rsidRPr="00ED39DD">
        <w:t xml:space="preserve"> clinical trial batches support the proposed drug substance particle si</w:t>
      </w:r>
      <w:r w:rsidR="00020DAB">
        <w:t>ze limits.</w:t>
      </w:r>
    </w:p>
    <w:p w:rsidR="003D0090" w:rsidRPr="003D0090" w:rsidRDefault="00F86929" w:rsidP="003D0090">
      <w:pPr>
        <w:rPr>
          <w:iCs/>
        </w:rPr>
      </w:pPr>
      <w:r>
        <w:t>In relation to impurity limits, the t</w:t>
      </w:r>
      <w:r w:rsidR="003D0090" w:rsidRPr="003D0090">
        <w:t>oxicology</w:t>
      </w:r>
      <w:r w:rsidR="003D0090" w:rsidRPr="003D0090">
        <w:rPr>
          <w:iCs/>
        </w:rPr>
        <w:t xml:space="preserve"> evaluator commented that the daily intake of these impurities at the maximum </w:t>
      </w:r>
      <w:r w:rsidR="00ED39DD">
        <w:rPr>
          <w:iCs/>
        </w:rPr>
        <w:t>recommended human dose of 10 mg</w:t>
      </w:r>
      <w:r w:rsidR="003D0090" w:rsidRPr="003D0090">
        <w:rPr>
          <w:iCs/>
        </w:rPr>
        <w:t xml:space="preserve"> </w:t>
      </w:r>
      <w:r>
        <w:rPr>
          <w:iCs/>
        </w:rPr>
        <w:t>is</w:t>
      </w:r>
      <w:r w:rsidR="003D0090" w:rsidRPr="003D0090">
        <w:rPr>
          <w:iCs/>
        </w:rPr>
        <w:t xml:space="preserve"> at or below the allowable daily intake for </w:t>
      </w:r>
      <w:proofErr w:type="spellStart"/>
      <w:r w:rsidR="003D0090" w:rsidRPr="003D0090">
        <w:rPr>
          <w:iCs/>
        </w:rPr>
        <w:t>genotoxic</w:t>
      </w:r>
      <w:proofErr w:type="spellEnd"/>
      <w:r w:rsidR="003D0090" w:rsidRPr="003D0090">
        <w:rPr>
          <w:iCs/>
        </w:rPr>
        <w:t xml:space="preserve"> impurities of 60 µg/day and therefore below the threshold of toxicological concern. None of these impurities requires toxicological qualification.</w:t>
      </w:r>
    </w:p>
    <w:p w:rsidR="00ED39DD" w:rsidRDefault="003D0090" w:rsidP="003D0090">
      <w:r w:rsidRPr="003D0090">
        <w:t>The submission was considered by the P</w:t>
      </w:r>
      <w:r w:rsidR="00ED39DD">
        <w:t xml:space="preserve">SC </w:t>
      </w:r>
      <w:r w:rsidRPr="003D0090">
        <w:t>of the ACPM at its 149</w:t>
      </w:r>
      <w:r w:rsidRPr="003D0090">
        <w:rPr>
          <w:vertAlign w:val="superscript"/>
        </w:rPr>
        <w:t>th</w:t>
      </w:r>
      <w:r w:rsidRPr="003D0090">
        <w:t xml:space="preserve"> meeting on 21 January 2013. The subcommittee endorsed the issues raised by the TGA. All issues have been satisfac</w:t>
      </w:r>
      <w:r w:rsidR="00020DAB">
        <w:t>torily resolved by the company.</w:t>
      </w:r>
    </w:p>
    <w:p w:rsidR="003D0090" w:rsidRPr="003D0090" w:rsidRDefault="003D0090" w:rsidP="003D0090">
      <w:r w:rsidRPr="003D0090">
        <w:lastRenderedPageBreak/>
        <w:t>There are no objections to the registration of retapamulin 1% w/w ointment from a pharmaceutical chemistry perspective.</w:t>
      </w:r>
    </w:p>
    <w:p w:rsidR="008E7846" w:rsidRDefault="008E7846" w:rsidP="008E7846">
      <w:pPr>
        <w:pStyle w:val="Heading3"/>
      </w:pPr>
      <w:bookmarkStart w:id="195" w:name="_Toc314842512"/>
      <w:bookmarkStart w:id="196" w:name="_Toc371925765"/>
      <w:r>
        <w:t>Nonclinical</w:t>
      </w:r>
      <w:bookmarkEnd w:id="195"/>
      <w:bookmarkEnd w:id="196"/>
    </w:p>
    <w:p w:rsidR="00C72F53" w:rsidRPr="00C72F53" w:rsidRDefault="00C72F53" w:rsidP="00C72F53">
      <w:r w:rsidRPr="00C72F53">
        <w:t xml:space="preserve">Retapamulin was shown to be active </w:t>
      </w:r>
      <w:r w:rsidRPr="00C72F53">
        <w:rPr>
          <w:i/>
        </w:rPr>
        <w:t>in vitro</w:t>
      </w:r>
      <w:r w:rsidRPr="00C72F53">
        <w:t xml:space="preserve"> against Gram-positive bacteria including </w:t>
      </w:r>
      <w:r w:rsidRPr="00C72F53">
        <w:rPr>
          <w:i/>
        </w:rPr>
        <w:t>S. aureus</w:t>
      </w:r>
      <w:r w:rsidRPr="00C72F53">
        <w:t xml:space="preserve"> and </w:t>
      </w:r>
      <w:r w:rsidRPr="00C72F53">
        <w:rPr>
          <w:i/>
        </w:rPr>
        <w:t>S. pyogenes</w:t>
      </w:r>
      <w:r w:rsidRPr="00C72F53">
        <w:t>, with respective MIC</w:t>
      </w:r>
      <w:r w:rsidRPr="00C72F53">
        <w:rPr>
          <w:vertAlign w:val="subscript"/>
        </w:rPr>
        <w:t>90</w:t>
      </w:r>
      <w:r w:rsidR="00A41BB9">
        <w:rPr>
          <w:vertAlign w:val="subscript"/>
        </w:rPr>
        <w:t xml:space="preserve"> </w:t>
      </w:r>
      <w:r w:rsidR="00A41BB9" w:rsidRPr="00A41BB9">
        <w:t>values</w:t>
      </w:r>
      <w:r w:rsidRPr="00C72F53">
        <w:t xml:space="preserve"> ranging from 0.06-0.5 µg/mL and ≤0.016-0.06 µg/mL. Retapamulin 1% ointment was efficacious against </w:t>
      </w:r>
      <w:r w:rsidRPr="00C72F53">
        <w:rPr>
          <w:i/>
        </w:rPr>
        <w:t>S. aureus</w:t>
      </w:r>
      <w:r w:rsidRPr="00C72F53">
        <w:t xml:space="preserve"> and </w:t>
      </w:r>
      <w:r w:rsidRPr="00C72F53">
        <w:rPr>
          <w:i/>
        </w:rPr>
        <w:t>S. pyogenes</w:t>
      </w:r>
      <w:r w:rsidRPr="00C72F53">
        <w:t xml:space="preserve"> in a mouse surgical wound infection model. Other animal models of infection</w:t>
      </w:r>
      <w:r w:rsidR="00A41BB9">
        <w:t>, such as</w:t>
      </w:r>
      <w:r w:rsidRPr="00C72F53">
        <w:t xml:space="preserve"> </w:t>
      </w:r>
      <w:proofErr w:type="spellStart"/>
      <w:r w:rsidRPr="00C72F53">
        <w:t>dermatoses</w:t>
      </w:r>
      <w:proofErr w:type="spellEnd"/>
      <w:r w:rsidR="00A41BB9">
        <w:t>,</w:t>
      </w:r>
      <w:r w:rsidRPr="00C72F53">
        <w:t xml:space="preserve"> were not tested.</w:t>
      </w:r>
    </w:p>
    <w:p w:rsidR="00C72F53" w:rsidRPr="00C72F53" w:rsidRDefault="00C72F53" w:rsidP="00C72F53">
      <w:r w:rsidRPr="00C72F53">
        <w:t xml:space="preserve">Secondary pharmacodynamic studies revealed that </w:t>
      </w:r>
      <w:proofErr w:type="spellStart"/>
      <w:r w:rsidRPr="00C72F53">
        <w:t>retapamulin</w:t>
      </w:r>
      <w:proofErr w:type="spellEnd"/>
      <w:r w:rsidRPr="00C72F53">
        <w:t xml:space="preserve"> inhibits the </w:t>
      </w:r>
      <w:proofErr w:type="spellStart"/>
      <w:r w:rsidRPr="00C72F53">
        <w:t>muscarinic</w:t>
      </w:r>
      <w:proofErr w:type="spellEnd"/>
      <w:r w:rsidRPr="00C72F53">
        <w:t xml:space="preserve"> M1 receptor </w:t>
      </w:r>
      <w:r w:rsidRPr="00C72F53">
        <w:rPr>
          <w:i/>
        </w:rPr>
        <w:t>in vitro</w:t>
      </w:r>
      <w:r w:rsidRPr="00C72F53">
        <w:t xml:space="preserve"> with an IC</w:t>
      </w:r>
      <w:r w:rsidRPr="00C72F53">
        <w:rPr>
          <w:vertAlign w:val="subscript"/>
        </w:rPr>
        <w:t>50</w:t>
      </w:r>
      <w:r w:rsidR="00A41BB9">
        <w:t xml:space="preserve"> of approximately </w:t>
      </w:r>
      <w:r w:rsidRPr="00C72F53">
        <w:t xml:space="preserve">3-fold the maximum plasma retapamulin concentration measured in clinical studies, however safety pharmacology studies at high estimated systemic exposures did not indicate an </w:t>
      </w:r>
      <w:r w:rsidRPr="00C72F53">
        <w:rPr>
          <w:i/>
        </w:rPr>
        <w:t>in vivo</w:t>
      </w:r>
      <w:r w:rsidRPr="00C72F53">
        <w:t xml:space="preserve"> effect.</w:t>
      </w:r>
    </w:p>
    <w:p w:rsidR="00A41BB9" w:rsidRDefault="00C72F53" w:rsidP="00C72F53">
      <w:r w:rsidRPr="00C72F53">
        <w:t xml:space="preserve">Single and repeat-dose </w:t>
      </w:r>
      <w:r w:rsidR="00A41BB9">
        <w:t xml:space="preserve">dermal toxicity studies up to 3 </w:t>
      </w:r>
      <w:r w:rsidRPr="00C72F53">
        <w:t>months duration in rabbits with retapamulin 0.5%, 1%, 2% and 5% ointment showed a concentration-dependent</w:t>
      </w:r>
      <w:r w:rsidR="00BD3A79">
        <w:t>,</w:t>
      </w:r>
      <w:r w:rsidRPr="00C72F53">
        <w:t xml:space="preserve"> minimal to moderate irritation that was similar to vehicle on semi-occluded intact skin (0.5% and 1% concentrations) and more severe on abraded skin. The ointment alone elicited very slight to well defined erythema in intact skin. Animals were treated only once daily in all the dermal studies, in contrast to the propose</w:t>
      </w:r>
      <w:r w:rsidR="00020DAB">
        <w:t>d twice daily clinical regimen.</w:t>
      </w:r>
    </w:p>
    <w:p w:rsidR="00A41BB9" w:rsidRDefault="00C72F53" w:rsidP="00C72F53">
      <w:r w:rsidRPr="00C72F53">
        <w:t xml:space="preserve">Systemic exposure ratios in dermal studies were inadequate (&lt;1), hence systemic toxicity was also investigated in oral studies in rats and monkeys. Adequate exposure multiples were attained in these species, although treatment was once daily and for only 2 weeks (4 weeks </w:t>
      </w:r>
      <w:r w:rsidR="00BD3A79">
        <w:t xml:space="preserve">is recommended to support the 5 </w:t>
      </w:r>
      <w:r w:rsidRPr="00C72F53">
        <w:t>day clinical regimen). The studies indicated that systemic toxicity is unlikely at the ver</w:t>
      </w:r>
      <w:r w:rsidR="00020DAB">
        <w:t>y low clinical exposure levels.</w:t>
      </w:r>
    </w:p>
    <w:p w:rsidR="00C72F53" w:rsidRPr="00C72F53" w:rsidRDefault="00C72F53" w:rsidP="00C72F53">
      <w:r w:rsidRPr="00C72F53">
        <w:t xml:space="preserve">Paediatric use was supported by dermal toxicity studies which showed minimal irritancy of intact skin in neonatal rats and no skin irritancy in small numbers of juvenile </w:t>
      </w:r>
      <w:proofErr w:type="spellStart"/>
      <w:r w:rsidRPr="00C72F53">
        <w:t>minipigs</w:t>
      </w:r>
      <w:proofErr w:type="spellEnd"/>
      <w:r w:rsidRPr="00C72F53">
        <w:t>. Systemic toxicity was not evident in either species, but systemic exposure ratios were inadequate (&lt;1). Dermal toxicity was not studie</w:t>
      </w:r>
      <w:r w:rsidR="00020DAB">
        <w:t>d in adult rats for comparison.</w:t>
      </w:r>
    </w:p>
    <w:p w:rsidR="00A41BB9" w:rsidRDefault="00C72F53" w:rsidP="00C72F53">
      <w:r w:rsidRPr="00C72F53">
        <w:t>There</w:t>
      </w:r>
      <w:r w:rsidR="00020DAB">
        <w:t xml:space="preserve"> was no study of eye irritancy.</w:t>
      </w:r>
    </w:p>
    <w:p w:rsidR="00C72F53" w:rsidRPr="00C72F53" w:rsidRDefault="00C72F53" w:rsidP="00C72F53">
      <w:r w:rsidRPr="00C72F53">
        <w:t xml:space="preserve">Reproductive toxicity studies were conducted by the oral route in rats and </w:t>
      </w:r>
      <w:r w:rsidR="00BD3A79">
        <w:t xml:space="preserve">the </w:t>
      </w:r>
      <w:r w:rsidRPr="00C72F53">
        <w:t>IV route in rabbits</w:t>
      </w:r>
      <w:r w:rsidR="00BD3A79">
        <w:t>;</w:t>
      </w:r>
      <w:r w:rsidRPr="00C72F53">
        <w:t xml:space="preserve"> </w:t>
      </w:r>
      <w:r w:rsidR="00BD3A79">
        <w:t>s</w:t>
      </w:r>
      <w:r w:rsidRPr="00C72F53">
        <w:t xml:space="preserve">ystemic exposure ratios were adequate. Decreased </w:t>
      </w:r>
      <w:proofErr w:type="spellStart"/>
      <w:r w:rsidRPr="00C72F53">
        <w:t>fetal</w:t>
      </w:r>
      <w:proofErr w:type="spellEnd"/>
      <w:r w:rsidRPr="00C72F53">
        <w:t xml:space="preserve"> growth and incomplete ossification were observed in rats</w:t>
      </w:r>
      <w:r w:rsidR="00BD3A79">
        <w:t>.</w:t>
      </w:r>
      <w:r w:rsidRPr="00C72F53">
        <w:t xml:space="preserve"> </w:t>
      </w:r>
      <w:r w:rsidR="00BD3A79">
        <w:t>T</w:t>
      </w:r>
      <w:r w:rsidRPr="00C72F53">
        <w:t xml:space="preserve">he proposed </w:t>
      </w:r>
      <w:r w:rsidR="00BD3A79">
        <w:t>use in p</w:t>
      </w:r>
      <w:r w:rsidRPr="00C72F53">
        <w:t xml:space="preserve">regnancy </w:t>
      </w:r>
      <w:r w:rsidR="00BD3A79">
        <w:t>c</w:t>
      </w:r>
      <w:r w:rsidR="00020DAB">
        <w:t>ategory of B3 is acceptable.</w:t>
      </w:r>
    </w:p>
    <w:p w:rsidR="00C72F53" w:rsidRPr="00C72F53" w:rsidRDefault="00C72F53" w:rsidP="00C72F53">
      <w:r w:rsidRPr="00C72F53">
        <w:t>Taking into consideration the above limitations of the nonclinical data, there are no overall objections to registration of retapamulin for the proposed indications. The evaluator recommends a number of amendments to the draft P</w:t>
      </w:r>
      <w:r w:rsidR="00A41BB9">
        <w:t>I.</w:t>
      </w:r>
      <w:r w:rsidR="00A41BB9">
        <w:rPr>
          <w:rStyle w:val="FootnoteReference"/>
        </w:rPr>
        <w:footnoteReference w:id="19"/>
      </w:r>
    </w:p>
    <w:p w:rsidR="008E7846" w:rsidRDefault="008E7846" w:rsidP="008E7846">
      <w:pPr>
        <w:pStyle w:val="Heading3"/>
      </w:pPr>
      <w:bookmarkStart w:id="197" w:name="_Toc247691530"/>
      <w:bookmarkStart w:id="198" w:name="_Toc314842513"/>
      <w:bookmarkStart w:id="199" w:name="_Toc371925766"/>
      <w:r>
        <w:t>Clinical</w:t>
      </w:r>
      <w:bookmarkEnd w:id="197"/>
      <w:bookmarkEnd w:id="198"/>
      <w:bookmarkEnd w:id="199"/>
    </w:p>
    <w:p w:rsidR="003D0090" w:rsidRPr="003D0090" w:rsidRDefault="00020DAB" w:rsidP="00D604E2">
      <w:pPr>
        <w:pStyle w:val="Heading4"/>
      </w:pPr>
      <w:r>
        <w:t>Pharmacokinetics</w:t>
      </w:r>
    </w:p>
    <w:p w:rsidR="003D0090" w:rsidRPr="003F5C68" w:rsidRDefault="003D0090" w:rsidP="003F5C68">
      <w:r w:rsidRPr="003F5C68">
        <w:t>Three strengths of retapamulin (0.5%, 1.0%, and 2.0% w/w) were assessed in the Phase I studies. The 1.0% w/w ointment was used in Phase II-IV clinical studies. The commercial formulation is identical to the 1% w/w formulatio</w:t>
      </w:r>
      <w:r w:rsidR="00020DAB">
        <w:t>n used in the clinical studies.</w:t>
      </w:r>
    </w:p>
    <w:p w:rsidR="003D0090" w:rsidRPr="003F5C68" w:rsidRDefault="003D0090" w:rsidP="003F5C68">
      <w:r w:rsidRPr="003F5C68">
        <w:t>The PK of retapamulin ointment was an</w:t>
      </w:r>
      <w:r w:rsidR="00A70FF1">
        <w:t>alysed in Phase I Studies</w:t>
      </w:r>
      <w:r w:rsidRPr="003F5C68">
        <w:t xml:space="preserve"> 025, 026, and 027, Phase II Study 029, Phase III Studies 030A and 030B, and Phase IV paediatric Stud</w:t>
      </w:r>
      <w:r w:rsidR="00A70FF1">
        <w:t>y TOC106489</w:t>
      </w:r>
      <w:r w:rsidRPr="003F5C68">
        <w:t xml:space="preserve">. </w:t>
      </w:r>
      <w:r w:rsidRPr="003F5C68">
        <w:lastRenderedPageBreak/>
        <w:t>Overall, there were a limited number of measurable concentrations in adult and paediatric subjects. There is either minimal or no systemic exposures following repeat application of 1% retapamulin ointment BD to wound surface areas up to 100 cm</w:t>
      </w:r>
      <w:r w:rsidRPr="00D604E2">
        <w:rPr>
          <w:vertAlign w:val="superscript"/>
        </w:rPr>
        <w:t>2</w:t>
      </w:r>
      <w:r w:rsidRPr="003F5C68">
        <w:t xml:space="preserve"> in subjects with SITL, SID, impetigo, or other uncomplicated bacterial skin infections (Study 029, Study 030A, Study 030B, and Study TOC106489). The systemic exposure to retapamulin in the majority of subjects with measurable concentrations following repeat applications of 1% retap</w:t>
      </w:r>
      <w:r w:rsidR="00020DAB">
        <w:t xml:space="preserve">amulin ointment was ≤2.5 </w:t>
      </w:r>
      <w:proofErr w:type="spellStart"/>
      <w:r w:rsidR="00020DAB">
        <w:t>ng</w:t>
      </w:r>
      <w:proofErr w:type="spellEnd"/>
      <w:r w:rsidR="00020DAB">
        <w:t>/</w:t>
      </w:r>
      <w:proofErr w:type="spellStart"/>
      <w:r w:rsidR="00020DAB">
        <w:t>mL.</w:t>
      </w:r>
      <w:proofErr w:type="spellEnd"/>
    </w:p>
    <w:p w:rsidR="003D0090" w:rsidRPr="003F5C68" w:rsidRDefault="003D0090" w:rsidP="003F5C68">
      <w:r w:rsidRPr="003F5C68">
        <w:t xml:space="preserve">The PK results from Study 026 suggested that surface area was a more important determinant of systemic retapamulin exposure than the concentration of the ointment. The highest exposures observed with retapamulin 1% applied to abraded skin in Study 026 (highest </w:t>
      </w:r>
      <w:proofErr w:type="spellStart"/>
      <w:r w:rsidRPr="003F5C68">
        <w:t>C</w:t>
      </w:r>
      <w:r w:rsidRPr="00D604E2">
        <w:rPr>
          <w:vertAlign w:val="subscript"/>
        </w:rPr>
        <w:t>max</w:t>
      </w:r>
      <w:proofErr w:type="spellEnd"/>
      <w:r w:rsidRPr="003F5C68">
        <w:t xml:space="preserve"> 22.1 </w:t>
      </w:r>
      <w:proofErr w:type="spellStart"/>
      <w:r w:rsidRPr="003F5C68">
        <w:t>ng</w:t>
      </w:r>
      <w:proofErr w:type="spellEnd"/>
      <w:r w:rsidRPr="003F5C68">
        <w:t>/</w:t>
      </w:r>
      <w:proofErr w:type="spellStart"/>
      <w:r w:rsidRPr="003F5C68">
        <w:t>mL</w:t>
      </w:r>
      <w:proofErr w:type="spellEnd"/>
      <w:r w:rsidRPr="003F5C68">
        <w:t xml:space="preserve"> and </w:t>
      </w:r>
      <w:proofErr w:type="gramStart"/>
      <w:r w:rsidRPr="003F5C68">
        <w:t>AUC</w:t>
      </w:r>
      <w:r w:rsidRPr="00D604E2">
        <w:rPr>
          <w:vertAlign w:val="subscript"/>
        </w:rPr>
        <w:t>(</w:t>
      </w:r>
      <w:proofErr w:type="gramEnd"/>
      <w:r w:rsidRPr="00D604E2">
        <w:rPr>
          <w:vertAlign w:val="subscript"/>
        </w:rPr>
        <w:t>0-24</w:t>
      </w:r>
      <w:r w:rsidR="00D604E2">
        <w:rPr>
          <w:vertAlign w:val="subscript"/>
        </w:rPr>
        <w:t xml:space="preserve"> h</w:t>
      </w:r>
      <w:r w:rsidRPr="00D604E2">
        <w:rPr>
          <w:vertAlign w:val="subscript"/>
        </w:rPr>
        <w:t>)</w:t>
      </w:r>
      <w:r w:rsidRPr="003F5C68">
        <w:t xml:space="preserve"> 238 </w:t>
      </w:r>
      <w:proofErr w:type="spellStart"/>
      <w:r w:rsidRPr="003F5C68">
        <w:t>ng·h</w:t>
      </w:r>
      <w:proofErr w:type="spellEnd"/>
      <w:r w:rsidRPr="003F5C68">
        <w:t>/</w:t>
      </w:r>
      <w:proofErr w:type="spellStart"/>
      <w:r w:rsidRPr="003F5C68">
        <w:t>mL</w:t>
      </w:r>
      <w:proofErr w:type="spellEnd"/>
      <w:r w:rsidRPr="003F5C68">
        <w:t xml:space="preserve">) were still below the steady state </w:t>
      </w:r>
      <w:proofErr w:type="spellStart"/>
      <w:r w:rsidRPr="003F5C68">
        <w:t>C</w:t>
      </w:r>
      <w:r w:rsidRPr="00D604E2">
        <w:rPr>
          <w:vertAlign w:val="subscript"/>
        </w:rPr>
        <w:t>max</w:t>
      </w:r>
      <w:proofErr w:type="spellEnd"/>
      <w:r w:rsidRPr="003F5C68">
        <w:t xml:space="preserve"> (124 </w:t>
      </w:r>
      <w:proofErr w:type="spellStart"/>
      <w:r w:rsidRPr="003F5C68">
        <w:t>ng</w:t>
      </w:r>
      <w:proofErr w:type="spellEnd"/>
      <w:r w:rsidRPr="003F5C68">
        <w:t>/</w:t>
      </w:r>
      <w:proofErr w:type="spellStart"/>
      <w:r w:rsidRPr="003F5C68">
        <w:t>mL</w:t>
      </w:r>
      <w:proofErr w:type="spellEnd"/>
      <w:r w:rsidRPr="003F5C68">
        <w:t xml:space="preserve">) and AUC(739 </w:t>
      </w:r>
      <w:proofErr w:type="spellStart"/>
      <w:r w:rsidRPr="003F5C68">
        <w:t>ng·h</w:t>
      </w:r>
      <w:proofErr w:type="spellEnd"/>
      <w:r w:rsidRPr="003F5C68">
        <w:t>/</w:t>
      </w:r>
      <w:proofErr w:type="spellStart"/>
      <w:r w:rsidRPr="003F5C68">
        <w:t>mL</w:t>
      </w:r>
      <w:proofErr w:type="spellEnd"/>
      <w:r w:rsidRPr="003F5C68">
        <w:t>) at the NOAEL for oral administration in monkeys (50 mg/kg/day).</w:t>
      </w:r>
    </w:p>
    <w:p w:rsidR="003D0090" w:rsidRPr="00D604E2" w:rsidRDefault="003D0090" w:rsidP="00D604E2">
      <w:r w:rsidRPr="00D604E2">
        <w:t xml:space="preserve">There is limited PK data available in subjects with impetigo </w:t>
      </w:r>
      <w:r w:rsidR="00A70FF1">
        <w:t xml:space="preserve">or </w:t>
      </w:r>
      <w:r w:rsidRPr="00D604E2">
        <w:t xml:space="preserve">SID. </w:t>
      </w:r>
      <w:r w:rsidR="00A70FF1">
        <w:t>However, t</w:t>
      </w:r>
      <w:r w:rsidRPr="00D604E2">
        <w:t>he systemic exposures in subjects with impetigo or SID are likely comparable to or less than those observed in subjects with SITL and other uncomplicated bacterial skin infections bas</w:t>
      </w:r>
      <w:r w:rsidR="00020DAB">
        <w:t>ed on depth and size of wounds.</w:t>
      </w:r>
    </w:p>
    <w:p w:rsidR="003D0090" w:rsidRPr="003F5C68" w:rsidRDefault="003D0090" w:rsidP="003F5C68">
      <w:r w:rsidRPr="003F5C68">
        <w:t>Study TOC101825 evaluated the PK of 1% retapamulin</w:t>
      </w:r>
      <w:r w:rsidR="00AA4A79">
        <w:t>,</w:t>
      </w:r>
      <w:r w:rsidRPr="003F5C68">
        <w:t xml:space="preserve"> applied to abraded skin</w:t>
      </w:r>
      <w:r w:rsidR="00AA4A79">
        <w:t>,</w:t>
      </w:r>
      <w:r w:rsidRPr="003F5C68">
        <w:t xml:space="preserve"> with and without oral ketoconazole, a potent </w:t>
      </w:r>
      <w:r w:rsidR="00D604E2">
        <w:t xml:space="preserve">inhibitor of </w:t>
      </w:r>
      <w:r w:rsidRPr="003F5C68">
        <w:t xml:space="preserve">CYP3A4 and </w:t>
      </w:r>
      <w:r w:rsidR="00D604E2">
        <w:t>the P</w:t>
      </w:r>
      <w:r w:rsidR="00A2509B">
        <w:t>-</w:t>
      </w:r>
      <w:proofErr w:type="spellStart"/>
      <w:r w:rsidR="00D604E2">
        <w:t>gp</w:t>
      </w:r>
      <w:proofErr w:type="spellEnd"/>
      <w:r w:rsidR="00D604E2">
        <w:t xml:space="preserve"> transporter</w:t>
      </w:r>
      <w:r w:rsidRPr="003F5C68">
        <w:t xml:space="preserve">. Ketoconazole increased the retapamulin </w:t>
      </w:r>
      <w:proofErr w:type="gramStart"/>
      <w:r w:rsidRPr="003F5C68">
        <w:t>AUC</w:t>
      </w:r>
      <w:r w:rsidRPr="00D604E2">
        <w:rPr>
          <w:vertAlign w:val="subscript"/>
        </w:rPr>
        <w:t>(</w:t>
      </w:r>
      <w:proofErr w:type="gramEnd"/>
      <w:r w:rsidRPr="00D604E2">
        <w:rPr>
          <w:vertAlign w:val="subscript"/>
        </w:rPr>
        <w:t>0-24</w:t>
      </w:r>
      <w:r w:rsidR="00D604E2">
        <w:rPr>
          <w:vertAlign w:val="subscript"/>
        </w:rPr>
        <w:t xml:space="preserve"> h</w:t>
      </w:r>
      <w:r w:rsidRPr="00D604E2">
        <w:rPr>
          <w:vertAlign w:val="subscript"/>
        </w:rPr>
        <w:t>)</w:t>
      </w:r>
      <w:r w:rsidRPr="003F5C68">
        <w:t xml:space="preserve"> and </w:t>
      </w:r>
      <w:proofErr w:type="spellStart"/>
      <w:r w:rsidRPr="003F5C68">
        <w:t>C</w:t>
      </w:r>
      <w:r w:rsidRPr="00D604E2">
        <w:rPr>
          <w:vertAlign w:val="subscript"/>
        </w:rPr>
        <w:t>max</w:t>
      </w:r>
      <w:proofErr w:type="spellEnd"/>
      <w:r w:rsidRPr="003F5C68">
        <w:t xml:space="preserve"> by about 80%. Due to the minimal systemic exposure, the magnitude of the increase is unlikely to increase the i</w:t>
      </w:r>
      <w:r w:rsidR="00AA4A79">
        <w:t>ncidence of AEs</w:t>
      </w:r>
      <w:r w:rsidRPr="003F5C68">
        <w:t xml:space="preserve"> or to require retapamulin dosage adjustments when it is co-administered with oral CYP3A4/</w:t>
      </w:r>
      <w:proofErr w:type="spellStart"/>
      <w:r w:rsidRPr="003F5C68">
        <w:t>Pgp</w:t>
      </w:r>
      <w:proofErr w:type="spellEnd"/>
      <w:r w:rsidRPr="003F5C68">
        <w:t xml:space="preserve"> inhibitors (Study TOC101825, Study 029, Study 030A and Study 030B).</w:t>
      </w:r>
    </w:p>
    <w:p w:rsidR="003D0090" w:rsidRPr="003F5C68" w:rsidRDefault="003D0090" w:rsidP="003F5C68">
      <w:r w:rsidRPr="003F5C68">
        <w:t xml:space="preserve">Systemic exposure following 1% retapamulin (200 mg BD) applied to the anterior </w:t>
      </w:r>
      <w:proofErr w:type="spellStart"/>
      <w:r w:rsidRPr="003F5C68">
        <w:t>nares</w:t>
      </w:r>
      <w:proofErr w:type="spellEnd"/>
      <w:r w:rsidRPr="003F5C68">
        <w:t xml:space="preserve"> of healthy subjects colonized with </w:t>
      </w:r>
      <w:r w:rsidRPr="00AA4A79">
        <w:rPr>
          <w:i/>
          <w:iCs/>
        </w:rPr>
        <w:t>S. aureus</w:t>
      </w:r>
      <w:r w:rsidRPr="003F5C68">
        <w:t xml:space="preserve"> was evaluated in Study ALB110247. The highest </w:t>
      </w:r>
      <w:proofErr w:type="gramStart"/>
      <w:r w:rsidRPr="003F5C68">
        <w:t>AUC</w:t>
      </w:r>
      <w:r w:rsidRPr="00D604E2">
        <w:rPr>
          <w:vertAlign w:val="subscript"/>
        </w:rPr>
        <w:t>(</w:t>
      </w:r>
      <w:proofErr w:type="gramEnd"/>
      <w:r w:rsidRPr="00D604E2">
        <w:rPr>
          <w:vertAlign w:val="subscript"/>
        </w:rPr>
        <w:t>0-t)</w:t>
      </w:r>
      <w:r w:rsidRPr="003F5C68">
        <w:t xml:space="preserve"> and </w:t>
      </w:r>
      <w:proofErr w:type="spellStart"/>
      <w:r w:rsidRPr="003F5C68">
        <w:t>C</w:t>
      </w:r>
      <w:r w:rsidRPr="00D604E2">
        <w:rPr>
          <w:vertAlign w:val="subscript"/>
        </w:rPr>
        <w:t>max</w:t>
      </w:r>
      <w:proofErr w:type="spellEnd"/>
      <w:r w:rsidRPr="003F5C68">
        <w:t xml:space="preserve"> in this study w</w:t>
      </w:r>
      <w:r w:rsidR="00AA4A79">
        <w:t xml:space="preserve">as </w:t>
      </w:r>
      <w:r w:rsidRPr="003F5C68">
        <w:t xml:space="preserve">24.1 </w:t>
      </w:r>
      <w:proofErr w:type="spellStart"/>
      <w:r w:rsidRPr="003F5C68">
        <w:t>ng·h</w:t>
      </w:r>
      <w:proofErr w:type="spellEnd"/>
      <w:r w:rsidRPr="003F5C68">
        <w:t>/</w:t>
      </w:r>
      <w:proofErr w:type="spellStart"/>
      <w:r w:rsidRPr="003F5C68">
        <w:t>mL</w:t>
      </w:r>
      <w:proofErr w:type="spellEnd"/>
      <w:r w:rsidRPr="003F5C68">
        <w:t xml:space="preserve"> and 2.74 </w:t>
      </w:r>
      <w:proofErr w:type="spellStart"/>
      <w:r w:rsidRPr="003F5C68">
        <w:t>ng</w:t>
      </w:r>
      <w:proofErr w:type="spellEnd"/>
      <w:r w:rsidRPr="003F5C68">
        <w:t>/</w:t>
      </w:r>
      <w:proofErr w:type="spellStart"/>
      <w:r w:rsidRPr="003F5C68">
        <w:t>mL</w:t>
      </w:r>
      <w:proofErr w:type="spellEnd"/>
      <w:r w:rsidRPr="003F5C68">
        <w:t>, respectively.</w:t>
      </w:r>
    </w:p>
    <w:p w:rsidR="00AA4A79" w:rsidRDefault="003D0090" w:rsidP="003F5C68">
      <w:r w:rsidRPr="003F5C68">
        <w:t>Due to the very low systemic exposures, the elimination half-life following retapamulin ointment could not be determined in Study 026 or Study TOC101825. Tissue distribution and elimination of retapamulin has not been investigated in humans. No PK data are available in patients wi</w:t>
      </w:r>
      <w:r w:rsidR="00020DAB">
        <w:t>th renal or hepatic impairment.</w:t>
      </w:r>
    </w:p>
    <w:p w:rsidR="003D0090" w:rsidRPr="00AA4A79" w:rsidRDefault="003D0090" w:rsidP="00AA4A79">
      <w:r w:rsidRPr="00AA4A79">
        <w:t>The Phase IV study (TOC106489) assessed the ret</w:t>
      </w:r>
      <w:r w:rsidR="00AE1385">
        <w:t>apamulin exposure in children ≤</w:t>
      </w:r>
      <w:r w:rsidRPr="00AA4A79">
        <w:t>2 years of age: 46% of PK samples had measurable r</w:t>
      </w:r>
      <w:r w:rsidR="00D604E2" w:rsidRPr="00AA4A79">
        <w:t>etapamulin levels (range 0.52-</w:t>
      </w:r>
      <w:r w:rsidRPr="00AA4A79">
        <w:t xml:space="preserve">177.3 </w:t>
      </w:r>
      <w:proofErr w:type="spellStart"/>
      <w:r w:rsidRPr="00AA4A79">
        <w:t>ng</w:t>
      </w:r>
      <w:proofErr w:type="spellEnd"/>
      <w:r w:rsidRPr="00AA4A79">
        <w:t xml:space="preserve">/ml) and 75% of which were &lt;5.0 </w:t>
      </w:r>
      <w:proofErr w:type="spellStart"/>
      <w:r w:rsidRPr="00AA4A79">
        <w:t>ng</w:t>
      </w:r>
      <w:proofErr w:type="spellEnd"/>
      <w:r w:rsidRPr="00AA4A79">
        <w:t>/</w:t>
      </w:r>
      <w:proofErr w:type="spellStart"/>
      <w:r w:rsidRPr="00AA4A79">
        <w:t>mL.</w:t>
      </w:r>
      <w:proofErr w:type="spellEnd"/>
      <w:r w:rsidRPr="00AA4A79">
        <w:t xml:space="preserve"> Measurable concentrations were more common in younger subjects, with a minority of subjects having retapamulin concentrations above that previously recorded in paediatric subjects </w:t>
      </w:r>
      <w:proofErr w:type="gramStart"/>
      <w:r w:rsidRPr="00AA4A79">
        <w:t xml:space="preserve">(18.5 </w:t>
      </w:r>
      <w:proofErr w:type="spellStart"/>
      <w:r w:rsidRPr="00AA4A79">
        <w:t>ng</w:t>
      </w:r>
      <w:proofErr w:type="spellEnd"/>
      <w:r w:rsidRPr="00AA4A79">
        <w:t>/</w:t>
      </w:r>
      <w:proofErr w:type="spellStart"/>
      <w:r w:rsidRPr="00AA4A79">
        <w:t>mL</w:t>
      </w:r>
      <w:proofErr w:type="spellEnd"/>
      <w:r w:rsidRPr="00AA4A79">
        <w:t>)</w:t>
      </w:r>
      <w:proofErr w:type="gramEnd"/>
      <w:r w:rsidRPr="00AA4A79">
        <w:t>. Relative wound size and subsequent treatment may have affected systemic exposure to retapamulin.</w:t>
      </w:r>
    </w:p>
    <w:p w:rsidR="003D0090" w:rsidRPr="003D0090" w:rsidRDefault="00020DAB" w:rsidP="00D604E2">
      <w:pPr>
        <w:pStyle w:val="Heading4"/>
      </w:pPr>
      <w:proofErr w:type="spellStart"/>
      <w:r>
        <w:t>Pharmacodynamics</w:t>
      </w:r>
      <w:proofErr w:type="spellEnd"/>
    </w:p>
    <w:p w:rsidR="00D604E2" w:rsidRDefault="003D0090" w:rsidP="003D0090">
      <w:r w:rsidRPr="003D0090">
        <w:t xml:space="preserve">Retapamulin ointment was shown to be well-tolerated (Study 025, 026, 027, and TOC101825). The studies examining local irritation, sensitisation and effects on </w:t>
      </w:r>
      <w:proofErr w:type="spellStart"/>
      <w:r w:rsidRPr="003D0090">
        <w:t>QTc</w:t>
      </w:r>
      <w:proofErr w:type="spellEnd"/>
      <w:r w:rsidRPr="003D0090">
        <w:t xml:space="preserve"> </w:t>
      </w:r>
      <w:r w:rsidR="00AA4A79">
        <w:t xml:space="preserve">interval </w:t>
      </w:r>
      <w:r w:rsidRPr="003D0090">
        <w:t xml:space="preserve">indicated that these were not likely to be issues, even </w:t>
      </w:r>
      <w:r w:rsidR="00AE1385">
        <w:t>when r</w:t>
      </w:r>
      <w:r w:rsidR="00AE1385" w:rsidRPr="00AE1385">
        <w:t xml:space="preserve">etapamulin ointment </w:t>
      </w:r>
      <w:r w:rsidR="00AE1385">
        <w:t xml:space="preserve">is used </w:t>
      </w:r>
      <w:r w:rsidRPr="003D0090">
        <w:t>in combination with CYP3A4 inhibitors. On intact and abraded skin, 1% retapamulin ointment was not a primary or cumulative irritant after daily 24 h</w:t>
      </w:r>
      <w:r w:rsidR="00AE1385">
        <w:t xml:space="preserve"> </w:t>
      </w:r>
      <w:r w:rsidRPr="003D0090">
        <w:t>application for 2 days and 21/14 days (Study 025). Only 1 of 206 subjects in Study 027 demonstrated sensitisation upon challenge and re-challenge to retapamulin ointment, 1% and 2%. In post-hoc analyses of ECGs from healthy adults from studies 026 and TOC101825 (N=103), no significant effects on QT/</w:t>
      </w:r>
      <w:proofErr w:type="spellStart"/>
      <w:r w:rsidRPr="003D0090">
        <w:t>QTc</w:t>
      </w:r>
      <w:proofErr w:type="spellEnd"/>
      <w:r w:rsidRPr="003D0090">
        <w:t xml:space="preserve"> </w:t>
      </w:r>
      <w:r w:rsidR="00AA4A79">
        <w:t xml:space="preserve">interval </w:t>
      </w:r>
      <w:r w:rsidRPr="003D0090">
        <w:t>were observed after topical use of retapamu</w:t>
      </w:r>
      <w:r w:rsidR="00020DAB">
        <w:t>lin on intact and abraded skin.</w:t>
      </w:r>
    </w:p>
    <w:p w:rsidR="003D0090" w:rsidRPr="003D0090" w:rsidRDefault="003D0090" w:rsidP="003D0090">
      <w:r w:rsidRPr="003D0090">
        <w:lastRenderedPageBreak/>
        <w:t xml:space="preserve">Due to low systemic exposure to retapamulin, it is considered that </w:t>
      </w:r>
      <w:proofErr w:type="spellStart"/>
      <w:r w:rsidRPr="003D0090">
        <w:t>QTc</w:t>
      </w:r>
      <w:proofErr w:type="spellEnd"/>
      <w:r w:rsidRPr="003D0090">
        <w:t xml:space="preserve"> interval prolongation is unlikely to occur in the patient population</w:t>
      </w:r>
      <w:r w:rsidR="00AE1385">
        <w:t xml:space="preserve"> treated with r</w:t>
      </w:r>
      <w:r w:rsidR="00AE1385" w:rsidRPr="00AE1385">
        <w:t>etapamulin ointment</w:t>
      </w:r>
      <w:r w:rsidRPr="003D0090">
        <w:t xml:space="preserve"> with or without co-administration of CYP3A4 or </w:t>
      </w:r>
      <w:proofErr w:type="spellStart"/>
      <w:r w:rsidRPr="003D0090">
        <w:t>Pgp</w:t>
      </w:r>
      <w:proofErr w:type="spellEnd"/>
      <w:r w:rsidRPr="003D0090">
        <w:t xml:space="preserve"> inhibitors.</w:t>
      </w:r>
    </w:p>
    <w:p w:rsidR="00BE20FA" w:rsidRDefault="003D0090" w:rsidP="003D0090">
      <w:r w:rsidRPr="003D0090">
        <w:t xml:space="preserve">The global surveillance study assessed the </w:t>
      </w:r>
      <w:r w:rsidRPr="00D604E2">
        <w:rPr>
          <w:i/>
          <w:iCs/>
        </w:rPr>
        <w:t>in vitro</w:t>
      </w:r>
      <w:r w:rsidRPr="003D0090">
        <w:t xml:space="preserve"> retapamulin MIC</w:t>
      </w:r>
      <w:r w:rsidRPr="00D604E2">
        <w:rPr>
          <w:vertAlign w:val="subscript"/>
        </w:rPr>
        <w:t>50</w:t>
      </w:r>
      <w:r w:rsidRPr="003D0090">
        <w:t xml:space="preserve"> and MIC</w:t>
      </w:r>
      <w:r w:rsidRPr="003D0090">
        <w:rPr>
          <w:vertAlign w:val="subscript"/>
        </w:rPr>
        <w:t>90</w:t>
      </w:r>
      <w:r w:rsidRPr="003D0090">
        <w:t xml:space="preserve"> against 975 global isolates of </w:t>
      </w:r>
      <w:proofErr w:type="spellStart"/>
      <w:r w:rsidRPr="003D0090">
        <w:t>coagulase</w:t>
      </w:r>
      <w:proofErr w:type="spellEnd"/>
      <w:r w:rsidRPr="003D0090">
        <w:t>-negative staphylococci (</w:t>
      </w:r>
      <w:proofErr w:type="spellStart"/>
      <w:r w:rsidRPr="003D0090">
        <w:t>CoNS</w:t>
      </w:r>
      <w:proofErr w:type="spellEnd"/>
      <w:r w:rsidRPr="003D0090">
        <w:t xml:space="preserve">). Retapamulin demonstrated excellent activity against isolates of </w:t>
      </w:r>
      <w:proofErr w:type="spellStart"/>
      <w:r w:rsidRPr="003D0090">
        <w:t>CoNS</w:t>
      </w:r>
      <w:proofErr w:type="spellEnd"/>
      <w:r w:rsidRPr="003D0090">
        <w:t xml:space="preserve">, </w:t>
      </w:r>
      <w:r w:rsidRPr="003D0090">
        <w:rPr>
          <w:i/>
        </w:rPr>
        <w:t xml:space="preserve">S. </w:t>
      </w:r>
      <w:proofErr w:type="spellStart"/>
      <w:r w:rsidRPr="003D0090">
        <w:rPr>
          <w:i/>
        </w:rPr>
        <w:t>agalactiae</w:t>
      </w:r>
      <w:proofErr w:type="spellEnd"/>
      <w:r w:rsidRPr="003D0090">
        <w:t xml:space="preserve"> and </w:t>
      </w:r>
      <w:proofErr w:type="spellStart"/>
      <w:r w:rsidRPr="003D0090">
        <w:t>viridans</w:t>
      </w:r>
      <w:proofErr w:type="spellEnd"/>
      <w:r w:rsidRPr="003D0090">
        <w:t xml:space="preserve"> streptococci. All isolates of </w:t>
      </w:r>
      <w:proofErr w:type="spellStart"/>
      <w:r w:rsidRPr="003D0090">
        <w:t>CoNS</w:t>
      </w:r>
      <w:proofErr w:type="spellEnd"/>
      <w:r w:rsidRPr="003D0090">
        <w:t xml:space="preserve"> were inhibited by ≤ 0.5 μg/mL of retapamulin. The MIC</w:t>
      </w:r>
      <w:r w:rsidRPr="003D0090">
        <w:rPr>
          <w:vertAlign w:val="subscript"/>
        </w:rPr>
        <w:t>50</w:t>
      </w:r>
      <w:r w:rsidRPr="003D0090">
        <w:t xml:space="preserve"> and MIC</w:t>
      </w:r>
      <w:r w:rsidRPr="003D0090">
        <w:rPr>
          <w:vertAlign w:val="subscript"/>
        </w:rPr>
        <w:t>90</w:t>
      </w:r>
      <w:r w:rsidRPr="003D0090">
        <w:t xml:space="preserve"> for retapamulin were 0.06 and 0.25 μg/mL, respectively, against the 930 isolates of </w:t>
      </w:r>
      <w:proofErr w:type="spellStart"/>
      <w:r w:rsidRPr="003D0090">
        <w:t>viridans</w:t>
      </w:r>
      <w:proofErr w:type="spellEnd"/>
      <w:r w:rsidRPr="003D0090">
        <w:t xml:space="preserve"> streptococci. Retapamulin inhibited all isolates of </w:t>
      </w:r>
      <w:proofErr w:type="spellStart"/>
      <w:r w:rsidRPr="003D0090">
        <w:t>viridans</w:t>
      </w:r>
      <w:proofErr w:type="spellEnd"/>
      <w:r w:rsidRPr="003D0090">
        <w:t xml:space="preserve"> streptococci at ≤ 0.5 μg/mL. The percentage of MRSA recovered in the global surveillance study was 32.8% globally, 36.9% in North Ameri</w:t>
      </w:r>
      <w:r w:rsidR="00AE1385">
        <w:t>ca, 29.8% in Europe, and 18.4% i</w:t>
      </w:r>
      <w:r w:rsidRPr="003D0090">
        <w:t>nternational</w:t>
      </w:r>
      <w:r w:rsidR="00AA4A79">
        <w:t>ly</w:t>
      </w:r>
      <w:r w:rsidRPr="003D0090">
        <w:t xml:space="preserve">. Regardless of resistance phenotype (MRSA, </w:t>
      </w:r>
      <w:proofErr w:type="spellStart"/>
      <w:r w:rsidRPr="003D0090">
        <w:t>macrolide</w:t>
      </w:r>
      <w:proofErr w:type="spellEnd"/>
      <w:r w:rsidRPr="003D0090">
        <w:t xml:space="preserve">-resistant, </w:t>
      </w:r>
      <w:proofErr w:type="spellStart"/>
      <w:r w:rsidRPr="003D0090">
        <w:t>mupirocin</w:t>
      </w:r>
      <w:proofErr w:type="spellEnd"/>
      <w:r w:rsidRPr="003D0090">
        <w:t xml:space="preserve">-resistant and </w:t>
      </w:r>
      <w:proofErr w:type="spellStart"/>
      <w:r w:rsidRPr="003D0090">
        <w:t>fusidic</w:t>
      </w:r>
      <w:proofErr w:type="spellEnd"/>
      <w:r w:rsidRPr="003D0090">
        <w:t xml:space="preserve"> acid-resistant </w:t>
      </w:r>
      <w:r w:rsidRPr="00BE20FA">
        <w:rPr>
          <w:i/>
          <w:iCs/>
        </w:rPr>
        <w:t>S. aureus</w:t>
      </w:r>
      <w:r w:rsidRPr="003D0090">
        <w:t>) or geographic region from which isolates were collected, retapamulin had MIC</w:t>
      </w:r>
      <w:r w:rsidRPr="003D0090">
        <w:rPr>
          <w:vertAlign w:val="subscript"/>
        </w:rPr>
        <w:t>50</w:t>
      </w:r>
      <w:r w:rsidRPr="003D0090">
        <w:t xml:space="preserve"> and MIC</w:t>
      </w:r>
      <w:r w:rsidRPr="003D0090">
        <w:rPr>
          <w:vertAlign w:val="subscript"/>
        </w:rPr>
        <w:t>90</w:t>
      </w:r>
      <w:r w:rsidRPr="003D0090">
        <w:t xml:space="preserve"> of 0.06 and </w:t>
      </w:r>
      <w:proofErr w:type="gramStart"/>
      <w:r w:rsidRPr="003D0090">
        <w:t>0.12 μg/mL, respectively,</w:t>
      </w:r>
      <w:proofErr w:type="gramEnd"/>
      <w:r w:rsidRPr="003D0090">
        <w:t xml:space="preserve"> and was t</w:t>
      </w:r>
      <w:r w:rsidR="00020DAB">
        <w:t>he most active compound tested.</w:t>
      </w:r>
    </w:p>
    <w:p w:rsidR="003D0090" w:rsidRPr="003D0090" w:rsidRDefault="003D0090" w:rsidP="003D0090">
      <w:r w:rsidRPr="003D0090">
        <w:t xml:space="preserve">Overall, retapamulin demonstrated good </w:t>
      </w:r>
      <w:r w:rsidRPr="00BE20FA">
        <w:rPr>
          <w:i/>
          <w:iCs/>
        </w:rPr>
        <w:t>in vitro</w:t>
      </w:r>
      <w:r w:rsidRPr="003D0090">
        <w:t xml:space="preserve"> activity against gram-positive bacteria commonly associated with skin infections and a low propensity for development of resistance </w:t>
      </w:r>
      <w:r w:rsidRPr="00BE20FA">
        <w:rPr>
          <w:i/>
          <w:iCs/>
        </w:rPr>
        <w:t>in vitro</w:t>
      </w:r>
      <w:r w:rsidRPr="003D0090">
        <w:t>.</w:t>
      </w:r>
    </w:p>
    <w:p w:rsidR="003D0090" w:rsidRPr="003D0090" w:rsidRDefault="003D0090" w:rsidP="003D0090">
      <w:r w:rsidRPr="003D0090">
        <w:t>Results from Phase I studies indicated that the 1% formulation was the maximal tolerated concentration when used under</w:t>
      </w:r>
      <w:r w:rsidR="00BE20FA">
        <w:t xml:space="preserve"> proposed conditions. The </w:t>
      </w:r>
      <w:r w:rsidRPr="003D0090">
        <w:t xml:space="preserve">BD dosing was proposed based on studies conducted in animal models. </w:t>
      </w:r>
      <w:r w:rsidR="00906973">
        <w:t xml:space="preserve">The </w:t>
      </w:r>
      <w:r w:rsidRPr="003D0090">
        <w:t xml:space="preserve">1% formulation BD </w:t>
      </w:r>
      <w:r w:rsidR="00BE20FA" w:rsidRPr="003D0090">
        <w:t>regimen</w:t>
      </w:r>
      <w:r w:rsidRPr="003D0090">
        <w:t xml:space="preserve"> was selected for use in Phase III studies.</w:t>
      </w:r>
    </w:p>
    <w:p w:rsidR="003D0090" w:rsidRPr="003D0090" w:rsidRDefault="007C7BE6" w:rsidP="00BE20FA">
      <w:pPr>
        <w:pStyle w:val="Heading4"/>
      </w:pPr>
      <w:r>
        <w:t>Antibiotics r</w:t>
      </w:r>
      <w:r w:rsidR="003D0090" w:rsidRPr="003D0090">
        <w:t xml:space="preserve">esistance </w:t>
      </w:r>
      <w:r>
        <w:t>r</w:t>
      </w:r>
      <w:r w:rsidR="003D0090" w:rsidRPr="003D0090">
        <w:t xml:space="preserve">isk </w:t>
      </w:r>
      <w:r>
        <w:t>a</w:t>
      </w:r>
      <w:r w:rsidR="003D0090" w:rsidRPr="003D0090">
        <w:t xml:space="preserve">ssessment </w:t>
      </w:r>
    </w:p>
    <w:p w:rsidR="003D0090" w:rsidRPr="003D0090" w:rsidRDefault="007C7BE6" w:rsidP="00BE20FA">
      <w:pPr>
        <w:pStyle w:val="Heading5"/>
      </w:pPr>
      <w:r>
        <w:t>Australian s</w:t>
      </w:r>
      <w:r w:rsidR="003D0090" w:rsidRPr="003D0090">
        <w:t xml:space="preserve">tudies of </w:t>
      </w:r>
      <w:r>
        <w:t>s</w:t>
      </w:r>
      <w:r w:rsidR="003D0090" w:rsidRPr="003D0090">
        <w:t xml:space="preserve">usceptibility </w:t>
      </w:r>
      <w:r>
        <w:t>a</w:t>
      </w:r>
      <w:r w:rsidR="003D0090" w:rsidRPr="003D0090">
        <w:t>ssessment</w:t>
      </w:r>
    </w:p>
    <w:p w:rsidR="00AE5570" w:rsidRDefault="003D0090" w:rsidP="003D0090">
      <w:r w:rsidRPr="003D0090">
        <w:t xml:space="preserve">A number of studies were conducted to assess the </w:t>
      </w:r>
      <w:r w:rsidRPr="00906973">
        <w:rPr>
          <w:i/>
          <w:iCs/>
        </w:rPr>
        <w:t>in vitro</w:t>
      </w:r>
      <w:r w:rsidRPr="003D0090">
        <w:t xml:space="preserve"> susceptibility of clinical isolates of staphylococci, </w:t>
      </w:r>
      <w:r w:rsidRPr="00AE5570">
        <w:rPr>
          <w:i/>
          <w:iCs/>
        </w:rPr>
        <w:t>S. pyogenes</w:t>
      </w:r>
      <w:r w:rsidRPr="003D0090">
        <w:t xml:space="preserve">, and </w:t>
      </w:r>
      <w:r w:rsidRPr="00AE5570">
        <w:rPr>
          <w:i/>
          <w:iCs/>
        </w:rPr>
        <w:t>P</w:t>
      </w:r>
      <w:r w:rsidR="00AE5570" w:rsidRPr="00AE5570">
        <w:rPr>
          <w:i/>
          <w:iCs/>
        </w:rPr>
        <w:t xml:space="preserve">. </w:t>
      </w:r>
      <w:r w:rsidRPr="00AE5570">
        <w:rPr>
          <w:i/>
          <w:iCs/>
        </w:rPr>
        <w:t>acnes</w:t>
      </w:r>
      <w:r w:rsidRPr="003D0090">
        <w:t xml:space="preserve"> from within Australia. The first study assessed current retapamulin </w:t>
      </w:r>
      <w:r w:rsidRPr="00AE5570">
        <w:rPr>
          <w:i/>
          <w:iCs/>
        </w:rPr>
        <w:t>in vitro</w:t>
      </w:r>
      <w:r w:rsidRPr="003D0090">
        <w:t xml:space="preserve"> activity and spectrum against 1</w:t>
      </w:r>
      <w:r w:rsidR="00AE5570">
        <w:t>,</w:t>
      </w:r>
      <w:r w:rsidRPr="003D0090">
        <w:t xml:space="preserve">166 </w:t>
      </w:r>
      <w:proofErr w:type="spellStart"/>
      <w:r w:rsidRPr="003D0090">
        <w:rPr>
          <w:i/>
        </w:rPr>
        <w:t>S.aureus</w:t>
      </w:r>
      <w:proofErr w:type="spellEnd"/>
      <w:r w:rsidRPr="003D0090">
        <w:t xml:space="preserve">, 23 </w:t>
      </w:r>
      <w:proofErr w:type="spellStart"/>
      <w:r w:rsidRPr="003D0090">
        <w:t>CoNS</w:t>
      </w:r>
      <w:proofErr w:type="spellEnd"/>
      <w:r w:rsidRPr="003D0090">
        <w:t xml:space="preserve"> and 111 </w:t>
      </w:r>
      <w:r w:rsidRPr="00AE5570">
        <w:rPr>
          <w:i/>
          <w:iCs/>
        </w:rPr>
        <w:t>S. pyogenes</w:t>
      </w:r>
      <w:r w:rsidRPr="003D0090">
        <w:t xml:space="preserve"> clinical is</w:t>
      </w:r>
      <w:r w:rsidR="00AE5570">
        <w:t>olates recovered from hospitalis</w:t>
      </w:r>
      <w:r w:rsidRPr="003D0090">
        <w:t xml:space="preserve">ed patients with documented infection in Australia (TOC1165567). All organisms were collected as part of the SENTRY Antimicrobial Surveillance Program from 2009 to 2010 for Australia. Retapamulin demonstrated very good activity against </w:t>
      </w:r>
      <w:r w:rsidRPr="003D0090">
        <w:rPr>
          <w:i/>
        </w:rPr>
        <w:t>S.</w:t>
      </w:r>
      <w:r w:rsidR="00906973">
        <w:rPr>
          <w:i/>
        </w:rPr>
        <w:t xml:space="preserve"> </w:t>
      </w:r>
      <w:r w:rsidRPr="003D0090">
        <w:rPr>
          <w:i/>
        </w:rPr>
        <w:t>aureus</w:t>
      </w:r>
      <w:r w:rsidRPr="003D0090">
        <w:t xml:space="preserve"> isolates (MIC</w:t>
      </w:r>
      <w:r w:rsidRPr="00AE5570">
        <w:rPr>
          <w:vertAlign w:val="subscript"/>
        </w:rPr>
        <w:t>50/90</w:t>
      </w:r>
      <w:r w:rsidRPr="003D0090">
        <w:t xml:space="preserve"> = 0.06/0.12 mg/L), regardless of susceptibility to </w:t>
      </w:r>
      <w:proofErr w:type="spellStart"/>
      <w:r w:rsidRPr="003D0090">
        <w:t>oxacillin</w:t>
      </w:r>
      <w:proofErr w:type="spellEnd"/>
      <w:r w:rsidRPr="003D0090">
        <w:t xml:space="preserve"> or </w:t>
      </w:r>
      <w:proofErr w:type="spellStart"/>
      <w:r w:rsidRPr="003D0090">
        <w:t>mupirocin</w:t>
      </w:r>
      <w:proofErr w:type="spellEnd"/>
      <w:r w:rsidRPr="003D0090">
        <w:t>, and inhibited all strains at ≤ 0.25 mg/L, except for 2 strains with rep</w:t>
      </w:r>
      <w:r w:rsidR="00020DAB">
        <w:t>roducible MIC values of 2 mg/L.</w:t>
      </w:r>
    </w:p>
    <w:p w:rsidR="003D0090" w:rsidRPr="003D0090" w:rsidRDefault="003D0090" w:rsidP="003D0090">
      <w:r w:rsidRPr="003D0090">
        <w:t>M</w:t>
      </w:r>
      <w:r w:rsidR="00AE5570">
        <w:t xml:space="preserve">inimum inhibitory concentration </w:t>
      </w:r>
      <w:r w:rsidRPr="003D0090">
        <w:t xml:space="preserve">results against </w:t>
      </w:r>
      <w:proofErr w:type="spellStart"/>
      <w:r w:rsidRPr="003D0090">
        <w:t>CoNS</w:t>
      </w:r>
      <w:proofErr w:type="spellEnd"/>
      <w:r w:rsidRPr="003D0090">
        <w:t xml:space="preserve"> (MIC</w:t>
      </w:r>
      <w:r w:rsidRPr="00AE5570">
        <w:rPr>
          <w:vertAlign w:val="subscript"/>
        </w:rPr>
        <w:t>50/90</w:t>
      </w:r>
      <w:r w:rsidRPr="003D0090">
        <w:t xml:space="preserve"> =0.06/0.05 mg/L) strains were equivalent to those obtained against </w:t>
      </w:r>
      <w:r w:rsidRPr="003D0090">
        <w:rPr>
          <w:i/>
        </w:rPr>
        <w:t>S. aureus</w:t>
      </w:r>
      <w:r w:rsidRPr="003D0090">
        <w:t xml:space="preserve"> (MIC</w:t>
      </w:r>
      <w:r w:rsidRPr="00AE5570">
        <w:rPr>
          <w:vertAlign w:val="subscript"/>
        </w:rPr>
        <w:t>50/90</w:t>
      </w:r>
      <w:r w:rsidRPr="003D0090">
        <w:t>, 0.06/0.12 mg/L). Higher MIC</w:t>
      </w:r>
      <w:r w:rsidRPr="00AE5570">
        <w:rPr>
          <w:vertAlign w:val="subscript"/>
        </w:rPr>
        <w:t>90</w:t>
      </w:r>
      <w:r w:rsidRPr="003D0090">
        <w:t xml:space="preserve"> values were observed against </w:t>
      </w:r>
      <w:proofErr w:type="spellStart"/>
      <w:r w:rsidRPr="003D0090">
        <w:t>CoNS</w:t>
      </w:r>
      <w:proofErr w:type="spellEnd"/>
      <w:r w:rsidRPr="003D0090">
        <w:t xml:space="preserve"> due to a small sample size (23 isolates) and detection of 3 isolates with non-wild type MIC results (0.5 to 32 mg/L). Retapamulin demonstrated very good MIC</w:t>
      </w:r>
      <w:r w:rsidRPr="00AE5570">
        <w:rPr>
          <w:vertAlign w:val="subscript"/>
        </w:rPr>
        <w:t>50/90</w:t>
      </w:r>
      <w:r w:rsidRPr="003D0090">
        <w:t xml:space="preserve"> (≤ 0.015/≤ 0.015 mg/L) when tested against a collection of clinically relevant </w:t>
      </w:r>
      <w:r w:rsidRPr="00AE5570">
        <w:rPr>
          <w:i/>
          <w:iCs/>
        </w:rPr>
        <w:t xml:space="preserve">S. </w:t>
      </w:r>
      <w:proofErr w:type="spellStart"/>
      <w:r w:rsidRPr="00AE5570">
        <w:rPr>
          <w:i/>
          <w:iCs/>
        </w:rPr>
        <w:t>pyogenes</w:t>
      </w:r>
      <w:proofErr w:type="spellEnd"/>
      <w:r w:rsidR="00020DAB">
        <w:t xml:space="preserve"> isolates.</w:t>
      </w:r>
    </w:p>
    <w:p w:rsidR="003D0090" w:rsidRPr="003D0090" w:rsidRDefault="003D0090" w:rsidP="003D0090">
      <w:r w:rsidRPr="003D0090">
        <w:t xml:space="preserve">The second study evaluated the </w:t>
      </w:r>
      <w:r w:rsidRPr="003D0090">
        <w:rPr>
          <w:i/>
        </w:rPr>
        <w:t>in vitro</w:t>
      </w:r>
      <w:r w:rsidRPr="003D0090">
        <w:t xml:space="preserve"> activity of retapamulin and 7 comparative agents against 107 </w:t>
      </w:r>
      <w:r w:rsidRPr="003D0090">
        <w:rPr>
          <w:i/>
        </w:rPr>
        <w:t>P</w:t>
      </w:r>
      <w:r w:rsidR="00AE5570">
        <w:rPr>
          <w:i/>
        </w:rPr>
        <w:t xml:space="preserve">. </w:t>
      </w:r>
      <w:r w:rsidRPr="003D0090">
        <w:rPr>
          <w:i/>
        </w:rPr>
        <w:t>acnes</w:t>
      </w:r>
      <w:r w:rsidRPr="003D0090">
        <w:t xml:space="preserve"> clinical isolates collected in Australia (TOC116556). Acne skin sources accounted for 86.9% of the isolates (all outpatients) and 13.1% were from blood (all inpatients). All </w:t>
      </w:r>
      <w:r w:rsidRPr="003D0090">
        <w:rPr>
          <w:i/>
        </w:rPr>
        <w:t>P.</w:t>
      </w:r>
      <w:r w:rsidR="00CB217E">
        <w:rPr>
          <w:i/>
        </w:rPr>
        <w:t xml:space="preserve"> </w:t>
      </w:r>
      <w:r w:rsidRPr="003D0090">
        <w:rPr>
          <w:i/>
        </w:rPr>
        <w:t>acnes</w:t>
      </w:r>
      <w:r w:rsidRPr="003D0090">
        <w:t xml:space="preserve"> isolates tested were inhibited by retapamulin at concentrations of ≤1 μg/ml. Retapamulin demonstrated excellent activity against the 107 </w:t>
      </w:r>
      <w:r w:rsidRPr="003D0090">
        <w:rPr>
          <w:i/>
        </w:rPr>
        <w:t>P.</w:t>
      </w:r>
      <w:r w:rsidR="00906973">
        <w:rPr>
          <w:i/>
        </w:rPr>
        <w:t xml:space="preserve"> </w:t>
      </w:r>
      <w:r w:rsidRPr="003D0090">
        <w:rPr>
          <w:i/>
        </w:rPr>
        <w:t>acnes</w:t>
      </w:r>
      <w:r w:rsidRPr="003D0090">
        <w:t xml:space="preserve"> isolates tested, including those highly resistant to </w:t>
      </w:r>
      <w:proofErr w:type="spellStart"/>
      <w:r w:rsidRPr="003D0090">
        <w:t>clindamycin</w:t>
      </w:r>
      <w:proofErr w:type="spellEnd"/>
      <w:r w:rsidRPr="003D0090">
        <w:t xml:space="preserve"> and erythromycin and those with high MICs to neomycin. The MIC</w:t>
      </w:r>
      <w:r w:rsidRPr="00AE5570">
        <w:rPr>
          <w:vertAlign w:val="subscript"/>
        </w:rPr>
        <w:t>50</w:t>
      </w:r>
      <w:r w:rsidRPr="003D0090">
        <w:t xml:space="preserve"> value of retapamulin was 4-fold lower than </w:t>
      </w:r>
      <w:proofErr w:type="spellStart"/>
      <w:r w:rsidRPr="003D0090">
        <w:t>clindamycin</w:t>
      </w:r>
      <w:proofErr w:type="spellEnd"/>
      <w:r w:rsidRPr="003D0090">
        <w:t xml:space="preserve">, </w:t>
      </w:r>
      <w:proofErr w:type="spellStart"/>
      <w:r w:rsidRPr="003D0090">
        <w:t>doxycycline</w:t>
      </w:r>
      <w:proofErr w:type="spellEnd"/>
      <w:r w:rsidRPr="003D0090">
        <w:t xml:space="preserve">, erythromycin, and </w:t>
      </w:r>
      <w:proofErr w:type="spellStart"/>
      <w:r w:rsidRPr="003D0090">
        <w:t>minocycline</w:t>
      </w:r>
      <w:proofErr w:type="spellEnd"/>
      <w:r w:rsidRPr="003D0090">
        <w:t xml:space="preserve">, 16-fold lower than </w:t>
      </w:r>
      <w:proofErr w:type="spellStart"/>
      <w:r w:rsidRPr="003D0090">
        <w:t>bacitracin</w:t>
      </w:r>
      <w:proofErr w:type="spellEnd"/>
      <w:r w:rsidRPr="003D0090">
        <w:t>, and 128-fold lower than neomycin. The MIC</w:t>
      </w:r>
      <w:r w:rsidRPr="00AE5570">
        <w:rPr>
          <w:vertAlign w:val="subscript"/>
        </w:rPr>
        <w:t>90</w:t>
      </w:r>
      <w:r w:rsidRPr="00AE5570">
        <w:t xml:space="preserve"> </w:t>
      </w:r>
      <w:r w:rsidRPr="003D0090">
        <w:t xml:space="preserve">value for retapamulin was equal to </w:t>
      </w:r>
      <w:proofErr w:type="spellStart"/>
      <w:r w:rsidRPr="003D0090">
        <w:t>bacitracin</w:t>
      </w:r>
      <w:proofErr w:type="spellEnd"/>
      <w:r w:rsidRPr="003D0090">
        <w:t>.</w:t>
      </w:r>
    </w:p>
    <w:p w:rsidR="00906973" w:rsidRDefault="003D0090" w:rsidP="003D0090">
      <w:r w:rsidRPr="003D0090">
        <w:lastRenderedPageBreak/>
        <w:t>Overall, in studying more than 16,000</w:t>
      </w:r>
      <w:r w:rsidR="00AE5570">
        <w:t xml:space="preserve"> recent, geographically diverse</w:t>
      </w:r>
      <w:r w:rsidR="00906973">
        <w:t>,</w:t>
      </w:r>
      <w:r w:rsidRPr="003D0090">
        <w:t xml:space="preserve"> clinical isolates of </w:t>
      </w:r>
      <w:r w:rsidRPr="003D0090">
        <w:rPr>
          <w:i/>
          <w:iCs/>
        </w:rPr>
        <w:t xml:space="preserve">S. aureus </w:t>
      </w:r>
      <w:r w:rsidRPr="003D0090">
        <w:t>and</w:t>
      </w:r>
      <w:r w:rsidR="00906973">
        <w:t xml:space="preserve"> </w:t>
      </w:r>
      <w:r w:rsidRPr="003D0090">
        <w:rPr>
          <w:i/>
          <w:iCs/>
        </w:rPr>
        <w:t xml:space="preserve">S. pyogenes </w:t>
      </w:r>
      <w:r w:rsidRPr="003D0090">
        <w:t xml:space="preserve">from pre-clinical studies, global surveillance studies and the clinical program, the vast majority (&gt;99%) of isolates were inhibited by retapamulin concentrations of &lt;2 g/mL. Nineteen isolates with elevated retapamulin MICs of ≥2 μg/mL were identified; these isolates are considered resistant to retapamulin. Of these 19 isolates, the mechanism of resistance was determined to be efflux for 9 isolates and the presence of </w:t>
      </w:r>
      <w:proofErr w:type="spellStart"/>
      <w:r w:rsidRPr="003D0090">
        <w:t>methyltransferase</w:t>
      </w:r>
      <w:proofErr w:type="spellEnd"/>
      <w:r w:rsidRPr="003D0090">
        <w:t xml:space="preserve"> for 1 isolate; the mechanism of res</w:t>
      </w:r>
      <w:r w:rsidR="00AE5570">
        <w:t>istance has not been characteris</w:t>
      </w:r>
      <w:r w:rsidR="00020DAB">
        <w:t>ed for 9 isolates.</w:t>
      </w:r>
    </w:p>
    <w:p w:rsidR="003D0090" w:rsidRPr="003D0090" w:rsidRDefault="003D0090" w:rsidP="003D0090">
      <w:r w:rsidRPr="003D0090">
        <w:t>The development of resistance to retapamulin appears to be low based on the available information.</w:t>
      </w:r>
    </w:p>
    <w:p w:rsidR="003D0090" w:rsidRPr="003D0090" w:rsidRDefault="00020DAB" w:rsidP="00AE5570">
      <w:pPr>
        <w:pStyle w:val="Heading5"/>
      </w:pPr>
      <w:r>
        <w:t>EAGAR i</w:t>
      </w:r>
      <w:r w:rsidR="003D0090" w:rsidRPr="003D0090">
        <w:t xml:space="preserve">mportance </w:t>
      </w:r>
      <w:r>
        <w:t>r</w:t>
      </w:r>
      <w:r w:rsidR="003D0090" w:rsidRPr="003D0090">
        <w:t>ating</w:t>
      </w:r>
    </w:p>
    <w:p w:rsidR="005C625C" w:rsidRDefault="003D0090" w:rsidP="003D0090">
      <w:r w:rsidRPr="003D0090">
        <w:t xml:space="preserve">Under the definitions described for the </w:t>
      </w:r>
      <w:r w:rsidR="00AE5570" w:rsidRPr="00AE5570">
        <w:t xml:space="preserve">Expert Advisory Group on Antimicrobial Resistance </w:t>
      </w:r>
      <w:r w:rsidR="00AE5570">
        <w:t>(</w:t>
      </w:r>
      <w:r w:rsidRPr="003D0090">
        <w:t>EAGAR</w:t>
      </w:r>
      <w:r w:rsidR="00AE5570">
        <w:t>)</w:t>
      </w:r>
      <w:r w:rsidRPr="003D0090">
        <w:t xml:space="preserve"> Importance Rating</w:t>
      </w:r>
      <w:r w:rsidR="00AE5570">
        <w:rPr>
          <w:rStyle w:val="FootnoteReference"/>
        </w:rPr>
        <w:footnoteReference w:id="20"/>
      </w:r>
      <w:r w:rsidRPr="003D0090">
        <w:t>, the significance of Altargo</w:t>
      </w:r>
      <w:r w:rsidR="00003425">
        <w:t>,</w:t>
      </w:r>
      <w:r w:rsidRPr="003D0090">
        <w:t xml:space="preserve"> considered by </w:t>
      </w:r>
      <w:proofErr w:type="gramStart"/>
      <w:r w:rsidRPr="008E155E">
        <w:t>itself</w:t>
      </w:r>
      <w:proofErr w:type="gramEnd"/>
      <w:r w:rsidR="00003425" w:rsidRPr="008E155E">
        <w:t>,</w:t>
      </w:r>
      <w:r w:rsidRPr="003D0090">
        <w:t xml:space="preserve"> would be categori</w:t>
      </w:r>
      <w:r w:rsidR="00AE5570">
        <w:t>s</w:t>
      </w:r>
      <w:r w:rsidRPr="003D0090">
        <w:t xml:space="preserve">ed as </w:t>
      </w:r>
      <w:r w:rsidR="005C625C">
        <w:t>‘</w:t>
      </w:r>
      <w:r w:rsidRPr="003D0090">
        <w:t>Low</w:t>
      </w:r>
      <w:r w:rsidR="005C625C">
        <w:t>’</w:t>
      </w:r>
      <w:r w:rsidRPr="003D0090">
        <w:t xml:space="preserve">. The rationale for this is that currently existing products, including topical </w:t>
      </w:r>
      <w:proofErr w:type="spellStart"/>
      <w:r w:rsidRPr="003D0090">
        <w:t>Bactroban</w:t>
      </w:r>
      <w:proofErr w:type="spellEnd"/>
      <w:r w:rsidRPr="003D0090">
        <w:t xml:space="preserve"> (</w:t>
      </w:r>
      <w:proofErr w:type="spellStart"/>
      <w:r w:rsidRPr="003D0090">
        <w:t>mupirocin</w:t>
      </w:r>
      <w:proofErr w:type="spellEnd"/>
      <w:r w:rsidRPr="003D0090">
        <w:t xml:space="preserve">) and </w:t>
      </w:r>
      <w:proofErr w:type="spellStart"/>
      <w:r w:rsidRPr="003D0090">
        <w:t>Fucidin</w:t>
      </w:r>
      <w:proofErr w:type="spellEnd"/>
      <w:r w:rsidRPr="003D0090">
        <w:t xml:space="preserve"> (</w:t>
      </w:r>
      <w:proofErr w:type="spellStart"/>
      <w:r w:rsidRPr="003D0090">
        <w:t>fusidic</w:t>
      </w:r>
      <w:proofErr w:type="spellEnd"/>
      <w:r w:rsidRPr="003D0090">
        <w:t xml:space="preserve"> acid), are available for use in the treatment of uncomplicated skin infections toward which Altargo is targeted. In addition, a number of oral antibiotics retain activity against many of the causative pathogens responsible for impetigo and </w:t>
      </w:r>
      <w:r w:rsidR="00003425">
        <w:t>SITL</w:t>
      </w:r>
      <w:r w:rsidR="001D6284">
        <w:t>.</w:t>
      </w:r>
    </w:p>
    <w:p w:rsidR="003D0090" w:rsidRPr="003D0090" w:rsidRDefault="003D0090" w:rsidP="003D0090">
      <w:r w:rsidRPr="003D0090">
        <w:t xml:space="preserve">The unmet medical need and </w:t>
      </w:r>
      <w:r w:rsidR="008E155E">
        <w:t xml:space="preserve">the </w:t>
      </w:r>
      <w:r w:rsidRPr="003D0090">
        <w:t xml:space="preserve">role that Altargo should fulfil </w:t>
      </w:r>
      <w:r w:rsidR="008E155E" w:rsidRPr="003D0090">
        <w:t>are</w:t>
      </w:r>
      <w:r w:rsidRPr="003D0090">
        <w:t xml:space="preserve"> in the treatment of uncomplicated skin infections due to retapamulin-susceptible infections where the physician would prefer to prescribe a potent topical antibiotic when there is an expectation or confirmation that the pathogen is resist</w:t>
      </w:r>
      <w:r w:rsidR="00003425">
        <w:t>ant to the other commonly utilis</w:t>
      </w:r>
      <w:r w:rsidRPr="003D0090">
        <w:t>ed therapeutics. This selection likely w</w:t>
      </w:r>
      <w:r w:rsidR="00003425">
        <w:t>ould be driven by the physician’</w:t>
      </w:r>
      <w:r w:rsidRPr="003D0090">
        <w:t>s experience wit</w:t>
      </w:r>
      <w:r w:rsidR="005C625C">
        <w:t>h local treatment failure rates</w:t>
      </w:r>
      <w:r w:rsidRPr="003D0090">
        <w:t xml:space="preserve"> and epidemiology resistance data, where available. In addition, selection of Altargo would be preferable for therapy in patients with demonstr</w:t>
      </w:r>
      <w:r w:rsidR="008D3A1D">
        <w:t>ated allergy</w:t>
      </w:r>
      <w:r w:rsidR="00003425">
        <w:t>/hypersensitivity</w:t>
      </w:r>
      <w:r w:rsidRPr="003D0090">
        <w:t xml:space="preserve"> to other antibiotic classes or in instances where reported </w:t>
      </w:r>
      <w:r w:rsidR="00003425">
        <w:t>AE</w:t>
      </w:r>
      <w:r w:rsidRPr="003D0090">
        <w:t>s for other classes would limit their implementation.</w:t>
      </w:r>
    </w:p>
    <w:p w:rsidR="003D0090" w:rsidRPr="003D0090" w:rsidRDefault="001D6284" w:rsidP="00003425">
      <w:pPr>
        <w:pStyle w:val="Heading4"/>
      </w:pPr>
      <w:r>
        <w:t>Clinical efficacy</w:t>
      </w:r>
    </w:p>
    <w:p w:rsidR="003D0090" w:rsidRPr="003D0090" w:rsidRDefault="003D0090" w:rsidP="003D0090">
      <w:r w:rsidRPr="003D0090">
        <w:t>A total of 7 Phase III studies were submitted to support the proposed indications. There were two studies for impetigo (Stud</w:t>
      </w:r>
      <w:r w:rsidR="005C625C">
        <w:t>ies</w:t>
      </w:r>
      <w:r w:rsidRPr="003D0090">
        <w:t xml:space="preserve"> 100224 and 103469), one study for SID (Study 032), and two identically designed studies for SITL (Stu</w:t>
      </w:r>
      <w:r w:rsidR="005C625C">
        <w:t>dies</w:t>
      </w:r>
      <w:r w:rsidRPr="003D0090">
        <w:t xml:space="preserve"> 030A and 030B). In addition, there was one placebo-controlled study (Study TOC110977) for SITL and one active-comparator study (Study TOC110978) for SITL and impetigo due to MRSA. All 7 studies enrolled both adult and paediatric subjects and randomisation was in 2:1 ratio (retapamulin: placebo or active comparator). In each study the primary objective was to compare the efficacy and safety of topical retapamulin with active or placebo treatments (as appropriate) for the indications under study. Four analysis popul</w:t>
      </w:r>
      <w:r w:rsidR="001D6284">
        <w:t>ations were defined as follows:</w:t>
      </w:r>
    </w:p>
    <w:p w:rsidR="003D0090" w:rsidRPr="003D0090" w:rsidRDefault="003D0090" w:rsidP="004E14EA">
      <w:pPr>
        <w:pStyle w:val="ListBullet"/>
      </w:pPr>
      <w:r w:rsidRPr="003D0090">
        <w:t xml:space="preserve">Intent to Treat Clinical (ITTC): All randomised and treated (at </w:t>
      </w:r>
      <w:r w:rsidR="001D6284">
        <w:t>least one dose).</w:t>
      </w:r>
    </w:p>
    <w:p w:rsidR="003D0090" w:rsidRPr="003D0090" w:rsidRDefault="003D0090" w:rsidP="004E14EA">
      <w:pPr>
        <w:pStyle w:val="ListBullet"/>
      </w:pPr>
      <w:r w:rsidRPr="003D0090">
        <w:t xml:space="preserve">Intent to Treat Bacteriology (ITTB): All ITTC patients with a baseline pathogen isolated from the primary lesion and </w:t>
      </w:r>
      <w:r w:rsidR="001D6284">
        <w:t>sent to the central laboratory.</w:t>
      </w:r>
    </w:p>
    <w:p w:rsidR="003D0090" w:rsidRPr="003D0090" w:rsidRDefault="003D0090" w:rsidP="004E14EA">
      <w:pPr>
        <w:pStyle w:val="ListBullet"/>
      </w:pPr>
      <w:r w:rsidRPr="003D0090">
        <w:t>Per Protocol Clinical (PPC): ITTC patients wh</w:t>
      </w:r>
      <w:r w:rsidR="001D6284">
        <w:t>o did not violate the protocol.</w:t>
      </w:r>
    </w:p>
    <w:p w:rsidR="003D0090" w:rsidRPr="003D0090" w:rsidRDefault="003D0090" w:rsidP="004E14EA">
      <w:pPr>
        <w:pStyle w:val="ListBullet"/>
      </w:pPr>
      <w:r w:rsidRPr="003D0090">
        <w:lastRenderedPageBreak/>
        <w:t>Per Protocol Bacteriology (PPB): ITTB patients wh</w:t>
      </w:r>
      <w:r w:rsidR="001D6284">
        <w:t>o did not violate the protocol.</w:t>
      </w:r>
    </w:p>
    <w:p w:rsidR="003D0090" w:rsidRPr="003D0090" w:rsidRDefault="003D0090" w:rsidP="003D0090">
      <w:r w:rsidRPr="003D0090">
        <w:t>In all studies the primary efficacy endpoint was the clinical</w:t>
      </w:r>
      <w:r w:rsidR="001D6284">
        <w:t xml:space="preserve"> response (success or failure).</w:t>
      </w:r>
    </w:p>
    <w:p w:rsidR="003D0090" w:rsidRPr="003D0090" w:rsidRDefault="003D0090" w:rsidP="003D0090">
      <w:r w:rsidRPr="003D0090">
        <w:t>The primary efficacy populations were</w:t>
      </w:r>
      <w:r w:rsidR="008D3A1D">
        <w:t>:</w:t>
      </w:r>
      <w:r w:rsidRPr="003D0090">
        <w:t xml:space="preserve"> PPC </w:t>
      </w:r>
      <w:r w:rsidR="005C625C">
        <w:t xml:space="preserve">for Studies 100224, 030A, 030B </w:t>
      </w:r>
      <w:r w:rsidRPr="003D0090">
        <w:t xml:space="preserve">and 032; ITTC for Study </w:t>
      </w:r>
      <w:proofErr w:type="gramStart"/>
      <w:r w:rsidRPr="003D0090">
        <w:t>103469,</w:t>
      </w:r>
      <w:proofErr w:type="gramEnd"/>
      <w:r w:rsidRPr="003D0090">
        <w:t xml:space="preserve"> and </w:t>
      </w:r>
      <w:r w:rsidR="008D3A1D">
        <w:t xml:space="preserve">ITTC </w:t>
      </w:r>
      <w:r w:rsidRPr="003D0090">
        <w:t xml:space="preserve">Primary Analysis for Study 110977; and Per-Protocol MRSA </w:t>
      </w:r>
      <w:r w:rsidR="001D4D0B">
        <w:t xml:space="preserve">(PPMRSA) </w:t>
      </w:r>
      <w:r w:rsidR="001D6284">
        <w:t>for Study 110978.</w:t>
      </w:r>
    </w:p>
    <w:p w:rsidR="003D0090" w:rsidRPr="004E14EA" w:rsidRDefault="003D0090" w:rsidP="004E14EA">
      <w:pPr>
        <w:pStyle w:val="Heading5"/>
      </w:pPr>
      <w:r w:rsidRPr="004E14EA">
        <w:t>Impetigo</w:t>
      </w:r>
    </w:p>
    <w:p w:rsidR="003D0090" w:rsidRPr="003D0090" w:rsidRDefault="003D0090" w:rsidP="004E14EA">
      <w:pPr>
        <w:rPr>
          <w:u w:val="single"/>
        </w:rPr>
      </w:pPr>
      <w:r w:rsidRPr="004E14EA">
        <w:t>One placebo-controlled study (Study 103469) and one active-comparator study (Study 100224) were submitted to support the impetigo indication. For both studies, the eligible subjects were adults and children (≥ 9 months) with primary impetigo (</w:t>
      </w:r>
      <w:proofErr w:type="spellStart"/>
      <w:r w:rsidRPr="004E14EA">
        <w:t>bullous</w:t>
      </w:r>
      <w:proofErr w:type="spellEnd"/>
      <w:r w:rsidRPr="004E14EA">
        <w:t xml:space="preserve"> or non-</w:t>
      </w:r>
      <w:proofErr w:type="spellStart"/>
      <w:r w:rsidRPr="003D0090">
        <w:t>bullous</w:t>
      </w:r>
      <w:proofErr w:type="spellEnd"/>
      <w:r w:rsidRPr="003D0090">
        <w:t xml:space="preserve">), defined as a lesion or a group of lesions characterised by red spots or blisters without crusts, which later progress to lesions that ooze and form yellow or honey-coloured crusts surrounded by an </w:t>
      </w:r>
      <w:proofErr w:type="spellStart"/>
      <w:r w:rsidRPr="003D0090">
        <w:t>erythematous</w:t>
      </w:r>
      <w:proofErr w:type="spellEnd"/>
      <w:r w:rsidRPr="003D0090">
        <w:t xml:space="preserve"> margin; no more than 10 discrete localised impetigo lesions (lesion(s) not exceeding 100</w:t>
      </w:r>
      <w:r w:rsidR="004E14EA">
        <w:t xml:space="preserve"> </w:t>
      </w:r>
      <w:r w:rsidRPr="003D0090">
        <w:t>cm</w:t>
      </w:r>
      <w:r w:rsidRPr="004E14EA">
        <w:rPr>
          <w:vertAlign w:val="superscript"/>
        </w:rPr>
        <w:t>2</w:t>
      </w:r>
      <w:r w:rsidRPr="003D0090">
        <w:t xml:space="preserve"> in total area) suitable for topical treatment; with a minim</w:t>
      </w:r>
      <w:r w:rsidR="00A435AE">
        <w:t xml:space="preserve">um Skin Infection Rating Scale </w:t>
      </w:r>
      <w:r w:rsidRPr="003D0090">
        <w:t xml:space="preserve">(SIRS) </w:t>
      </w:r>
      <w:r w:rsidR="00A435AE">
        <w:t>s</w:t>
      </w:r>
      <w:r w:rsidR="00A435AE" w:rsidRPr="003D0090">
        <w:t xml:space="preserve">core </w:t>
      </w:r>
      <w:r w:rsidRPr="003D0090">
        <w:t>of at least 8.</w:t>
      </w:r>
    </w:p>
    <w:p w:rsidR="003D0090" w:rsidRPr="0047348B" w:rsidRDefault="003D0090" w:rsidP="0047348B">
      <w:r w:rsidRPr="00F65B9A">
        <w:rPr>
          <w:b/>
          <w:bCs/>
          <w:i/>
          <w:iCs/>
        </w:rPr>
        <w:t>Study TOC 103469</w:t>
      </w:r>
      <w:r w:rsidRPr="0047348B">
        <w:t xml:space="preserve"> was a randomised, double-blind, multicentre, superiority study that compared retapamulin with placebo. A conclusion of superior efficacy for retapamulin was to be drawn if the lower limit of the 95% CI for the treatment difference in the ITTC po</w:t>
      </w:r>
      <w:r w:rsidR="001D6284">
        <w:t>pulation was greater than zero.</w:t>
      </w:r>
    </w:p>
    <w:p w:rsidR="003D0090" w:rsidRPr="0047348B" w:rsidRDefault="003D0090" w:rsidP="0047348B">
      <w:r w:rsidRPr="0047348B">
        <w:t>The primary efficacy endpoint was the clinical response (clinical su</w:t>
      </w:r>
      <w:r w:rsidR="008D3A1D">
        <w:t>ccess) at the End of Therapy (</w:t>
      </w:r>
      <w:proofErr w:type="spellStart"/>
      <w:r w:rsidR="008D3A1D">
        <w:t>Eo</w:t>
      </w:r>
      <w:r w:rsidRPr="0047348B">
        <w:t>T</w:t>
      </w:r>
      <w:proofErr w:type="spellEnd"/>
      <w:r w:rsidRPr="0047348B">
        <w:t>, Day 7) in the ITTC population. The secondary efficacy endpoints included clinical response an</w:t>
      </w:r>
      <w:r w:rsidR="008D3A1D">
        <w:t xml:space="preserve">d microbiological response at </w:t>
      </w:r>
      <w:proofErr w:type="spellStart"/>
      <w:r w:rsidR="008D3A1D">
        <w:t>Eo</w:t>
      </w:r>
      <w:r w:rsidRPr="0047348B">
        <w:t>T</w:t>
      </w:r>
      <w:proofErr w:type="spellEnd"/>
      <w:r w:rsidRPr="0047348B">
        <w:t xml:space="preserve"> and at Follow-Up </w:t>
      </w:r>
      <w:r w:rsidR="008D3A1D">
        <w:t xml:space="preserve">(FU) </w:t>
      </w:r>
      <w:r w:rsidRPr="0047348B">
        <w:t>visit (Day 14). Overall, 210 subjects enrolled and took at least one dose of study medication. Of these, 139 subjects were in the retapamulin group and 71 were in the placebo group; these formed the ITTC population. A total of 175/210 (83.3%) subjects were paediatric (&lt;18 years). The majority of subjects had the non-</w:t>
      </w:r>
      <w:proofErr w:type="spellStart"/>
      <w:r w:rsidRPr="0047348B">
        <w:t>bullous</w:t>
      </w:r>
      <w:proofErr w:type="spellEnd"/>
      <w:r w:rsidRPr="0047348B">
        <w:t xml:space="preserve"> form of impetigo.</w:t>
      </w:r>
    </w:p>
    <w:p w:rsidR="003D0090" w:rsidRPr="003D0090" w:rsidRDefault="003D0090" w:rsidP="003D0090">
      <w:r w:rsidRPr="003D0090">
        <w:t>In the ITTC population, a clinical success was achieved in 85.6% of subjects in the retapamulin group</w:t>
      </w:r>
      <w:r w:rsidR="0047348B">
        <w:t>,</w:t>
      </w:r>
      <w:r w:rsidRPr="003D0090">
        <w:t xml:space="preserve"> compared to </w:t>
      </w:r>
      <w:r w:rsidR="008D3A1D">
        <w:t xml:space="preserve">52.1% in the placebo group at </w:t>
      </w:r>
      <w:proofErr w:type="spellStart"/>
      <w:r w:rsidR="008D3A1D">
        <w:t>Eo</w:t>
      </w:r>
      <w:r w:rsidRPr="003D0090">
        <w:t>T</w:t>
      </w:r>
      <w:proofErr w:type="spellEnd"/>
      <w:r w:rsidRPr="003D0090">
        <w:t>. The lower limit of the 95% CI for the difference was greater than zero, indicating superiority of retapamulin over placebo. Superiority was also achieved in all the analysis populations.</w:t>
      </w:r>
    </w:p>
    <w:p w:rsidR="003D0090" w:rsidRPr="003D0090" w:rsidRDefault="005A06CC" w:rsidP="001D6284">
      <w:pPr>
        <w:pStyle w:val="TableTitle"/>
      </w:pPr>
      <w:proofErr w:type="gramStart"/>
      <w:r>
        <w:t>Table 15</w:t>
      </w:r>
      <w:r w:rsidR="0047348B">
        <w:t>.</w:t>
      </w:r>
      <w:proofErr w:type="gramEnd"/>
      <w:r w:rsidR="003D0090" w:rsidRPr="003D0090">
        <w:t xml:space="preserve"> Clinical success at the End of Therapy (Study TOC 103469)</w:t>
      </w:r>
    </w:p>
    <w:p w:rsidR="003D0090" w:rsidRPr="003D0090" w:rsidRDefault="003D0090" w:rsidP="003D0090">
      <w:r w:rsidRPr="003D0090">
        <w:rPr>
          <w:noProof/>
          <w:lang w:eastAsia="en-AU"/>
        </w:rPr>
        <w:drawing>
          <wp:inline distT="0" distB="0" distL="0" distR="0">
            <wp:extent cx="5341545" cy="746911"/>
            <wp:effectExtent l="19050" t="0" r="0" b="0"/>
            <wp:docPr id="3" name="Picture 71" descr="Table 15. Clinical success at the End of Therapy (Study TOC 10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747188"/>
                    </a:xfrm>
                    <a:prstGeom prst="rect">
                      <a:avLst/>
                    </a:prstGeom>
                    <a:noFill/>
                    <a:ln>
                      <a:noFill/>
                    </a:ln>
                  </pic:spPr>
                </pic:pic>
              </a:graphicData>
            </a:graphic>
          </wp:inline>
        </w:drawing>
      </w:r>
    </w:p>
    <w:p w:rsidR="003D0090" w:rsidRPr="003D0090" w:rsidRDefault="003D0090" w:rsidP="003D0090">
      <w:r w:rsidRPr="003D0090">
        <w:t>In terms of other efficacy outcomes, the clinical success at FU visit was superior in the retapamulin group compared with the placebo group in all four analysis populations. The microbiologica</w:t>
      </w:r>
      <w:r w:rsidR="0047348B">
        <w:t>l response rate was higher for r</w:t>
      </w:r>
      <w:r w:rsidR="008D3A1D">
        <w:t xml:space="preserve">etapamulin at both the </w:t>
      </w:r>
      <w:proofErr w:type="spellStart"/>
      <w:r w:rsidR="008D3A1D">
        <w:t>Eo</w:t>
      </w:r>
      <w:r w:rsidRPr="003D0090">
        <w:t>T</w:t>
      </w:r>
      <w:proofErr w:type="spellEnd"/>
      <w:r w:rsidRPr="003D0090">
        <w:t xml:space="preserve"> and FU visits in comparison to placebo.</w:t>
      </w:r>
    </w:p>
    <w:p w:rsidR="003D0090" w:rsidRPr="0047348B" w:rsidRDefault="003D0090" w:rsidP="0047348B">
      <w:r w:rsidRPr="0047348B">
        <w:t xml:space="preserve">The majority of subjects had one or more pathogens identified at baseline. </w:t>
      </w:r>
      <w:r w:rsidRPr="0047348B">
        <w:rPr>
          <w:i/>
          <w:iCs/>
        </w:rPr>
        <w:t>S. aureus</w:t>
      </w:r>
      <w:r w:rsidRPr="0047348B">
        <w:t xml:space="preserve"> was the most frequently isolated pathogen. All the isolates of </w:t>
      </w:r>
      <w:r w:rsidRPr="0047348B">
        <w:rPr>
          <w:i/>
          <w:iCs/>
        </w:rPr>
        <w:t xml:space="preserve">S. </w:t>
      </w:r>
      <w:proofErr w:type="spellStart"/>
      <w:r w:rsidRPr="0047348B">
        <w:rPr>
          <w:i/>
          <w:iCs/>
        </w:rPr>
        <w:t>aureus</w:t>
      </w:r>
      <w:proofErr w:type="spellEnd"/>
      <w:r w:rsidRPr="0047348B">
        <w:t xml:space="preserve"> were </w:t>
      </w:r>
      <w:proofErr w:type="spellStart"/>
      <w:r w:rsidRPr="0047348B">
        <w:t>methicillin</w:t>
      </w:r>
      <w:proofErr w:type="spellEnd"/>
      <w:r w:rsidRPr="0047348B">
        <w:t xml:space="preserve">-susceptible and all were susceptible to </w:t>
      </w:r>
      <w:proofErr w:type="spellStart"/>
      <w:r w:rsidRPr="0047348B">
        <w:t>mupirocin</w:t>
      </w:r>
      <w:proofErr w:type="spellEnd"/>
      <w:r w:rsidRPr="0047348B">
        <w:t xml:space="preserve">. Pathogens were generally isolated with similar frequency in the two groups, although slightly more </w:t>
      </w:r>
      <w:r w:rsidRPr="0047348B">
        <w:rPr>
          <w:i/>
          <w:iCs/>
        </w:rPr>
        <w:t>S. pyogenes</w:t>
      </w:r>
      <w:r w:rsidRPr="0047348B">
        <w:t xml:space="preserve"> were isolated in the </w:t>
      </w:r>
      <w:r w:rsidR="0047348B">
        <w:t>r</w:t>
      </w:r>
      <w:r w:rsidRPr="0047348B">
        <w:t xml:space="preserve">etapamulin group. The majority of subjects with two or more pathogens had </w:t>
      </w:r>
      <w:r w:rsidRPr="0047348B">
        <w:rPr>
          <w:i/>
          <w:iCs/>
        </w:rPr>
        <w:t>S. aureus</w:t>
      </w:r>
      <w:r w:rsidRPr="0047348B">
        <w:t xml:space="preserve"> and </w:t>
      </w:r>
      <w:r w:rsidRPr="0047348B">
        <w:rPr>
          <w:i/>
          <w:iCs/>
        </w:rPr>
        <w:t>S. pyogenes</w:t>
      </w:r>
      <w:r w:rsidRPr="0047348B">
        <w:t xml:space="preserve"> isolated from the same baseline sample. The MIC</w:t>
      </w:r>
      <w:r w:rsidRPr="0047348B">
        <w:rPr>
          <w:vertAlign w:val="subscript"/>
        </w:rPr>
        <w:t>50</w:t>
      </w:r>
      <w:r w:rsidRPr="0047348B">
        <w:t>, MIC</w:t>
      </w:r>
      <w:r w:rsidRPr="0047348B">
        <w:rPr>
          <w:vertAlign w:val="subscript"/>
        </w:rPr>
        <w:t>90</w:t>
      </w:r>
      <w:r w:rsidRPr="0047348B">
        <w:t xml:space="preserve"> and MIC range for </w:t>
      </w:r>
      <w:r w:rsidR="0047348B">
        <w:t>r</w:t>
      </w:r>
      <w:r w:rsidRPr="0047348B">
        <w:t xml:space="preserve">etapamulin against all </w:t>
      </w:r>
      <w:r w:rsidRPr="0047348B">
        <w:rPr>
          <w:i/>
          <w:iCs/>
        </w:rPr>
        <w:t>S. aureus</w:t>
      </w:r>
      <w:r w:rsidRPr="0047348B">
        <w:t xml:space="preserve"> isolates </w:t>
      </w:r>
      <w:r w:rsidR="0047348B">
        <w:t xml:space="preserve">was </w:t>
      </w:r>
      <w:r w:rsidRPr="0047348B">
        <w:t xml:space="preserve">0.12, 0.12 and 0.06-0.25μg/mL, respectively, indicating excellent </w:t>
      </w:r>
      <w:r w:rsidRPr="0047348B">
        <w:rPr>
          <w:i/>
          <w:iCs/>
        </w:rPr>
        <w:t>in vitro</w:t>
      </w:r>
      <w:r w:rsidRPr="0047348B">
        <w:t xml:space="preserve"> activity of </w:t>
      </w:r>
      <w:r w:rsidR="0047348B">
        <w:t>r</w:t>
      </w:r>
      <w:r w:rsidRPr="0047348B">
        <w:t xml:space="preserve">etapamulin against </w:t>
      </w:r>
      <w:r w:rsidRPr="0047348B">
        <w:rPr>
          <w:i/>
          <w:iCs/>
        </w:rPr>
        <w:t>S. aureus</w:t>
      </w:r>
      <w:r w:rsidRPr="0047348B">
        <w:t xml:space="preserve"> isolates recovered from subjects at baseline. MIC values were similar between the two groups.</w:t>
      </w:r>
    </w:p>
    <w:p w:rsidR="003D0090" w:rsidRPr="0047348B" w:rsidRDefault="003D0090" w:rsidP="0047348B">
      <w:r w:rsidRPr="00F65B9A">
        <w:rPr>
          <w:b/>
          <w:bCs/>
          <w:i/>
          <w:iCs/>
        </w:rPr>
        <w:lastRenderedPageBreak/>
        <w:t>Study TOC100224</w:t>
      </w:r>
      <w:r w:rsidRPr="0047348B">
        <w:t xml:space="preserve"> was a randomised, observer-blind, multicentre, non-inferiority study. The study compared retapamulin 1% ointment (BD for 5 days) with topical 2% sodium </w:t>
      </w:r>
      <w:proofErr w:type="spellStart"/>
      <w:r w:rsidRPr="0047348B">
        <w:t>fusidate</w:t>
      </w:r>
      <w:proofErr w:type="spellEnd"/>
      <w:r w:rsidRPr="0047348B">
        <w:t xml:space="preserve"> ointment three times daily (TID) for 7 days. A conclusion of non-inferior efficacy was to be drawn if the lower limit of the 95% CI for the difference was </w:t>
      </w:r>
      <w:r w:rsidR="001D4D0B">
        <w:t xml:space="preserve">greater than or equal to </w:t>
      </w:r>
      <w:r w:rsidRPr="0047348B">
        <w:t>–10%. The primary efficacy endpoint</w:t>
      </w:r>
      <w:r w:rsidR="008D3A1D">
        <w:t xml:space="preserve"> was the clinical response at </w:t>
      </w:r>
      <w:proofErr w:type="spellStart"/>
      <w:r w:rsidR="008D3A1D">
        <w:t>Eo</w:t>
      </w:r>
      <w:r w:rsidRPr="0047348B">
        <w:t>T</w:t>
      </w:r>
      <w:proofErr w:type="spellEnd"/>
      <w:r w:rsidRPr="0047348B">
        <w:t xml:space="preserve"> in the PPC population. The study enrolled 519 patients. The ITTC population consisted of 517 subjects (345 in the </w:t>
      </w:r>
      <w:r w:rsidR="0047348B">
        <w:t>r</w:t>
      </w:r>
      <w:r w:rsidRPr="0047348B">
        <w:t xml:space="preserve">etapamulin group and 172 in the sodium </w:t>
      </w:r>
      <w:proofErr w:type="spellStart"/>
      <w:r w:rsidRPr="0047348B">
        <w:t>fusidate</w:t>
      </w:r>
      <w:proofErr w:type="spellEnd"/>
      <w:r w:rsidRPr="0047348B">
        <w:t xml:space="preserve"> group). The PPC population accounted for 87% of the ITTC population.</w:t>
      </w:r>
    </w:p>
    <w:p w:rsidR="003D0090" w:rsidRPr="003D0090" w:rsidRDefault="003D0090" w:rsidP="003D0090">
      <w:pPr>
        <w:rPr>
          <w:b/>
          <w:u w:val="single"/>
        </w:rPr>
      </w:pPr>
      <w:r w:rsidRPr="003D0090">
        <w:t>Nearly 80% of patients had non-</w:t>
      </w:r>
      <w:proofErr w:type="spellStart"/>
      <w:r w:rsidRPr="003D0090">
        <w:t>bullous</w:t>
      </w:r>
      <w:proofErr w:type="spellEnd"/>
      <w:r w:rsidRPr="003D0090">
        <w:t xml:space="preserve"> impetigo. </w:t>
      </w:r>
      <w:bookmarkStart w:id="200" w:name="_Toc338250651"/>
      <w:r w:rsidRPr="003D0090">
        <w:t>The two groups were balanced with respect to gender, race and ethnicity. Overall, 69.4% were paediatric subjects (&lt;18 years). The majority of subjects had one or more pathogen identified at baseline.</w:t>
      </w:r>
      <w:bookmarkEnd w:id="200"/>
    </w:p>
    <w:p w:rsidR="003D0090" w:rsidRPr="0047348B" w:rsidRDefault="003D0090" w:rsidP="0047348B">
      <w:r w:rsidRPr="0047348B">
        <w:t xml:space="preserve">Retapamulin was shown to be non-inferior to sodium </w:t>
      </w:r>
      <w:proofErr w:type="spellStart"/>
      <w:r w:rsidRPr="0047348B">
        <w:t>fusidate</w:t>
      </w:r>
      <w:proofErr w:type="spellEnd"/>
      <w:r w:rsidR="008D3A1D">
        <w:t>,</w:t>
      </w:r>
      <w:r w:rsidRPr="0047348B">
        <w:t xml:space="preserve"> base</w:t>
      </w:r>
      <w:r w:rsidR="008D3A1D">
        <w:t xml:space="preserve">d on the clinical response at </w:t>
      </w:r>
      <w:proofErr w:type="spellStart"/>
      <w:r w:rsidR="008D3A1D">
        <w:t>Eo</w:t>
      </w:r>
      <w:r w:rsidRPr="0047348B">
        <w:t>T</w:t>
      </w:r>
      <w:proofErr w:type="spellEnd"/>
      <w:r w:rsidRPr="0047348B">
        <w:t xml:space="preserve"> in the PPC population. The lower limit of the 95% CI for the difference was greater than the non-inferiority margin of -10% (1.1 to 9.0). It is also noted that in the PPC, PPB and ITTB populations, the lower limit of the 95% CI for the difference was greater than zero.</w:t>
      </w:r>
    </w:p>
    <w:p w:rsidR="003D0090" w:rsidRPr="0047348B" w:rsidRDefault="008D3A1D" w:rsidP="001D6284">
      <w:pPr>
        <w:pStyle w:val="TableTitle"/>
      </w:pPr>
      <w:proofErr w:type="gramStart"/>
      <w:r>
        <w:t>Table 1</w:t>
      </w:r>
      <w:r w:rsidR="005A06CC">
        <w:t>6</w:t>
      </w:r>
      <w:r w:rsidR="0047348B">
        <w:t>.</w:t>
      </w:r>
      <w:proofErr w:type="gramEnd"/>
      <w:r w:rsidR="003D0090" w:rsidRPr="0047348B">
        <w:t xml:space="preserve"> Clinical response at EOT (Study TOC 100224)</w:t>
      </w:r>
    </w:p>
    <w:p w:rsidR="003D0090" w:rsidRPr="003D0090" w:rsidRDefault="003D0090" w:rsidP="003D0090">
      <w:r w:rsidRPr="003D0090">
        <w:rPr>
          <w:noProof/>
          <w:lang w:eastAsia="en-AU"/>
        </w:rPr>
        <w:drawing>
          <wp:inline distT="0" distB="0" distL="0" distR="0">
            <wp:extent cx="4591050" cy="762192"/>
            <wp:effectExtent l="19050" t="0" r="0" b="0"/>
            <wp:docPr id="4" name="Picture 132" descr="Table 16. Clinical response at EOT (Study TOC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937" cy="763169"/>
                    </a:xfrm>
                    <a:prstGeom prst="rect">
                      <a:avLst/>
                    </a:prstGeom>
                    <a:noFill/>
                    <a:ln>
                      <a:noFill/>
                    </a:ln>
                  </pic:spPr>
                </pic:pic>
              </a:graphicData>
            </a:graphic>
          </wp:inline>
        </w:drawing>
      </w:r>
    </w:p>
    <w:p w:rsidR="003D0090" w:rsidRPr="0047348B" w:rsidRDefault="003D0090" w:rsidP="0047348B">
      <w:r w:rsidRPr="0047348B">
        <w:t xml:space="preserve">The results of the secondary efficacy results are discussed in detail in the </w:t>
      </w:r>
      <w:r w:rsidR="0093086D">
        <w:t xml:space="preserve">CER </w:t>
      </w:r>
      <w:r w:rsidRPr="0047348B">
        <w:t>(</w:t>
      </w:r>
      <w:r w:rsidR="0047348B">
        <w:t>see Attachment 2 of this AusPAR</w:t>
      </w:r>
      <w:r w:rsidRPr="0047348B">
        <w:t xml:space="preserve">). </w:t>
      </w:r>
      <w:r w:rsidRPr="0047348B">
        <w:rPr>
          <w:i/>
          <w:iCs/>
        </w:rPr>
        <w:t>S. aureus</w:t>
      </w:r>
      <w:r w:rsidRPr="0047348B">
        <w:t xml:space="preserve"> was the most frequently isolated pathogen. Of all the isolates of </w:t>
      </w:r>
      <w:r w:rsidRPr="0047348B">
        <w:rPr>
          <w:i/>
          <w:iCs/>
        </w:rPr>
        <w:t xml:space="preserve">S. </w:t>
      </w:r>
      <w:proofErr w:type="spellStart"/>
      <w:r w:rsidRPr="0047348B">
        <w:rPr>
          <w:i/>
          <w:iCs/>
        </w:rPr>
        <w:t>aureus</w:t>
      </w:r>
      <w:proofErr w:type="spellEnd"/>
      <w:r w:rsidRPr="0047348B">
        <w:t xml:space="preserve">, most were </w:t>
      </w:r>
      <w:proofErr w:type="spellStart"/>
      <w:r w:rsidRPr="0047348B">
        <w:t>methicillin</w:t>
      </w:r>
      <w:proofErr w:type="spellEnd"/>
      <w:r w:rsidRPr="0047348B">
        <w:t xml:space="preserve">-susceptible while only 10 (1.9% of all </w:t>
      </w:r>
      <w:r w:rsidRPr="0047348B">
        <w:rPr>
          <w:i/>
          <w:iCs/>
        </w:rPr>
        <w:t xml:space="preserve">S. </w:t>
      </w:r>
      <w:proofErr w:type="spellStart"/>
      <w:r w:rsidRPr="0047348B">
        <w:rPr>
          <w:i/>
          <w:iCs/>
        </w:rPr>
        <w:t>aureus</w:t>
      </w:r>
      <w:proofErr w:type="spellEnd"/>
      <w:r w:rsidRPr="0047348B">
        <w:t xml:space="preserve"> isolates) were </w:t>
      </w:r>
      <w:proofErr w:type="spellStart"/>
      <w:r w:rsidRPr="0047348B">
        <w:t>methicillin</w:t>
      </w:r>
      <w:proofErr w:type="spellEnd"/>
      <w:r w:rsidRPr="0047348B">
        <w:t xml:space="preserve"> resistant. The MIC</w:t>
      </w:r>
      <w:r w:rsidRPr="0047348B">
        <w:rPr>
          <w:vertAlign w:val="subscript"/>
        </w:rPr>
        <w:t>50</w:t>
      </w:r>
      <w:r w:rsidRPr="0047348B">
        <w:t>, MIC</w:t>
      </w:r>
      <w:r w:rsidRPr="0047348B">
        <w:rPr>
          <w:vertAlign w:val="subscript"/>
        </w:rPr>
        <w:t>90</w:t>
      </w:r>
      <w:r w:rsidRPr="0047348B">
        <w:t xml:space="preserve"> and MIC range for </w:t>
      </w:r>
      <w:r w:rsidR="0047348B">
        <w:t>r</w:t>
      </w:r>
      <w:r w:rsidRPr="0047348B">
        <w:t xml:space="preserve">etapamulin against all </w:t>
      </w:r>
      <w:r w:rsidRPr="0047348B">
        <w:rPr>
          <w:i/>
          <w:iCs/>
        </w:rPr>
        <w:t>S. aureus</w:t>
      </w:r>
      <w:r w:rsidRPr="0047348B">
        <w:t xml:space="preserve"> isolates </w:t>
      </w:r>
      <w:r w:rsidR="0047348B">
        <w:t xml:space="preserve">was </w:t>
      </w:r>
      <w:r w:rsidRPr="0047348B">
        <w:t xml:space="preserve">0.12, 0.12 and 0.03-0.25 μg/mL, respectively, indicating excellent </w:t>
      </w:r>
      <w:r w:rsidRPr="0047348B">
        <w:rPr>
          <w:i/>
          <w:iCs/>
        </w:rPr>
        <w:t>in vitro</w:t>
      </w:r>
      <w:r w:rsidRPr="0047348B">
        <w:t xml:space="preserve"> activity against </w:t>
      </w:r>
      <w:r w:rsidRPr="0047348B">
        <w:rPr>
          <w:i/>
          <w:iCs/>
        </w:rPr>
        <w:t>S. aureus</w:t>
      </w:r>
      <w:r w:rsidRPr="0047348B">
        <w:t xml:space="preserve"> isolates recovered from subjects at baseline. In general, all of the MIC values were similar between the two treatment groups</w:t>
      </w:r>
      <w:r w:rsidR="001D6284">
        <w:t>.</w:t>
      </w:r>
    </w:p>
    <w:p w:rsidR="003D0090" w:rsidRPr="0047348B" w:rsidRDefault="0093086D" w:rsidP="0047348B">
      <w:pPr>
        <w:pStyle w:val="Heading5"/>
      </w:pPr>
      <w:r>
        <w:t>Secondarily i</w:t>
      </w:r>
      <w:r w:rsidR="003D0090" w:rsidRPr="0047348B">
        <w:t xml:space="preserve">nfected </w:t>
      </w:r>
      <w:r>
        <w:t>t</w:t>
      </w:r>
      <w:r w:rsidR="003D0090" w:rsidRPr="0047348B">
        <w:t xml:space="preserve">raumatic </w:t>
      </w:r>
      <w:r>
        <w:t>l</w:t>
      </w:r>
      <w:r w:rsidR="003D0090" w:rsidRPr="0047348B">
        <w:t>esion (SITL)</w:t>
      </w:r>
    </w:p>
    <w:p w:rsidR="003D0090" w:rsidRPr="0047348B" w:rsidRDefault="003D0090" w:rsidP="0047348B">
      <w:r w:rsidRPr="0047348B">
        <w:t>Four studies were submitted to su</w:t>
      </w:r>
      <w:r w:rsidR="0093086D">
        <w:t>pport the SITL indication. Studies</w:t>
      </w:r>
      <w:r w:rsidRPr="0047348B">
        <w:t xml:space="preserve"> 030A and 030B were conducted in adults and paediatric subjects older than 9 months</w:t>
      </w:r>
      <w:r w:rsidR="008D3A1D">
        <w:t>, and Studies</w:t>
      </w:r>
      <w:r w:rsidRPr="0047348B">
        <w:t xml:space="preserve"> TOC110977 and TOC110978 were conducted in adults and paediatric subjects older than 2 months of age. For SITL, it is required that the lesions should be </w:t>
      </w:r>
      <w:r w:rsidR="0093086D">
        <w:t xml:space="preserve">a </w:t>
      </w:r>
      <w:r w:rsidRPr="0047348B">
        <w:t>small laceration, sutured wound or abrasion with the infected portion not exceeding 10</w:t>
      </w:r>
      <w:r w:rsidR="0093086D">
        <w:t xml:space="preserve"> </w:t>
      </w:r>
      <w:r w:rsidRPr="0047348B">
        <w:t>cm in length and surrounding erythema not extending more than 2</w:t>
      </w:r>
      <w:r w:rsidR="0093086D">
        <w:t xml:space="preserve"> </w:t>
      </w:r>
      <w:r w:rsidRPr="0047348B">
        <w:t>cm from the edge of the lesion. Abrasions were not to exceed 100</w:t>
      </w:r>
      <w:r w:rsidR="0047348B">
        <w:t xml:space="preserve"> </w:t>
      </w:r>
      <w:r w:rsidRPr="0047348B">
        <w:t>cm</w:t>
      </w:r>
      <w:r w:rsidRPr="0047348B">
        <w:rPr>
          <w:vertAlign w:val="superscript"/>
        </w:rPr>
        <w:t>2</w:t>
      </w:r>
      <w:r w:rsidRPr="0047348B">
        <w:t xml:space="preserve"> in total area. All subjects had to have a total SIRS score of at least 8 and be suitable for treatment with topica</w:t>
      </w:r>
      <w:r w:rsidR="0047348B">
        <w:t>l or oral antibacterial therapy.</w:t>
      </w:r>
    </w:p>
    <w:p w:rsidR="003D0090" w:rsidRPr="0047348B" w:rsidRDefault="0093086D" w:rsidP="0047348B">
      <w:r>
        <w:t>Studies</w:t>
      </w:r>
      <w:r w:rsidR="003D0090" w:rsidRPr="0047348B">
        <w:t xml:space="preserve"> 030A and 030B were two randomised, double-blind, double-dummy, multi-centre, non-inferiority studies. The two studies were identical in design. The non-inferiority margin was pre-defined as 10%. These studies compared the efficacy and safety of topical </w:t>
      </w:r>
      <w:proofErr w:type="spellStart"/>
      <w:r w:rsidR="003D0090" w:rsidRPr="0047348B">
        <w:t>retapamulin</w:t>
      </w:r>
      <w:proofErr w:type="spellEnd"/>
      <w:r w:rsidR="003D0090" w:rsidRPr="0047348B">
        <w:t xml:space="preserve"> and oral </w:t>
      </w:r>
      <w:proofErr w:type="spellStart"/>
      <w:r w:rsidR="003D0090" w:rsidRPr="0047348B">
        <w:t>cephalexin</w:t>
      </w:r>
      <w:proofErr w:type="spellEnd"/>
      <w:r w:rsidR="003D0090" w:rsidRPr="0047348B">
        <w:t>. Samples for PK analysis were taken from the first 500 adult subjects enrolled across Studies 030A and 030B as well as from all paediatric subjects (&lt;13 yea</w:t>
      </w:r>
      <w:r w:rsidR="001D6284">
        <w:t>rs of age) who were enrolled.</w:t>
      </w:r>
    </w:p>
    <w:p w:rsidR="003D0090" w:rsidRPr="003D0090" w:rsidRDefault="003D0090" w:rsidP="003D0090">
      <w:r w:rsidRPr="00F65B9A">
        <w:rPr>
          <w:b/>
          <w:i/>
          <w:iCs/>
        </w:rPr>
        <w:t>Study 030A:</w:t>
      </w:r>
      <w:r w:rsidRPr="0047348B">
        <w:rPr>
          <w:bCs/>
        </w:rPr>
        <w:t xml:space="preserve"> a</w:t>
      </w:r>
      <w:r w:rsidRPr="003D0090">
        <w:t xml:space="preserve"> total of 996 patients enrolled, of which 988 made up the ITTC population (662 subjects in retapamulin group and 326 subjects in </w:t>
      </w:r>
      <w:proofErr w:type="spellStart"/>
      <w:r w:rsidRPr="003D0090">
        <w:t>cephalexin</w:t>
      </w:r>
      <w:proofErr w:type="spellEnd"/>
      <w:r w:rsidRPr="003D0090">
        <w:t xml:space="preserve"> group). The two groups were balanced with respect to age, gender, race and distribution of wound sites. There were 164 paediatric subjects (&lt;18</w:t>
      </w:r>
      <w:r w:rsidR="008D3A1D">
        <w:t xml:space="preserve"> years old</w:t>
      </w:r>
      <w:r w:rsidRPr="003D0090">
        <w:t xml:space="preserve">). The PPC population consisted of 83.6% of the ITTC population. Most of the patients had secondarily infected open wounds (SIOW) while the remainder had simple abscesses. The primary efficacy endpoint was clinical </w:t>
      </w:r>
      <w:r w:rsidRPr="003D0090">
        <w:lastRenderedPageBreak/>
        <w:t>response at F</w:t>
      </w:r>
      <w:r w:rsidR="00F65B9A">
        <w:t>U</w:t>
      </w:r>
      <w:r w:rsidRPr="003D0090">
        <w:t xml:space="preserve"> visit (7-9 days post-the</w:t>
      </w:r>
      <w:r w:rsidR="0093086D">
        <w:t>rapy) in the PPC population. C</w:t>
      </w:r>
      <w:r w:rsidRPr="003D0090">
        <w:t xml:space="preserve">linical </w:t>
      </w:r>
      <w:r w:rsidR="0093086D">
        <w:t>success was achieved in 88.7% of the</w:t>
      </w:r>
      <w:r w:rsidRPr="003D0090">
        <w:t xml:space="preserve"> retapamulin </w:t>
      </w:r>
      <w:r w:rsidR="0093086D">
        <w:t>group compared to 91.9% of</w:t>
      </w:r>
      <w:r w:rsidR="0047348B">
        <w:t xml:space="preserve"> the </w:t>
      </w:r>
      <w:proofErr w:type="spellStart"/>
      <w:r w:rsidR="00F65B9A">
        <w:t>c</w:t>
      </w:r>
      <w:r w:rsidRPr="003D0090">
        <w:t>ephalexin</w:t>
      </w:r>
      <w:proofErr w:type="spellEnd"/>
      <w:r w:rsidRPr="003D0090">
        <w:t xml:space="preserve"> group (see the table below). Non-inferiority of </w:t>
      </w:r>
      <w:proofErr w:type="spellStart"/>
      <w:r w:rsidRPr="003D0090">
        <w:t>retapamulin</w:t>
      </w:r>
      <w:proofErr w:type="spellEnd"/>
      <w:r w:rsidRPr="003D0090">
        <w:t xml:space="preserve"> v</w:t>
      </w:r>
      <w:r w:rsidR="0047348B">
        <w:t xml:space="preserve">ersus </w:t>
      </w:r>
      <w:proofErr w:type="spellStart"/>
      <w:r w:rsidR="00F65B9A">
        <w:t>c</w:t>
      </w:r>
      <w:r w:rsidRPr="003D0090">
        <w:t>ephalexin</w:t>
      </w:r>
      <w:proofErr w:type="spellEnd"/>
      <w:r w:rsidRPr="003D0090">
        <w:t xml:space="preserve"> was demonstrated as the lower limit of the 95% CI for the treatment difference was greater than -10%, with the upper limit crossing zero. Success rates were comparable between the two groups for the ITTC and ITTB populations.</w:t>
      </w:r>
    </w:p>
    <w:p w:rsidR="003D0090" w:rsidRPr="003D0090" w:rsidRDefault="008D3A1D" w:rsidP="001D6284">
      <w:pPr>
        <w:pStyle w:val="TableTitle"/>
      </w:pPr>
      <w:proofErr w:type="gramStart"/>
      <w:r>
        <w:t>Table 1</w:t>
      </w:r>
      <w:r w:rsidR="005A06CC">
        <w:t>7</w:t>
      </w:r>
      <w:r w:rsidR="0047348B">
        <w:t>.</w:t>
      </w:r>
      <w:proofErr w:type="gramEnd"/>
      <w:r w:rsidR="003D0090" w:rsidRPr="003D0090">
        <w:t xml:space="preserve"> Clinical Response at Follow-Up visit (Study 030A)</w:t>
      </w:r>
    </w:p>
    <w:p w:rsidR="003D0090" w:rsidRPr="003D0090" w:rsidRDefault="003D0090" w:rsidP="003D0090">
      <w:r w:rsidRPr="003D0090">
        <w:rPr>
          <w:noProof/>
          <w:lang w:eastAsia="en-AU"/>
        </w:rPr>
        <w:drawing>
          <wp:inline distT="0" distB="0" distL="0" distR="0">
            <wp:extent cx="4943475" cy="838663"/>
            <wp:effectExtent l="19050" t="0" r="9525" b="0"/>
            <wp:docPr id="5" name="Picture 149" descr="Table 17. Clinical Response at Follow-Up visit (Study 0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1" cy="840279"/>
                    </a:xfrm>
                    <a:prstGeom prst="rect">
                      <a:avLst/>
                    </a:prstGeom>
                    <a:noFill/>
                    <a:ln>
                      <a:noFill/>
                    </a:ln>
                  </pic:spPr>
                </pic:pic>
              </a:graphicData>
            </a:graphic>
          </wp:inline>
        </w:drawing>
      </w:r>
    </w:p>
    <w:p w:rsidR="003D0090" w:rsidRPr="00F65B9A" w:rsidRDefault="003D0090" w:rsidP="00F65B9A">
      <w:r w:rsidRPr="00F65B9A">
        <w:t>For subjects with any pathogen isolated from a wound sample at baseline, the</w:t>
      </w:r>
      <w:r w:rsidR="0047348B" w:rsidRPr="00F65B9A">
        <w:t xml:space="preserve"> </w:t>
      </w:r>
      <w:r w:rsidRPr="00F65B9A">
        <w:t>microbiological success rate at follow-up was similar between the treatment groups for</w:t>
      </w:r>
      <w:r w:rsidR="0047348B" w:rsidRPr="00F65B9A">
        <w:t xml:space="preserve"> </w:t>
      </w:r>
      <w:r w:rsidRPr="00F65B9A">
        <w:t xml:space="preserve">the PPB population. For </w:t>
      </w:r>
      <w:r w:rsidRPr="00F65B9A">
        <w:rPr>
          <w:i/>
          <w:iCs/>
        </w:rPr>
        <w:t>S. aureus</w:t>
      </w:r>
      <w:r w:rsidRPr="00F65B9A">
        <w:t xml:space="preserve"> and </w:t>
      </w:r>
      <w:r w:rsidRPr="00F65B9A">
        <w:rPr>
          <w:i/>
          <w:iCs/>
        </w:rPr>
        <w:t>S. pyogenes</w:t>
      </w:r>
      <w:r w:rsidRPr="00F65B9A">
        <w:t xml:space="preserve"> isolated from subjects in the PPB population, the microbiological success rates at follow-up were comparable between groups. For MRSA isolates from these subjects, the microbiological success rates were lower for the retapamulin group </w:t>
      </w:r>
      <w:r w:rsidR="001D4D0B" w:rsidRPr="00F65B9A">
        <w:t xml:space="preserve">(72.0%) </w:t>
      </w:r>
      <w:r w:rsidRPr="00F65B9A">
        <w:t xml:space="preserve">compared to </w:t>
      </w:r>
      <w:proofErr w:type="spellStart"/>
      <w:r w:rsidR="00F65B9A">
        <w:t>c</w:t>
      </w:r>
      <w:r w:rsidRPr="00F65B9A">
        <w:t>ephalexin</w:t>
      </w:r>
      <w:proofErr w:type="spellEnd"/>
      <w:r w:rsidRPr="00F65B9A">
        <w:t xml:space="preserve"> group (81.8%).</w:t>
      </w:r>
    </w:p>
    <w:p w:rsidR="003D0090" w:rsidRPr="00F65B9A" w:rsidRDefault="003D0090" w:rsidP="00F65B9A">
      <w:r w:rsidRPr="00F65B9A">
        <w:rPr>
          <w:b/>
          <w:bCs/>
          <w:i/>
          <w:iCs/>
        </w:rPr>
        <w:t>Study 030B:</w:t>
      </w:r>
      <w:r w:rsidRPr="00F65B9A">
        <w:t xml:space="preserve"> a total of 922 patients enrolled, of which 916 made up of the ITTC population (606 in Retapamulin group and 310 in </w:t>
      </w:r>
      <w:proofErr w:type="spellStart"/>
      <w:r w:rsidRPr="00F65B9A">
        <w:t>cephalexin</w:t>
      </w:r>
      <w:proofErr w:type="spellEnd"/>
      <w:r w:rsidRPr="00F65B9A">
        <w:t xml:space="preserve"> group). The PPC population consisted of 83.6% of the ITTC population. The two groups were balanced with respect to age, gender, race, and ethnicity. There were 77 paediatric subjects (8.4%). Most patients had SIOW rather than simple abscesses. The primary efficacy endpoint was clinical response at FU visit in the PPC population. </w:t>
      </w:r>
      <w:r w:rsidR="00F65B9A">
        <w:t>C</w:t>
      </w:r>
      <w:r w:rsidRPr="00F65B9A">
        <w:t xml:space="preserve">linical success was achieved by 90.4% at for the retapamulin group compared to 92.0% in the </w:t>
      </w:r>
      <w:proofErr w:type="spellStart"/>
      <w:r w:rsidR="00F65B9A">
        <w:t>c</w:t>
      </w:r>
      <w:r w:rsidRPr="00F65B9A">
        <w:t>ephalexin</w:t>
      </w:r>
      <w:proofErr w:type="spellEnd"/>
      <w:r w:rsidRPr="00F65B9A">
        <w:t xml:space="preserve"> group in the PPC population. The non-inferiority of </w:t>
      </w:r>
      <w:proofErr w:type="spellStart"/>
      <w:r w:rsidRPr="00F65B9A">
        <w:t>retapamulin</w:t>
      </w:r>
      <w:proofErr w:type="spellEnd"/>
      <w:r w:rsidRPr="00F65B9A">
        <w:t xml:space="preserve"> </w:t>
      </w:r>
      <w:r w:rsidR="00F65B9A">
        <w:t xml:space="preserve">versus </w:t>
      </w:r>
      <w:proofErr w:type="spellStart"/>
      <w:r w:rsidR="00F65B9A">
        <w:t>c</w:t>
      </w:r>
      <w:r w:rsidRPr="00F65B9A">
        <w:t>ephalexin</w:t>
      </w:r>
      <w:proofErr w:type="spellEnd"/>
      <w:r w:rsidRPr="00F65B9A">
        <w:t xml:space="preserve"> was demonstrated, as the lower limit of the CI for the treatment difference was greater than -10%.</w:t>
      </w:r>
    </w:p>
    <w:p w:rsidR="003D0090" w:rsidRPr="00F65B9A" w:rsidRDefault="003D0090" w:rsidP="001D6284">
      <w:pPr>
        <w:pStyle w:val="TableTitle"/>
      </w:pPr>
      <w:proofErr w:type="gramStart"/>
      <w:r w:rsidRPr="00F65B9A">
        <w:t xml:space="preserve">Table </w:t>
      </w:r>
      <w:r w:rsidR="001D4D0B">
        <w:t>1</w:t>
      </w:r>
      <w:r w:rsidR="005A06CC">
        <w:t>8</w:t>
      </w:r>
      <w:r w:rsidR="00F65B9A">
        <w:t>.</w:t>
      </w:r>
      <w:proofErr w:type="gramEnd"/>
      <w:r w:rsidRPr="00F65B9A">
        <w:t xml:space="preserve"> Clinical response at the Follow-Up visit (Study 030B)</w:t>
      </w:r>
    </w:p>
    <w:p w:rsidR="003D0090" w:rsidRPr="003D0090" w:rsidRDefault="003D0090" w:rsidP="003D0090">
      <w:r w:rsidRPr="003D0090">
        <w:rPr>
          <w:noProof/>
          <w:lang w:eastAsia="en-AU"/>
        </w:rPr>
        <w:drawing>
          <wp:inline distT="0" distB="0" distL="0" distR="0">
            <wp:extent cx="4910137" cy="1000752"/>
            <wp:effectExtent l="19050" t="0" r="4763" b="0"/>
            <wp:docPr id="6" name="Picture 156" descr="Table 18. Clinical response at the Follow-Up visit (Study 0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893" cy="1001518"/>
                    </a:xfrm>
                    <a:prstGeom prst="rect">
                      <a:avLst/>
                    </a:prstGeom>
                    <a:noFill/>
                    <a:ln>
                      <a:noFill/>
                    </a:ln>
                  </pic:spPr>
                </pic:pic>
              </a:graphicData>
            </a:graphic>
          </wp:inline>
        </w:drawing>
      </w:r>
    </w:p>
    <w:p w:rsidR="003D0090" w:rsidRPr="00F65B9A" w:rsidRDefault="003D0090" w:rsidP="00F65B9A">
      <w:r w:rsidRPr="00F65B9A">
        <w:t xml:space="preserve">For subjects with </w:t>
      </w:r>
      <w:r w:rsidRPr="00F65B9A">
        <w:rPr>
          <w:i/>
          <w:iCs/>
        </w:rPr>
        <w:t>S. aureus</w:t>
      </w:r>
      <w:r w:rsidRPr="00F65B9A">
        <w:t xml:space="preserve"> or </w:t>
      </w:r>
      <w:r w:rsidRPr="00F65B9A">
        <w:rPr>
          <w:i/>
          <w:iCs/>
        </w:rPr>
        <w:t>S. pyogenes</w:t>
      </w:r>
      <w:r w:rsidRPr="00F65B9A">
        <w:t xml:space="preserve"> isolated from a wound sample at baseline, the success rates at follow-up were generally similar between the treatment groups. The efficacy rates against MRSA were lower at follow-up for the retapamulin group</w:t>
      </w:r>
      <w:r w:rsidR="00F65B9A" w:rsidRPr="00F65B9A">
        <w:t xml:space="preserve"> </w:t>
      </w:r>
      <w:r w:rsidRPr="00F65B9A">
        <w:t xml:space="preserve">(65.4%) compared to the </w:t>
      </w:r>
      <w:proofErr w:type="spellStart"/>
      <w:r w:rsidRPr="00F65B9A">
        <w:t>cephalexin</w:t>
      </w:r>
      <w:proofErr w:type="spellEnd"/>
      <w:r w:rsidRPr="00F65B9A">
        <w:t xml:space="preserve"> group (93.3%).</w:t>
      </w:r>
    </w:p>
    <w:p w:rsidR="003D0090" w:rsidRPr="00F65B9A" w:rsidRDefault="003D0090" w:rsidP="00F65B9A">
      <w:r w:rsidRPr="00F65B9A">
        <w:rPr>
          <w:b/>
          <w:bCs/>
          <w:i/>
          <w:iCs/>
        </w:rPr>
        <w:t>Study TOC110977</w:t>
      </w:r>
      <w:r w:rsidRPr="00F65B9A">
        <w:t xml:space="preserve"> was a randomised, prospective, multicentre, double-blind, placebo-controlled superiority study. The study compared retapamulin ointment with placebo ointment, both applied BD for 5 days. This study was required by the FDA as the primary basis of approval for SITL indication. Stu</w:t>
      </w:r>
      <w:r w:rsidR="00AD666B">
        <w:t>dies</w:t>
      </w:r>
      <w:r w:rsidRPr="00F65B9A">
        <w:t xml:space="preserve"> 030A and 030B were deemed by the FDA to have insufficient evidence for the approval of the SITL indication. Study TOC110977 was also intended to estimate the treatment effect to justify the n</w:t>
      </w:r>
      <w:r w:rsidR="001D4D0B">
        <w:t>on-inferiority margins used in Studies 030A and 030B,</w:t>
      </w:r>
      <w:r w:rsidRPr="00F65B9A">
        <w:t xml:space="preserve"> but changes to the outcome definitions in Amendment No. 1 precluded this. The study protocol was amended twice. Amendment 1 changed the definition of a clinical response of ‘success’ and increased the minimum entry pus score (SIRS component) of ≥ 3. Amendment 2 was implemented to allow the recruitment of 70 additional subjects to replace subjects that were enrolled and had data captured in an incorrect version of the </w:t>
      </w:r>
      <w:r w:rsidR="00F65B9A">
        <w:t>electronic case report form (</w:t>
      </w:r>
      <w:proofErr w:type="spellStart"/>
      <w:r w:rsidRPr="00F65B9A">
        <w:t>eCRF</w:t>
      </w:r>
      <w:proofErr w:type="spellEnd"/>
      <w:r w:rsidR="00F65B9A">
        <w:t>)</w:t>
      </w:r>
      <w:r w:rsidRPr="00F65B9A">
        <w:t xml:space="preserve">. Both amendments required </w:t>
      </w:r>
      <w:r w:rsidRPr="00F65B9A">
        <w:lastRenderedPageBreak/>
        <w:t>adaptations to the Reporting and Analysis Plan (RAP) whi</w:t>
      </w:r>
      <w:r w:rsidR="00F65B9A">
        <w:t>ch were incorporated and finalis</w:t>
      </w:r>
      <w:r w:rsidRPr="00F65B9A">
        <w:t>ed before the final Dat</w:t>
      </w:r>
      <w:r w:rsidR="001D6284">
        <w:t>abase Freeze.</w:t>
      </w:r>
    </w:p>
    <w:p w:rsidR="003D0090" w:rsidRPr="003D0090" w:rsidRDefault="003D0090" w:rsidP="001D6284">
      <w:pPr>
        <w:pStyle w:val="TableTitle"/>
      </w:pPr>
      <w:proofErr w:type="gramStart"/>
      <w:r w:rsidRPr="003D0090">
        <w:t xml:space="preserve">Table </w:t>
      </w:r>
      <w:r w:rsidR="001D4D0B">
        <w:t>1</w:t>
      </w:r>
      <w:r w:rsidR="005A06CC">
        <w:t>9</w:t>
      </w:r>
      <w:r w:rsidR="00F65B9A">
        <w:t>.</w:t>
      </w:r>
      <w:proofErr w:type="gramEnd"/>
      <w:r w:rsidRPr="003D0090">
        <w:t xml:space="preserve"> Analysis population in Study TOC110977</w:t>
      </w:r>
    </w:p>
    <w:p w:rsidR="003D0090" w:rsidRPr="003D0090" w:rsidRDefault="003D0090" w:rsidP="003D0090">
      <w:r w:rsidRPr="003D0090">
        <w:rPr>
          <w:noProof/>
          <w:lang w:eastAsia="en-AU"/>
        </w:rPr>
        <w:drawing>
          <wp:inline distT="0" distB="0" distL="0" distR="0">
            <wp:extent cx="5363707" cy="846499"/>
            <wp:effectExtent l="19050" t="0" r="8393" b="0"/>
            <wp:docPr id="7" name="Picture 131" descr="Table 19. Analysis population in Study TOC1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846320"/>
                    </a:xfrm>
                    <a:prstGeom prst="rect">
                      <a:avLst/>
                    </a:prstGeom>
                    <a:noFill/>
                    <a:ln>
                      <a:noFill/>
                    </a:ln>
                  </pic:spPr>
                </pic:pic>
              </a:graphicData>
            </a:graphic>
          </wp:inline>
        </w:drawing>
      </w:r>
      <w:r w:rsidRPr="003D0090">
        <w:t xml:space="preserve"> </w:t>
      </w:r>
    </w:p>
    <w:p w:rsidR="003D0090" w:rsidRPr="00F65B9A" w:rsidRDefault="003D0090" w:rsidP="00F65B9A">
      <w:r w:rsidRPr="00F65B9A">
        <w:t>The first analy</w:t>
      </w:r>
      <w:r w:rsidR="00AD666B">
        <w:t>sis population (subjects from A</w:t>
      </w:r>
      <w:r w:rsidRPr="00F65B9A">
        <w:t>+C) using the new definition of clinical response in the protocol amendments was designated as the primary efficacy analysis population. A total of 507 subjects made up of the ITTC population (Groups A+B+C+D) whic</w:t>
      </w:r>
      <w:r w:rsidR="00AD666B">
        <w:t>h included 343 subjects in the r</w:t>
      </w:r>
      <w:r w:rsidRPr="00F65B9A">
        <w:t>etapamulin group and 165 subjects in the placebo group. The ITTC Primary Efficacy Population (Groups A+C) consis</w:t>
      </w:r>
      <w:r w:rsidR="001D6284">
        <w:t>ted of a total of 359 subjects.</w:t>
      </w:r>
    </w:p>
    <w:p w:rsidR="00AD666B" w:rsidRDefault="003D0090" w:rsidP="00F65B9A">
      <w:r w:rsidRPr="00F65B9A">
        <w:t xml:space="preserve">The primary efficacy endpoint was the clinical response (success or failure) in the ITTC Primary Efficacy Population (Groups A+C) at the FU visit. A status of ‘unable to determine’ was </w:t>
      </w:r>
      <w:r w:rsidR="001D4D0B">
        <w:t xml:space="preserve">assigned </w:t>
      </w:r>
      <w:r w:rsidRPr="00F65B9A">
        <w:t>due to a subject’s failure to attend the FU visit and in such a</w:t>
      </w:r>
      <w:r w:rsidR="00AD666B">
        <w:t xml:space="preserve"> case, the subject was categoris</w:t>
      </w:r>
      <w:r w:rsidR="001D6284">
        <w:t>ed as a clinical failure.</w:t>
      </w:r>
    </w:p>
    <w:p w:rsidR="003D0090" w:rsidRPr="00F65B9A" w:rsidRDefault="003D0090" w:rsidP="00F65B9A">
      <w:r w:rsidRPr="00F65B9A">
        <w:t xml:space="preserve">In the primary efficacy population, the clinical success for retapamulin (74.8%) was higher than for placebo (66.4%), however, the difference (8.4%) was not statistically significant (95% CI included zero). In the ITTB population, the clinical success in the retapamulin group (76.4%) was also higher than for the placebo group (64.3%). The difference (12.1%) and the corresponding 95% CI (0.6, 23.6) suggested that retapamulin has a statistically significant benefit in the treatment of </w:t>
      </w:r>
      <w:proofErr w:type="spellStart"/>
      <w:r w:rsidRPr="00F65B9A">
        <w:t>bacteriologically</w:t>
      </w:r>
      <w:proofErr w:type="spellEnd"/>
      <w:r w:rsidRPr="00F65B9A">
        <w:t xml:space="preserve"> confirmed SITL patients. The treatment difference of 8.1% at FU visit for all subjects enrolled (Groups A+B+C+D) was similar to that seen in the ITTC primary efficacy population (Groups A+C).</w:t>
      </w:r>
    </w:p>
    <w:p w:rsidR="003D0090" w:rsidRPr="00F65B9A" w:rsidRDefault="00476C43" w:rsidP="001D6284">
      <w:pPr>
        <w:pStyle w:val="TableTitle"/>
      </w:pPr>
      <w:proofErr w:type="gramStart"/>
      <w:r>
        <w:t>Table 20</w:t>
      </w:r>
      <w:r w:rsidR="00F65B9A">
        <w:t>.</w:t>
      </w:r>
      <w:proofErr w:type="gramEnd"/>
      <w:r>
        <w:t xml:space="preserve"> Clinical r</w:t>
      </w:r>
      <w:r w:rsidR="003D0090" w:rsidRPr="00F65B9A">
        <w:t>esponse at Follow-up, by Analysis Population</w:t>
      </w:r>
    </w:p>
    <w:p w:rsidR="003D0090" w:rsidRPr="003D0090" w:rsidRDefault="003D0090" w:rsidP="00F65B9A">
      <w:pPr>
        <w:spacing w:after="0"/>
      </w:pPr>
      <w:r w:rsidRPr="003D0090">
        <w:rPr>
          <w:b/>
          <w:bCs/>
          <w:noProof/>
          <w:lang w:eastAsia="en-AU"/>
        </w:rPr>
        <w:drawing>
          <wp:inline distT="0" distB="0" distL="0" distR="0">
            <wp:extent cx="5354182" cy="882713"/>
            <wp:effectExtent l="19050" t="0" r="0" b="0"/>
            <wp:docPr id="8" name="Picture 150" descr="Table 20. Clinical response at Follow-up,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884097"/>
                    </a:xfrm>
                    <a:prstGeom prst="rect">
                      <a:avLst/>
                    </a:prstGeom>
                    <a:noFill/>
                    <a:ln>
                      <a:noFill/>
                    </a:ln>
                  </pic:spPr>
                </pic:pic>
              </a:graphicData>
            </a:graphic>
          </wp:inline>
        </w:drawing>
      </w:r>
    </w:p>
    <w:p w:rsidR="003D0090" w:rsidRPr="00F65B9A" w:rsidRDefault="003D0090" w:rsidP="001D6284">
      <w:pPr>
        <w:pStyle w:val="TableDescription"/>
      </w:pPr>
      <w:r w:rsidRPr="00F65B9A">
        <w:t>ITTC</w:t>
      </w:r>
      <w:r w:rsidR="00AD666B">
        <w:t>:</w:t>
      </w:r>
      <w:r w:rsidRPr="00F65B9A">
        <w:t xml:space="preserve">  Intent to Treat Clinical Primary Efficacy Population (A +C); PPC</w:t>
      </w:r>
      <w:r w:rsidR="00AD666B">
        <w:t>:</w:t>
      </w:r>
      <w:r w:rsidRPr="00F65B9A">
        <w:t xml:space="preserve"> Per Protocol Clinical Primary E</w:t>
      </w:r>
      <w:r w:rsidR="001363EF">
        <w:t>fficacy Population (A +C); ITTB: I</w:t>
      </w:r>
      <w:r w:rsidRPr="00F65B9A">
        <w:t xml:space="preserve">ntent to Treat </w:t>
      </w:r>
      <w:proofErr w:type="spellStart"/>
      <w:r w:rsidRPr="00F65B9A">
        <w:t>Bacteriogically</w:t>
      </w:r>
      <w:proofErr w:type="spellEnd"/>
      <w:r w:rsidRPr="00F65B9A">
        <w:t xml:space="preserve"> evaluable, Primary Efficacy Population (A +C)</w:t>
      </w:r>
      <w:r w:rsidRPr="00F65B9A">
        <w:rPr>
          <w:b/>
          <w:bCs/>
        </w:rPr>
        <w:t xml:space="preserve">; </w:t>
      </w:r>
      <w:r w:rsidRPr="00F65B9A">
        <w:t>PPB</w:t>
      </w:r>
      <w:r w:rsidR="001363EF">
        <w:t>:</w:t>
      </w:r>
      <w:r w:rsidRPr="00F65B9A">
        <w:t xml:space="preserve"> Per Protocol </w:t>
      </w:r>
      <w:proofErr w:type="spellStart"/>
      <w:r w:rsidRPr="00F65B9A">
        <w:t>Bacteriogically</w:t>
      </w:r>
      <w:proofErr w:type="spellEnd"/>
      <w:r w:rsidRPr="00F65B9A">
        <w:t xml:space="preserve"> evaluable, Primary Efficacy Population (A +C)</w:t>
      </w:r>
    </w:p>
    <w:p w:rsidR="003D0090" w:rsidRPr="00F65B9A" w:rsidRDefault="003D0090" w:rsidP="00F65B9A">
      <w:r w:rsidRPr="00F65B9A">
        <w:t>Using logistic regression analysis to adjust for the differences in</w:t>
      </w:r>
      <w:r w:rsidR="001D4D0B">
        <w:t xml:space="preserve"> baseline wound characteristics</w:t>
      </w:r>
      <w:r w:rsidRPr="00F65B9A">
        <w:t xml:space="preserve"> for the primary endpoint, retapamulin treatment was found to be superior to placebo treatment (p = 0.0336)</w:t>
      </w:r>
      <w:r w:rsidR="001D4D0B">
        <w:t>,</w:t>
      </w:r>
      <w:r w:rsidRPr="00F65B9A">
        <w:t xml:space="preserve"> with an odds ratio estimate of 1.73 and 95% CI of (1.04, 2.87).</w:t>
      </w:r>
    </w:p>
    <w:p w:rsidR="003D0090" w:rsidRPr="00F65B9A" w:rsidRDefault="003D0090" w:rsidP="00F65B9A">
      <w:r w:rsidRPr="00F65B9A">
        <w:rPr>
          <w:b/>
          <w:bCs/>
          <w:i/>
          <w:iCs/>
        </w:rPr>
        <w:t>Study TOC110978</w:t>
      </w:r>
      <w:r w:rsidRPr="00F65B9A">
        <w:t xml:space="preserve"> was a randomised, double-blind, double dummy, multicentre, comparative study. The primary objective was to evaluate the clinical and bacteriological efficacy of </w:t>
      </w:r>
      <w:proofErr w:type="spellStart"/>
      <w:r w:rsidRPr="00F65B9A">
        <w:t>re</w:t>
      </w:r>
      <w:r w:rsidR="001D4D0B">
        <w:t>tapamulin</w:t>
      </w:r>
      <w:proofErr w:type="spellEnd"/>
      <w:r w:rsidR="001D4D0B">
        <w:t xml:space="preserve"> versus oral </w:t>
      </w:r>
      <w:proofErr w:type="spellStart"/>
      <w:r w:rsidR="001D4D0B">
        <w:t>linezolid</w:t>
      </w:r>
      <w:proofErr w:type="spellEnd"/>
      <w:r w:rsidRPr="00F65B9A">
        <w:t xml:space="preserve"> in the treatment </w:t>
      </w:r>
      <w:r w:rsidR="001D4D0B">
        <w:t xml:space="preserve">of </w:t>
      </w:r>
      <w:r w:rsidRPr="00F65B9A">
        <w:t xml:space="preserve">SITL or impetigo due to MRSA. Retapamulin was applied BD for 5 days while </w:t>
      </w:r>
      <w:proofErr w:type="spellStart"/>
      <w:r w:rsidRPr="00F65B9A">
        <w:t>linezolid</w:t>
      </w:r>
      <w:proofErr w:type="spellEnd"/>
      <w:r w:rsidRPr="00F65B9A">
        <w:t xml:space="preserve"> was dosed either BD or TID for 10 days</w:t>
      </w:r>
      <w:r w:rsidR="001D4D0B" w:rsidRPr="001D4D0B">
        <w:t xml:space="preserve"> </w:t>
      </w:r>
      <w:r w:rsidR="001D4D0B">
        <w:t xml:space="preserve">depending on subject age. The On-therapy, </w:t>
      </w:r>
      <w:proofErr w:type="spellStart"/>
      <w:r w:rsidR="001D4D0B">
        <w:t>Eo</w:t>
      </w:r>
      <w:r w:rsidRPr="00F65B9A">
        <w:t>T</w:t>
      </w:r>
      <w:proofErr w:type="spellEnd"/>
      <w:r w:rsidRPr="00F65B9A">
        <w:t xml:space="preserve">, and FU visits were therefore staggered due to the difference in duration of the treatment regimens. Subjects </w:t>
      </w:r>
      <w:r w:rsidR="00CA75E3" w:rsidRPr="00F65B9A">
        <w:t xml:space="preserve">could be enrolled </w:t>
      </w:r>
      <w:r w:rsidR="00CA75E3">
        <w:t xml:space="preserve">as follows: those </w:t>
      </w:r>
      <w:r w:rsidRPr="00F65B9A">
        <w:t>who had a SITL (excluding abscesses) no longer than 10 cm or no larger than 100 cm</w:t>
      </w:r>
      <w:r w:rsidRPr="00F65B9A">
        <w:rPr>
          <w:vertAlign w:val="superscript"/>
        </w:rPr>
        <w:t>2</w:t>
      </w:r>
      <w:r w:rsidRPr="00F65B9A">
        <w:t xml:space="preserve"> in total area (or no more than 2% of total body surface area for subjects &lt;18 years of age)</w:t>
      </w:r>
      <w:r w:rsidR="001363EF">
        <w:t>,</w:t>
      </w:r>
      <w:r w:rsidRPr="00F65B9A">
        <w:t xml:space="preserve"> or had impetigo co</w:t>
      </w:r>
      <w:r w:rsidR="001363EF">
        <w:t>nsisting of ≤10 discrete localis</w:t>
      </w:r>
      <w:r w:rsidRPr="00F65B9A">
        <w:t>ed lesions on otherwise healthy skin not to exceed 100 cm</w:t>
      </w:r>
      <w:r w:rsidRPr="00F65B9A">
        <w:rPr>
          <w:vertAlign w:val="superscript"/>
        </w:rPr>
        <w:t>2</w:t>
      </w:r>
      <w:r w:rsidRPr="00F65B9A">
        <w:t xml:space="preserve"> in area with surrounding erythema not extending more than 2 cm from the edge of any lesion or up to a maximum of 2% body </w:t>
      </w:r>
      <w:r w:rsidRPr="00F65B9A">
        <w:lastRenderedPageBreak/>
        <w:t>surface area for subjects &lt;18 years of age, a total SIRS score of at least 8 which included a p</w:t>
      </w:r>
      <w:r w:rsidR="001D6284">
        <w:t>us/</w:t>
      </w:r>
      <w:proofErr w:type="spellStart"/>
      <w:r w:rsidR="001D6284">
        <w:t>exudate</w:t>
      </w:r>
      <w:proofErr w:type="spellEnd"/>
      <w:r w:rsidR="001D6284">
        <w:t xml:space="preserve"> score of at least 3.</w:t>
      </w:r>
    </w:p>
    <w:p w:rsidR="003D0090" w:rsidRPr="00F65B9A" w:rsidDel="0081373E" w:rsidRDefault="003D0090" w:rsidP="00F65B9A">
      <w:r w:rsidRPr="00F65B9A">
        <w:t xml:space="preserve">The primary efficacy endpoint was the clinical response at FU visit in subjects with </w:t>
      </w:r>
      <w:r w:rsidR="002C709C">
        <w:t>MRSA as the baseline pathogen (</w:t>
      </w:r>
      <w:r w:rsidRPr="00F65B9A">
        <w:t>PPMRSA population). There were many secondary endpoints as listed in the CER</w:t>
      </w:r>
      <w:r w:rsidR="002C709C">
        <w:t xml:space="preserve"> (see AusPAR Attachment 2</w:t>
      </w:r>
      <w:r w:rsidR="00CA75E3">
        <w:t>)</w:t>
      </w:r>
      <w:r w:rsidRPr="00F65B9A">
        <w:t xml:space="preserve">. </w:t>
      </w:r>
      <w:r w:rsidR="00CA75E3">
        <w:t xml:space="preserve">The </w:t>
      </w:r>
      <w:r w:rsidRPr="00F65B9A">
        <w:t>ITT-MRSA population was the Intent to T</w:t>
      </w:r>
      <w:r w:rsidR="00CA75E3">
        <w:t>r</w:t>
      </w:r>
      <w:r w:rsidRPr="00F65B9A">
        <w:t xml:space="preserve">eat MRSA population which include all randomised subjects who took at least one dose of study medicine. PPMRSA is </w:t>
      </w:r>
      <w:r w:rsidR="002C709C">
        <w:t xml:space="preserve">the </w:t>
      </w:r>
      <w:r w:rsidRPr="00F65B9A">
        <w:t>Per Protocol MRSA population which include</w:t>
      </w:r>
      <w:r w:rsidR="002C709C">
        <w:t>d</w:t>
      </w:r>
      <w:r w:rsidRPr="00F65B9A">
        <w:t xml:space="preserve"> subjects from the ITTMRSA population who adhered to the protocol </w:t>
      </w:r>
      <w:r w:rsidR="001D6284">
        <w:t>(did not violate the protocol).</w:t>
      </w:r>
    </w:p>
    <w:p w:rsidR="003D0090" w:rsidRPr="00F65B9A" w:rsidRDefault="003D0090" w:rsidP="00F65B9A">
      <w:r w:rsidRPr="00F65B9A">
        <w:t xml:space="preserve">A total of 410 subjects </w:t>
      </w:r>
      <w:r w:rsidR="00CA75E3">
        <w:t xml:space="preserve">were </w:t>
      </w:r>
      <w:r w:rsidRPr="00F65B9A">
        <w:t>enrolled</w:t>
      </w:r>
      <w:r w:rsidR="00CA75E3">
        <w:t>,</w:t>
      </w:r>
      <w:r w:rsidRPr="00F65B9A">
        <w:t xml:space="preserve"> 267 received at least 1 dose of retapamulin and 137 received at least 1 dose of </w:t>
      </w:r>
      <w:proofErr w:type="spellStart"/>
      <w:r w:rsidRPr="00F65B9A">
        <w:t>linezolid</w:t>
      </w:r>
      <w:proofErr w:type="spellEnd"/>
      <w:r w:rsidRPr="00F65B9A">
        <w:t xml:space="preserve">. Of these subjects, 234 retapamulin-treated subjects and 122 </w:t>
      </w:r>
      <w:proofErr w:type="spellStart"/>
      <w:r w:rsidRPr="00F65B9A">
        <w:t>linezolid</w:t>
      </w:r>
      <w:proofErr w:type="spellEnd"/>
      <w:r w:rsidRPr="00F65B9A">
        <w:t xml:space="preserve">-treated subjects completed the study. The primary endpoint is measured for the PPMRSA analysis set, for which an approximately equivalent proportion of subjects in both groups were included at </w:t>
      </w:r>
      <w:r w:rsidR="001D4D0B">
        <w:t xml:space="preserve">the </w:t>
      </w:r>
      <w:r w:rsidRPr="00F65B9A">
        <w:t xml:space="preserve">FU visit. Overall, the demographic characteristics were similar between groups. The majority of isolates were </w:t>
      </w:r>
      <w:r w:rsidRPr="002C709C">
        <w:rPr>
          <w:i/>
          <w:iCs/>
        </w:rPr>
        <w:t>S. aureus</w:t>
      </w:r>
      <w:r w:rsidRPr="00F65B9A">
        <w:t xml:space="preserve">. In the </w:t>
      </w:r>
      <w:proofErr w:type="spellStart"/>
      <w:r w:rsidRPr="00F65B9A">
        <w:t>linezolid</w:t>
      </w:r>
      <w:proofErr w:type="spellEnd"/>
      <w:r w:rsidRPr="00F65B9A">
        <w:t xml:space="preserve"> group, 40% of isolates were MRSA and 31% were </w:t>
      </w:r>
      <w:r w:rsidR="00CA75E3">
        <w:t>MSSA</w:t>
      </w:r>
      <w:r w:rsidRPr="00F65B9A">
        <w:t xml:space="preserve">. In the </w:t>
      </w:r>
      <w:r w:rsidR="002C709C">
        <w:t>r</w:t>
      </w:r>
      <w:r w:rsidRPr="00F65B9A">
        <w:t xml:space="preserve">etapamulin group 36% were MRSA and 38% were MSSA. Approximately 10% of isolates were </w:t>
      </w:r>
      <w:r w:rsidRPr="002C709C">
        <w:rPr>
          <w:i/>
          <w:iCs/>
        </w:rPr>
        <w:t xml:space="preserve">S. </w:t>
      </w:r>
      <w:proofErr w:type="gramStart"/>
      <w:r w:rsidRPr="002C709C">
        <w:rPr>
          <w:i/>
          <w:iCs/>
        </w:rPr>
        <w:t>pyogenes</w:t>
      </w:r>
      <w:r w:rsidRPr="00F65B9A">
        <w:t>,</w:t>
      </w:r>
      <w:proofErr w:type="gramEnd"/>
      <w:r w:rsidRPr="00F65B9A">
        <w:t xml:space="preserve"> approximately 13% of isolates were Gram-negative pathogens. The table below summari</w:t>
      </w:r>
      <w:r w:rsidR="002C709C">
        <w:t>s</w:t>
      </w:r>
      <w:r w:rsidRPr="00F65B9A">
        <w:t>es the results for the primary comparison of interest.</w:t>
      </w:r>
    </w:p>
    <w:p w:rsidR="003D0090" w:rsidRPr="002C709C" w:rsidRDefault="00803E9C" w:rsidP="001D6284">
      <w:pPr>
        <w:pStyle w:val="TableTitle"/>
      </w:pPr>
      <w:proofErr w:type="gramStart"/>
      <w:r>
        <w:t>Table 2</w:t>
      </w:r>
      <w:r w:rsidR="00476C43">
        <w:t>1</w:t>
      </w:r>
      <w:r w:rsidR="002C709C">
        <w:t>.</w:t>
      </w:r>
      <w:proofErr w:type="gramEnd"/>
      <w:r w:rsidR="002C709C">
        <w:t xml:space="preserve"> </w:t>
      </w:r>
      <w:r>
        <w:t>Clinical s</w:t>
      </w:r>
      <w:r w:rsidR="003D0090" w:rsidRPr="002C709C">
        <w:t xml:space="preserve">uccess at Follow-up in </w:t>
      </w:r>
      <w:r>
        <w:t>s</w:t>
      </w:r>
      <w:r w:rsidR="003D0090" w:rsidRPr="002C709C">
        <w:t xml:space="preserve">ubjects with </w:t>
      </w:r>
      <w:r>
        <w:t>b</w:t>
      </w:r>
      <w:r w:rsidR="003D0090" w:rsidRPr="002C709C">
        <w:t>aseline MRSA Study TOC110978</w:t>
      </w:r>
    </w:p>
    <w:p w:rsidR="003D0090" w:rsidRPr="003D0090" w:rsidRDefault="003D0090" w:rsidP="003D0090">
      <w:r w:rsidRPr="003D0090">
        <w:rPr>
          <w:noProof/>
          <w:lang w:eastAsia="en-AU"/>
        </w:rPr>
        <w:drawing>
          <wp:inline distT="0" distB="0" distL="0" distR="0">
            <wp:extent cx="4705350" cy="812633"/>
            <wp:effectExtent l="19050" t="0" r="0" b="0"/>
            <wp:docPr id="9" name="Picture 167" descr="Table 21. Clinical success at Follow-up in subjects with baseline MRSA Study TOC1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4797" cy="812537"/>
                    </a:xfrm>
                    <a:prstGeom prst="rect">
                      <a:avLst/>
                    </a:prstGeom>
                    <a:noFill/>
                    <a:ln>
                      <a:noFill/>
                    </a:ln>
                  </pic:spPr>
                </pic:pic>
              </a:graphicData>
            </a:graphic>
          </wp:inline>
        </w:drawing>
      </w:r>
    </w:p>
    <w:p w:rsidR="003D0090" w:rsidRPr="003D0090" w:rsidRDefault="003D0090" w:rsidP="003D0090">
      <w:r w:rsidRPr="003D0090">
        <w:t>For subjects in the PPMRSA p</w:t>
      </w:r>
      <w:r w:rsidR="002C709C">
        <w:t xml:space="preserve">opulation, the success rate in </w:t>
      </w:r>
      <w:r w:rsidR="006B18EC">
        <w:t xml:space="preserve">the </w:t>
      </w:r>
      <w:r w:rsidR="002C709C">
        <w:t>r</w:t>
      </w:r>
      <w:r w:rsidRPr="003D0090">
        <w:t xml:space="preserve">etapamulin group </w:t>
      </w:r>
      <w:r w:rsidR="00CA75E3">
        <w:t>(</w:t>
      </w:r>
      <w:r w:rsidRPr="003D0090">
        <w:t xml:space="preserve">63.9%) was significantly different from the </w:t>
      </w:r>
      <w:proofErr w:type="spellStart"/>
      <w:r w:rsidRPr="003D0090">
        <w:t>linezolid</w:t>
      </w:r>
      <w:proofErr w:type="spellEnd"/>
      <w:r w:rsidRPr="003D0090">
        <w:t xml:space="preserve"> group (90.6%). The results suggest that topical retapamulin is an inferior treatment compared to oral </w:t>
      </w:r>
      <w:proofErr w:type="spellStart"/>
      <w:r w:rsidRPr="003D0090">
        <w:t>linezolid</w:t>
      </w:r>
      <w:proofErr w:type="spellEnd"/>
      <w:r w:rsidRPr="003D0090">
        <w:t xml:space="preserve">. Clinical success rate at FU by baseline pathogen indicates that the </w:t>
      </w:r>
      <w:proofErr w:type="spellStart"/>
      <w:r w:rsidRPr="003D0090">
        <w:t>linezolid</w:t>
      </w:r>
      <w:proofErr w:type="spellEnd"/>
      <w:r w:rsidRPr="003D0090">
        <w:t xml:space="preserve"> group had approximately 30% greater success rate than </w:t>
      </w:r>
      <w:r w:rsidR="00CA75E3">
        <w:t xml:space="preserve">the </w:t>
      </w:r>
      <w:r w:rsidR="002C709C">
        <w:t>r</w:t>
      </w:r>
      <w:r w:rsidRPr="003D0090">
        <w:t>etapamulin group for all pathogens identified</w:t>
      </w:r>
      <w:r w:rsidR="00842151">
        <w:t>,</w:t>
      </w:r>
      <w:r w:rsidRPr="003D0090">
        <w:t xml:space="preserve"> except for Gram-negative pathogens for which </w:t>
      </w:r>
      <w:proofErr w:type="spellStart"/>
      <w:r w:rsidRPr="003D0090">
        <w:t>linezolid</w:t>
      </w:r>
      <w:proofErr w:type="spellEnd"/>
      <w:r w:rsidRPr="003D0090">
        <w:t xml:space="preserve"> </w:t>
      </w:r>
      <w:r w:rsidR="002C709C">
        <w:t>had a success rate of 100% and r</w:t>
      </w:r>
      <w:r w:rsidRPr="003D0090">
        <w:t>etapamulin 4</w:t>
      </w:r>
      <w:r w:rsidR="002C709C">
        <w:t>2.9%. In no population did the r</w:t>
      </w:r>
      <w:r w:rsidRPr="003D0090">
        <w:t>etapamulin treated group have a higher clinical success rate t</w:t>
      </w:r>
      <w:r w:rsidR="001D6284">
        <w:t xml:space="preserve">han </w:t>
      </w:r>
      <w:proofErr w:type="spellStart"/>
      <w:r w:rsidR="001D6284">
        <w:t>linezolid</w:t>
      </w:r>
      <w:proofErr w:type="spellEnd"/>
      <w:r w:rsidR="001D6284">
        <w:t>-treated subjects.</w:t>
      </w:r>
    </w:p>
    <w:p w:rsidR="003D0090" w:rsidRPr="002C709C" w:rsidRDefault="003D0090" w:rsidP="002C709C">
      <w:pPr>
        <w:pStyle w:val="Heading5"/>
      </w:pPr>
      <w:r w:rsidRPr="002C709C">
        <w:t xml:space="preserve">Secondarily infected </w:t>
      </w:r>
      <w:proofErr w:type="spellStart"/>
      <w:r w:rsidRPr="002C709C">
        <w:t>dermatoses</w:t>
      </w:r>
      <w:proofErr w:type="spellEnd"/>
      <w:r w:rsidRPr="002C709C">
        <w:t xml:space="preserve"> (SID)</w:t>
      </w:r>
    </w:p>
    <w:p w:rsidR="00DF0699" w:rsidRDefault="003D0090" w:rsidP="003D0090">
      <w:r w:rsidRPr="002C709C">
        <w:rPr>
          <w:b/>
          <w:bCs/>
          <w:i/>
          <w:iCs/>
        </w:rPr>
        <w:t>Study 032</w:t>
      </w:r>
      <w:r w:rsidRPr="002C709C">
        <w:t xml:space="preserve"> was a randomised, double-blind, double-dummy, multicentre, non-inferiority study. The study compared the efficacy and safety of topical retapamulin (BD for 5 days) with oral </w:t>
      </w:r>
      <w:proofErr w:type="spellStart"/>
      <w:r w:rsidRPr="002C709C">
        <w:t>cephalexin</w:t>
      </w:r>
      <w:proofErr w:type="spellEnd"/>
      <w:r w:rsidRPr="002C709C">
        <w:t xml:space="preserve"> (500</w:t>
      </w:r>
      <w:r w:rsidR="00730A0D" w:rsidRPr="002C709C">
        <w:t> </w:t>
      </w:r>
      <w:r w:rsidR="00842151">
        <w:t>mg in adults</w:t>
      </w:r>
      <w:r w:rsidRPr="002C709C">
        <w:t xml:space="preserve"> or 12.5</w:t>
      </w:r>
      <w:r w:rsidR="00730A0D" w:rsidRPr="002C709C">
        <w:t> </w:t>
      </w:r>
      <w:r w:rsidRPr="002C709C">
        <w:t xml:space="preserve">mg/kg in children, BD for 10 days) for SID treatment. The claim of non-inferiority was achieved if the lower limit of the 95% CI was greater than -10%. The study subjects were adults and children (≥ 9 months) with a diagnosis of atopic dermatitis, psoriasis or allergic contact dermatitis that had a secondary bacterial infection. A total of 546 subjects were randomised (363 to retapamulin and 183 to </w:t>
      </w:r>
      <w:proofErr w:type="spellStart"/>
      <w:r w:rsidRPr="002C709C">
        <w:t>cephalexin</w:t>
      </w:r>
      <w:proofErr w:type="spellEnd"/>
      <w:r w:rsidRPr="002C709C">
        <w:t>) and 496 subjects completed the study. There were 124 paediatric subjects. A representative number of subjects were enrolled in each of the 3 paediatric age strata. Most</w:t>
      </w:r>
      <w:r w:rsidR="00DF0699">
        <w:t xml:space="preserve"> were enrolled in the 9 months to</w:t>
      </w:r>
      <w:r w:rsidRPr="002C709C">
        <w:t xml:space="preserve"> &lt;6 years stratum, as this age group has relatively high rates of atopic dermatitis. The majority of subjects had one or more pathogen at baseline, most had a single pathogen isolated.</w:t>
      </w:r>
      <w:r w:rsidR="006B18EC">
        <w:t xml:space="preserve"> </w:t>
      </w:r>
      <w:r w:rsidRPr="003D0090">
        <w:t>The primary efficacy endpoint was the clinical response at FU visit in the PPC population. Patients with an outcome of</w:t>
      </w:r>
      <w:r w:rsidR="006B18EC">
        <w:t xml:space="preserve"> Unable to determine (UTD) at </w:t>
      </w:r>
      <w:proofErr w:type="spellStart"/>
      <w:r w:rsidR="006B18EC">
        <w:t>Eo</w:t>
      </w:r>
      <w:r w:rsidRPr="003D0090">
        <w:t>T</w:t>
      </w:r>
      <w:proofErr w:type="spellEnd"/>
      <w:r w:rsidRPr="003D0090">
        <w:t xml:space="preserve"> or at FU </w:t>
      </w:r>
      <w:r w:rsidR="001D6284">
        <w:t>visit were counted as failures.</w:t>
      </w:r>
    </w:p>
    <w:p w:rsidR="003D0090" w:rsidRPr="003D0090" w:rsidRDefault="003D0090" w:rsidP="003D0090">
      <w:r w:rsidRPr="003D0090">
        <w:t xml:space="preserve">The clinical success at FU visit was 85.9% in the retapamulin group and 89.7% in the </w:t>
      </w:r>
      <w:proofErr w:type="spellStart"/>
      <w:r w:rsidRPr="003D0090">
        <w:t>cephalexin</w:t>
      </w:r>
      <w:proofErr w:type="spellEnd"/>
      <w:r w:rsidRPr="003D0090">
        <w:t xml:space="preserve"> group. The lower CI for the treatment difference wa</w:t>
      </w:r>
      <w:r w:rsidR="006B18EC">
        <w:t>s just within -10%</w:t>
      </w:r>
      <w:r w:rsidRPr="003D0090">
        <w:t xml:space="preserve"> and retapamulin was therefore considered to be non-inferior to </w:t>
      </w:r>
      <w:proofErr w:type="spellStart"/>
      <w:r w:rsidRPr="003D0090">
        <w:t>cephalexin</w:t>
      </w:r>
      <w:proofErr w:type="spellEnd"/>
      <w:r w:rsidRPr="003D0090">
        <w:t xml:space="preserve">. In other </w:t>
      </w:r>
      <w:r w:rsidR="00A1513E">
        <w:t xml:space="preserve">patient populations (Table </w:t>
      </w:r>
      <w:r w:rsidR="006B18EC">
        <w:t>2</w:t>
      </w:r>
      <w:r w:rsidR="00476C43">
        <w:t>2</w:t>
      </w:r>
      <w:r w:rsidR="00A1513E">
        <w:t xml:space="preserve"> below</w:t>
      </w:r>
      <w:r w:rsidRPr="003D0090">
        <w:t xml:space="preserve">), retapamulin gave consistently lower clinical success rates </w:t>
      </w:r>
      <w:r w:rsidRPr="003D0090">
        <w:lastRenderedPageBreak/>
        <w:t xml:space="preserve">than </w:t>
      </w:r>
      <w:proofErr w:type="spellStart"/>
      <w:r w:rsidRPr="003D0090">
        <w:t>cephalexin</w:t>
      </w:r>
      <w:proofErr w:type="spellEnd"/>
      <w:r w:rsidRPr="003D0090">
        <w:t xml:space="preserve"> and the lower 95% CI were between -9.7 and -13.9. The results in the ITTC population were supportive of the results in the PPC population. The magnitude of the differences in clinical success rates was greater for the ITTB and PPB populations. However, this study was not powered to assess non-inferiority in these populations.</w:t>
      </w:r>
    </w:p>
    <w:p w:rsidR="003D0090" w:rsidRPr="00A1513E" w:rsidRDefault="00476C43" w:rsidP="001D6284">
      <w:pPr>
        <w:pStyle w:val="TableTitle"/>
      </w:pPr>
      <w:proofErr w:type="gramStart"/>
      <w:r>
        <w:t>Table 22</w:t>
      </w:r>
      <w:r w:rsidR="00A1513E">
        <w:t>.</w:t>
      </w:r>
      <w:proofErr w:type="gramEnd"/>
      <w:r w:rsidR="006B18EC">
        <w:t xml:space="preserve"> Clinical r</w:t>
      </w:r>
      <w:r w:rsidR="003D0090" w:rsidRPr="00A1513E">
        <w:t xml:space="preserve">esponse at Follow-Up by </w:t>
      </w:r>
      <w:r w:rsidR="006B18EC">
        <w:t>a</w:t>
      </w:r>
      <w:r w:rsidR="003D0090" w:rsidRPr="00A1513E">
        <w:t xml:space="preserve">nalysis </w:t>
      </w:r>
      <w:r w:rsidR="006B18EC">
        <w:t>p</w:t>
      </w:r>
      <w:r w:rsidR="003D0090" w:rsidRPr="00A1513E">
        <w:t>opulation (Study 032)</w:t>
      </w:r>
    </w:p>
    <w:p w:rsidR="003D0090" w:rsidRPr="003D0090" w:rsidRDefault="003D0090" w:rsidP="003D0090">
      <w:r w:rsidRPr="003D0090">
        <w:rPr>
          <w:noProof/>
          <w:lang w:eastAsia="en-AU"/>
        </w:rPr>
        <w:drawing>
          <wp:inline distT="0" distB="0" distL="0" distR="0">
            <wp:extent cx="5334000" cy="1219200"/>
            <wp:effectExtent l="19050" t="0" r="0" b="0"/>
            <wp:docPr id="10" name="Picture 179" descr="Table 22. Clinical response at Follow-Up by analysis population (Study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219200"/>
                    </a:xfrm>
                    <a:prstGeom prst="rect">
                      <a:avLst/>
                    </a:prstGeom>
                    <a:noFill/>
                    <a:ln>
                      <a:noFill/>
                    </a:ln>
                  </pic:spPr>
                </pic:pic>
              </a:graphicData>
            </a:graphic>
          </wp:inline>
        </w:drawing>
      </w:r>
    </w:p>
    <w:p w:rsidR="003D0090" w:rsidRPr="00A1513E" w:rsidRDefault="006B18EC" w:rsidP="00A1513E">
      <w:r>
        <w:t xml:space="preserve">The clinical success rates at </w:t>
      </w:r>
      <w:proofErr w:type="spellStart"/>
      <w:r>
        <w:t>Eo</w:t>
      </w:r>
      <w:r w:rsidR="003D0090" w:rsidRPr="00A1513E">
        <w:t>T</w:t>
      </w:r>
      <w:proofErr w:type="spellEnd"/>
      <w:r w:rsidR="003D0090" w:rsidRPr="00A1513E">
        <w:t xml:space="preserve"> for subjects in retapamulin group were similar to subjects in the </w:t>
      </w:r>
      <w:proofErr w:type="spellStart"/>
      <w:r w:rsidR="003D0090" w:rsidRPr="00A1513E">
        <w:t>cephalexin</w:t>
      </w:r>
      <w:proofErr w:type="spellEnd"/>
      <w:r w:rsidR="003D0090" w:rsidRPr="00A1513E">
        <w:t xml:space="preserve"> group. Although the study was not designed to show non-inferiority for secondary endpoints, the efficacy of retapamulin was suggested to be non-inferior to </w:t>
      </w:r>
      <w:proofErr w:type="spellStart"/>
      <w:r w:rsidR="003D0090" w:rsidRPr="00A1513E">
        <w:t>cephalexin</w:t>
      </w:r>
      <w:proofErr w:type="spellEnd"/>
      <w:r w:rsidR="003D0090" w:rsidRPr="00A1513E">
        <w:t xml:space="preserve"> (Table </w:t>
      </w:r>
      <w:r>
        <w:t>2</w:t>
      </w:r>
      <w:r w:rsidR="00476C43">
        <w:t>3</w:t>
      </w:r>
      <w:r w:rsidR="003D0090" w:rsidRPr="00A1513E">
        <w:t>).</w:t>
      </w:r>
    </w:p>
    <w:p w:rsidR="003D0090" w:rsidRPr="00A1513E" w:rsidRDefault="003D0090" w:rsidP="001D6284">
      <w:pPr>
        <w:pStyle w:val="TableTitle"/>
      </w:pPr>
      <w:proofErr w:type="gramStart"/>
      <w:r w:rsidRPr="00A1513E">
        <w:t xml:space="preserve">Table </w:t>
      </w:r>
      <w:r w:rsidR="00476C43">
        <w:t>23</w:t>
      </w:r>
      <w:r w:rsidR="00A1513E">
        <w:t>.</w:t>
      </w:r>
      <w:proofErr w:type="gramEnd"/>
      <w:r w:rsidRPr="00A1513E">
        <w:t xml:space="preserve"> Clinical success rate at EOT (Study 032)</w:t>
      </w:r>
    </w:p>
    <w:p w:rsidR="003D0090" w:rsidRPr="003D0090" w:rsidRDefault="003D0090" w:rsidP="003D0090">
      <w:r w:rsidRPr="003D0090">
        <w:rPr>
          <w:noProof/>
          <w:lang w:eastAsia="en-AU"/>
        </w:rPr>
        <w:drawing>
          <wp:inline distT="0" distB="0" distL="0" distR="0">
            <wp:extent cx="5114925" cy="865648"/>
            <wp:effectExtent l="19050" t="0" r="9525" b="0"/>
            <wp:docPr id="11" name="Picture 1" descr="Table 23. Clinical success rate at EOT (Study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114324" cy="865546"/>
                    </a:xfrm>
                    <a:prstGeom prst="rect">
                      <a:avLst/>
                    </a:prstGeom>
                    <a:noFill/>
                    <a:ln w="9525">
                      <a:noFill/>
                      <a:miter lim="800000"/>
                      <a:headEnd/>
                      <a:tailEnd/>
                    </a:ln>
                  </pic:spPr>
                </pic:pic>
              </a:graphicData>
            </a:graphic>
          </wp:inline>
        </w:drawing>
      </w:r>
    </w:p>
    <w:p w:rsidR="003D0090" w:rsidRPr="00A1513E" w:rsidRDefault="003D0090" w:rsidP="00A1513E">
      <w:r w:rsidRPr="00A1513E">
        <w:t>Of the 27 (8.0%) PPC subjects in the retapamulin group who were a</w:t>
      </w:r>
      <w:r w:rsidR="00FE3C0B">
        <w:t xml:space="preserve">ssigned a clinical failure at </w:t>
      </w:r>
      <w:proofErr w:type="spellStart"/>
      <w:r w:rsidR="00FE3C0B">
        <w:t>Eo</w:t>
      </w:r>
      <w:r w:rsidRPr="00A1513E">
        <w:t>T</w:t>
      </w:r>
      <w:proofErr w:type="spellEnd"/>
      <w:r w:rsidRPr="00A1513E">
        <w:t>, 15 subjects had an outcome of UTD</w:t>
      </w:r>
      <w:r w:rsidR="00FE3C0B">
        <w:t xml:space="preserve"> due to missing the scheduled </w:t>
      </w:r>
      <w:proofErr w:type="spellStart"/>
      <w:r w:rsidR="00FE3C0B">
        <w:t>Eo</w:t>
      </w:r>
      <w:r w:rsidRPr="00A1513E">
        <w:t>T</w:t>
      </w:r>
      <w:proofErr w:type="spellEnd"/>
      <w:r w:rsidRPr="00A1513E">
        <w:t xml:space="preserve"> visit and the remaining 12 subjects had a clinical failure assigned by the investigator. In the </w:t>
      </w:r>
      <w:proofErr w:type="spellStart"/>
      <w:r w:rsidRPr="00A1513E">
        <w:t>cephalexin</w:t>
      </w:r>
      <w:proofErr w:type="spellEnd"/>
      <w:r w:rsidRPr="00A1513E">
        <w:t xml:space="preserve"> group, 10 (6.2%) subjects were assigned a clinical failure, of which 2 subjects had an UTD </w:t>
      </w:r>
      <w:r w:rsidR="003C714B">
        <w:t xml:space="preserve">outcome </w:t>
      </w:r>
      <w:r w:rsidRPr="00A1513E">
        <w:t>due to missing</w:t>
      </w:r>
      <w:r w:rsidR="00FE3C0B">
        <w:t xml:space="preserve"> the</w:t>
      </w:r>
      <w:r w:rsidRPr="00A1513E">
        <w:t xml:space="preserve"> sche</w:t>
      </w:r>
      <w:r w:rsidR="003C714B">
        <w:t xml:space="preserve">duled visit. If subjects with </w:t>
      </w:r>
      <w:r w:rsidRPr="00A1513E">
        <w:t xml:space="preserve">UTD </w:t>
      </w:r>
      <w:r w:rsidR="003C714B">
        <w:t xml:space="preserve">outcome </w:t>
      </w:r>
      <w:r w:rsidRPr="00A1513E">
        <w:t>(and who did not withdraw) were removed from the PPC population, the su</w:t>
      </w:r>
      <w:r w:rsidR="00FE3C0B">
        <w:t xml:space="preserve">ccess rate for </w:t>
      </w:r>
      <w:proofErr w:type="spellStart"/>
      <w:r w:rsidR="00FE3C0B">
        <w:t>retapamulin</w:t>
      </w:r>
      <w:proofErr w:type="spellEnd"/>
      <w:r w:rsidR="00FE3C0B">
        <w:t xml:space="preserve"> at </w:t>
      </w:r>
      <w:proofErr w:type="spellStart"/>
      <w:r w:rsidR="00FE3C0B">
        <w:t>Eo</w:t>
      </w:r>
      <w:r w:rsidRPr="00A1513E">
        <w:t>T</w:t>
      </w:r>
      <w:proofErr w:type="spellEnd"/>
      <w:r w:rsidRPr="00A1513E">
        <w:t xml:space="preserve"> would change from 92.0% (Table </w:t>
      </w:r>
      <w:r w:rsidR="00FE3C0B">
        <w:t>2</w:t>
      </w:r>
      <w:r w:rsidR="00476C43">
        <w:t>3</w:t>
      </w:r>
      <w:r w:rsidRPr="00A1513E">
        <w:t>) to 96.0%</w:t>
      </w:r>
      <w:r w:rsidR="00FE3C0B">
        <w:t>,</w:t>
      </w:r>
      <w:r w:rsidRPr="00A1513E">
        <w:t xml:space="preserve"> and </w:t>
      </w:r>
      <w:r w:rsidR="00FE3C0B" w:rsidRPr="00A1513E">
        <w:t xml:space="preserve">would remain unchanged </w:t>
      </w:r>
      <w:r w:rsidRPr="00A1513E">
        <w:t xml:space="preserve">for </w:t>
      </w:r>
      <w:proofErr w:type="spellStart"/>
      <w:r w:rsidRPr="00A1513E">
        <w:t>cephalexin</w:t>
      </w:r>
      <w:proofErr w:type="spellEnd"/>
      <w:r w:rsidRPr="00A1513E">
        <w:t xml:space="preserve"> </w:t>
      </w:r>
      <w:r w:rsidR="00FE3C0B">
        <w:t>(</w:t>
      </w:r>
      <w:r w:rsidRPr="00A1513E">
        <w:t xml:space="preserve">success rate </w:t>
      </w:r>
      <w:r w:rsidR="00FE3C0B">
        <w:t xml:space="preserve">of </w:t>
      </w:r>
      <w:r w:rsidRPr="00A1513E">
        <w:t>93.8%</w:t>
      </w:r>
      <w:r w:rsidR="00FE3C0B">
        <w:t>)</w:t>
      </w:r>
      <w:r w:rsidRPr="00A1513E">
        <w:t>. Hence, a greater percentage of subjects would have been considered as clinical</w:t>
      </w:r>
      <w:r w:rsidR="00FE3C0B">
        <w:t xml:space="preserve"> successes for </w:t>
      </w:r>
      <w:proofErr w:type="spellStart"/>
      <w:r w:rsidR="00FE3C0B">
        <w:t>retapamulin</w:t>
      </w:r>
      <w:proofErr w:type="spellEnd"/>
      <w:r w:rsidR="00FE3C0B">
        <w:t xml:space="preserve"> at </w:t>
      </w:r>
      <w:proofErr w:type="spellStart"/>
      <w:r w:rsidR="00FE3C0B">
        <w:t>Eo</w:t>
      </w:r>
      <w:r w:rsidRPr="00A1513E">
        <w:t>T</w:t>
      </w:r>
      <w:proofErr w:type="spellEnd"/>
      <w:r w:rsidRPr="00A1513E">
        <w:t>. Similar results were seen at FU</w:t>
      </w:r>
      <w:r w:rsidR="00FE3C0B">
        <w:t>,</w:t>
      </w:r>
      <w:r w:rsidRPr="00A1513E">
        <w:t xml:space="preserve"> with clinical success of 89.9% for retapamulin and 89.7% for </w:t>
      </w:r>
      <w:proofErr w:type="spellStart"/>
      <w:r w:rsidRPr="00A1513E">
        <w:t>cephalexin</w:t>
      </w:r>
      <w:proofErr w:type="spellEnd"/>
      <w:r w:rsidRPr="00A1513E">
        <w:t>. The resulting CI for the difference in clinica</w:t>
      </w:r>
      <w:r w:rsidR="00A1513E">
        <w:t>l success ra</w:t>
      </w:r>
      <w:r w:rsidR="003C714B">
        <w:t>t</w:t>
      </w:r>
      <w:r w:rsidR="00A1513E">
        <w:t>e at FU would be (</w:t>
      </w:r>
      <w:r w:rsidR="00A1513E">
        <w:noBreakHyphen/>
      </w:r>
      <w:r w:rsidRPr="00A1513E">
        <w:t xml:space="preserve">5.7%, 6.0%), compared to (-9.9%, 2.3%) in Table </w:t>
      </w:r>
      <w:r w:rsidR="00FE3C0B">
        <w:t>2</w:t>
      </w:r>
      <w:r w:rsidR="00476C43">
        <w:t>2</w:t>
      </w:r>
      <w:r w:rsidRPr="00A1513E">
        <w:t>.</w:t>
      </w:r>
    </w:p>
    <w:p w:rsidR="003D0090" w:rsidRPr="003D0090" w:rsidRDefault="001D6284" w:rsidP="00A1513E">
      <w:pPr>
        <w:pStyle w:val="Heading4"/>
      </w:pPr>
      <w:r>
        <w:t>Clinical Safety</w:t>
      </w:r>
    </w:p>
    <w:p w:rsidR="003D0090" w:rsidRPr="00A1513E" w:rsidRDefault="003D0090" w:rsidP="00A1513E">
      <w:r w:rsidRPr="00A1513E">
        <w:t xml:space="preserve">In the integrated safety analysis set, one or more AEs were reported in 20% of subjects in the retapamulin group, 25% of subjects in the </w:t>
      </w:r>
      <w:proofErr w:type="spellStart"/>
      <w:r w:rsidRPr="00A1513E">
        <w:t>cephalexin</w:t>
      </w:r>
      <w:proofErr w:type="spellEnd"/>
      <w:r w:rsidRPr="00A1513E">
        <w:t xml:space="preserve"> group, </w:t>
      </w:r>
      <w:proofErr w:type="gramStart"/>
      <w:r w:rsidRPr="00A1513E">
        <w:t>15</w:t>
      </w:r>
      <w:proofErr w:type="gramEnd"/>
      <w:r w:rsidRPr="00A1513E">
        <w:t xml:space="preserve">% of subjects in the sodium </w:t>
      </w:r>
      <w:proofErr w:type="spellStart"/>
      <w:r w:rsidRPr="00A1513E">
        <w:t>fusidate</w:t>
      </w:r>
      <w:proofErr w:type="spellEnd"/>
      <w:r w:rsidRPr="00A1513E">
        <w:t xml:space="preserve"> ointment group, 31% of the </w:t>
      </w:r>
      <w:proofErr w:type="spellStart"/>
      <w:r w:rsidRPr="00A1513E">
        <w:t>linezolid</w:t>
      </w:r>
      <w:proofErr w:type="spellEnd"/>
      <w:r w:rsidRPr="00A1513E">
        <w:t xml:space="preserve"> group, and 11% of subjects in the placebo group. Most AEs were of mild to moderate intensity and relatively few AEs led to discontinuation (≤3% of subjects in any treatment group). Drug-related AEs were infrequent, with application site pain reported in &gt;1% of the retapamulin group. Application site pain was the most frequently reported related AE in the retapamulin group (1.54% of subjects). Proportionally many more subjects in the </w:t>
      </w:r>
      <w:proofErr w:type="spellStart"/>
      <w:r w:rsidRPr="00A1513E">
        <w:t>linezolid</w:t>
      </w:r>
      <w:proofErr w:type="spellEnd"/>
      <w:r w:rsidRPr="00A1513E">
        <w:t xml:space="preserve"> and </w:t>
      </w:r>
      <w:proofErr w:type="spellStart"/>
      <w:r w:rsidRPr="00A1513E">
        <w:t>cephalexin</w:t>
      </w:r>
      <w:proofErr w:type="spellEnd"/>
      <w:r w:rsidRPr="00A1513E">
        <w:t xml:space="preserve"> groups </w:t>
      </w:r>
      <w:r w:rsidR="00C53A89" w:rsidRPr="00A1513E">
        <w:t xml:space="preserve">than the retapamulin group </w:t>
      </w:r>
      <w:r w:rsidRPr="00A1513E">
        <w:t xml:space="preserve">experienced the systemic AEs of diarrhoea and nausea considered to be related to study treatment. The local skin reactions pain, </w:t>
      </w:r>
      <w:proofErr w:type="spellStart"/>
      <w:r w:rsidRPr="00A1513E">
        <w:t>pruritis</w:t>
      </w:r>
      <w:proofErr w:type="spellEnd"/>
      <w:r w:rsidRPr="00A1513E">
        <w:t>, burning and redness were more common in the retapamulin group. This has also been borne out</w:t>
      </w:r>
      <w:r w:rsidR="001D6284">
        <w:t xml:space="preserve"> in the post-marketing reports.</w:t>
      </w:r>
    </w:p>
    <w:p w:rsidR="003D0090" w:rsidRPr="00A1513E" w:rsidRDefault="003D0090" w:rsidP="00A1513E">
      <w:r w:rsidRPr="00A1513E">
        <w:t xml:space="preserve">The incidence of </w:t>
      </w:r>
      <w:r w:rsidR="00A1513E" w:rsidRPr="00A1513E">
        <w:t>serious AEs (</w:t>
      </w:r>
      <w:r w:rsidRPr="00A1513E">
        <w:t>SAEs</w:t>
      </w:r>
      <w:r w:rsidR="00A1513E" w:rsidRPr="00A1513E">
        <w:t>)</w:t>
      </w:r>
      <w:r w:rsidRPr="00A1513E">
        <w:t xml:space="preserve"> was low (n/N = 26/4088 subjects); approximately 2% in the </w:t>
      </w:r>
      <w:proofErr w:type="spellStart"/>
      <w:r w:rsidRPr="00A1513E">
        <w:t>linezolid</w:t>
      </w:r>
      <w:proofErr w:type="spellEnd"/>
      <w:r w:rsidRPr="00A1513E">
        <w:t xml:space="preserve"> group and &lt;1% of subjects in the </w:t>
      </w:r>
      <w:proofErr w:type="spellStart"/>
      <w:r w:rsidRPr="00A1513E">
        <w:t>retapamulin</w:t>
      </w:r>
      <w:proofErr w:type="spellEnd"/>
      <w:r w:rsidRPr="00A1513E">
        <w:t xml:space="preserve"> ointment, </w:t>
      </w:r>
      <w:proofErr w:type="spellStart"/>
      <w:r w:rsidRPr="00A1513E">
        <w:t>cephalexin</w:t>
      </w:r>
      <w:proofErr w:type="spellEnd"/>
      <w:r w:rsidRPr="00A1513E">
        <w:t xml:space="preserve"> </w:t>
      </w:r>
      <w:r w:rsidRPr="00A1513E">
        <w:lastRenderedPageBreak/>
        <w:t xml:space="preserve">treatment or placebo ointment groups, and no subjects in the sodium </w:t>
      </w:r>
      <w:proofErr w:type="spellStart"/>
      <w:r w:rsidRPr="00A1513E">
        <w:t>fusidate</w:t>
      </w:r>
      <w:proofErr w:type="spellEnd"/>
      <w:r w:rsidRPr="00A1513E">
        <w:t xml:space="preserve"> ointment group. Most of these SAEs were related to progression of the infectious condition (</w:t>
      </w:r>
      <w:proofErr w:type="spellStart"/>
      <w:r w:rsidRPr="00A1513E">
        <w:t>cellulitis</w:t>
      </w:r>
      <w:proofErr w:type="spellEnd"/>
      <w:r w:rsidRPr="00A1513E">
        <w:t xml:space="preserve">, abscess formation). </w:t>
      </w:r>
      <w:proofErr w:type="spellStart"/>
      <w:r w:rsidRPr="00A1513E">
        <w:t>Cellulitis</w:t>
      </w:r>
      <w:proofErr w:type="spellEnd"/>
      <w:r w:rsidRPr="00A1513E">
        <w:t xml:space="preserve"> was</w:t>
      </w:r>
      <w:r w:rsidR="00E120BF">
        <w:t xml:space="preserve"> reported by 4 subjects in the r</w:t>
      </w:r>
      <w:r w:rsidRPr="00A1513E">
        <w:t xml:space="preserve">etapamulin ointment group, 1 subject in the </w:t>
      </w:r>
      <w:proofErr w:type="spellStart"/>
      <w:r w:rsidRPr="00A1513E">
        <w:t>linezolid</w:t>
      </w:r>
      <w:proofErr w:type="spellEnd"/>
      <w:r w:rsidRPr="00A1513E">
        <w:t xml:space="preserve"> group, and 1 subject in the </w:t>
      </w:r>
      <w:proofErr w:type="spellStart"/>
      <w:r w:rsidRPr="00A1513E">
        <w:t>cephalexin</w:t>
      </w:r>
      <w:proofErr w:type="spellEnd"/>
      <w:r w:rsidRPr="00A1513E">
        <w:t xml:space="preserve"> group; all other SAEs were </w:t>
      </w:r>
      <w:r w:rsidR="0061787A">
        <w:t xml:space="preserve">each </w:t>
      </w:r>
      <w:r w:rsidRPr="00A1513E">
        <w:t>reported in no more than 1 subject. Five deaths occurred in the studies. None of the</w:t>
      </w:r>
      <w:r w:rsidR="00C53A89">
        <w:t>se</w:t>
      </w:r>
      <w:r w:rsidRPr="00A1513E">
        <w:t xml:space="preserve"> </w:t>
      </w:r>
      <w:r w:rsidR="00C53A89">
        <w:t xml:space="preserve">was </w:t>
      </w:r>
      <w:r w:rsidRPr="00A1513E">
        <w:t>considered by the investigators to be related to study drug administration.</w:t>
      </w:r>
    </w:p>
    <w:p w:rsidR="00CC362E" w:rsidRDefault="003D0090" w:rsidP="00E120BF">
      <w:r w:rsidRPr="00E120BF">
        <w:t>None of the commonly reported AEs in the retapamulin group occurred in &gt;4% of subjects (application site pruritus in 6 to 12 years olds was 3.90%). In the integrated analysis set, application site reactions occurred more frequently in</w:t>
      </w:r>
      <w:r w:rsidR="00E120BF">
        <w:t xml:space="preserve"> the r</w:t>
      </w:r>
      <w:r w:rsidRPr="00E120BF">
        <w:t xml:space="preserve">etapamulin group than in the placebo group (formulation comparator) or the active comparator groups plus their placebo ointment. The incidence of AEs identified as possibly related to QT </w:t>
      </w:r>
      <w:r w:rsidR="0061787A">
        <w:t xml:space="preserve">interval </w:t>
      </w:r>
      <w:r w:rsidRPr="00E120BF">
        <w:t>prolongation or torsades de pointes was low (&lt;1%) in any treatment group. Moreover, ECGs taken in healthy adult subjects exposed</w:t>
      </w:r>
      <w:r w:rsidR="00E120BF">
        <w:t xml:space="preserve"> to several different doses of r</w:t>
      </w:r>
      <w:r w:rsidRPr="00E120BF">
        <w:t>etapamulin ointment (0.5%, 1%, and 2%) during Phase I studies showed no significant effec</w:t>
      </w:r>
      <w:r w:rsidR="00E120BF">
        <w:t>t of topical administration of r</w:t>
      </w:r>
      <w:r w:rsidRPr="00E120BF">
        <w:t xml:space="preserve">etapamulin ointment on QT or </w:t>
      </w:r>
      <w:proofErr w:type="spellStart"/>
      <w:r w:rsidRPr="00E120BF">
        <w:t>QTc</w:t>
      </w:r>
      <w:proofErr w:type="spellEnd"/>
      <w:r w:rsidRPr="00E120BF">
        <w:t xml:space="preserve"> intervals. Overall, for all clinical laboratory values, ther</w:t>
      </w:r>
      <w:r w:rsidR="00CC362E">
        <w:t>e were no notable changes from b</w:t>
      </w:r>
      <w:r w:rsidRPr="00E120BF">
        <w:t>aseline to Days 7</w:t>
      </w:r>
      <w:r w:rsidR="0061787A">
        <w:t>-</w:t>
      </w:r>
      <w:r w:rsidR="001D6284">
        <w:t>9 in any treatment group.</w:t>
      </w:r>
    </w:p>
    <w:p w:rsidR="003D0090" w:rsidRPr="00E120BF" w:rsidRDefault="003D0090" w:rsidP="00E120BF">
      <w:r w:rsidRPr="00E120BF">
        <w:t>Due to the very low systemic e</w:t>
      </w:r>
      <w:r w:rsidR="0061787A">
        <w:t>xposure and rapid clearance of r</w:t>
      </w:r>
      <w:r w:rsidRPr="00E120BF">
        <w:t>etapamulin ointment, the only events likely to be drug-related are the non-serious reactions at the site of application.</w:t>
      </w:r>
    </w:p>
    <w:p w:rsidR="003D0090" w:rsidRPr="003D0090" w:rsidRDefault="003D0090" w:rsidP="003D0090">
      <w:r w:rsidRPr="003D0090">
        <w:t>Due to the low system</w:t>
      </w:r>
      <w:r w:rsidR="0061787A">
        <w:t>ic</w:t>
      </w:r>
      <w:r w:rsidRPr="003D0090">
        <w:t xml:space="preserve"> exposure to </w:t>
      </w:r>
      <w:r w:rsidR="0061787A">
        <w:t>r</w:t>
      </w:r>
      <w:r w:rsidRPr="003D0090">
        <w:t>etapamulin after topical application, the dru</w:t>
      </w:r>
      <w:r w:rsidR="00E120BF">
        <w:t>g interaction observed between r</w:t>
      </w:r>
      <w:r w:rsidRPr="003D0090">
        <w:t xml:space="preserve">etapamulin ointment and oral CYP3A4 and </w:t>
      </w:r>
      <w:proofErr w:type="spellStart"/>
      <w:r w:rsidRPr="003D0090">
        <w:t>Pgp</w:t>
      </w:r>
      <w:proofErr w:type="spellEnd"/>
      <w:r w:rsidRPr="003D0090">
        <w:t xml:space="preserve"> inhibitors is unlikely to increase the incidence of AE</w:t>
      </w:r>
      <w:r w:rsidR="001D6284">
        <w:t>s or require dosing adjustment.</w:t>
      </w:r>
    </w:p>
    <w:p w:rsidR="003D0090" w:rsidRPr="003D0090" w:rsidRDefault="001D6284" w:rsidP="00E120BF">
      <w:pPr>
        <w:pStyle w:val="Heading4"/>
      </w:pPr>
      <w:r>
        <w:t>Recommendation from the c</w:t>
      </w:r>
      <w:r w:rsidR="003D0090" w:rsidRPr="003D0090">
        <w:t xml:space="preserve">linical </w:t>
      </w:r>
      <w:r>
        <w:t>e</w:t>
      </w:r>
      <w:r w:rsidR="003D0090" w:rsidRPr="003D0090">
        <w:t>valuator</w:t>
      </w:r>
    </w:p>
    <w:p w:rsidR="003D0090" w:rsidRPr="003D0090" w:rsidRDefault="003D0090" w:rsidP="003D0090">
      <w:r w:rsidRPr="003D0090">
        <w:t>The clinical evaluator considers that the benefit-risk balance of topical retapamulin, given the proposed usage, is favourable. The evaluator recommends approval pending amendments to the PI</w:t>
      </w:r>
      <w:r w:rsidR="00424EF2">
        <w:t xml:space="preserve"> and </w:t>
      </w:r>
      <w:r w:rsidRPr="003D0090">
        <w:t>suggested the indication should be amended to the followings:</w:t>
      </w:r>
    </w:p>
    <w:p w:rsidR="003D0090" w:rsidRPr="00E120BF" w:rsidRDefault="003D0090" w:rsidP="00E120BF">
      <w:pPr>
        <w:ind w:left="360"/>
        <w:rPr>
          <w:i/>
          <w:iCs/>
        </w:rPr>
      </w:pPr>
      <w:r w:rsidRPr="00E120BF">
        <w:rPr>
          <w:i/>
          <w:iCs/>
        </w:rPr>
        <w:t>Altargo is indicated for the topical treatment of the following bacterial skin and skin structure infections (SSSI) in the absence</w:t>
      </w:r>
      <w:r w:rsidR="001D6284">
        <w:rPr>
          <w:i/>
          <w:iCs/>
        </w:rPr>
        <w:t xml:space="preserve"> of systemic signs or symptoms:</w:t>
      </w:r>
    </w:p>
    <w:p w:rsidR="003D0090" w:rsidRPr="00E120BF" w:rsidRDefault="001D6284" w:rsidP="00E120BF">
      <w:pPr>
        <w:pStyle w:val="ListBullet"/>
        <w:ind w:left="720"/>
        <w:rPr>
          <w:i/>
          <w:iCs/>
        </w:rPr>
      </w:pPr>
      <w:r>
        <w:rPr>
          <w:i/>
          <w:iCs/>
        </w:rPr>
        <w:t>primary impetigo</w:t>
      </w:r>
    </w:p>
    <w:p w:rsidR="003D0090" w:rsidRPr="00E120BF" w:rsidRDefault="003D0090" w:rsidP="00E120BF">
      <w:pPr>
        <w:pStyle w:val="ListBullet"/>
        <w:ind w:left="720"/>
        <w:rPr>
          <w:i/>
          <w:iCs/>
        </w:rPr>
      </w:pPr>
      <w:r w:rsidRPr="00E120BF">
        <w:rPr>
          <w:i/>
          <w:iCs/>
        </w:rPr>
        <w:t>secondarily infected traumatic lesions e.g. small lacerations, abrasion</w:t>
      </w:r>
      <w:r w:rsidR="001D6284">
        <w:rPr>
          <w:i/>
          <w:iCs/>
        </w:rPr>
        <w:t>s, sutured wounds</w:t>
      </w:r>
    </w:p>
    <w:p w:rsidR="003D0090" w:rsidRPr="00E120BF" w:rsidRDefault="003D0090" w:rsidP="00E120BF">
      <w:pPr>
        <w:pStyle w:val="ListBullet"/>
        <w:ind w:left="720"/>
        <w:rPr>
          <w:i/>
          <w:iCs/>
        </w:rPr>
      </w:pPr>
      <w:r w:rsidRPr="00E120BF">
        <w:rPr>
          <w:i/>
          <w:iCs/>
        </w:rPr>
        <w:t xml:space="preserve">secondarily infected </w:t>
      </w:r>
      <w:proofErr w:type="spellStart"/>
      <w:r w:rsidRPr="00E120BF">
        <w:rPr>
          <w:i/>
          <w:iCs/>
        </w:rPr>
        <w:t>dermatoses</w:t>
      </w:r>
      <w:proofErr w:type="spellEnd"/>
      <w:r w:rsidRPr="00E120BF">
        <w:rPr>
          <w:i/>
          <w:iCs/>
        </w:rPr>
        <w:t xml:space="preserve"> including infected psoriasis, infected atopic dermatitis and</w:t>
      </w:r>
      <w:r w:rsidR="001D6284">
        <w:rPr>
          <w:i/>
          <w:iCs/>
        </w:rPr>
        <w:t xml:space="preserve">    infected contact dermatitis</w:t>
      </w:r>
    </w:p>
    <w:p w:rsidR="003D0090" w:rsidRPr="00E120BF" w:rsidRDefault="003D0090" w:rsidP="00E120BF">
      <w:pPr>
        <w:ind w:left="360"/>
        <w:rPr>
          <w:b/>
          <w:bCs/>
          <w:i/>
          <w:iCs/>
        </w:rPr>
      </w:pPr>
      <w:proofErr w:type="gramStart"/>
      <w:r w:rsidRPr="00E120BF">
        <w:rPr>
          <w:b/>
          <w:bCs/>
          <w:i/>
          <w:iCs/>
        </w:rPr>
        <w:t>In the absence of known or suspected infection due to MRSA.</w:t>
      </w:r>
      <w:proofErr w:type="gramEnd"/>
    </w:p>
    <w:p w:rsidR="003D0090" w:rsidRPr="00E120BF" w:rsidRDefault="003D0090" w:rsidP="00E120BF">
      <w:r w:rsidRPr="00E120BF">
        <w:t xml:space="preserve">The evaluator </w:t>
      </w:r>
      <w:r w:rsidR="0061787A">
        <w:t xml:space="preserve">also </w:t>
      </w:r>
      <w:r w:rsidRPr="00E120BF">
        <w:t xml:space="preserve">recommends that the first and second points in </w:t>
      </w:r>
      <w:r w:rsidR="00E120BF" w:rsidRPr="00E120BF">
        <w:t xml:space="preserve">the </w:t>
      </w:r>
      <w:r w:rsidRPr="0061787A">
        <w:rPr>
          <w:i/>
          <w:iCs/>
        </w:rPr>
        <w:t>P</w:t>
      </w:r>
      <w:r w:rsidR="00E120BF" w:rsidRPr="0061787A">
        <w:rPr>
          <w:i/>
          <w:iCs/>
        </w:rPr>
        <w:t>recautions</w:t>
      </w:r>
      <w:r w:rsidR="00E120BF" w:rsidRPr="00E120BF">
        <w:t xml:space="preserve"> </w:t>
      </w:r>
      <w:r w:rsidRPr="00E120BF">
        <w:t>section of the PI should be:</w:t>
      </w:r>
    </w:p>
    <w:p w:rsidR="003D0090" w:rsidRPr="00E120BF" w:rsidRDefault="003D0090" w:rsidP="00E120BF">
      <w:pPr>
        <w:rPr>
          <w:i/>
          <w:iCs/>
        </w:rPr>
      </w:pPr>
      <w:r w:rsidRPr="00E120BF">
        <w:rPr>
          <w:i/>
          <w:iCs/>
        </w:rPr>
        <w:t>Patients should be frequently assessed for non-responsiveness or progression of infection. If this occurs, change to a systemic antimicrobial agent may be necessary.</w:t>
      </w:r>
    </w:p>
    <w:p w:rsidR="003D0090" w:rsidRPr="00E120BF" w:rsidRDefault="003D0090" w:rsidP="00E120BF">
      <w:pPr>
        <w:rPr>
          <w:i/>
          <w:iCs/>
        </w:rPr>
      </w:pPr>
      <w:r w:rsidRPr="00E120BF">
        <w:rPr>
          <w:i/>
          <w:iCs/>
        </w:rPr>
        <w:t>This agent is less effective than appropriate oral agent for the treatment of SSSI’s caused by MRSA.</w:t>
      </w:r>
    </w:p>
    <w:p w:rsidR="003D0090" w:rsidRPr="003D0090" w:rsidRDefault="001D6284" w:rsidP="00E120BF">
      <w:pPr>
        <w:pStyle w:val="Heading3"/>
      </w:pPr>
      <w:bookmarkStart w:id="201" w:name="_Toc371925767"/>
      <w:r>
        <w:t>Risk m</w:t>
      </w:r>
      <w:r w:rsidR="003D0090" w:rsidRPr="003D0090">
        <w:t xml:space="preserve">anagement </w:t>
      </w:r>
      <w:r>
        <w:t>p</w:t>
      </w:r>
      <w:r w:rsidR="003D0090" w:rsidRPr="003D0090">
        <w:t>lan</w:t>
      </w:r>
      <w:bookmarkEnd w:id="201"/>
    </w:p>
    <w:p w:rsidR="0032134E" w:rsidRDefault="00E120BF" w:rsidP="003D0090">
      <w:r>
        <w:rPr>
          <w:iCs/>
        </w:rPr>
        <w:t>T</w:t>
      </w:r>
      <w:r w:rsidR="003D0090" w:rsidRPr="003D0090">
        <w:rPr>
          <w:iCs/>
        </w:rPr>
        <w:t>he sponsor initially submitted EU-RMP Version 03 (dated 4 April 2012) and then later submitted an updated ASA Version 2.0 (dated 18 January 2013).</w:t>
      </w:r>
      <w:r w:rsidR="003D0090" w:rsidRPr="003D0090">
        <w:t xml:space="preserve"> </w:t>
      </w:r>
      <w:r w:rsidR="003D0090" w:rsidRPr="003D0090">
        <w:rPr>
          <w:iCs/>
        </w:rPr>
        <w:t xml:space="preserve">The evaluator states that </w:t>
      </w:r>
      <w:r w:rsidR="003D0090" w:rsidRPr="003D0090">
        <w:lastRenderedPageBreak/>
        <w:t>the sponsor has adequately addressed most of the OPR recommendations with only one outstanding issue</w:t>
      </w:r>
      <w:r w:rsidR="00424EF2">
        <w:t xml:space="preserve"> being</w:t>
      </w:r>
      <w:r w:rsidR="003D0090" w:rsidRPr="003D0090">
        <w:t xml:space="preserve">: there is no current global susceptibility surveillance for retapamulin and there is no plan to initiate surveillance studies in Australia. </w:t>
      </w:r>
      <w:r w:rsidR="003D0090" w:rsidRPr="003D0090">
        <w:rPr>
          <w:iCs/>
        </w:rPr>
        <w:t>The sponsor states that t</w:t>
      </w:r>
      <w:r w:rsidR="003D0090" w:rsidRPr="003D0090">
        <w:t xml:space="preserve">he post-marketing European surveillance study demonstrated excellent </w:t>
      </w:r>
      <w:r w:rsidR="003D0090" w:rsidRPr="00E120BF">
        <w:rPr>
          <w:i/>
        </w:rPr>
        <w:t>in vitro</w:t>
      </w:r>
      <w:r w:rsidR="003D0090" w:rsidRPr="003D0090">
        <w:rPr>
          <w:iCs/>
        </w:rPr>
        <w:t xml:space="preserve"> </w:t>
      </w:r>
      <w:r w:rsidR="003D0090" w:rsidRPr="003D0090">
        <w:t xml:space="preserve">activity of retapamulin against the tested isolates of </w:t>
      </w:r>
      <w:r w:rsidR="003D0090" w:rsidRPr="00E120BF">
        <w:rPr>
          <w:i/>
        </w:rPr>
        <w:t>S. aureus</w:t>
      </w:r>
      <w:r w:rsidR="003D0090" w:rsidRPr="003D0090">
        <w:rPr>
          <w:iCs/>
        </w:rPr>
        <w:t xml:space="preserve"> </w:t>
      </w:r>
      <w:r w:rsidR="003D0090" w:rsidRPr="003D0090">
        <w:t xml:space="preserve">and </w:t>
      </w:r>
      <w:r w:rsidR="003D0090" w:rsidRPr="00E120BF">
        <w:rPr>
          <w:i/>
        </w:rPr>
        <w:t>S. pyogenes</w:t>
      </w:r>
      <w:r w:rsidR="003D0090" w:rsidRPr="003D0090">
        <w:t>, with MIC</w:t>
      </w:r>
      <w:r w:rsidR="003D0090" w:rsidRPr="00E120BF">
        <w:rPr>
          <w:vertAlign w:val="subscript"/>
        </w:rPr>
        <w:t>90</w:t>
      </w:r>
      <w:r>
        <w:t xml:space="preserve"> values</w:t>
      </w:r>
      <w:r w:rsidR="003D0090" w:rsidRPr="003D0090">
        <w:t xml:space="preserve"> of 0.12-0.25 and </w:t>
      </w:r>
      <w:proofErr w:type="gramStart"/>
      <w:r w:rsidR="003D0090" w:rsidRPr="003D0090">
        <w:t>0.06 μg/mL, respectively</w:t>
      </w:r>
      <w:proofErr w:type="gramEnd"/>
      <w:r w:rsidR="003D0090" w:rsidRPr="003D0090">
        <w:t>, regardless of phenotype or country (Study UD20</w:t>
      </w:r>
      <w:r w:rsidR="00563A41">
        <w:t>09/00186/00 completed in 2010).</w:t>
      </w:r>
    </w:p>
    <w:p w:rsidR="003D0090" w:rsidRDefault="003D0090" w:rsidP="003D0090">
      <w:r w:rsidRPr="00E120BF">
        <w:t>The RMP evaluator recommends that ACPM expert opinion be sought as to whether post-marketing</w:t>
      </w:r>
      <w:r w:rsidR="0032134E">
        <w:t>,</w:t>
      </w:r>
      <w:r w:rsidRPr="00E120BF">
        <w:t xml:space="preserve"> Australian specific microbiological surveillance is required if Altargo is approved for regis</w:t>
      </w:r>
      <w:r w:rsidR="00563A41">
        <w:t>tration.</w:t>
      </w:r>
    </w:p>
    <w:p w:rsidR="000F4E15" w:rsidRPr="000F4E15" w:rsidRDefault="000F4E15" w:rsidP="000F4E15">
      <w:pPr>
        <w:pStyle w:val="Heading3"/>
      </w:pPr>
      <w:bookmarkStart w:id="202" w:name="_Toc247691531"/>
      <w:bookmarkStart w:id="203" w:name="_Toc314842515"/>
      <w:bookmarkStart w:id="204" w:name="_Toc371925768"/>
      <w:r w:rsidRPr="000F4E15">
        <w:t>Risk-benefit analysis</w:t>
      </w:r>
      <w:bookmarkEnd w:id="202"/>
      <w:bookmarkEnd w:id="203"/>
      <w:bookmarkEnd w:id="204"/>
    </w:p>
    <w:p w:rsidR="003D0090" w:rsidRPr="003D0090" w:rsidRDefault="003D0090" w:rsidP="000F4E15">
      <w:pPr>
        <w:pStyle w:val="Heading4"/>
      </w:pPr>
      <w:r w:rsidRPr="003D0090">
        <w:t xml:space="preserve">Delegate’s </w:t>
      </w:r>
      <w:bookmarkStart w:id="205" w:name="_Ref271126605"/>
      <w:bookmarkStart w:id="206" w:name="_Toc272414657"/>
      <w:bookmarkStart w:id="207" w:name="_Toc290888508"/>
      <w:bookmarkStart w:id="208" w:name="_Toc290888659"/>
      <w:bookmarkStart w:id="209" w:name="_Toc339375292"/>
      <w:r w:rsidR="00563A41">
        <w:t>considerations</w:t>
      </w:r>
    </w:p>
    <w:p w:rsidR="003D0090" w:rsidRPr="00E120BF" w:rsidRDefault="003D0090" w:rsidP="00E120BF">
      <w:bookmarkStart w:id="210" w:name="_Toc339375300"/>
      <w:bookmarkEnd w:id="205"/>
      <w:bookmarkEnd w:id="206"/>
      <w:bookmarkEnd w:id="207"/>
      <w:bookmarkEnd w:id="208"/>
      <w:bookmarkEnd w:id="209"/>
      <w:r w:rsidRPr="00E120BF">
        <w:rPr>
          <w:b/>
          <w:bCs/>
        </w:rPr>
        <w:t>For the treatment of impetigo</w:t>
      </w:r>
      <w:r w:rsidRPr="00E120BF">
        <w:t xml:space="preserve">, retapamulin was shown to be superior to placebo for the primary endpoint of clinical success rate (85% versus 52%) in StudyTOC103469, and was non-inferior to topical sodium </w:t>
      </w:r>
      <w:proofErr w:type="spellStart"/>
      <w:r w:rsidRPr="00E120BF">
        <w:t>fusidate</w:t>
      </w:r>
      <w:proofErr w:type="spellEnd"/>
      <w:r w:rsidRPr="00E120BF">
        <w:t xml:space="preserve"> (94% versus 91%) in Study TOC100224.</w:t>
      </w:r>
    </w:p>
    <w:p w:rsidR="00B5225E" w:rsidRDefault="003D0090" w:rsidP="00E120BF">
      <w:r w:rsidRPr="00E120BF">
        <w:rPr>
          <w:b/>
          <w:bCs/>
        </w:rPr>
        <w:t>For the treatment of SITL</w:t>
      </w:r>
      <w:bookmarkEnd w:id="210"/>
      <w:r w:rsidR="0032134E">
        <w:t>, in Studies</w:t>
      </w:r>
      <w:r w:rsidRPr="00E120BF">
        <w:t xml:space="preserve"> 30A and 30B, non-inferior efficacy of retapamulin compared to oral </w:t>
      </w:r>
      <w:proofErr w:type="spellStart"/>
      <w:r w:rsidRPr="00E120BF">
        <w:t>cephalexin</w:t>
      </w:r>
      <w:proofErr w:type="spellEnd"/>
      <w:r w:rsidRPr="00E120BF">
        <w:t xml:space="preserve"> was shown with the pre-defined 10% margin. The 10% margin was questioned by the FDA. The available information from </w:t>
      </w:r>
      <w:r w:rsidR="0032134E">
        <w:t xml:space="preserve">the </w:t>
      </w:r>
      <w:r w:rsidRPr="00E120BF">
        <w:t xml:space="preserve">European Public Assessment Report (EPAR) </w:t>
      </w:r>
      <w:r w:rsidR="0032134E">
        <w:t xml:space="preserve">for </w:t>
      </w:r>
      <w:r w:rsidR="0032134E" w:rsidRPr="0032134E">
        <w:t xml:space="preserve">retapamulin </w:t>
      </w:r>
      <w:r w:rsidRPr="00E120BF">
        <w:t>indicated t</w:t>
      </w:r>
      <w:r w:rsidR="0032134E">
        <w:t>hat the pooled analysis of Studies</w:t>
      </w:r>
      <w:r w:rsidRPr="00E120BF">
        <w:t xml:space="preserve"> 30A and 30B showed that the clinical success </w:t>
      </w:r>
      <w:r w:rsidR="00C158ED">
        <w:t xml:space="preserve">rate </w:t>
      </w:r>
      <w:r w:rsidRPr="00E120BF">
        <w:t xml:space="preserve">at FU visit </w:t>
      </w:r>
      <w:r w:rsidR="00C158ED">
        <w:t xml:space="preserve">was </w:t>
      </w:r>
      <w:r w:rsidRPr="00E120BF">
        <w:t xml:space="preserve">89.5% for retapamulin and 91.9% for </w:t>
      </w:r>
      <w:proofErr w:type="spellStart"/>
      <w:r w:rsidRPr="00E120BF">
        <w:t>cephal</w:t>
      </w:r>
      <w:r w:rsidR="00C158ED">
        <w:t>exin</w:t>
      </w:r>
      <w:proofErr w:type="spellEnd"/>
      <w:r w:rsidR="00C158ED">
        <w:t xml:space="preserve"> and the 95% CI was -5.4 to </w:t>
      </w:r>
      <w:r w:rsidRPr="00E120BF">
        <w:t>0.5</w:t>
      </w:r>
      <w:r w:rsidR="00B5225E">
        <w:t>. F</w:t>
      </w:r>
      <w:r w:rsidRPr="00E120BF">
        <w:t>or SIOW, the 95% CI around the treatment difference (-2.2%) was -5.4% to 1.0%</w:t>
      </w:r>
      <w:r w:rsidR="00B5225E">
        <w:t>,</w:t>
      </w:r>
      <w:r w:rsidRPr="00E120BF">
        <w:t xml:space="preserve"> while for simple abscesses, the 95% CI around the difference (-4.2%) was -12.8% to 4.4%. For the two studies combined, 86% of subjects had SIOW and 14% had abscess. A higher proportion of the abscesses were associated with </w:t>
      </w:r>
      <w:r w:rsidRPr="00E120BF">
        <w:rPr>
          <w:i/>
          <w:iCs/>
        </w:rPr>
        <w:t>S. aureus</w:t>
      </w:r>
      <w:r w:rsidRPr="00E120BF">
        <w:t xml:space="preserve"> and, specifically, with MRSA infections than seen with SIOW. The CHMP is of the view that while these studies were not stratified by diagnosis and were not powered to provide reliable comparisons between treatments within each diagnostic category, there appeared to be some problem for retapamulin in treating abscesses. Based on these analyses, retapamulin has not been approved by EMA for treating abscesses and any infection du</w:t>
      </w:r>
      <w:r w:rsidR="00563A41">
        <w:t>e to MRSA.</w:t>
      </w:r>
    </w:p>
    <w:p w:rsidR="00B5225E" w:rsidRDefault="003D0090" w:rsidP="00E120BF">
      <w:r w:rsidRPr="00E120BF">
        <w:t xml:space="preserve">In Study TOC110977, retapamulin was not shown to be superior to placebo in the primary efficacy analysis. Clinical success rates in </w:t>
      </w:r>
      <w:r w:rsidR="00B5225E">
        <w:t xml:space="preserve">the </w:t>
      </w:r>
      <w:r w:rsidRPr="00E120BF">
        <w:t xml:space="preserve">retapamulin group were slightly higher (and reached significance) in other analysis (those </w:t>
      </w:r>
      <w:r w:rsidR="00B5225E">
        <w:t xml:space="preserve">where </w:t>
      </w:r>
      <w:r w:rsidRPr="00E120BF">
        <w:t>clinical improvement was counted as success or bacteriological cure was assessed). When a logistic regression analysis was used to adjust for the differences in baseline wound characteristics for the primary endpoint, retapamulin was found to be superior to placebo (p=0.0336)</w:t>
      </w:r>
      <w:r w:rsidR="00B5225E">
        <w:t>,</w:t>
      </w:r>
      <w:r w:rsidRPr="00E120BF">
        <w:t xml:space="preserve"> with an odds ratio estimate of 1.73 (95% CI: 1.04 to 2.87). In </w:t>
      </w:r>
      <w:r w:rsidR="00B5225E">
        <w:t xml:space="preserve">the </w:t>
      </w:r>
      <w:r w:rsidRPr="00E120BF">
        <w:t>ITTB group, clinical cure was statistically higher in the retapamulin group. It was also higher for reta</w:t>
      </w:r>
      <w:r w:rsidR="00563A41">
        <w:t>pamulin in the group with MRSA.</w:t>
      </w:r>
    </w:p>
    <w:p w:rsidR="003D0090" w:rsidRPr="00E120BF" w:rsidRDefault="003D0090" w:rsidP="00E120BF">
      <w:r w:rsidRPr="00E120BF">
        <w:t xml:space="preserve">In Study TOC110978, topical retapamulin was shown to be an inferior treatment compared to oral </w:t>
      </w:r>
      <w:proofErr w:type="spellStart"/>
      <w:r w:rsidRPr="00E120BF">
        <w:t>linezolid</w:t>
      </w:r>
      <w:proofErr w:type="spellEnd"/>
      <w:r w:rsidRPr="00E120BF">
        <w:t xml:space="preserve"> (an antibiotic effective for MRSA) in subjects with SITL or impetigo </w:t>
      </w:r>
      <w:r w:rsidR="00563A41">
        <w:t>secondarily infected with MRSA.</w:t>
      </w:r>
    </w:p>
    <w:p w:rsidR="003D0090" w:rsidRPr="003D0090" w:rsidRDefault="003D0090" w:rsidP="003D0090">
      <w:bookmarkStart w:id="211" w:name="_Toc339375304"/>
      <w:r w:rsidRPr="00E120BF">
        <w:rPr>
          <w:b/>
          <w:bCs/>
        </w:rPr>
        <w:t>For the treatment of SI</w:t>
      </w:r>
      <w:bookmarkEnd w:id="211"/>
      <w:r w:rsidRPr="00E120BF">
        <w:rPr>
          <w:b/>
          <w:bCs/>
        </w:rPr>
        <w:t>D</w:t>
      </w:r>
      <w:r w:rsidRPr="00E120BF">
        <w:t xml:space="preserve">, Study 032 compared topical </w:t>
      </w:r>
      <w:proofErr w:type="spellStart"/>
      <w:r w:rsidRPr="00E120BF">
        <w:t>retapamulin</w:t>
      </w:r>
      <w:proofErr w:type="spellEnd"/>
      <w:r w:rsidRPr="00E120BF">
        <w:t xml:space="preserve"> with oral </w:t>
      </w:r>
      <w:proofErr w:type="spellStart"/>
      <w:r w:rsidRPr="00E120BF">
        <w:t>cephalexin</w:t>
      </w:r>
      <w:proofErr w:type="spellEnd"/>
      <w:r w:rsidRPr="00E120BF">
        <w:t xml:space="preserve">. The study showed that retapamulin was non-inferior to </w:t>
      </w:r>
      <w:proofErr w:type="spellStart"/>
      <w:r w:rsidRPr="00E120BF">
        <w:t>cephalexin</w:t>
      </w:r>
      <w:proofErr w:type="spellEnd"/>
      <w:r w:rsidRPr="00E120BF">
        <w:t xml:space="preserve"> in the primary efficacy analysis. The treatment difference was -3.8 (95% CI: -9.9 -2.3). The available information from </w:t>
      </w:r>
      <w:r w:rsidR="00E120BF">
        <w:t xml:space="preserve">the </w:t>
      </w:r>
      <w:r w:rsidRPr="00E120BF">
        <w:t>EPAR indicated that the overall and sub-group treatment differences were smaller after removal of UTD patients. In other words, if</w:t>
      </w:r>
      <w:r w:rsidR="00B5225E">
        <w:t xml:space="preserve"> the patients who were UTD at </w:t>
      </w:r>
      <w:proofErr w:type="spellStart"/>
      <w:r w:rsidR="00B5225E">
        <w:t>Eo</w:t>
      </w:r>
      <w:r w:rsidRPr="00E120BF">
        <w:t>T</w:t>
      </w:r>
      <w:proofErr w:type="spellEnd"/>
      <w:r w:rsidRPr="00E120BF">
        <w:t xml:space="preserve"> and so declared as failures at FU visit were removed from analysis, the difference in </w:t>
      </w:r>
      <w:r w:rsidRPr="00E120BF">
        <w:lastRenderedPageBreak/>
        <w:t>success rates between the two groups</w:t>
      </w:r>
      <w:r w:rsidRPr="003D0090">
        <w:t xml:space="preserve"> would become smaller. These two types of analyses showed inconsistent results. </w:t>
      </w:r>
      <w:r w:rsidR="00B5225E">
        <w:t>According to the EPAR, t</w:t>
      </w:r>
      <w:r w:rsidRPr="003D0090">
        <w:t>he CHMP is of the opinion that the reason for this inconsistency seemed to be the imbalance between the two groups in numbers and percentages of subjects</w:t>
      </w:r>
      <w:r w:rsidR="00B5225E">
        <w:t xml:space="preserve"> who had an outcome of UTD at </w:t>
      </w:r>
      <w:proofErr w:type="spellStart"/>
      <w:r w:rsidR="00B5225E">
        <w:t>Eo</w:t>
      </w:r>
      <w:r w:rsidRPr="003D0090">
        <w:t>T</w:t>
      </w:r>
      <w:proofErr w:type="spellEnd"/>
      <w:r w:rsidRPr="003D0090">
        <w:t xml:space="preserve"> that defaulted to failure at FU visit. In view of the unexplained imbalance and the discrepancy between analyses, the SID indication has not been granted by the EMA.</w:t>
      </w:r>
    </w:p>
    <w:p w:rsidR="000F4E15" w:rsidRPr="000F4E15" w:rsidRDefault="00563A41" w:rsidP="000F4E15">
      <w:pPr>
        <w:pStyle w:val="Heading4"/>
      </w:pPr>
      <w:r>
        <w:t>Proposed a</w:t>
      </w:r>
      <w:r w:rsidR="000F4E15" w:rsidRPr="000F4E15">
        <w:t>ction</w:t>
      </w:r>
    </w:p>
    <w:p w:rsidR="005C2578" w:rsidRDefault="000F4E15" w:rsidP="00B5225E">
      <w:r w:rsidRPr="00B5225E">
        <w:t xml:space="preserve">Pending the advice from the ACPM, the Delegate proposed to approve the registration of Altargo ointment </w:t>
      </w:r>
      <w:r w:rsidR="00B5225E" w:rsidRPr="00B5225E">
        <w:t xml:space="preserve">containing </w:t>
      </w:r>
      <w:r w:rsidRPr="00B5225E">
        <w:t xml:space="preserve">1% </w:t>
      </w:r>
      <w:proofErr w:type="spellStart"/>
      <w:r w:rsidRPr="00B5225E">
        <w:t>retapamulin</w:t>
      </w:r>
      <w:proofErr w:type="spellEnd"/>
      <w:r w:rsidRPr="00B5225E">
        <w:t xml:space="preserve"> for</w:t>
      </w:r>
      <w:r w:rsidR="005C2578">
        <w:t>:</w:t>
      </w:r>
    </w:p>
    <w:p w:rsidR="005C2578" w:rsidRPr="005C2578" w:rsidRDefault="000F4E15" w:rsidP="005C2578">
      <w:pPr>
        <w:ind w:left="720"/>
        <w:rPr>
          <w:i/>
          <w:iCs/>
        </w:rPr>
      </w:pPr>
      <w:proofErr w:type="gramStart"/>
      <w:r w:rsidRPr="005C2578">
        <w:rPr>
          <w:i/>
          <w:iCs/>
        </w:rPr>
        <w:t>the</w:t>
      </w:r>
      <w:proofErr w:type="gramEnd"/>
      <w:r w:rsidRPr="005C2578">
        <w:rPr>
          <w:i/>
          <w:iCs/>
        </w:rPr>
        <w:t xml:space="preserve"> treatment of superficial skin infections (including impetigo, infected small lacerations, abrasions, or sutured wounds) in adults, adolescents, infants and children aged from 9 months, in the absence of abscesses forma</w:t>
      </w:r>
      <w:r w:rsidR="00563A41">
        <w:rPr>
          <w:i/>
          <w:iCs/>
        </w:rPr>
        <w:t>tion and infection due to MRSA.</w:t>
      </w:r>
    </w:p>
    <w:p w:rsidR="008A05FA" w:rsidRPr="005C2578" w:rsidRDefault="000F4E15" w:rsidP="005C2578">
      <w:pPr>
        <w:ind w:left="720"/>
        <w:rPr>
          <w:i/>
          <w:iCs/>
        </w:rPr>
      </w:pPr>
      <w:r w:rsidRPr="005C2578">
        <w:rPr>
          <w:i/>
          <w:iCs/>
        </w:rPr>
        <w:t>The in vitro susceptibility to antibiotics varies geographically and with time; the local situation must always be considered whe</w:t>
      </w:r>
      <w:r w:rsidR="00563A41">
        <w:rPr>
          <w:i/>
          <w:iCs/>
        </w:rPr>
        <w:t>n selecting antibiotic therapy.</w:t>
      </w:r>
    </w:p>
    <w:p w:rsidR="008A05FA" w:rsidRPr="00B5225E" w:rsidRDefault="008A05FA" w:rsidP="00B5225E">
      <w:r w:rsidRPr="00B5225E">
        <w:t xml:space="preserve">The Delegate considered that the Indications should specify patient age groups and refer to the maximum treatment areas. In the </w:t>
      </w:r>
      <w:r w:rsidRPr="00B5225E">
        <w:rPr>
          <w:i/>
          <w:iCs/>
        </w:rPr>
        <w:t>Precautions</w:t>
      </w:r>
      <w:r w:rsidRPr="00B5225E">
        <w:t xml:space="preserve"> section of the PI, the first and second points should be:</w:t>
      </w:r>
    </w:p>
    <w:p w:rsidR="008A05FA" w:rsidRPr="008A05FA" w:rsidRDefault="008A05FA" w:rsidP="008A05FA">
      <w:pPr>
        <w:rPr>
          <w:i/>
        </w:rPr>
      </w:pPr>
      <w:r w:rsidRPr="008A05FA">
        <w:rPr>
          <w:bCs/>
          <w:i/>
        </w:rPr>
        <w:t>Patients should be frequently assessed for non-responsiveness or progression of infection. If this occurs, change to a systemic antimicrobial agent may be necessary</w:t>
      </w:r>
      <w:r w:rsidRPr="008A05FA">
        <w:rPr>
          <w:i/>
        </w:rPr>
        <w:t>.</w:t>
      </w:r>
    </w:p>
    <w:p w:rsidR="008A05FA" w:rsidRPr="008A05FA" w:rsidRDefault="008A05FA" w:rsidP="008A05FA">
      <w:pPr>
        <w:rPr>
          <w:i/>
        </w:rPr>
      </w:pPr>
      <w:r w:rsidRPr="008A05FA">
        <w:rPr>
          <w:i/>
        </w:rPr>
        <w:t>This agent is less effective than appropriate oral agent for the treatment of SSSI’s caused by MRSA.</w:t>
      </w:r>
    </w:p>
    <w:p w:rsidR="008A05FA" w:rsidRDefault="000F4E15" w:rsidP="000F4E15">
      <w:r w:rsidRPr="000F4E15">
        <w:t>The decision relating to the SID indication and the requirement f</w:t>
      </w:r>
      <w:r w:rsidR="00B5225E">
        <w:t>or</w:t>
      </w:r>
      <w:r w:rsidRPr="000F4E15">
        <w:t xml:space="preserve"> </w:t>
      </w:r>
      <w:r w:rsidR="00B5225E">
        <w:t xml:space="preserve">an </w:t>
      </w:r>
      <w:r w:rsidRPr="000F4E15">
        <w:t>Australia specific microbiological surveillance program w</w:t>
      </w:r>
      <w:r w:rsidR="008A05FA">
        <w:t xml:space="preserve">ould </w:t>
      </w:r>
      <w:r w:rsidRPr="000F4E15">
        <w:t>be made fo</w:t>
      </w:r>
      <w:r w:rsidR="00563A41">
        <w:t>llowing the advice of the ACPM.</w:t>
      </w:r>
    </w:p>
    <w:p w:rsidR="000F4E15" w:rsidRDefault="000F4E15" w:rsidP="000F4E15">
      <w:r w:rsidRPr="000F4E15">
        <w:t xml:space="preserve">Implementation of the RMP agreed with the TGA and its subsequent updates </w:t>
      </w:r>
      <w:r w:rsidR="00B5225E">
        <w:t>would be</w:t>
      </w:r>
      <w:r>
        <w:t xml:space="preserve"> a </w:t>
      </w:r>
      <w:r w:rsidRPr="000F4E15">
        <w:t>condition of registration if this product is approved.</w:t>
      </w:r>
    </w:p>
    <w:p w:rsidR="008A05FA" w:rsidRPr="008A05FA" w:rsidRDefault="008A05FA" w:rsidP="008A05FA">
      <w:r w:rsidRPr="008A05FA">
        <w:t xml:space="preserve">Details of </w:t>
      </w:r>
      <w:r w:rsidR="00B5225E">
        <w:t xml:space="preserve">the Delegate’s </w:t>
      </w:r>
      <w:r>
        <w:t xml:space="preserve">proposed </w:t>
      </w:r>
      <w:r w:rsidRPr="008A05FA">
        <w:t xml:space="preserve">revisions to the PI </w:t>
      </w:r>
      <w:r>
        <w:t xml:space="preserve">other than those stated above </w:t>
      </w:r>
      <w:r w:rsidRPr="008A05FA">
        <w:t xml:space="preserve">are </w:t>
      </w:r>
      <w:r w:rsidR="00563A41">
        <w:t xml:space="preserve">beyond the scope of the </w:t>
      </w:r>
      <w:proofErr w:type="spellStart"/>
      <w:r w:rsidR="00563A41">
        <w:t>AusPAR</w:t>
      </w:r>
      <w:proofErr w:type="spellEnd"/>
      <w:r w:rsidR="00563A41">
        <w:t>.</w:t>
      </w:r>
    </w:p>
    <w:p w:rsidR="000F4E15" w:rsidRPr="000F4E15" w:rsidRDefault="000F4E15" w:rsidP="000F4E15">
      <w:pPr>
        <w:pStyle w:val="Heading4"/>
      </w:pPr>
      <w:r w:rsidRPr="000F4E15">
        <w:t>Request for ACPM advice</w:t>
      </w:r>
    </w:p>
    <w:p w:rsidR="003D0090" w:rsidRPr="003D0090" w:rsidRDefault="003D0090" w:rsidP="003D0090">
      <w:r w:rsidRPr="003D0090">
        <w:t xml:space="preserve">The </w:t>
      </w:r>
      <w:r w:rsidR="000F4E15">
        <w:t xml:space="preserve">Delegate proposed to seek </w:t>
      </w:r>
      <w:r w:rsidRPr="003D0090">
        <w:t xml:space="preserve">general advice </w:t>
      </w:r>
      <w:r w:rsidR="000F4E15">
        <w:t xml:space="preserve">on this application from </w:t>
      </w:r>
      <w:r w:rsidRPr="003D0090">
        <w:t xml:space="preserve">the ACPM </w:t>
      </w:r>
      <w:r w:rsidR="000F4E15">
        <w:t xml:space="preserve">and to request discussion of the </w:t>
      </w:r>
      <w:r w:rsidRPr="003D0090">
        <w:t>following specific issues:</w:t>
      </w:r>
    </w:p>
    <w:p w:rsidR="003D0090" w:rsidRPr="000F4E15" w:rsidRDefault="003D0090" w:rsidP="000F4E15">
      <w:pPr>
        <w:pStyle w:val="Heading5"/>
      </w:pPr>
      <w:r w:rsidRPr="000F4E15">
        <w:t>With regards to the SITL indication</w:t>
      </w:r>
      <w:r w:rsidR="000F4E15">
        <w:t>:</w:t>
      </w:r>
    </w:p>
    <w:p w:rsidR="003D0090" w:rsidRPr="000F4E15" w:rsidRDefault="003D0090" w:rsidP="000F4E15">
      <w:pPr>
        <w:pStyle w:val="ListBullet"/>
      </w:pPr>
      <w:r w:rsidRPr="000F4E15">
        <w:t>Is the ACPM of the view that the submitted 4 studies for SITL indication provided sufficient evidence to support the use of retapamulin 1% oint</w:t>
      </w:r>
      <w:r w:rsidR="00563A41">
        <w:t>ment for the treatment of SITL?</w:t>
      </w:r>
    </w:p>
    <w:p w:rsidR="003D0090" w:rsidRPr="000F4E15" w:rsidRDefault="003D0090" w:rsidP="000F4E15">
      <w:pPr>
        <w:pStyle w:val="ListBullet"/>
      </w:pPr>
      <w:r w:rsidRPr="000F4E15">
        <w:t xml:space="preserve">Does the ACPM have any concerns about the 10% non-inferiority margin used in Study 030A and 030B in </w:t>
      </w:r>
      <w:r w:rsidR="00563A41">
        <w:t>relation to the SITL treatment?</w:t>
      </w:r>
    </w:p>
    <w:p w:rsidR="003D0090" w:rsidRPr="000F4E15" w:rsidRDefault="003D0090" w:rsidP="000F4E15">
      <w:pPr>
        <w:pStyle w:val="ListBullet"/>
      </w:pPr>
      <w:r w:rsidRPr="000F4E15">
        <w:t>Does ACPM have any concern about the results of Study TOC110977 in which topical retapamulin was not shown to be superior to placebo in the primary efficacy analys</w:t>
      </w:r>
      <w:r w:rsidR="00563A41">
        <w:t>is?</w:t>
      </w:r>
    </w:p>
    <w:p w:rsidR="003D0090" w:rsidRPr="000F4E15" w:rsidRDefault="003D0090" w:rsidP="000F4E15">
      <w:pPr>
        <w:pStyle w:val="ListBullet"/>
      </w:pPr>
      <w:r w:rsidRPr="000F4E15">
        <w:t>Does ACPM consider that retapamulin should not be used to treat abscess and SITL infections due to MRSA?</w:t>
      </w:r>
    </w:p>
    <w:p w:rsidR="003D0090" w:rsidRPr="000F4E15" w:rsidRDefault="003D0090" w:rsidP="000F4E15">
      <w:pPr>
        <w:pStyle w:val="Heading5"/>
      </w:pPr>
      <w:r w:rsidRPr="000F4E15">
        <w:lastRenderedPageBreak/>
        <w:t>With regards to the SID indication</w:t>
      </w:r>
    </w:p>
    <w:p w:rsidR="003D0090" w:rsidRPr="000F4E15" w:rsidRDefault="003D0090" w:rsidP="002622F6">
      <w:pPr>
        <w:pStyle w:val="ListBullet"/>
      </w:pPr>
      <w:r w:rsidRPr="000F4E15">
        <w:t xml:space="preserve">Does ACPM consider that the data from Study 032 provide sufficient evidence to support the use of retapamulin ointment for the treatment of SID? Does ACPM have any concerns about the unexplained imbalance and the discrepancy between </w:t>
      </w:r>
      <w:r w:rsidR="00563A41">
        <w:t>analyses observed in Study 032?</w:t>
      </w:r>
    </w:p>
    <w:p w:rsidR="003D0090" w:rsidRPr="000F4E15" w:rsidRDefault="003D0090" w:rsidP="002622F6">
      <w:pPr>
        <w:pStyle w:val="Heading5"/>
      </w:pPr>
      <w:r w:rsidRPr="000F4E15">
        <w:t>With regards to the requirement for post-marketing Australia specific microbiological surveillance program</w:t>
      </w:r>
    </w:p>
    <w:p w:rsidR="003D0090" w:rsidRPr="000F4E15" w:rsidRDefault="00B5225E" w:rsidP="000F4E15">
      <w:r>
        <w:t>S</w:t>
      </w:r>
      <w:r w:rsidR="003D0090" w:rsidRPr="000F4E15">
        <w:t xml:space="preserve">ponsors of new antibiotics (for </w:t>
      </w:r>
      <w:r w:rsidR="002622F6">
        <w:t xml:space="preserve">PO </w:t>
      </w:r>
      <w:r w:rsidR="003D0090" w:rsidRPr="000F4E15">
        <w:t xml:space="preserve">and </w:t>
      </w:r>
      <w:r w:rsidR="002622F6">
        <w:t xml:space="preserve">IV </w:t>
      </w:r>
      <w:r w:rsidR="003D0090" w:rsidRPr="000F4E15">
        <w:t>administration) have been required to conduct post-marketing Australia specific microbiological surveillance to monitor the resistance development to antibiotics. What is the view of the ACPM with regards to the requirement of the Australia specific microbiological surveillance program fo</w:t>
      </w:r>
      <w:r w:rsidR="00563A41">
        <w:t xml:space="preserve">r topical </w:t>
      </w:r>
      <w:proofErr w:type="spellStart"/>
      <w:r w:rsidR="00563A41">
        <w:t>retapamulin</w:t>
      </w:r>
      <w:proofErr w:type="spellEnd"/>
      <w:r w:rsidR="00563A41">
        <w:t xml:space="preserve"> ointment?</w:t>
      </w:r>
    </w:p>
    <w:p w:rsidR="008E7846" w:rsidRPr="002622F6" w:rsidRDefault="008E7846" w:rsidP="002622F6">
      <w:pPr>
        <w:pStyle w:val="Heading4"/>
      </w:pPr>
      <w:bookmarkStart w:id="212" w:name="_Toc196046505"/>
      <w:bookmarkStart w:id="213" w:name="_Toc196046949"/>
      <w:r w:rsidRPr="002622F6">
        <w:t xml:space="preserve">Response from </w:t>
      </w:r>
      <w:r w:rsidR="00563A41">
        <w:t>s</w:t>
      </w:r>
      <w:r w:rsidRPr="002622F6">
        <w:t>ponsor</w:t>
      </w:r>
    </w:p>
    <w:p w:rsidR="006615D1" w:rsidRDefault="006615D1" w:rsidP="006615D1">
      <w:pPr>
        <w:pStyle w:val="Heading5"/>
      </w:pPr>
      <w:r>
        <w:t>Executive s</w:t>
      </w:r>
      <w:r w:rsidR="00563A41">
        <w:t>ummary</w:t>
      </w:r>
    </w:p>
    <w:p w:rsidR="006615D1" w:rsidRDefault="006E5100" w:rsidP="006E5100">
      <w:r w:rsidRPr="006E5100">
        <w:t>G</w:t>
      </w:r>
      <w:r w:rsidR="006615D1">
        <w:t>laxo</w:t>
      </w:r>
      <w:r w:rsidRPr="006E5100">
        <w:t>S</w:t>
      </w:r>
      <w:r w:rsidR="006615D1">
        <w:t>mith</w:t>
      </w:r>
      <w:r w:rsidRPr="006E5100">
        <w:t>K</w:t>
      </w:r>
      <w:r w:rsidR="006615D1">
        <w:t>line Australia Pty Ltd</w:t>
      </w:r>
      <w:r w:rsidRPr="006E5100">
        <w:t xml:space="preserve"> </w:t>
      </w:r>
      <w:r w:rsidR="006615D1">
        <w:t xml:space="preserve">(GSK) </w:t>
      </w:r>
      <w:r w:rsidRPr="006E5100">
        <w:t>submitted a</w:t>
      </w:r>
      <w:r w:rsidR="006615D1">
        <w:t>n</w:t>
      </w:r>
      <w:r w:rsidRPr="006E5100">
        <w:t xml:space="preserve"> application for Altargo for the indication of </w:t>
      </w:r>
      <w:r w:rsidRPr="006615D1">
        <w:rPr>
          <w:i/>
          <w:iCs/>
        </w:rPr>
        <w:t xml:space="preserve">“topical treatment of the following bacterial skin and skin structure infections (SSSI); primary impetigo, secondarily infected traumatic lesions (SITL) (e.g. small lacerations, abrasions, sutured wounds), and secondarily infected </w:t>
      </w:r>
      <w:proofErr w:type="spellStart"/>
      <w:r w:rsidRPr="006615D1">
        <w:rPr>
          <w:i/>
          <w:iCs/>
        </w:rPr>
        <w:t>dermatoses</w:t>
      </w:r>
      <w:proofErr w:type="spellEnd"/>
      <w:r w:rsidRPr="006615D1">
        <w:rPr>
          <w:i/>
          <w:iCs/>
        </w:rPr>
        <w:t xml:space="preserve"> (SID) including infected psoriasis, infected atopic dermatitis and infected contact dermatitis”</w:t>
      </w:r>
      <w:r w:rsidRPr="006E5100">
        <w:t>, in adults, children, and i</w:t>
      </w:r>
      <w:r w:rsidR="00563A41">
        <w:t>nfants aged 9 months and older.</w:t>
      </w:r>
    </w:p>
    <w:p w:rsidR="006615D1" w:rsidRDefault="006E5100" w:rsidP="006E5100">
      <w:r w:rsidRPr="006E5100">
        <w:t xml:space="preserve">However, the Delegate has recommended approval of a restricted indication of </w:t>
      </w:r>
      <w:r w:rsidRPr="006615D1">
        <w:rPr>
          <w:i/>
          <w:iCs/>
        </w:rPr>
        <w:t>“treatment of superficial infections (including impetigo, infected small lacerations, abrasions, or sutured wounds) in adults, adolescents, infants and children aged from 9 months, in the absence of abscesses formation and infection due to MRSA”</w:t>
      </w:r>
      <w:r w:rsidRPr="006E5100">
        <w:t xml:space="preserve">. The Delegate seeks advice from the ACPM in relation to the proposed SITL and SID indications and the need for an Australian microbiological surveillance study. Of note, the Delegate has </w:t>
      </w:r>
      <w:r w:rsidR="00563A41">
        <w:t>not raised any safety concerns.</w:t>
      </w:r>
    </w:p>
    <w:p w:rsidR="006615D1" w:rsidRDefault="006E5100" w:rsidP="006E5100">
      <w:r w:rsidRPr="006615D1">
        <w:rPr>
          <w:b/>
          <w:bCs/>
        </w:rPr>
        <w:t>SITL indication</w:t>
      </w:r>
      <w:r w:rsidRPr="006E5100">
        <w:t>: The efficacy of Altargo has been established in three SITL studies and further suppo</w:t>
      </w:r>
      <w:r w:rsidR="00563A41">
        <w:t>rted by data from a MRSA study.</w:t>
      </w:r>
    </w:p>
    <w:p w:rsidR="006615D1" w:rsidRDefault="006E5100" w:rsidP="006E5100">
      <w:r w:rsidRPr="006615D1">
        <w:rPr>
          <w:b/>
          <w:bCs/>
        </w:rPr>
        <w:t>SID indication:</w:t>
      </w:r>
      <w:r w:rsidRPr="006E5100">
        <w:t xml:space="preserve"> The data from the single pivotal study fully supports the approval of Altargo for use in the treatment of SID as the study showed that retapamulin was non-inferior to </w:t>
      </w:r>
      <w:proofErr w:type="spellStart"/>
      <w:r w:rsidRPr="006E5100">
        <w:t>cephalexin</w:t>
      </w:r>
      <w:proofErr w:type="spellEnd"/>
      <w:r w:rsidRPr="006E5100">
        <w:t xml:space="preserve"> in the prima</w:t>
      </w:r>
      <w:r w:rsidR="00563A41">
        <w:t>ry efficacy analysis.</w:t>
      </w:r>
    </w:p>
    <w:p w:rsidR="006615D1" w:rsidRDefault="006E5100" w:rsidP="006E5100">
      <w:r w:rsidRPr="006615D1">
        <w:rPr>
          <w:b/>
          <w:bCs/>
        </w:rPr>
        <w:t>Australian specific microbiological surveillance study:</w:t>
      </w:r>
      <w:r w:rsidRPr="006E5100">
        <w:t xml:space="preserve"> GSK does not believe that an Australian specific microbiological surveillance program is warranted, as </w:t>
      </w:r>
      <w:r w:rsidRPr="006615D1">
        <w:rPr>
          <w:i/>
          <w:iCs/>
        </w:rPr>
        <w:t>in vitro</w:t>
      </w:r>
      <w:r w:rsidRPr="006E5100">
        <w:t xml:space="preserve"> susceptibility data in Australian isolates suggest that the likelihood of development of r</w:t>
      </w:r>
      <w:r w:rsidR="00563A41">
        <w:t xml:space="preserve">esistance to </w:t>
      </w:r>
      <w:proofErr w:type="spellStart"/>
      <w:r w:rsidR="00563A41">
        <w:t>retapamulin</w:t>
      </w:r>
      <w:proofErr w:type="spellEnd"/>
      <w:r w:rsidR="00563A41">
        <w:t xml:space="preserve"> is low.</w:t>
      </w:r>
    </w:p>
    <w:p w:rsidR="006615D1" w:rsidRDefault="006E5100" w:rsidP="005C2578">
      <w:pPr>
        <w:pStyle w:val="Heading5"/>
      </w:pPr>
      <w:r w:rsidRPr="006E5100">
        <w:t>Response to issues raised by t</w:t>
      </w:r>
      <w:r w:rsidR="00563A41">
        <w:t>he TGA Delegate for ACPM advice</w:t>
      </w:r>
    </w:p>
    <w:p w:rsidR="006D2D93" w:rsidRPr="006D2D93" w:rsidRDefault="00563A41" w:rsidP="005C2578">
      <w:pPr>
        <w:pStyle w:val="ListBullet"/>
        <w:keepNext/>
        <w:rPr>
          <w:b/>
          <w:bCs/>
        </w:rPr>
      </w:pPr>
      <w:r>
        <w:rPr>
          <w:b/>
          <w:bCs/>
        </w:rPr>
        <w:t>SITL indication</w:t>
      </w:r>
    </w:p>
    <w:p w:rsidR="006D2D93" w:rsidRPr="006D2D93" w:rsidRDefault="006E5100" w:rsidP="005C2578">
      <w:pPr>
        <w:keepNext/>
        <w:rPr>
          <w:i/>
          <w:iCs/>
        </w:rPr>
      </w:pPr>
      <w:r w:rsidRPr="006D2D93">
        <w:rPr>
          <w:i/>
          <w:iCs/>
        </w:rPr>
        <w:t xml:space="preserve">Delegate </w:t>
      </w:r>
      <w:r w:rsidR="006D2D93" w:rsidRPr="006D2D93">
        <w:rPr>
          <w:i/>
          <w:iCs/>
        </w:rPr>
        <w:t>c</w:t>
      </w:r>
      <w:r w:rsidRPr="006D2D93">
        <w:rPr>
          <w:i/>
          <w:iCs/>
        </w:rPr>
        <w:t>omment</w:t>
      </w:r>
      <w:r w:rsidR="006D2D93" w:rsidRPr="006D2D93">
        <w:rPr>
          <w:i/>
          <w:iCs/>
        </w:rPr>
        <w:t>:</w:t>
      </w:r>
      <w:r w:rsidRPr="006D2D93">
        <w:rPr>
          <w:i/>
          <w:iCs/>
        </w:rPr>
        <w:t xml:space="preserve"> Is the ACPM of the view that the submitted 4 studies for SITL indication provided sufficient evidence to support the use of retapamulin 1% ointment for the treatment of SITL?</w:t>
      </w:r>
    </w:p>
    <w:p w:rsidR="006D2D93" w:rsidRDefault="006E5100" w:rsidP="006E5100">
      <w:r w:rsidRPr="006E5100">
        <w:t>GSK does not agree with the Delegate’s evaluation of the clinical efficacy data relating to a more restricted SITL indication. The Delegate did not raise any concerns in relation to the safety profile of topic</w:t>
      </w:r>
      <w:r w:rsidR="00563A41">
        <w:t>al retapamulin for use in SITL.</w:t>
      </w:r>
    </w:p>
    <w:p w:rsidR="006D2D93" w:rsidRDefault="006E5100" w:rsidP="006E5100">
      <w:r w:rsidRPr="006E5100">
        <w:t xml:space="preserve">The efficacy of retapamulin for the treatment of SITL was demonstrated across four clinical studies; two identical studies using oral </w:t>
      </w:r>
      <w:proofErr w:type="spellStart"/>
      <w:r w:rsidRPr="006E5100">
        <w:t>cephalexin</w:t>
      </w:r>
      <w:proofErr w:type="spellEnd"/>
      <w:r w:rsidRPr="006E5100">
        <w:t xml:space="preserve"> as a comparator (Studies 030A </w:t>
      </w:r>
      <w:r w:rsidRPr="006E5100">
        <w:lastRenderedPageBreak/>
        <w:t xml:space="preserve">and 030B), a placebo-controlled study (TOC110977), and a study using </w:t>
      </w:r>
      <w:proofErr w:type="spellStart"/>
      <w:r w:rsidRPr="006E5100">
        <w:t>linezolid</w:t>
      </w:r>
      <w:proofErr w:type="spellEnd"/>
      <w:r w:rsidRPr="006E5100">
        <w:t xml:space="preserve"> as a comparator in </w:t>
      </w:r>
      <w:r w:rsidR="00563A41">
        <w:t>subjects with MRSA (TOC110978).</w:t>
      </w:r>
    </w:p>
    <w:p w:rsidR="006D2D93" w:rsidRDefault="006E5100" w:rsidP="006E5100">
      <w:r w:rsidRPr="006E5100">
        <w:t xml:space="preserve">Studies 030A and 030B provide strong evidence that retapamulin is an effective antibacterial product for the treatment of SITL. In both studies, retapamulin treatment and the </w:t>
      </w:r>
      <w:proofErr w:type="spellStart"/>
      <w:r w:rsidRPr="006E5100">
        <w:t>cephalexin</w:t>
      </w:r>
      <w:proofErr w:type="spellEnd"/>
      <w:r w:rsidRPr="006E5100">
        <w:t xml:space="preserve"> control were similarly efficacious in the primary efficacy analyses (Per Protocol Clinical), with a success rate in Study 030A of 88.7% </w:t>
      </w:r>
      <w:proofErr w:type="spellStart"/>
      <w:r w:rsidRPr="006E5100">
        <w:t>retapamulin</w:t>
      </w:r>
      <w:proofErr w:type="spellEnd"/>
      <w:r w:rsidRPr="006E5100">
        <w:t xml:space="preserve"> v</w:t>
      </w:r>
      <w:r w:rsidR="006D2D93">
        <w:t xml:space="preserve">ersus </w:t>
      </w:r>
      <w:r w:rsidRPr="006E5100">
        <w:t xml:space="preserve">91.9% </w:t>
      </w:r>
      <w:proofErr w:type="spellStart"/>
      <w:r w:rsidRPr="006E5100">
        <w:t>cephalexin</w:t>
      </w:r>
      <w:proofErr w:type="spellEnd"/>
      <w:r w:rsidRPr="006E5100">
        <w:t xml:space="preserve"> (treatment difference -3.2, 95% CI: -7.4, 0.9), and in Study 030B of 90.4% </w:t>
      </w:r>
      <w:proofErr w:type="spellStart"/>
      <w:r w:rsidRPr="006E5100">
        <w:t>retapamulin</w:t>
      </w:r>
      <w:proofErr w:type="spellEnd"/>
      <w:r w:rsidRPr="006E5100">
        <w:t xml:space="preserve"> v</w:t>
      </w:r>
      <w:r w:rsidR="006D2D93">
        <w:t xml:space="preserve">ersus </w:t>
      </w:r>
      <w:r w:rsidRPr="006E5100">
        <w:t xml:space="preserve">92.0% </w:t>
      </w:r>
      <w:proofErr w:type="spellStart"/>
      <w:r w:rsidRPr="006E5100">
        <w:t>cephalexin</w:t>
      </w:r>
      <w:proofErr w:type="spellEnd"/>
      <w:r w:rsidRPr="006E5100">
        <w:t xml:space="preserve"> (treatment difference -1.6, 95% CI: -5.8, 2.6). In the intent-to-treat clinical (ITTC) population (all treated patients), which is the population most relevant to the future use of this product in typical practice settings, the success rate in Study 030A was 85.2% </w:t>
      </w:r>
      <w:proofErr w:type="spellStart"/>
      <w:r w:rsidRPr="006E5100">
        <w:t>retapamulin</w:t>
      </w:r>
      <w:proofErr w:type="spellEnd"/>
      <w:r w:rsidRPr="006E5100">
        <w:t xml:space="preserve"> v</w:t>
      </w:r>
      <w:r w:rsidR="006D2D93">
        <w:t>ersu</w:t>
      </w:r>
      <w:r w:rsidRPr="006E5100">
        <w:t xml:space="preserve">s 84.0% </w:t>
      </w:r>
      <w:proofErr w:type="spellStart"/>
      <w:r w:rsidRPr="006E5100">
        <w:t>cephalexin</w:t>
      </w:r>
      <w:proofErr w:type="spellEnd"/>
      <w:r w:rsidRPr="006E5100">
        <w:t xml:space="preserve"> (treatment difference 1.1, 95% CI: -3.7, 6.0), and was 87.5% </w:t>
      </w:r>
      <w:proofErr w:type="spellStart"/>
      <w:r w:rsidRPr="006E5100">
        <w:t>retapamulin</w:t>
      </w:r>
      <w:proofErr w:type="spellEnd"/>
      <w:r w:rsidRPr="006E5100">
        <w:t xml:space="preserve"> v</w:t>
      </w:r>
      <w:r w:rsidR="006D2D93">
        <w:t>ersu</w:t>
      </w:r>
      <w:r w:rsidRPr="006E5100">
        <w:t xml:space="preserve">s 87.4% </w:t>
      </w:r>
      <w:proofErr w:type="spellStart"/>
      <w:r w:rsidRPr="006E5100">
        <w:t>cephalexin</w:t>
      </w:r>
      <w:proofErr w:type="spellEnd"/>
      <w:r w:rsidRPr="006E5100">
        <w:t xml:space="preserve"> (treatment difference 0, 95% CI: -4.5, 4.6) in Study 030B. These confidence inter</w:t>
      </w:r>
      <w:r w:rsidR="00563A41">
        <w:t>vals convincingly include zero.</w:t>
      </w:r>
    </w:p>
    <w:p w:rsidR="006D2D93" w:rsidRDefault="006D2D93" w:rsidP="006E5100">
      <w:r w:rsidRPr="006D2D93">
        <w:t xml:space="preserve">Additionally, in both Studies 030A and 030B, </w:t>
      </w:r>
      <w:proofErr w:type="spellStart"/>
      <w:r w:rsidRPr="006D2D93">
        <w:t>retapamulin</w:t>
      </w:r>
      <w:proofErr w:type="spellEnd"/>
      <w:r w:rsidRPr="006D2D93">
        <w:t xml:space="preserve"> and the </w:t>
      </w:r>
      <w:proofErr w:type="spellStart"/>
      <w:r w:rsidRPr="006D2D93">
        <w:t>cephalexin</w:t>
      </w:r>
      <w:proofErr w:type="spellEnd"/>
      <w:r w:rsidRPr="006D2D93">
        <w:t xml:space="preserve"> control were similarly</w:t>
      </w:r>
      <w:r>
        <w:t xml:space="preserve"> </w:t>
      </w:r>
      <w:r w:rsidR="006E5100" w:rsidRPr="006E5100">
        <w:t xml:space="preserve">efficacious in the intent-to-treat bacteriological (ITTB) population, which reflects outcomes in all patients with a laboratory-confirmed bacterial infection. The 95% CI for the difference in success rates for </w:t>
      </w:r>
      <w:proofErr w:type="spellStart"/>
      <w:r w:rsidR="006E5100" w:rsidRPr="006E5100">
        <w:t>retapamulin</w:t>
      </w:r>
      <w:proofErr w:type="spellEnd"/>
      <w:r w:rsidR="006E5100" w:rsidRPr="006E5100">
        <w:t xml:space="preserve"> minus </w:t>
      </w:r>
      <w:proofErr w:type="spellStart"/>
      <w:r w:rsidR="006E5100" w:rsidRPr="006E5100">
        <w:t>ce</w:t>
      </w:r>
      <w:r>
        <w:t>phalexin</w:t>
      </w:r>
      <w:proofErr w:type="spellEnd"/>
      <w:r>
        <w:t xml:space="preserve"> were (-6.5, +7.2) for Study 030A and (-3.7, +9.9) for S</w:t>
      </w:r>
      <w:r w:rsidR="006E5100" w:rsidRPr="006E5100">
        <w:t>tudy 030B. Again, these confidence intervals convi</w:t>
      </w:r>
      <w:r w:rsidR="00563A41">
        <w:t>ncingly include zero.</w:t>
      </w:r>
    </w:p>
    <w:p w:rsidR="006D2D93" w:rsidRDefault="006E5100" w:rsidP="006E5100">
      <w:r w:rsidRPr="006E5100">
        <w:t>In Study TOC110977, the primary endpoint of superiority of retapamulin over placebo in the IT</w:t>
      </w:r>
      <w:r w:rsidR="006D2D93">
        <w:t xml:space="preserve">TC population was not met (that is, </w:t>
      </w:r>
      <w:r w:rsidRPr="006E5100">
        <w:t>the difference in the clinical success rate [8.4%] at the follow-up visit was not statistically significant). The ITTC population was chosen for the primary analysis as this was a superiority study and the most conservative approach to statistical analysis was to use this ‘patient-like’ population. Clinical success was defined as resolution of clinically meaningful signs and symptoms of infection recorded at Baseline including a pus/</w:t>
      </w:r>
      <w:proofErr w:type="spellStart"/>
      <w:r w:rsidRPr="006E5100">
        <w:t>exudate</w:t>
      </w:r>
      <w:proofErr w:type="spellEnd"/>
      <w:r w:rsidRPr="006E5100">
        <w:t xml:space="preserve"> skin infec</w:t>
      </w:r>
      <w:r w:rsidR="006D2D93">
        <w:t xml:space="preserve">tion rating scale score of ‘0’. </w:t>
      </w:r>
      <w:r w:rsidRPr="006E5100">
        <w:t xml:space="preserve">This was different from the previous SITL studies (030A and 030B), as ‘improvement of signs and symptoms of the infection recorded at Baseline’ was not included in the </w:t>
      </w:r>
      <w:r w:rsidR="00563A41">
        <w:t>definition of clinical success.</w:t>
      </w:r>
    </w:p>
    <w:p w:rsidR="006D2D93" w:rsidRDefault="006E5100" w:rsidP="006E5100">
      <w:r w:rsidRPr="006E5100">
        <w:t>It should be noted that a statistically significant treatment-by-country interaction effect was observed in Study TOC110977 and therefore covariate analysis was undertaken. As a result, both infection and baseline wound areas were significantly associated with the clinical response at follow up. Subsequent logistic regression analysis was undertaken that adjusted for baseline wound characteristics; the results indicate that for the primary endpoint, retapamulin was superior to placebo (p=0.0336) with an odds ratio of 1.73 and a 95% CI of (1.04, 2.87). In the ITTB population, clinical response in the retapamulin group was statisticall</w:t>
      </w:r>
      <w:r w:rsidR="00563A41">
        <w:t>y superior to placebo (p=0.04).</w:t>
      </w:r>
    </w:p>
    <w:p w:rsidR="006D2D93" w:rsidRDefault="006E5100" w:rsidP="006E5100">
      <w:r w:rsidRPr="006E5100">
        <w:t xml:space="preserve">In Study TOC110978, retapamulin had a significantly lower rate of clinical response than </w:t>
      </w:r>
      <w:proofErr w:type="spellStart"/>
      <w:r w:rsidRPr="006E5100">
        <w:t>linezolid</w:t>
      </w:r>
      <w:proofErr w:type="spellEnd"/>
      <w:r w:rsidRPr="006E5100">
        <w:t xml:space="preserve"> when response is defined as clinical success only (63.9% </w:t>
      </w:r>
      <w:proofErr w:type="spellStart"/>
      <w:r w:rsidRPr="006E5100">
        <w:t>retapamulin</w:t>
      </w:r>
      <w:proofErr w:type="spellEnd"/>
      <w:r w:rsidRPr="006E5100">
        <w:t xml:space="preserve">, 90.6% </w:t>
      </w:r>
      <w:proofErr w:type="spellStart"/>
      <w:r w:rsidRPr="006E5100">
        <w:t>linezolid</w:t>
      </w:r>
      <w:proofErr w:type="spellEnd"/>
      <w:r w:rsidRPr="006E5100">
        <w:t>). Clinical success rate was not significantly different between groups when clinical success was defined as a clinical outcome of success or improvement (91.8</w:t>
      </w:r>
      <w:r w:rsidR="00563A41">
        <w:t xml:space="preserve">% </w:t>
      </w:r>
      <w:proofErr w:type="spellStart"/>
      <w:r w:rsidR="00563A41">
        <w:t>retapamulin</w:t>
      </w:r>
      <w:proofErr w:type="spellEnd"/>
      <w:r w:rsidR="00563A41">
        <w:t xml:space="preserve">, 100% </w:t>
      </w:r>
      <w:proofErr w:type="spellStart"/>
      <w:r w:rsidR="00563A41">
        <w:t>linezolid</w:t>
      </w:r>
      <w:proofErr w:type="spellEnd"/>
      <w:r w:rsidR="00563A41">
        <w:t>).</w:t>
      </w:r>
    </w:p>
    <w:p w:rsidR="006D2D93" w:rsidRDefault="006E5100" w:rsidP="006E5100">
      <w:r w:rsidRPr="006E5100">
        <w:t xml:space="preserve">In summary, the totality of the data from the </w:t>
      </w:r>
      <w:r w:rsidR="006D2D93">
        <w:t>four studies demonstrates that t</w:t>
      </w:r>
      <w:r w:rsidRPr="006E5100">
        <w:t xml:space="preserve">opical retapamulin is an effective treatment alternative to systemic oral </w:t>
      </w:r>
      <w:proofErr w:type="gramStart"/>
      <w:r w:rsidRPr="006E5100">
        <w:t>agents</w:t>
      </w:r>
      <w:proofErr w:type="gramEnd"/>
      <w:r w:rsidR="00563A41">
        <w:t xml:space="preserve"> for patients with SITL.</w:t>
      </w:r>
    </w:p>
    <w:p w:rsidR="006D2D93" w:rsidRPr="006D2D93" w:rsidRDefault="006E5100" w:rsidP="006E5100">
      <w:pPr>
        <w:rPr>
          <w:i/>
          <w:iCs/>
        </w:rPr>
      </w:pPr>
      <w:r w:rsidRPr="006D2D93">
        <w:rPr>
          <w:i/>
          <w:iCs/>
        </w:rPr>
        <w:t>Delegate Comment</w:t>
      </w:r>
      <w:r w:rsidR="006D2D93" w:rsidRPr="006D2D93">
        <w:rPr>
          <w:i/>
          <w:iCs/>
        </w:rPr>
        <w:t>:</w:t>
      </w:r>
      <w:r w:rsidRPr="006D2D93">
        <w:rPr>
          <w:i/>
          <w:iCs/>
        </w:rPr>
        <w:t xml:space="preserve"> Does the ACPM have any concern about the 10% non-inferiority margin used in Study 030A and 030B in </w:t>
      </w:r>
      <w:r w:rsidR="00563A41">
        <w:rPr>
          <w:i/>
          <w:iCs/>
        </w:rPr>
        <w:t>relation to the SITL treatment?</w:t>
      </w:r>
    </w:p>
    <w:p w:rsidR="006D2D93" w:rsidRDefault="006E5100" w:rsidP="006E5100">
      <w:r w:rsidRPr="006E5100">
        <w:t>GSK contends that the 10% non-inferiority margin used in the SITL studies is sci</w:t>
      </w:r>
      <w:r w:rsidR="00563A41">
        <w:t>entifically valid.</w:t>
      </w:r>
    </w:p>
    <w:p w:rsidR="006D2D93" w:rsidRDefault="006E5100" w:rsidP="006E5100">
      <w:r w:rsidRPr="006E5100">
        <w:lastRenderedPageBreak/>
        <w:t>Studies 030A and 030B were prospectively designed and powered to evaluate the efficacy of retapamulin in the treatment of SITL and were designed with a 10% non-inferiority test (the claim of non-inferiority was achieved if the lower limit of the 95% CI was greater than -10%). This margin was considered appropriate due to the greater than 20% difference between the assumed efficacy rate for placebo and the active comparators, as well as the assumption that efficacy rates would be approxim</w:t>
      </w:r>
      <w:r w:rsidR="00563A41">
        <w:t>ately 90% or lower.</w:t>
      </w:r>
    </w:p>
    <w:p w:rsidR="00FF31B0" w:rsidRDefault="006E5100" w:rsidP="006E5100">
      <w:r w:rsidRPr="006E5100">
        <w:t xml:space="preserve">In fact, the efficacy results for Studies 030A and 030B, in all the evaluated clinical populations, unequivocally show that the lower limit of the </w:t>
      </w:r>
      <w:r w:rsidR="006D2D93">
        <w:t xml:space="preserve">CI </w:t>
      </w:r>
      <w:r w:rsidRPr="006E5100">
        <w:t xml:space="preserve">is greater than -10%, with the upper limit crossing zero, thereby demonstrating non-inferiority (Tables </w:t>
      </w:r>
      <w:r w:rsidR="00005EDE">
        <w:t>24</w:t>
      </w:r>
      <w:r w:rsidRPr="006E5100">
        <w:t xml:space="preserve"> and </w:t>
      </w:r>
      <w:r w:rsidR="00005EDE">
        <w:t>25</w:t>
      </w:r>
      <w:r w:rsidR="00563A41">
        <w:t>).</w:t>
      </w:r>
    </w:p>
    <w:p w:rsidR="00005EDE" w:rsidRDefault="00005EDE" w:rsidP="00563A41">
      <w:pPr>
        <w:pStyle w:val="TableTitle"/>
      </w:pPr>
      <w:proofErr w:type="gramStart"/>
      <w:r>
        <w:t>Table 24.</w:t>
      </w:r>
      <w:proofErr w:type="gramEnd"/>
      <w:r>
        <w:t xml:space="preserve"> Efficacy results at Follow-Up for Study 030A by Analysis Population</w:t>
      </w:r>
    </w:p>
    <w:p w:rsidR="00005EDE" w:rsidRDefault="006E5100" w:rsidP="006E5100">
      <w:r w:rsidRPr="006E5100">
        <w:rPr>
          <w:noProof/>
          <w:lang w:eastAsia="en-AU"/>
        </w:rPr>
        <w:drawing>
          <wp:inline distT="0" distB="0" distL="0" distR="0">
            <wp:extent cx="5372100" cy="1147762"/>
            <wp:effectExtent l="19050" t="0" r="0" b="0"/>
            <wp:docPr id="18" name="Picture 1" descr="Table 24. Efficacy results at Follow-Up for Study 030A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529" t="8923" b="16923"/>
                    <a:stretch>
                      <a:fillRect/>
                    </a:stretch>
                  </pic:blipFill>
                  <pic:spPr bwMode="auto">
                    <a:xfrm>
                      <a:off x="0" y="0"/>
                      <a:ext cx="5372100" cy="1147762"/>
                    </a:xfrm>
                    <a:prstGeom prst="rect">
                      <a:avLst/>
                    </a:prstGeom>
                    <a:noFill/>
                    <a:ln w="9525">
                      <a:noFill/>
                      <a:miter lim="800000"/>
                      <a:headEnd/>
                      <a:tailEnd/>
                    </a:ln>
                  </pic:spPr>
                </pic:pic>
              </a:graphicData>
            </a:graphic>
          </wp:inline>
        </w:drawing>
      </w:r>
      <w:r w:rsidRPr="006E5100">
        <w:t xml:space="preserve"> </w:t>
      </w:r>
    </w:p>
    <w:p w:rsidR="00005EDE" w:rsidRDefault="00005EDE" w:rsidP="00563A41">
      <w:pPr>
        <w:pStyle w:val="TableTitle"/>
      </w:pPr>
      <w:proofErr w:type="gramStart"/>
      <w:r w:rsidRPr="00005EDE">
        <w:t>Table 2</w:t>
      </w:r>
      <w:r>
        <w:t>5</w:t>
      </w:r>
      <w:r w:rsidRPr="00005EDE">
        <w:t>.</w:t>
      </w:r>
      <w:proofErr w:type="gramEnd"/>
      <w:r w:rsidRPr="00005EDE">
        <w:t xml:space="preserve"> Efficacy results at Follow-Up for Study 0</w:t>
      </w:r>
      <w:r>
        <w:t>30B</w:t>
      </w:r>
      <w:r w:rsidRPr="00005EDE">
        <w:t xml:space="preserve"> by Analysis Population</w:t>
      </w:r>
    </w:p>
    <w:p w:rsidR="006D2D93" w:rsidRDefault="006E5100" w:rsidP="006E5100">
      <w:r w:rsidRPr="006E5100">
        <w:rPr>
          <w:noProof/>
          <w:lang w:eastAsia="en-AU"/>
        </w:rPr>
        <w:drawing>
          <wp:inline distT="0" distB="0" distL="0" distR="0">
            <wp:extent cx="5097780" cy="952500"/>
            <wp:effectExtent l="19050" t="0" r="7620" b="0"/>
            <wp:docPr id="19" name="Picture 4" descr="Table 24. Efficacy results at Follow-Up for Study 030B b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t="12664"/>
                    <a:stretch>
                      <a:fillRect/>
                    </a:stretch>
                  </pic:blipFill>
                  <pic:spPr bwMode="auto">
                    <a:xfrm>
                      <a:off x="0" y="0"/>
                      <a:ext cx="5097780" cy="952500"/>
                    </a:xfrm>
                    <a:prstGeom prst="rect">
                      <a:avLst/>
                    </a:prstGeom>
                    <a:noFill/>
                    <a:ln w="9525">
                      <a:noFill/>
                      <a:miter lim="800000"/>
                      <a:headEnd/>
                      <a:tailEnd/>
                    </a:ln>
                  </pic:spPr>
                </pic:pic>
              </a:graphicData>
            </a:graphic>
          </wp:inline>
        </w:drawing>
      </w:r>
    </w:p>
    <w:p w:rsidR="006D2D93" w:rsidRDefault="006E5100" w:rsidP="006E5100">
      <w:r w:rsidRPr="006E5100">
        <w:t>The Delegate has noted that the FDA questioned the 10% margin; however, GSK believes that use of a</w:t>
      </w:r>
      <w:r w:rsidR="006D2D93">
        <w:t xml:space="preserve"> 10% non-inferiority margin in S</w:t>
      </w:r>
      <w:r w:rsidRPr="006E5100">
        <w:t xml:space="preserve">tudies 030A and 030B is reasonable and appropriate in view of established precedents with other </w:t>
      </w:r>
      <w:r w:rsidR="006D2D93">
        <w:t>anti-infective drugs that utilis</w:t>
      </w:r>
      <w:r w:rsidRPr="006E5100">
        <w:t xml:space="preserve">ed either a 10% or 15% margin. At the time the studies were conducted, the 10% margin was selected based on FDA guidance in effect at the time for skin and soft tissue infections (SSTIs) and also on the EU </w:t>
      </w:r>
      <w:proofErr w:type="spellStart"/>
      <w:r w:rsidRPr="006E5100">
        <w:t>guidances</w:t>
      </w:r>
      <w:proofErr w:type="spellEnd"/>
      <w:r w:rsidRPr="006E5100">
        <w:t xml:space="preserve"> for studies in skin i</w:t>
      </w:r>
      <w:r w:rsidR="006D2D93">
        <w:t>nfection. Additionally, in pre-P</w:t>
      </w:r>
      <w:r w:rsidRPr="006E5100">
        <w:t>hase III discussions with the FDA and special protocol assessments, the 10% non-inferiority margin was agreed to by the FDA. The 10% non-inferiority margin was the most demanding non-inferiority margin that had been applied at the time to studies of treatments for uncomplicated skin and skin structure i</w:t>
      </w:r>
      <w:r w:rsidR="00563A41">
        <w:t>nfections.</w:t>
      </w:r>
    </w:p>
    <w:p w:rsidR="006D2D93" w:rsidRPr="006D2D93" w:rsidRDefault="006E5100" w:rsidP="006E5100">
      <w:pPr>
        <w:rPr>
          <w:i/>
          <w:iCs/>
        </w:rPr>
      </w:pPr>
      <w:r w:rsidRPr="006D2D93">
        <w:rPr>
          <w:i/>
          <w:iCs/>
        </w:rPr>
        <w:t xml:space="preserve">Delegate </w:t>
      </w:r>
      <w:r w:rsidR="006D2D93" w:rsidRPr="006D2D93">
        <w:rPr>
          <w:i/>
          <w:iCs/>
        </w:rPr>
        <w:t>c</w:t>
      </w:r>
      <w:r w:rsidRPr="006D2D93">
        <w:rPr>
          <w:i/>
          <w:iCs/>
        </w:rPr>
        <w:t>omment</w:t>
      </w:r>
      <w:r w:rsidR="006D2D93" w:rsidRPr="006D2D93">
        <w:rPr>
          <w:i/>
          <w:iCs/>
        </w:rPr>
        <w:t>:</w:t>
      </w:r>
      <w:r w:rsidRPr="006D2D93">
        <w:rPr>
          <w:i/>
          <w:iCs/>
        </w:rPr>
        <w:t xml:space="preserve"> Does ACPM have any concerns about the results of Study TOC110977 in which topical retapamulin was not shown to be superior to placebo in</w:t>
      </w:r>
      <w:r w:rsidR="00563A41">
        <w:rPr>
          <w:i/>
          <w:iCs/>
        </w:rPr>
        <w:t xml:space="preserve"> the primary efficacy analysis?</w:t>
      </w:r>
    </w:p>
    <w:p w:rsidR="006D2D93" w:rsidRDefault="006E5100" w:rsidP="006E5100">
      <w:r w:rsidRPr="006E5100">
        <w:t>GSK acknowledges that the primary endpoint of superiority of retapamulin over placebo on the clinical response was not met in Study TOC110977 in subjects ≥2 months of age with SITL (clinical success rate of 74.8% retapamulin compared with 66.4% placebo; treatment differences 8.4% (95% CI: -1.6, 18.4)). However, when adjusted for Baseline wound characteristics using logistic regression analysis for the primary endpoint, the retapamulin treatment was found to be superior to placebo. In addition, sensitivity analyses demonstrated that the efficacy rates observed on retapamulin were similar to those seen in previous studies (Study 030A, Study 030B) when the definition of clinical success included clinical improvement as a component of clinical success, as was</w:t>
      </w:r>
      <w:r w:rsidR="00563A41">
        <w:t xml:space="preserve"> done for the previous studies.</w:t>
      </w:r>
    </w:p>
    <w:p w:rsidR="006D2D93" w:rsidRDefault="006E5100" w:rsidP="006E5100">
      <w:r w:rsidRPr="006E5100">
        <w:t xml:space="preserve">Significant retapamulin treatment benefit on the secondary efficacy endpoint of bacteriological response was clearly demonstrated. Retapamulin was statistically superior </w:t>
      </w:r>
      <w:r w:rsidRPr="006E5100">
        <w:lastRenderedPageBreak/>
        <w:t>to placebo in the ITTB population (76.4% versus 64.3%)</w:t>
      </w:r>
      <w:r w:rsidR="006D2D93">
        <w:t xml:space="preserve"> with a 95% CI: 0.6, 23.6 and p value </w:t>
      </w:r>
      <w:r w:rsidRPr="006E5100">
        <w:t>=</w:t>
      </w:r>
      <w:r w:rsidR="006D2D93">
        <w:t xml:space="preserve"> </w:t>
      </w:r>
      <w:r w:rsidR="00563A41">
        <w:t>0.04.</w:t>
      </w:r>
    </w:p>
    <w:p w:rsidR="00FF31B0" w:rsidRDefault="006E5100" w:rsidP="006E5100">
      <w:r w:rsidRPr="006E5100">
        <w:t xml:space="preserve">Treatment of SITL with retapamulin was beneficial particularly in subjects with </w:t>
      </w:r>
      <w:r w:rsidRPr="006D2D93">
        <w:rPr>
          <w:i/>
          <w:iCs/>
        </w:rPr>
        <w:t>S. aureus</w:t>
      </w:r>
      <w:r w:rsidRPr="006E5100">
        <w:t xml:space="preserve"> as the baseline pathogen (Table </w:t>
      </w:r>
      <w:r w:rsidR="00005EDE">
        <w:t>26</w:t>
      </w:r>
      <w:r w:rsidR="00563A41">
        <w:t>).</w:t>
      </w:r>
    </w:p>
    <w:p w:rsidR="00005EDE" w:rsidRPr="00005EDE" w:rsidRDefault="00005EDE" w:rsidP="00563A41">
      <w:pPr>
        <w:pStyle w:val="TableTitle"/>
      </w:pPr>
      <w:proofErr w:type="gramStart"/>
      <w:r w:rsidRPr="00005EDE">
        <w:t>Table 2</w:t>
      </w:r>
      <w:r>
        <w:t>6</w:t>
      </w:r>
      <w:r w:rsidRPr="00005EDE">
        <w:t>.</w:t>
      </w:r>
      <w:proofErr w:type="gramEnd"/>
      <w:r w:rsidRPr="00005EDE">
        <w:t xml:space="preserve"> Efficacy results for Study </w:t>
      </w:r>
      <w:r>
        <w:t xml:space="preserve">TOC110977 (ITTC, Primary Efficacy </w:t>
      </w:r>
      <w:r w:rsidRPr="00005EDE">
        <w:t>Population</w:t>
      </w:r>
      <w:r>
        <w:t>)</w:t>
      </w:r>
    </w:p>
    <w:p w:rsidR="001C5F44" w:rsidRDefault="006E5100" w:rsidP="00563A41">
      <w:r w:rsidRPr="006E5100">
        <w:rPr>
          <w:noProof/>
          <w:lang w:eastAsia="en-AU"/>
        </w:rPr>
        <w:drawing>
          <wp:inline distT="0" distB="0" distL="0" distR="0">
            <wp:extent cx="5014913" cy="2576512"/>
            <wp:effectExtent l="19050" t="0" r="0" b="0"/>
            <wp:docPr id="21" name="Picture 7" descr="Table 26. Efficacy results for Study TOC110977 (ITTC,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1034" t="6401"/>
                    <a:stretch>
                      <a:fillRect/>
                    </a:stretch>
                  </pic:blipFill>
                  <pic:spPr bwMode="auto">
                    <a:xfrm>
                      <a:off x="0" y="0"/>
                      <a:ext cx="5014913" cy="2576512"/>
                    </a:xfrm>
                    <a:prstGeom prst="rect">
                      <a:avLst/>
                    </a:prstGeom>
                    <a:noFill/>
                    <a:ln w="9525">
                      <a:noFill/>
                      <a:miter lim="800000"/>
                      <a:headEnd/>
                      <a:tailEnd/>
                    </a:ln>
                  </pic:spPr>
                </pic:pic>
              </a:graphicData>
            </a:graphic>
          </wp:inline>
        </w:drawing>
      </w:r>
      <w:r w:rsidRPr="006E5100">
        <w:t xml:space="preserve"> Furthermore, the decrease in lesion size at end of therapy for retapamulin versus placebo provides evidence that a benefit occurs sooner with treatment intervention, particularly in those patients with the presence of a pathogen at baseline. Variability in the study population enrolled across the participating countries with respect to baseline wound characteristics, evaluation of clinical response by the sites, and study execution issues have possibly contributed to the variability in study results. As discussed </w:t>
      </w:r>
      <w:r w:rsidR="001C5F44">
        <w:t xml:space="preserve">above, </w:t>
      </w:r>
      <w:r w:rsidRPr="006E5100">
        <w:t>when baseline covariates are taken into account, the differences in clinical response rates between retapamulin and placebo become statistically significant. Also, higher success rates for</w:t>
      </w:r>
      <w:r w:rsidR="001C5F44">
        <w:t xml:space="preserve"> retapamulin versus placebo in S</w:t>
      </w:r>
      <w:r w:rsidRPr="006E5100">
        <w:t>tudy TOC110977 were observed in many subgroups though treatment benefit with respect to the primary endpoint was no</w:t>
      </w:r>
      <w:r w:rsidR="00563A41">
        <w:t>t of the magnitude anticipated.</w:t>
      </w:r>
    </w:p>
    <w:p w:rsidR="001C5F44" w:rsidRDefault="006E5100" w:rsidP="006E5100">
      <w:r w:rsidRPr="006E5100">
        <w:t xml:space="preserve">In summary, although Study TOC110977 did not meet the primary endpoint the secondary bacteriological response benefits suggest that retapamulin has a statistically significant clinical benefit in the treatment of </w:t>
      </w:r>
      <w:proofErr w:type="spellStart"/>
      <w:r w:rsidRPr="006E5100">
        <w:t>bacteriologically</w:t>
      </w:r>
      <w:proofErr w:type="spellEnd"/>
      <w:r w:rsidRPr="006E5100">
        <w:t xml:space="preserve"> confirmed SITL subjects, and shows that retapamulin is a viable option for treatment of SITL, particularly in subjects who have a proven bacterial infection of the lesion or who cannot tolerate systemically adm</w:t>
      </w:r>
      <w:r w:rsidR="00563A41">
        <w:t xml:space="preserve">inistered </w:t>
      </w:r>
      <w:proofErr w:type="spellStart"/>
      <w:r w:rsidR="00563A41">
        <w:t>antibacterials</w:t>
      </w:r>
      <w:proofErr w:type="spellEnd"/>
      <w:r w:rsidR="00563A41">
        <w:t>.</w:t>
      </w:r>
    </w:p>
    <w:p w:rsidR="001C5F44" w:rsidRPr="001C5F44" w:rsidRDefault="006E5100" w:rsidP="006E5100">
      <w:pPr>
        <w:rPr>
          <w:i/>
          <w:iCs/>
        </w:rPr>
      </w:pPr>
      <w:r w:rsidRPr="001C5F44">
        <w:rPr>
          <w:i/>
          <w:iCs/>
        </w:rPr>
        <w:t xml:space="preserve">Delegate </w:t>
      </w:r>
      <w:r w:rsidR="001C5F44" w:rsidRPr="001C5F44">
        <w:rPr>
          <w:i/>
          <w:iCs/>
        </w:rPr>
        <w:t>c</w:t>
      </w:r>
      <w:r w:rsidRPr="001C5F44">
        <w:rPr>
          <w:i/>
          <w:iCs/>
        </w:rPr>
        <w:t>omment</w:t>
      </w:r>
      <w:r w:rsidR="001C5F44" w:rsidRPr="001C5F44">
        <w:rPr>
          <w:i/>
          <w:iCs/>
        </w:rPr>
        <w:t>:</w:t>
      </w:r>
      <w:r w:rsidRPr="001C5F44">
        <w:rPr>
          <w:i/>
          <w:iCs/>
        </w:rPr>
        <w:t xml:space="preserve"> Does ACPM consider that retapamulin should not be used to treat abscess a</w:t>
      </w:r>
      <w:r w:rsidR="00563A41">
        <w:rPr>
          <w:i/>
          <w:iCs/>
        </w:rPr>
        <w:t>nd SITL infections due to MRSA?</w:t>
      </w:r>
    </w:p>
    <w:p w:rsidR="001C5F44" w:rsidRDefault="006E5100" w:rsidP="006E5100">
      <w:r w:rsidRPr="006E5100">
        <w:t xml:space="preserve">The Delegate has recommended that retapamulin not be used to treat abscesses or SITL infections due to MRSA. GSK accepts the Delegate’s proposal that retapamulin not be used to treat abscesses. Following this, GSK proposes to include the following statement in the Precautions section of the Product Information: </w:t>
      </w:r>
      <w:r w:rsidRPr="001C5F44">
        <w:rPr>
          <w:i/>
          <w:iCs/>
        </w:rPr>
        <w:t>“Retapamulin should not be used to treat abscesses.”</w:t>
      </w:r>
    </w:p>
    <w:p w:rsidR="001C5F44" w:rsidRDefault="006E5100" w:rsidP="006E5100">
      <w:r w:rsidRPr="006E5100">
        <w:t xml:space="preserve">GSK however strongly contend that the body of clinical data submitted support treatment of SITL infections due to MRSA as discussed below. The clinical data demonstrate that retapamulin is efficacious not only in infections involving </w:t>
      </w:r>
      <w:proofErr w:type="spellStart"/>
      <w:r w:rsidRPr="006E5100">
        <w:t>methicillin</w:t>
      </w:r>
      <w:proofErr w:type="spellEnd"/>
      <w:r w:rsidRPr="006E5100">
        <w:t xml:space="preserve">-susceptible </w:t>
      </w:r>
      <w:r w:rsidRPr="001C5F44">
        <w:rPr>
          <w:i/>
          <w:iCs/>
        </w:rPr>
        <w:t>S. aureus</w:t>
      </w:r>
      <w:r w:rsidRPr="006E5100">
        <w:t xml:space="preserve"> (MSSA), but also in infections where the organism is either </w:t>
      </w:r>
      <w:r w:rsidR="001C5F44" w:rsidRPr="001C5F44">
        <w:t xml:space="preserve">Panton-Valentine </w:t>
      </w:r>
      <w:proofErr w:type="spellStart"/>
      <w:r w:rsidR="001C5F44" w:rsidRPr="001C5F44">
        <w:t>Leukocidin</w:t>
      </w:r>
      <w:proofErr w:type="spellEnd"/>
      <w:r w:rsidR="001C5F44" w:rsidRPr="001C5F44">
        <w:t xml:space="preserve"> </w:t>
      </w:r>
      <w:r w:rsidR="001C5F44">
        <w:t>(</w:t>
      </w:r>
      <w:r w:rsidRPr="006E5100">
        <w:t>PVL</w:t>
      </w:r>
      <w:r w:rsidR="001C5F44">
        <w:t>)</w:t>
      </w:r>
      <w:r w:rsidRPr="006E5100">
        <w:t>-negative MRSA or non-USA300 MRSA</w:t>
      </w:r>
      <w:r w:rsidR="001C5F44">
        <w:t xml:space="preserve"> clinical isolates</w:t>
      </w:r>
      <w:r w:rsidR="00563A41">
        <w:t>.</w:t>
      </w:r>
    </w:p>
    <w:p w:rsidR="001C5F44" w:rsidRDefault="006E5100" w:rsidP="006E5100">
      <w:r w:rsidRPr="006E5100">
        <w:lastRenderedPageBreak/>
        <w:t xml:space="preserve">Retapamulin demonstrated </w:t>
      </w:r>
      <w:r w:rsidRPr="001C5F44">
        <w:rPr>
          <w:i/>
          <w:iCs/>
        </w:rPr>
        <w:t>in vitro</w:t>
      </w:r>
      <w:r w:rsidRPr="006E5100">
        <w:t xml:space="preserve"> activity against MRSA during preclinical development. As part of a global surveillance study, </w:t>
      </w:r>
      <w:r w:rsidRPr="001C5F44">
        <w:rPr>
          <w:i/>
          <w:iCs/>
        </w:rPr>
        <w:t>in vitro</w:t>
      </w:r>
      <w:r w:rsidRPr="006E5100">
        <w:t xml:space="preserve"> susceptibility testing found retapamulin to be the most potent of a panel of 15 </w:t>
      </w:r>
      <w:proofErr w:type="spellStart"/>
      <w:r w:rsidRPr="006E5100">
        <w:t>antibacterials</w:t>
      </w:r>
      <w:proofErr w:type="spellEnd"/>
      <w:r w:rsidRPr="006E5100">
        <w:t xml:space="preserve"> tested against 649 clinical MRSA isolates. The MIC</w:t>
      </w:r>
      <w:r w:rsidRPr="001C5F44">
        <w:rPr>
          <w:vertAlign w:val="subscript"/>
        </w:rPr>
        <w:t>90</w:t>
      </w:r>
      <w:r w:rsidRPr="006E5100">
        <w:t xml:space="preserve"> of retapamulin against MRSA overall was 0.12μg/mL. In an </w:t>
      </w:r>
      <w:r w:rsidRPr="001C5F44">
        <w:rPr>
          <w:i/>
          <w:iCs/>
        </w:rPr>
        <w:t>in vivo</w:t>
      </w:r>
      <w:r w:rsidRPr="006E5100">
        <w:t xml:space="preserve"> murine model of wound infection, a 1% concentration of retapamulin applied twice daily for four days was efficacious against strains of MRSA, including strains that were also resistant to other </w:t>
      </w:r>
      <w:proofErr w:type="spellStart"/>
      <w:r w:rsidRPr="006E5100">
        <w:t>antibacterials</w:t>
      </w:r>
      <w:proofErr w:type="spellEnd"/>
      <w:r w:rsidRPr="006E5100">
        <w:t xml:space="preserve"> (</w:t>
      </w:r>
      <w:r w:rsidR="001C5F44">
        <w:t xml:space="preserve">for example, </w:t>
      </w:r>
      <w:proofErr w:type="spellStart"/>
      <w:r w:rsidR="00563A41">
        <w:t>mupirocin</w:t>
      </w:r>
      <w:proofErr w:type="spellEnd"/>
      <w:r w:rsidR="00563A41">
        <w:t>).</w:t>
      </w:r>
    </w:p>
    <w:p w:rsidR="0031103B" w:rsidRDefault="006E5100" w:rsidP="006E5100">
      <w:r w:rsidRPr="006E5100">
        <w:t xml:space="preserve">Retapamulin also demonstrated activity against MRSA during the late stage clinical development program. The retapamulin ointment clinical success rate for primary impetigo and SID subjects with MRSA as a Baseline pathogen were high (83.3% to 100%) and comparable to the active comparators tested. The clinical success rate for subjects with MRSA at Baseline in the SITL studies was lower in the retapamulin ointment group (64.9%; 95% CI: 51%, 77%) than in the </w:t>
      </w:r>
      <w:proofErr w:type="spellStart"/>
      <w:r w:rsidRPr="006E5100">
        <w:t>cephalexin</w:t>
      </w:r>
      <w:proofErr w:type="spellEnd"/>
      <w:r w:rsidRPr="006E5100">
        <w:t xml:space="preserve"> group (81.8%; 95% CI: 65%, 93%). In Europe and International regions, the clinical success rates for retapamulin ointment in subjects with MRSA were high (80% to 92%) as opposed to a lower rate (56.1%) in North America. The clinical efficacy for subjects with PVL-negative MRSA was much higher than for those subjects with PVL-positive MRSA as their Baseline pathogen (84.0% v</w:t>
      </w:r>
      <w:r w:rsidR="0031103B">
        <w:t>ersus</w:t>
      </w:r>
      <w:r w:rsidRPr="006E5100">
        <w:t xml:space="preserve"> 57.5%, respectively</w:t>
      </w:r>
      <w:r w:rsidR="0031103B">
        <w:t>). Genetic characteris</w:t>
      </w:r>
      <w:r w:rsidRPr="0031103B">
        <w:t xml:space="preserve">ation of the isolates from the Primary Phase III studies reveals that 56 (51.9%) of the global Baseline MRSA isolates were PVL-positive, and of those 54 (96.4%) were shown by </w:t>
      </w:r>
      <w:r w:rsidR="0031103B" w:rsidRPr="0031103B">
        <w:t xml:space="preserve">Pulsed-Field Gel Electrophoresis </w:t>
      </w:r>
      <w:r w:rsidR="0031103B">
        <w:t>(</w:t>
      </w:r>
      <w:r w:rsidRPr="0031103B">
        <w:t>PFGE</w:t>
      </w:r>
      <w:r w:rsidR="0031103B">
        <w:t>)</w:t>
      </w:r>
      <w:r w:rsidRPr="0031103B">
        <w:t xml:space="preserve"> pattern analysis to be the USA300 clone. The overwhelming majority of USA300 MRSA isolates (50 out of 54; 92.6%) were from North America</w:t>
      </w:r>
      <w:r w:rsidRPr="006E5100">
        <w:t>: no USA300 MRSA isolates were r</w:t>
      </w:r>
      <w:r w:rsidR="00563A41">
        <w:t xml:space="preserve">ecovered from European </w:t>
      </w:r>
      <w:proofErr w:type="spellStart"/>
      <w:r w:rsidR="00563A41">
        <w:t>centers</w:t>
      </w:r>
      <w:proofErr w:type="spellEnd"/>
      <w:r w:rsidR="00563A41">
        <w:t>.</w:t>
      </w:r>
    </w:p>
    <w:p w:rsidR="0031103B" w:rsidRDefault="006E5100" w:rsidP="006E5100">
      <w:r w:rsidRPr="006E5100">
        <w:t>GSK conclude that these data support the use of retapamulin for the treatment of SITL due to MRSA, especially MRSA of the PVL negat</w:t>
      </w:r>
      <w:r w:rsidR="00563A41">
        <w:t>ive or non-USA 300 clone types.</w:t>
      </w:r>
    </w:p>
    <w:p w:rsidR="0031103B" w:rsidRPr="00964615" w:rsidRDefault="00563A41" w:rsidP="00964615">
      <w:pPr>
        <w:pStyle w:val="ListBullet"/>
        <w:rPr>
          <w:b/>
          <w:bCs/>
        </w:rPr>
      </w:pPr>
      <w:r>
        <w:rPr>
          <w:b/>
          <w:bCs/>
        </w:rPr>
        <w:t>SID indication</w:t>
      </w:r>
    </w:p>
    <w:p w:rsidR="00964615" w:rsidRPr="00964615" w:rsidRDefault="006E5100" w:rsidP="006E5100">
      <w:pPr>
        <w:rPr>
          <w:i/>
          <w:iCs/>
        </w:rPr>
      </w:pPr>
      <w:r w:rsidRPr="00964615">
        <w:rPr>
          <w:i/>
          <w:iCs/>
        </w:rPr>
        <w:t xml:space="preserve">Delegate </w:t>
      </w:r>
      <w:r w:rsidR="00964615" w:rsidRPr="00964615">
        <w:rPr>
          <w:i/>
          <w:iCs/>
        </w:rPr>
        <w:t>c</w:t>
      </w:r>
      <w:r w:rsidRPr="00964615">
        <w:rPr>
          <w:i/>
          <w:iCs/>
        </w:rPr>
        <w:t>omment</w:t>
      </w:r>
      <w:r w:rsidR="00964615" w:rsidRPr="00964615">
        <w:rPr>
          <w:i/>
          <w:iCs/>
        </w:rPr>
        <w:t>:</w:t>
      </w:r>
      <w:r w:rsidRPr="00964615">
        <w:rPr>
          <w:i/>
          <w:iCs/>
        </w:rPr>
        <w:t xml:space="preserve"> Does ACPM consider that the data from Study 032 provide sufficient evidence to support the use of retapamulin ointment for the treatment of SID? Does ACPM have any concerns about the unexplained imbalance and the discrepancy between analy</w:t>
      </w:r>
      <w:r w:rsidR="00563A41">
        <w:rPr>
          <w:i/>
          <w:iCs/>
        </w:rPr>
        <w:t>ses observed in Study 032?</w:t>
      </w:r>
    </w:p>
    <w:p w:rsidR="00B47769" w:rsidRDefault="00964615" w:rsidP="006E5100">
      <w:r>
        <w:t>The clinical e</w:t>
      </w:r>
      <w:r w:rsidR="006E5100" w:rsidRPr="006E5100">
        <w:t xml:space="preserve">valuator recommended approval of the proposed indication for retapamulin for SID including infected psoriasis, infected atopic dermatitis, and infected contact dermatitis, noting that Study 032 </w:t>
      </w:r>
      <w:r w:rsidR="006E5100" w:rsidRPr="00964615">
        <w:rPr>
          <w:i/>
          <w:iCs/>
        </w:rPr>
        <w:t>“does not appear to have any major flaws”</w:t>
      </w:r>
      <w:r w:rsidR="006E5100" w:rsidRPr="006E5100">
        <w:t>. The Delegate however has deferred their decision on the proposed SID indication following advice from the ACPM. GSK contends that the data from Study 032 provides sufficient evidence to demonstrate the efficacy of retapamulin for the</w:t>
      </w:r>
      <w:r w:rsidR="00563A41">
        <w:t xml:space="preserve"> treatment of SID.</w:t>
      </w:r>
    </w:p>
    <w:p w:rsidR="00B47769" w:rsidRDefault="00B47769" w:rsidP="006E5100">
      <w:r>
        <w:t>Study 032 was a randomis</w:t>
      </w:r>
      <w:r w:rsidR="006E5100" w:rsidRPr="006E5100">
        <w:t xml:space="preserve">ed, double-blind, double-dummy, multicentre, non-inferiority Phase III study assessing the safety and efficacy of retapamulin applied twice daily versus oral </w:t>
      </w:r>
      <w:proofErr w:type="spellStart"/>
      <w:r w:rsidR="006E5100" w:rsidRPr="006E5100">
        <w:t>cephalexin</w:t>
      </w:r>
      <w:proofErr w:type="spellEnd"/>
      <w:r w:rsidR="006E5100" w:rsidRPr="006E5100">
        <w:t xml:space="preserve"> 500</w:t>
      </w:r>
      <w:r w:rsidR="00730A0D">
        <w:t> </w:t>
      </w:r>
      <w:r w:rsidR="006E5100" w:rsidRPr="006E5100">
        <w:t>mg in adults, or 12.5</w:t>
      </w:r>
      <w:r w:rsidR="00730A0D">
        <w:t> </w:t>
      </w:r>
      <w:r w:rsidR="006E5100" w:rsidRPr="006E5100">
        <w:t>mg/kg (250</w:t>
      </w:r>
      <w:r w:rsidR="00730A0D">
        <w:t> </w:t>
      </w:r>
      <w:r w:rsidR="006E5100" w:rsidRPr="006E5100">
        <w:t>mg/5</w:t>
      </w:r>
      <w:r w:rsidR="00730A0D">
        <w:t> </w:t>
      </w:r>
      <w:r w:rsidR="006E5100" w:rsidRPr="006E5100">
        <w:t xml:space="preserve">mL) in children, twice </w:t>
      </w:r>
      <w:r w:rsidR="00563A41">
        <w:t>daily, in the treatment of SID.</w:t>
      </w:r>
    </w:p>
    <w:p w:rsidR="00B47769" w:rsidRDefault="006E5100" w:rsidP="006E5100">
      <w:r w:rsidRPr="006E5100">
        <w:t xml:space="preserve">This study was designed with at least 90% power to detect a treatment difference greater than 10%, with a 2.5% one-sided Type 1 error rate. The final analysis of the primary endpoint was performed using confidence intervals based on the normal approximation, and the claim of non-inferiority was achieved if the lower limit of the 95% confidence </w:t>
      </w:r>
      <w:r w:rsidR="00563A41">
        <w:t>interval was greater than -10%.</w:t>
      </w:r>
    </w:p>
    <w:p w:rsidR="00B47769" w:rsidRDefault="006E5100" w:rsidP="006E5100">
      <w:r w:rsidRPr="006E5100">
        <w:t xml:space="preserve">Study 032 showed that retapamulin was non-inferior to </w:t>
      </w:r>
      <w:proofErr w:type="spellStart"/>
      <w:r w:rsidRPr="006E5100">
        <w:t>cephalexin</w:t>
      </w:r>
      <w:proofErr w:type="spellEnd"/>
      <w:r w:rsidRPr="006E5100">
        <w:t xml:space="preserve"> in the primary efficacy analysis (PPC population). The clinical success was 85.9% in the retapamulin group and 89.7% in the </w:t>
      </w:r>
      <w:proofErr w:type="spellStart"/>
      <w:r w:rsidRPr="006E5100">
        <w:t>cephalexin</w:t>
      </w:r>
      <w:proofErr w:type="spellEnd"/>
      <w:r w:rsidRPr="006E5100">
        <w:t xml:space="preserve"> group; treatment difference -3.8 (95% CI: -9.9, 2.3). The efficacy results in the primary clinical population show that the lower limit of the confidence </w:t>
      </w:r>
      <w:r w:rsidRPr="006E5100">
        <w:lastRenderedPageBreak/>
        <w:t>interval is greater than -10%, with the upper limit crossing zero, thereby</w:t>
      </w:r>
      <w:r w:rsidR="00563A41">
        <w:t xml:space="preserve"> demonstrating non-inferiority.</w:t>
      </w:r>
    </w:p>
    <w:p w:rsidR="00B47769" w:rsidRDefault="006E5100" w:rsidP="006E5100">
      <w:r w:rsidRPr="006E5100">
        <w:t xml:space="preserve">The observed lower limit of the CI for the treatment difference for the SID indication was the result of GSK’s deliberately conservative approach regarding the determination success in the Per Protocol population (PPP). All subjects who were assigned a clinical outcome by the investigator as “Unable to Determine” (UTD, </w:t>
      </w:r>
      <w:r w:rsidR="00B47769">
        <w:t xml:space="preserve">that is, </w:t>
      </w:r>
      <w:r w:rsidRPr="006E5100">
        <w:t xml:space="preserve">either lost to follow-up or withdrew consent) were assigned a clinical response of failure, but were kept in the PPP. The standard approach normally excludes these subjects from the Per Protocol analyses. While it is acknowledged that there was a numerical difference in the number of subjects defined as UTD, this </w:t>
      </w:r>
      <w:r w:rsidR="00B47769" w:rsidRPr="006E5100">
        <w:t>favoured</w:t>
      </w:r>
      <w:r w:rsidRPr="006E5100">
        <w:t xml:space="preserve"> the control arm </w:t>
      </w:r>
      <w:proofErr w:type="gramStart"/>
      <w:r w:rsidRPr="006E5100">
        <w:t xml:space="preserve">( </w:t>
      </w:r>
      <w:proofErr w:type="spellStart"/>
      <w:r w:rsidRPr="006E5100">
        <w:t>cephalexin</w:t>
      </w:r>
      <w:proofErr w:type="spellEnd"/>
      <w:proofErr w:type="gramEnd"/>
      <w:r w:rsidRPr="006E5100">
        <w:t xml:space="preserve">) in the analysis. Therefore, the analysis of response including UTD as failures may represent a ‘worst case’ of </w:t>
      </w:r>
      <w:proofErr w:type="spellStart"/>
      <w:r w:rsidRPr="006E5100">
        <w:t>retapamulin</w:t>
      </w:r>
      <w:proofErr w:type="spellEnd"/>
      <w:r w:rsidRPr="006E5100">
        <w:t xml:space="preserve"> effectiveness v</w:t>
      </w:r>
      <w:r w:rsidR="00B47769">
        <w:t>ersus</w:t>
      </w:r>
      <w:r w:rsidRPr="006E5100">
        <w:t xml:space="preserve"> </w:t>
      </w:r>
      <w:proofErr w:type="spellStart"/>
      <w:r w:rsidRPr="006E5100">
        <w:t>cephalexin</w:t>
      </w:r>
      <w:proofErr w:type="spellEnd"/>
      <w:r w:rsidRPr="006E5100">
        <w:t xml:space="preserve">. Under these conditions, the lower limit of the 95% CI for retapamulin was within </w:t>
      </w:r>
      <w:r w:rsidR="00563A41">
        <w:t xml:space="preserve">the </w:t>
      </w:r>
      <w:proofErr w:type="spellStart"/>
      <w:r w:rsidR="00563A41">
        <w:t>prespecified</w:t>
      </w:r>
      <w:proofErr w:type="spellEnd"/>
      <w:r w:rsidR="00563A41">
        <w:t xml:space="preserve"> success range.</w:t>
      </w:r>
    </w:p>
    <w:p w:rsidR="00B47769" w:rsidRDefault="006E5100" w:rsidP="006E5100">
      <w:r w:rsidRPr="006E5100">
        <w:t>In conclusion, retapamulin is an effective treatment for SID. Overall, Study 032 is robust and adequa</w:t>
      </w:r>
      <w:r w:rsidR="00563A41">
        <w:t>tely powered to prove efficacy.</w:t>
      </w:r>
    </w:p>
    <w:p w:rsidR="00B47769" w:rsidRPr="00B47769" w:rsidRDefault="006E5100" w:rsidP="00B47769">
      <w:pPr>
        <w:pStyle w:val="ListBullet"/>
        <w:rPr>
          <w:b/>
          <w:bCs/>
        </w:rPr>
      </w:pPr>
      <w:r w:rsidRPr="00B47769">
        <w:rPr>
          <w:b/>
          <w:bCs/>
        </w:rPr>
        <w:t>Requirement for post-marketing Australia specific micro</w:t>
      </w:r>
      <w:r w:rsidR="00563A41">
        <w:rPr>
          <w:b/>
          <w:bCs/>
        </w:rPr>
        <w:t>biological surveillance program</w:t>
      </w:r>
    </w:p>
    <w:p w:rsidR="00B47769" w:rsidRPr="00B47769" w:rsidRDefault="006E5100" w:rsidP="006E5100">
      <w:pPr>
        <w:rPr>
          <w:i/>
          <w:iCs/>
        </w:rPr>
      </w:pPr>
      <w:r w:rsidRPr="00B47769">
        <w:rPr>
          <w:i/>
          <w:iCs/>
        </w:rPr>
        <w:t xml:space="preserve">Delegate </w:t>
      </w:r>
      <w:r w:rsidR="00B47769">
        <w:rPr>
          <w:i/>
          <w:iCs/>
        </w:rPr>
        <w:t>c</w:t>
      </w:r>
      <w:r w:rsidRPr="00B47769">
        <w:rPr>
          <w:i/>
          <w:iCs/>
        </w:rPr>
        <w:t>omment</w:t>
      </w:r>
      <w:r w:rsidR="00B47769" w:rsidRPr="00B47769">
        <w:rPr>
          <w:i/>
          <w:iCs/>
        </w:rPr>
        <w:t>:</w:t>
      </w:r>
      <w:r w:rsidRPr="00B47769">
        <w:rPr>
          <w:i/>
          <w:iCs/>
        </w:rPr>
        <w:t xml:space="preserve"> What is the view of the ACPM with regards to the requirement of the Australia specific microbiological surveillance program fo</w:t>
      </w:r>
      <w:r w:rsidR="00563A41">
        <w:rPr>
          <w:i/>
          <w:iCs/>
        </w:rPr>
        <w:t xml:space="preserve">r topical </w:t>
      </w:r>
      <w:proofErr w:type="spellStart"/>
      <w:r w:rsidR="00563A41">
        <w:rPr>
          <w:i/>
          <w:iCs/>
        </w:rPr>
        <w:t>retapamulin</w:t>
      </w:r>
      <w:proofErr w:type="spellEnd"/>
      <w:r w:rsidR="00563A41">
        <w:rPr>
          <w:i/>
          <w:iCs/>
        </w:rPr>
        <w:t xml:space="preserve"> ointment?</w:t>
      </w:r>
    </w:p>
    <w:p w:rsidR="00B47769" w:rsidRDefault="006E5100" w:rsidP="006E5100">
      <w:r w:rsidRPr="006E5100">
        <w:t xml:space="preserve">GSK does not believe that an Australia specific microbiological surveillance program is warranted. GSK conducted </w:t>
      </w:r>
      <w:r w:rsidRPr="00B47769">
        <w:rPr>
          <w:i/>
          <w:iCs/>
        </w:rPr>
        <w:t>in vitro</w:t>
      </w:r>
      <w:r w:rsidRPr="006E5100">
        <w:t xml:space="preserve"> susceptibility studies in Australian isolates (Studies TOC116556 and TOC1165567) in support of the registration of Altargo (retapamulin), and considers that these are adequate when considered in the context of the European surveillance study (Study UD2009/00186/00 completed in 2010) and results from Phase III studies regarding retapamulin susceptibility and resistance. The results suggest that the likelihood of resistance to retapamulin </w:t>
      </w:r>
      <w:r w:rsidR="00563A41">
        <w:t>developing is low in Australia.</w:t>
      </w:r>
    </w:p>
    <w:p w:rsidR="00B47769" w:rsidRDefault="006E5100" w:rsidP="006E5100">
      <w:r w:rsidRPr="006E5100">
        <w:t xml:space="preserve">Of note, the TGA </w:t>
      </w:r>
      <w:r w:rsidRPr="00B47769">
        <w:rPr>
          <w:i/>
          <w:iCs/>
        </w:rPr>
        <w:t>Antibiotic Resistance Risk Assessment</w:t>
      </w:r>
      <w:r w:rsidRPr="006E5100">
        <w:t xml:space="preserve"> also concluded that, </w:t>
      </w:r>
      <w:r w:rsidRPr="00B47769">
        <w:rPr>
          <w:i/>
          <w:iCs/>
        </w:rPr>
        <w:t>“At present, the very low in vitro resistance rates, combined with the fact that there is no oral agent in the same class as retapamulin, make the development of resistance unlikely to be an issue of major clinical importance”</w:t>
      </w:r>
      <w:r w:rsidRPr="006E5100">
        <w:t xml:space="preserve"> (</w:t>
      </w:r>
      <w:r w:rsidR="00B47769">
        <w:t>see Appendix in Attached CER</w:t>
      </w:r>
      <w:r w:rsidRPr="006E5100">
        <w:t>). Furthermore, the Delegate’s Overview stated that an EAGAR Importance Rating of low be assigned to retapamulin on the basis that a reasonable number of alternative agents in different classes are available to treat most infections even if antibiotic resistance were to develop. It would therefore appear that the risk of resistance developing in Aus</w:t>
      </w:r>
      <w:r w:rsidR="00563A41">
        <w:t>tralia is not of major concern.</w:t>
      </w:r>
    </w:p>
    <w:p w:rsidR="00B47769" w:rsidRDefault="006E5100" w:rsidP="006E5100">
      <w:r w:rsidRPr="00B47769">
        <w:rPr>
          <w:b/>
          <w:bCs/>
          <w:i/>
          <w:iCs/>
        </w:rPr>
        <w:t>EU Surveillance Study (UD2009/00186/00):</w:t>
      </w:r>
      <w:r w:rsidRPr="006E5100">
        <w:t xml:space="preserve"> This was a prospective surveillance study conducted in six European countries in order to assess the </w:t>
      </w:r>
      <w:r w:rsidRPr="00B47769">
        <w:rPr>
          <w:i/>
          <w:iCs/>
        </w:rPr>
        <w:t>in vitro</w:t>
      </w:r>
      <w:r w:rsidRPr="006E5100">
        <w:t xml:space="preserve"> activity of retapamulin and 14 comparative agents against 1500 recent clinical isolates of </w:t>
      </w:r>
      <w:r w:rsidRPr="00B47769">
        <w:rPr>
          <w:i/>
          <w:iCs/>
        </w:rPr>
        <w:t>S. aureus</w:t>
      </w:r>
      <w:r w:rsidRPr="006E5100">
        <w:t xml:space="preserve"> and </w:t>
      </w:r>
      <w:r w:rsidRPr="00B47769">
        <w:rPr>
          <w:i/>
          <w:iCs/>
        </w:rPr>
        <w:t>S.</w:t>
      </w:r>
      <w:r w:rsidR="00B47769" w:rsidRPr="00B47769">
        <w:rPr>
          <w:i/>
          <w:iCs/>
        </w:rPr>
        <w:t xml:space="preserve"> </w:t>
      </w:r>
      <w:r w:rsidRPr="00B47769">
        <w:rPr>
          <w:i/>
          <w:iCs/>
        </w:rPr>
        <w:t>pyogenes</w:t>
      </w:r>
      <w:r w:rsidR="00B47769">
        <w:rPr>
          <w:i/>
          <w:iCs/>
        </w:rPr>
        <w:t xml:space="preserve"> </w:t>
      </w:r>
      <w:r w:rsidRPr="006E5100">
        <w:t xml:space="preserve">from community acquired skin infections. Retapamulin demonstrated excellent </w:t>
      </w:r>
      <w:r w:rsidRPr="00B47769">
        <w:rPr>
          <w:i/>
          <w:iCs/>
        </w:rPr>
        <w:t>in vitro</w:t>
      </w:r>
      <w:r w:rsidRPr="006E5100">
        <w:t xml:space="preserve"> activity against the tested isolates of </w:t>
      </w:r>
      <w:r w:rsidRPr="00B47769">
        <w:rPr>
          <w:i/>
          <w:iCs/>
        </w:rPr>
        <w:t>S. aureus</w:t>
      </w:r>
      <w:r w:rsidRPr="006E5100">
        <w:t xml:space="preserve"> and </w:t>
      </w:r>
      <w:r w:rsidRPr="00B47769">
        <w:rPr>
          <w:i/>
          <w:iCs/>
        </w:rPr>
        <w:t>S. pyogenes</w:t>
      </w:r>
      <w:r w:rsidRPr="006E5100">
        <w:t>, with MIC</w:t>
      </w:r>
      <w:r w:rsidRPr="00B47769">
        <w:rPr>
          <w:vertAlign w:val="subscript"/>
        </w:rPr>
        <w:t>90</w:t>
      </w:r>
      <w:r w:rsidR="00B47769">
        <w:t xml:space="preserve"> values</w:t>
      </w:r>
      <w:r w:rsidRPr="006E5100">
        <w:t xml:space="preserve"> of 0.12-0.25 and </w:t>
      </w:r>
      <w:proofErr w:type="gramStart"/>
      <w:r w:rsidRPr="006E5100">
        <w:t>0.06 μg/mL</w:t>
      </w:r>
      <w:r w:rsidR="00B47769">
        <w:t>,</w:t>
      </w:r>
      <w:r w:rsidRPr="006E5100">
        <w:t xml:space="preserve"> respectively,</w:t>
      </w:r>
      <w:proofErr w:type="gramEnd"/>
      <w:r w:rsidRPr="006E5100">
        <w:t xml:space="preserve"> rega</w:t>
      </w:r>
      <w:r w:rsidR="00563A41">
        <w:t>rdless of phenotype or country.</w:t>
      </w:r>
    </w:p>
    <w:p w:rsidR="00B47769" w:rsidRDefault="006E5100" w:rsidP="006E5100">
      <w:r w:rsidRPr="00B47769">
        <w:rPr>
          <w:b/>
          <w:bCs/>
          <w:i/>
          <w:iCs/>
        </w:rPr>
        <w:t>Study TOC1165567:</w:t>
      </w:r>
      <w:r w:rsidRPr="006E5100">
        <w:t xml:space="preserve"> </w:t>
      </w:r>
      <w:r w:rsidRPr="00B47769">
        <w:rPr>
          <w:i/>
          <w:iCs/>
        </w:rPr>
        <w:t>S. aureus</w:t>
      </w:r>
      <w:r w:rsidRPr="006E5100">
        <w:t xml:space="preserve"> and </w:t>
      </w:r>
      <w:r w:rsidRPr="00B47769">
        <w:rPr>
          <w:i/>
          <w:iCs/>
        </w:rPr>
        <w:t>S. pyogenes</w:t>
      </w:r>
      <w:r w:rsidRPr="006E5100">
        <w:t xml:space="preserve"> are the major pathogenic species for which therapy with retapamulin is appropriate. Australian bacterial isolates demonstrated a MIC distribution nearly identical to previous global and regional studies conducted outside of Australia (</w:t>
      </w:r>
      <w:r w:rsidRPr="00B47769">
        <w:rPr>
          <w:i/>
          <w:iCs/>
        </w:rPr>
        <w:t>S. aureus</w:t>
      </w:r>
      <w:r w:rsidRPr="006E5100">
        <w:t xml:space="preserve"> MIC</w:t>
      </w:r>
      <w:r w:rsidRPr="00B47769">
        <w:rPr>
          <w:vertAlign w:val="subscript"/>
        </w:rPr>
        <w:t>50/90</w:t>
      </w:r>
      <w:r w:rsidRPr="006E5100">
        <w:t xml:space="preserve"> = 0.06/0.12 mg/L and </w:t>
      </w:r>
      <w:r w:rsidRPr="00B47769">
        <w:rPr>
          <w:i/>
          <w:iCs/>
        </w:rPr>
        <w:t>S. pyogenes</w:t>
      </w:r>
      <w:r w:rsidRPr="006E5100">
        <w:t xml:space="preserve"> MIC</w:t>
      </w:r>
      <w:r w:rsidRPr="00B47769">
        <w:rPr>
          <w:vertAlign w:val="subscript"/>
        </w:rPr>
        <w:t>50/90</w:t>
      </w:r>
      <w:r w:rsidRPr="006E5100">
        <w:t xml:space="preserve"> ≤0.015/≤0.015 mg/L). Adequate efficacy has been demonstrated in clinical studies against infections due to bacterial isolates of these species with MICs in this range, and it would be expected that similar clinical responsiveness would be observ</w:t>
      </w:r>
      <w:r w:rsidR="00563A41">
        <w:t>ed for infections in Australia.</w:t>
      </w:r>
    </w:p>
    <w:p w:rsidR="004B71E2" w:rsidRDefault="006E5100" w:rsidP="006E5100">
      <w:r w:rsidRPr="00B47769">
        <w:rPr>
          <w:b/>
          <w:bCs/>
          <w:i/>
          <w:iCs/>
        </w:rPr>
        <w:t>Study TOC116556:</w:t>
      </w:r>
      <w:r w:rsidRPr="006E5100">
        <w:t xml:space="preserve"> This study was conducted in Australia for susceptibility of recent </w:t>
      </w:r>
      <w:r w:rsidRPr="004B71E2">
        <w:rPr>
          <w:i/>
          <w:iCs/>
        </w:rPr>
        <w:t>P. acnes</w:t>
      </w:r>
      <w:r w:rsidRPr="006E5100">
        <w:t xml:space="preserve">. All </w:t>
      </w:r>
      <w:r w:rsidRPr="004B71E2">
        <w:rPr>
          <w:i/>
          <w:iCs/>
        </w:rPr>
        <w:t>P. acnes</w:t>
      </w:r>
      <w:r w:rsidRPr="006E5100">
        <w:t xml:space="preserve"> isolates tested were inhibited by re</w:t>
      </w:r>
      <w:r w:rsidR="004B71E2">
        <w:t xml:space="preserve">tapamulin at concentrations of </w:t>
      </w:r>
      <w:r w:rsidR="004B71E2">
        <w:lastRenderedPageBreak/>
        <w:t>≤</w:t>
      </w:r>
      <w:r w:rsidRPr="006E5100">
        <w:t>1</w:t>
      </w:r>
      <w:r w:rsidR="00E8219C">
        <w:t> </w:t>
      </w:r>
      <w:r w:rsidRPr="006E5100">
        <w:t>μg/mL. There was no apparent evidence of any pool of retapamulin resistance that might be transferable from th</w:t>
      </w:r>
      <w:r w:rsidR="005C7C25">
        <w:t xml:space="preserve">is </w:t>
      </w:r>
      <w:proofErr w:type="spellStart"/>
      <w:r w:rsidR="005C7C25">
        <w:t>cutaneous</w:t>
      </w:r>
      <w:proofErr w:type="spellEnd"/>
      <w:r w:rsidR="005C7C25">
        <w:t xml:space="preserve"> bacterial species.</w:t>
      </w:r>
    </w:p>
    <w:p w:rsidR="003E19F2" w:rsidRDefault="006E5100" w:rsidP="006E5100">
      <w:r w:rsidRPr="006E5100">
        <w:t xml:space="preserve">As with the remainder of the World there is no </w:t>
      </w:r>
      <w:proofErr w:type="spellStart"/>
      <w:r w:rsidRPr="006E5100">
        <w:t>pleuromutilin</w:t>
      </w:r>
      <w:proofErr w:type="spellEnd"/>
      <w:r w:rsidRPr="006E5100">
        <w:t xml:space="preserve">-class antibacterial approved for oral use in humans, nor is there another topical form of a </w:t>
      </w:r>
      <w:proofErr w:type="spellStart"/>
      <w:r w:rsidRPr="006E5100">
        <w:t>pleuromutilin</w:t>
      </w:r>
      <w:proofErr w:type="spellEnd"/>
      <w:r w:rsidRPr="006E5100">
        <w:t xml:space="preserve"> such as </w:t>
      </w:r>
      <w:proofErr w:type="spellStart"/>
      <w:r w:rsidRPr="006E5100">
        <w:t>retapamulin</w:t>
      </w:r>
      <w:proofErr w:type="spellEnd"/>
      <w:r w:rsidRPr="006E5100">
        <w:t xml:space="preserve">, therefore resistance selection and </w:t>
      </w:r>
      <w:proofErr w:type="spellStart"/>
      <w:r w:rsidRPr="006E5100">
        <w:t>commensal</w:t>
      </w:r>
      <w:proofErr w:type="spellEnd"/>
      <w:r w:rsidRPr="006E5100">
        <w:t xml:space="preserve"> transfer of resistance among human subjects is highly unlikely. In addition, low-level cross resistance which has been reported to be selected to </w:t>
      </w:r>
      <w:proofErr w:type="spellStart"/>
      <w:r w:rsidRPr="006E5100">
        <w:t>pleuromutilins</w:t>
      </w:r>
      <w:proofErr w:type="spellEnd"/>
      <w:r w:rsidRPr="006E5100">
        <w:t xml:space="preserve"> through use of </w:t>
      </w:r>
      <w:proofErr w:type="spellStart"/>
      <w:r w:rsidRPr="006E5100">
        <w:t>streptogramin</w:t>
      </w:r>
      <w:proofErr w:type="spellEnd"/>
      <w:r w:rsidRPr="006E5100">
        <w:t xml:space="preserve"> </w:t>
      </w:r>
      <w:proofErr w:type="spellStart"/>
      <w:r w:rsidRPr="006E5100">
        <w:t>antibacterials</w:t>
      </w:r>
      <w:proofErr w:type="spellEnd"/>
      <w:r w:rsidRPr="006E5100">
        <w:t xml:space="preserve">, most commonly mediated through the </w:t>
      </w:r>
      <w:proofErr w:type="spellStart"/>
      <w:r w:rsidRPr="006E5100">
        <w:t>VgaA</w:t>
      </w:r>
      <w:proofErr w:type="spellEnd"/>
      <w:r w:rsidRPr="006E5100">
        <w:t xml:space="preserve"> protein, is of limited significance. There are no topical </w:t>
      </w:r>
      <w:proofErr w:type="spellStart"/>
      <w:r w:rsidRPr="006E5100">
        <w:t>streptogramin</w:t>
      </w:r>
      <w:proofErr w:type="spellEnd"/>
      <w:r w:rsidRPr="006E5100">
        <w:t xml:space="preserve"> antibiotics approved, oral use of the </w:t>
      </w:r>
      <w:proofErr w:type="spellStart"/>
      <w:r w:rsidRPr="006E5100">
        <w:t>streptogramin</w:t>
      </w:r>
      <w:proofErr w:type="spellEnd"/>
      <w:r w:rsidRPr="006E5100">
        <w:t xml:space="preserve"> antibacterial </w:t>
      </w:r>
      <w:proofErr w:type="spellStart"/>
      <w:r w:rsidRPr="006E5100">
        <w:t>pristinamycine</w:t>
      </w:r>
      <w:proofErr w:type="spellEnd"/>
      <w:r w:rsidRPr="006E5100">
        <w:t xml:space="preserve"> A/B (</w:t>
      </w:r>
      <w:proofErr w:type="spellStart"/>
      <w:r w:rsidRPr="006E5100">
        <w:t>Pyostacine</w:t>
      </w:r>
      <w:proofErr w:type="spellEnd"/>
      <w:r w:rsidRPr="006E5100">
        <w:t xml:space="preserve">) is limited to France and some former French colonies, and there is limited use of the </w:t>
      </w:r>
      <w:proofErr w:type="spellStart"/>
      <w:r w:rsidRPr="006E5100">
        <w:t>parenteral</w:t>
      </w:r>
      <w:proofErr w:type="spellEnd"/>
      <w:r w:rsidRPr="006E5100">
        <w:t xml:space="preserve"> </w:t>
      </w:r>
      <w:proofErr w:type="spellStart"/>
      <w:r w:rsidRPr="006E5100">
        <w:t>streptogramins</w:t>
      </w:r>
      <w:proofErr w:type="spellEnd"/>
      <w:r w:rsidRPr="006E5100">
        <w:t xml:space="preserve"> such as </w:t>
      </w:r>
      <w:proofErr w:type="spellStart"/>
      <w:r w:rsidRPr="006E5100">
        <w:t>quinupristin-dalfopristin</w:t>
      </w:r>
      <w:proofErr w:type="spellEnd"/>
      <w:r w:rsidRPr="006E5100">
        <w:t xml:space="preserve"> (</w:t>
      </w:r>
      <w:proofErr w:type="spellStart"/>
      <w:r w:rsidRPr="006E5100">
        <w:t>Synercid</w:t>
      </w:r>
      <w:proofErr w:type="spellEnd"/>
      <w:r w:rsidRPr="006E5100">
        <w:t xml:space="preserve">). Finally, </w:t>
      </w:r>
      <w:proofErr w:type="spellStart"/>
      <w:r w:rsidRPr="006E5100">
        <w:t>Cfr-methylase</w:t>
      </w:r>
      <w:proofErr w:type="spellEnd"/>
      <w:r w:rsidRPr="006E5100">
        <w:t xml:space="preserve"> mediated cross resistance to all large-ribosomal subunit binding antibiotics as selected by </w:t>
      </w:r>
      <w:proofErr w:type="spellStart"/>
      <w:r w:rsidRPr="006E5100">
        <w:t>linezolid</w:t>
      </w:r>
      <w:proofErr w:type="spellEnd"/>
      <w:r w:rsidRPr="006E5100">
        <w:t xml:space="preserve"> (</w:t>
      </w:r>
      <w:proofErr w:type="spellStart"/>
      <w:r w:rsidRPr="006E5100">
        <w:t>Zyvox</w:t>
      </w:r>
      <w:proofErr w:type="spellEnd"/>
      <w:r w:rsidRPr="006E5100">
        <w:t>) use has been of such limited occurrence that retapamulin suscept</w:t>
      </w:r>
      <w:r w:rsidR="005C7C25">
        <w:t>ibility should not be impacted.</w:t>
      </w:r>
    </w:p>
    <w:p w:rsidR="00816BC2" w:rsidRDefault="006E5100" w:rsidP="006E5100">
      <w:r w:rsidRPr="006E5100">
        <w:t xml:space="preserve">The </w:t>
      </w:r>
      <w:r w:rsidRPr="003E19F2">
        <w:rPr>
          <w:i/>
          <w:iCs/>
        </w:rPr>
        <w:t>in vitro</w:t>
      </w:r>
      <w:r w:rsidRPr="006E5100">
        <w:t xml:space="preserve"> susceptibility of recent clinical isolates collected from Australia suggests the likelihood of resistance to retapamulin to be low within Australia. The low potential for development of resistance to retapamulin is also supported by the lack of treatment-associated reduction in susceptibility to retapamulin in the Phase III retapamulin clinical program, based on outcomes of presumed eradication of pathogens and laboratory investigation of the limited number of subje</w:t>
      </w:r>
      <w:r w:rsidR="005C7C25">
        <w:t>cts with post-therapy isolates.</w:t>
      </w:r>
    </w:p>
    <w:p w:rsidR="00816BC2" w:rsidRDefault="006E5100" w:rsidP="006E5100">
      <w:r w:rsidRPr="006E5100">
        <w:t xml:space="preserve">As stated in the </w:t>
      </w:r>
      <w:r w:rsidR="00816BC2">
        <w:t>RMP</w:t>
      </w:r>
      <w:r w:rsidRPr="006E5100">
        <w:t>, GSK will continue to monitor for the development of resistance to retapamulin through routine proactive pharmacovigilance including regular review of medical litera</w:t>
      </w:r>
      <w:r w:rsidR="005C7C25">
        <w:t>ture and incoming case reports.</w:t>
      </w:r>
    </w:p>
    <w:p w:rsidR="008E7846" w:rsidRDefault="006E5100" w:rsidP="008E7846">
      <w:r w:rsidRPr="006E5100">
        <w:t>On the basis of the above data, and having already fulfilled regulatory requirements for surveillance studies in other regions, GSK does not plan on conducting generalised global susceptibility surveillance for retapamulin. Furthermore, GSK does not expect an Australian-specific surveillance study for retapamulin would provide any additional clinical be</w:t>
      </w:r>
      <w:r w:rsidR="005C7C25">
        <w:t>nefit.</w:t>
      </w:r>
    </w:p>
    <w:p w:rsidR="008E7846" w:rsidRDefault="005C7C25" w:rsidP="008E7846">
      <w:pPr>
        <w:pStyle w:val="Heading4"/>
      </w:pPr>
      <w:r>
        <w:t>Advisory c</w:t>
      </w:r>
      <w:r w:rsidR="008E7846">
        <w:t xml:space="preserve">ommittee </w:t>
      </w:r>
      <w:r>
        <w:t>c</w:t>
      </w:r>
      <w:r w:rsidR="008E7846">
        <w:t>onsiderations</w:t>
      </w:r>
    </w:p>
    <w:p w:rsidR="008E7846" w:rsidRPr="007F0AE4" w:rsidRDefault="008E7846" w:rsidP="007F0AE4">
      <w:r w:rsidRPr="007F0AE4">
        <w:t>The ACPM, having considered the evaluations and the Delegate’s overview, as well as the sponsor’s response to these documents, advised the following:</w:t>
      </w:r>
    </w:p>
    <w:p w:rsidR="0093469B" w:rsidRPr="007F0AE4" w:rsidRDefault="0093469B" w:rsidP="007F0AE4">
      <w:r w:rsidRPr="007F0AE4">
        <w:t>The ACPM, taking into account the submitted evidence of efficacy, safety and quality, agreed with the Delegate and considered this product to have an overall positive benefit–risk prof</w:t>
      </w:r>
      <w:r w:rsidR="005C7C25">
        <w:t>ile for the amended indication;</w:t>
      </w:r>
    </w:p>
    <w:p w:rsidR="0093469B" w:rsidRPr="007F0AE4" w:rsidRDefault="0093469B" w:rsidP="007F0AE4">
      <w:pPr>
        <w:ind w:left="720"/>
        <w:rPr>
          <w:i/>
          <w:iCs/>
        </w:rPr>
      </w:pPr>
      <w:r w:rsidRPr="007F0AE4">
        <w:rPr>
          <w:i/>
          <w:iCs/>
        </w:rPr>
        <w:t>A</w:t>
      </w:r>
      <w:r w:rsidR="007F0AE4" w:rsidRPr="007F0AE4">
        <w:rPr>
          <w:i/>
          <w:iCs/>
        </w:rPr>
        <w:t xml:space="preserve">ltargo </w:t>
      </w:r>
      <w:r w:rsidRPr="007F0AE4">
        <w:rPr>
          <w:i/>
          <w:iCs/>
        </w:rPr>
        <w:t xml:space="preserve">is indicated for the treatment of superficial skin infections (including impetigo and secondarily infected </w:t>
      </w:r>
      <w:proofErr w:type="spellStart"/>
      <w:r w:rsidRPr="007F0AE4">
        <w:rPr>
          <w:i/>
          <w:iCs/>
        </w:rPr>
        <w:t>dermatoses</w:t>
      </w:r>
      <w:proofErr w:type="spellEnd"/>
      <w:r w:rsidRPr="007F0AE4">
        <w:rPr>
          <w:i/>
          <w:iCs/>
        </w:rPr>
        <w:t>) in adults, adolescents, infants and children aged from 9 months, in the absence of abscesses forma</w:t>
      </w:r>
      <w:r w:rsidR="005C7C25">
        <w:rPr>
          <w:i/>
          <w:iCs/>
        </w:rPr>
        <w:t>tion and infection due to MRSA.</w:t>
      </w:r>
    </w:p>
    <w:p w:rsidR="0093469B" w:rsidRPr="007F0AE4" w:rsidRDefault="0093469B" w:rsidP="007F0AE4">
      <w:pPr>
        <w:ind w:left="720"/>
        <w:rPr>
          <w:i/>
          <w:iCs/>
        </w:rPr>
      </w:pPr>
      <w:r w:rsidRPr="007F0AE4">
        <w:rPr>
          <w:i/>
          <w:iCs/>
        </w:rPr>
        <w:t>The in vitro susceptibility to antibiotics varies geographically and with time; the local situation must always be considered whe</w:t>
      </w:r>
      <w:r w:rsidR="005C7C25">
        <w:rPr>
          <w:i/>
          <w:iCs/>
        </w:rPr>
        <w:t>n selecting antibiotic therapy.</w:t>
      </w:r>
    </w:p>
    <w:p w:rsidR="0093469B" w:rsidRPr="007F0AE4" w:rsidRDefault="0093469B" w:rsidP="007F0AE4">
      <w:r w:rsidRPr="007F0AE4">
        <w:t xml:space="preserve">The ACPM advised that the evidence relating to the SID indication was not robust but did </w:t>
      </w:r>
      <w:r w:rsidR="005C7C25">
        <w:t>meet non-inferiority criteria.</w:t>
      </w:r>
    </w:p>
    <w:p w:rsidR="0093469B" w:rsidRPr="0093469B" w:rsidRDefault="0093469B" w:rsidP="00D35641">
      <w:pPr>
        <w:pStyle w:val="Heading5"/>
        <w:rPr>
          <w:lang w:val="en-GB"/>
        </w:rPr>
      </w:pPr>
      <w:r w:rsidRPr="0093469B">
        <w:rPr>
          <w:lang w:val="en-GB"/>
        </w:rPr>
        <w:t>Proposed conditions of registration:</w:t>
      </w:r>
    </w:p>
    <w:p w:rsidR="0093469B" w:rsidRPr="0093469B" w:rsidRDefault="00D35641" w:rsidP="0093469B">
      <w:pPr>
        <w:rPr>
          <w:bCs/>
          <w:lang w:val="en-GB"/>
        </w:rPr>
      </w:pPr>
      <w:r>
        <w:rPr>
          <w:bCs/>
          <w:lang w:val="en-GB"/>
        </w:rPr>
        <w:t>The ACPM agreed with the D</w:t>
      </w:r>
      <w:r w:rsidR="0093469B" w:rsidRPr="0093469B">
        <w:rPr>
          <w:bCs/>
          <w:lang w:val="en-GB"/>
        </w:rPr>
        <w:t>elegate on the propo</w:t>
      </w:r>
      <w:r w:rsidR="005C7C25">
        <w:rPr>
          <w:bCs/>
          <w:lang w:val="en-GB"/>
        </w:rPr>
        <w:t>sed conditions of registration.</w:t>
      </w:r>
    </w:p>
    <w:p w:rsidR="0093469B" w:rsidRPr="0093469B" w:rsidRDefault="005C7C25" w:rsidP="00D35641">
      <w:pPr>
        <w:pStyle w:val="Heading5"/>
        <w:rPr>
          <w:u w:val="single"/>
          <w:lang w:val="en-GB"/>
        </w:rPr>
      </w:pPr>
      <w:r>
        <w:rPr>
          <w:lang w:val="en-GB"/>
        </w:rPr>
        <w:t>Proposed PI/CMI amendments:</w:t>
      </w:r>
    </w:p>
    <w:p w:rsidR="0093469B" w:rsidRPr="0093469B" w:rsidRDefault="00D35641" w:rsidP="0093469B">
      <w:pPr>
        <w:rPr>
          <w:bCs/>
          <w:lang w:val="en-GB"/>
        </w:rPr>
      </w:pPr>
      <w:r>
        <w:rPr>
          <w:bCs/>
          <w:lang w:val="en-GB"/>
        </w:rPr>
        <w:t>The ACPM agreed with the D</w:t>
      </w:r>
      <w:r w:rsidR="0093469B" w:rsidRPr="0093469B">
        <w:rPr>
          <w:bCs/>
          <w:lang w:val="en-GB"/>
        </w:rPr>
        <w:t>elegate to the proposed amendments to the PI and CMI.</w:t>
      </w:r>
    </w:p>
    <w:p w:rsidR="0093469B" w:rsidRPr="0093469B" w:rsidRDefault="0093469B" w:rsidP="0093469B">
      <w:pPr>
        <w:rPr>
          <w:bCs/>
          <w:lang w:val="en-GB"/>
        </w:rPr>
      </w:pPr>
      <w:r w:rsidRPr="0093469B">
        <w:rPr>
          <w:bCs/>
          <w:lang w:val="en-GB"/>
        </w:rPr>
        <w:lastRenderedPageBreak/>
        <w:t>The ACPM advised that the implementation by the sponsor of the recommendations outlined above to the satisfaction of the TGA, in addition to the evidence of efficacy and safety provided would support the safe and e</w:t>
      </w:r>
      <w:r w:rsidR="005C7C25">
        <w:rPr>
          <w:bCs/>
          <w:lang w:val="en-GB"/>
        </w:rPr>
        <w:t>ffective use of these products.</w:t>
      </w:r>
    </w:p>
    <w:p w:rsidR="008E7846" w:rsidRPr="002E238E" w:rsidRDefault="008E7846" w:rsidP="008E7846">
      <w:pPr>
        <w:pStyle w:val="Heading3"/>
      </w:pPr>
      <w:bookmarkStart w:id="214" w:name="_Toc247691532"/>
      <w:bookmarkStart w:id="215" w:name="_Toc314842516"/>
      <w:bookmarkStart w:id="216" w:name="_Toc371925769"/>
      <w:bookmarkEnd w:id="182"/>
      <w:bookmarkEnd w:id="212"/>
      <w:bookmarkEnd w:id="213"/>
      <w:r>
        <w:t>Outcome</w:t>
      </w:r>
      <w:bookmarkEnd w:id="214"/>
      <w:bookmarkEnd w:id="215"/>
      <w:bookmarkEnd w:id="216"/>
    </w:p>
    <w:p w:rsidR="002A4B9D" w:rsidRPr="002A4B9D" w:rsidRDefault="008E7846" w:rsidP="002A4B9D">
      <w:r>
        <w:t xml:space="preserve">Based on a review of quality, safety and efficacy, </w:t>
      </w:r>
      <w:r w:rsidR="00816BC2">
        <w:t xml:space="preserve">the </w:t>
      </w:r>
      <w:r>
        <w:t xml:space="preserve">TGA approved the registration of </w:t>
      </w:r>
      <w:bookmarkStart w:id="217" w:name="a10"/>
      <w:r w:rsidR="002A4B9D" w:rsidRPr="002A4B9D">
        <w:t>A</w:t>
      </w:r>
      <w:r w:rsidR="002A4B9D">
        <w:t xml:space="preserve">ltargo </w:t>
      </w:r>
      <w:r w:rsidR="002A4B9D" w:rsidRPr="002A4B9D">
        <w:t xml:space="preserve">ointment containing </w:t>
      </w:r>
      <w:bookmarkEnd w:id="217"/>
      <w:r w:rsidR="002A4B9D" w:rsidRPr="002A4B9D">
        <w:t>retapamulin 1% w/w</w:t>
      </w:r>
      <w:r w:rsidR="002A4B9D">
        <w:t xml:space="preserve">. </w:t>
      </w:r>
      <w:r w:rsidR="002A4B9D" w:rsidRPr="002A4B9D">
        <w:t>The approved indications</w:t>
      </w:r>
      <w:r w:rsidR="005C7C25">
        <w:t xml:space="preserve"> for this therapeutic good are:</w:t>
      </w:r>
    </w:p>
    <w:p w:rsidR="002A4B9D" w:rsidRPr="002A4B9D" w:rsidRDefault="002A4B9D" w:rsidP="002A4B9D">
      <w:pPr>
        <w:ind w:left="720"/>
        <w:rPr>
          <w:i/>
          <w:iCs/>
        </w:rPr>
      </w:pPr>
      <w:r w:rsidRPr="002A4B9D">
        <w:rPr>
          <w:i/>
          <w:iCs/>
        </w:rPr>
        <w:t xml:space="preserve">Altargo is indicated for the short term treatment of superficial skin infections (including impetigo, infected small lacerations, abrasions, sutured wounds, and secondarily infected </w:t>
      </w:r>
      <w:proofErr w:type="spellStart"/>
      <w:r w:rsidRPr="002A4B9D">
        <w:rPr>
          <w:i/>
          <w:iCs/>
        </w:rPr>
        <w:t>dermatoses</w:t>
      </w:r>
      <w:proofErr w:type="spellEnd"/>
      <w:r w:rsidRPr="002A4B9D">
        <w:rPr>
          <w:i/>
          <w:iCs/>
        </w:rPr>
        <w:t>) in adults, adolescents, children and infants aged from 9 months, in the absence of abscess formation and infections due to MRSA.</w:t>
      </w:r>
    </w:p>
    <w:p w:rsidR="002A4B9D" w:rsidRPr="002A4B9D" w:rsidRDefault="002A4B9D" w:rsidP="002A4B9D">
      <w:pPr>
        <w:ind w:left="720"/>
        <w:rPr>
          <w:i/>
          <w:iCs/>
        </w:rPr>
      </w:pPr>
      <w:r w:rsidRPr="002A4B9D">
        <w:rPr>
          <w:i/>
          <w:iCs/>
        </w:rPr>
        <w:t>The in vitro susceptibility to antibiotics varies geographically and with time; the local situation must always be considered when selecting antibiotic therapy.</w:t>
      </w:r>
    </w:p>
    <w:p w:rsidR="002A4B9D" w:rsidRPr="002A4B9D" w:rsidRDefault="002A4B9D" w:rsidP="002A4B9D">
      <w:pPr>
        <w:pStyle w:val="Heading4"/>
      </w:pPr>
      <w:r>
        <w:t>S</w:t>
      </w:r>
      <w:r w:rsidRPr="002A4B9D">
        <w:t xml:space="preserve">pecific conditions applying to </w:t>
      </w:r>
      <w:r w:rsidR="005C2578">
        <w:t xml:space="preserve">the registration of </w:t>
      </w:r>
      <w:r w:rsidRPr="002A4B9D">
        <w:t>these therapeutic goods</w:t>
      </w:r>
    </w:p>
    <w:p w:rsidR="002A4B9D" w:rsidRPr="002A4B9D" w:rsidRDefault="002A4B9D" w:rsidP="002A4B9D">
      <w:pPr>
        <w:pStyle w:val="ListBullet"/>
      </w:pPr>
      <w:r w:rsidRPr="002A4B9D">
        <w:t>The A</w:t>
      </w:r>
      <w:r w:rsidR="007F0AE4">
        <w:t xml:space="preserve">ltargo </w:t>
      </w:r>
      <w:r w:rsidRPr="002A4B9D">
        <w:t>retapamulin 1% w/w ointment Risk Management Plan (RMP), version 03, dated 04 April 2012 with updated ASA Version 2.0 dated 18 January 2013, included with submission PM-2012-01489-3-2, and any subsequent revisions, as agreed with the TGA will be implemented in Australia.</w:t>
      </w:r>
    </w:p>
    <w:p w:rsidR="008E7846" w:rsidRDefault="008E7846" w:rsidP="008E7846">
      <w:pPr>
        <w:pStyle w:val="Heading2"/>
      </w:pPr>
      <w:bookmarkStart w:id="218" w:name="_Toc247691533"/>
      <w:bookmarkStart w:id="219" w:name="_Toc314842517"/>
      <w:bookmarkStart w:id="220" w:name="_Toc371925770"/>
      <w:proofErr w:type="gramStart"/>
      <w:r>
        <w:t>Attachment 1.</w:t>
      </w:r>
      <w:proofErr w:type="gramEnd"/>
      <w:r>
        <w:tab/>
        <w:t xml:space="preserve">Product </w:t>
      </w:r>
      <w:r w:rsidR="00AA0ED0">
        <w:t>I</w:t>
      </w:r>
      <w:r>
        <w:t>nformation</w:t>
      </w:r>
      <w:bookmarkEnd w:id="218"/>
      <w:bookmarkEnd w:id="219"/>
      <w:bookmarkEnd w:id="220"/>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3" w:history="1">
        <w:r w:rsidR="00722B57" w:rsidRPr="00625A6E">
          <w:rPr>
            <w:rStyle w:val="Hyperlink"/>
          </w:rPr>
          <w:t>http://www.tga.gov.au/hp/information-medicines-pi.htm</w:t>
        </w:r>
      </w:hyperlink>
      <w:hyperlink w:history="1"/>
      <w:r w:rsidR="008F6943">
        <w:rPr>
          <w:color w:val="000000"/>
          <w:lang w:eastAsia="en-AU"/>
        </w:rPr>
        <w:t>&gt;.</w:t>
      </w:r>
    </w:p>
    <w:p w:rsidR="00C80137" w:rsidRDefault="00816BC2" w:rsidP="00C80137">
      <w:pPr>
        <w:pStyle w:val="Heading2"/>
        <w:rPr>
          <w:lang w:eastAsia="en-AU"/>
        </w:rPr>
      </w:pPr>
      <w:bookmarkStart w:id="221" w:name="_Toc371925771"/>
      <w:proofErr w:type="gramStart"/>
      <w:r>
        <w:rPr>
          <w:lang w:eastAsia="en-AU"/>
        </w:rPr>
        <w:t>Attachment 2.</w:t>
      </w:r>
      <w:proofErr w:type="gramEnd"/>
      <w:r>
        <w:rPr>
          <w:lang w:eastAsia="en-AU"/>
        </w:rPr>
        <w:tab/>
      </w:r>
      <w:r w:rsidR="00C80137">
        <w:rPr>
          <w:lang w:eastAsia="en-AU"/>
        </w:rPr>
        <w:t>Extract from the Clinical Evaluation Report</w:t>
      </w:r>
      <w:bookmarkEnd w:id="221"/>
    </w:p>
    <w:p w:rsidR="00291957" w:rsidRDefault="00291957" w:rsidP="007053E5">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headerReference w:type="even" r:id="rId44"/>
          <w:headerReference w:type="default" r:id="rId45"/>
          <w:footerReference w:type="default" r:id="rId46"/>
          <w:headerReference w:type="first" r:id="rId47"/>
          <w:footerReference w:type="first" r:id="rId4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9"/>
      <w:headerReference w:type="default" r:id="rId50"/>
      <w:footerReference w:type="default" r:id="rId51"/>
      <w:headerReference w:type="first" r:id="rId52"/>
      <w:footerReference w:type="first" r:id="rId5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DAB" w:rsidRDefault="00020DAB" w:rsidP="00C40A36">
      <w:pPr>
        <w:spacing w:after="0"/>
      </w:pPr>
      <w:r>
        <w:separator/>
      </w:r>
    </w:p>
  </w:endnote>
  <w:endnote w:type="continuationSeparator" w:id="0">
    <w:p w:rsidR="00020DAB" w:rsidRDefault="00020DA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655"/>
      <w:gridCol w:w="1206"/>
    </w:tblGrid>
    <w:tr w:rsidR="00020DAB" w:rsidRPr="00487162" w:rsidTr="00ED4A30">
      <w:trPr>
        <w:trHeight w:val="269"/>
      </w:trPr>
      <w:tc>
        <w:tcPr>
          <w:tcW w:w="7655" w:type="dxa"/>
          <w:tcMar>
            <w:top w:w="142" w:type="dxa"/>
            <w:bottom w:w="0" w:type="dxa"/>
          </w:tcMar>
        </w:tcPr>
        <w:p w:rsidR="00020DAB" w:rsidRPr="00487162" w:rsidRDefault="00020DAB" w:rsidP="00D35C5F">
          <w:pPr>
            <w:pStyle w:val="Footer"/>
          </w:pPr>
          <w:r w:rsidRPr="00487162">
            <w:t xml:space="preserve">AusPAR </w:t>
          </w:r>
          <w:r>
            <w:t xml:space="preserve">Retapamulin; Altargo; </w:t>
          </w:r>
          <w:r w:rsidRPr="007053E5">
            <w:t>GlaxoSmithKline Australia Pty Ltd</w:t>
          </w:r>
          <w:r>
            <w:t>;</w:t>
          </w:r>
          <w:r w:rsidRPr="007053E5">
            <w:t xml:space="preserve"> </w:t>
          </w:r>
          <w:r w:rsidRPr="00487162">
            <w:t>PM-20</w:t>
          </w:r>
          <w:r>
            <w:t>12</w:t>
          </w:r>
          <w:r w:rsidRPr="00487162">
            <w:t>-</w:t>
          </w:r>
          <w:r>
            <w:t>01489</w:t>
          </w:r>
          <w:r w:rsidRPr="00487162">
            <w:t>-</w:t>
          </w:r>
          <w:r>
            <w:t>3</w:t>
          </w:r>
          <w:r w:rsidRPr="00487162">
            <w:t>-</w:t>
          </w:r>
          <w:r>
            <w:t>2</w:t>
          </w:r>
          <w:r>
            <w:br/>
          </w:r>
          <w:r w:rsidRPr="00487162">
            <w:t>Date of Finalisation</w:t>
          </w:r>
          <w:r>
            <w:t xml:space="preserve"> 11 November 2013</w:t>
          </w:r>
        </w:p>
      </w:tc>
      <w:tc>
        <w:tcPr>
          <w:tcW w:w="1206" w:type="dxa"/>
          <w:tcMar>
            <w:top w:w="142" w:type="dxa"/>
            <w:bottom w:w="0" w:type="dxa"/>
          </w:tcMar>
        </w:tcPr>
        <w:p w:rsidR="00020DAB" w:rsidRPr="00487162" w:rsidRDefault="00020DAB" w:rsidP="00D855D4">
          <w:pPr>
            <w:pStyle w:val="Footer"/>
            <w:jc w:val="right"/>
          </w:pPr>
          <w:r w:rsidRPr="00ED4A30">
            <w:t xml:space="preserve">Page </w:t>
          </w:r>
          <w:fldSimple w:instr="PAGE">
            <w:r w:rsidR="004B6083">
              <w:rPr>
                <w:noProof/>
              </w:rPr>
              <w:t>3</w:t>
            </w:r>
          </w:fldSimple>
          <w:r w:rsidRPr="00ED4A30">
            <w:t xml:space="preserve"> of </w:t>
          </w:r>
          <w:fldSimple w:instr=" NUMPAGES  \* Arabic ">
            <w:r w:rsidR="004B6083">
              <w:rPr>
                <w:noProof/>
              </w:rPr>
              <w:t>68</w:t>
            </w:r>
          </w:fldSimple>
        </w:p>
      </w:tc>
    </w:tr>
  </w:tbl>
  <w:p w:rsidR="00020DAB" w:rsidRDefault="00020DAB"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20DAB" w:rsidRPr="00487162" w:rsidTr="00E45619">
      <w:trPr>
        <w:trHeight w:val="269"/>
      </w:trPr>
      <w:tc>
        <w:tcPr>
          <w:tcW w:w="4519" w:type="dxa"/>
          <w:tcBorders>
            <w:top w:val="single" w:sz="4" w:space="0" w:color="auto"/>
          </w:tcBorders>
          <w:tcMar>
            <w:top w:w="142" w:type="dxa"/>
            <w:bottom w:w="0" w:type="dxa"/>
          </w:tcMar>
        </w:tcPr>
        <w:p w:rsidR="00020DAB" w:rsidRPr="00487162" w:rsidRDefault="00020DAB" w:rsidP="00FE1DEE">
          <w:pPr>
            <w:pStyle w:val="Footer"/>
          </w:pPr>
          <w:r w:rsidRPr="00487162">
            <w:t>Document title, Part #, Section # - Section title</w:t>
          </w:r>
        </w:p>
        <w:p w:rsidR="00020DAB" w:rsidRPr="00487162" w:rsidRDefault="00020DAB" w:rsidP="00FE1DEE">
          <w:pPr>
            <w:pStyle w:val="Footer"/>
          </w:pPr>
          <w:r w:rsidRPr="00487162">
            <w:t>V1.0 October 2010</w:t>
          </w:r>
        </w:p>
      </w:tc>
      <w:tc>
        <w:tcPr>
          <w:tcW w:w="4342" w:type="dxa"/>
          <w:tcBorders>
            <w:top w:val="single" w:sz="4" w:space="0" w:color="auto"/>
          </w:tcBorders>
          <w:tcMar>
            <w:top w:w="142" w:type="dxa"/>
            <w:bottom w:w="0" w:type="dxa"/>
          </w:tcMar>
        </w:tcPr>
        <w:p w:rsidR="00020DAB" w:rsidRPr="00487162" w:rsidRDefault="00020DA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20DAB" w:rsidRDefault="00020D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259" w:type="dxa"/>
      <w:tblLayout w:type="fixed"/>
      <w:tblCellMar>
        <w:top w:w="170" w:type="dxa"/>
        <w:left w:w="0" w:type="dxa"/>
        <w:bottom w:w="227" w:type="dxa"/>
        <w:right w:w="0" w:type="dxa"/>
      </w:tblCellMar>
      <w:tblLook w:val="04A0"/>
    </w:tblPr>
    <w:tblGrid>
      <w:gridCol w:w="12319"/>
      <w:gridCol w:w="1940"/>
    </w:tblGrid>
    <w:tr w:rsidR="00020DAB" w:rsidRPr="00487162" w:rsidTr="00E9404C">
      <w:trPr>
        <w:trHeight w:val="362"/>
      </w:trPr>
      <w:tc>
        <w:tcPr>
          <w:tcW w:w="12319" w:type="dxa"/>
          <w:tcMar>
            <w:top w:w="142" w:type="dxa"/>
            <w:bottom w:w="0" w:type="dxa"/>
          </w:tcMar>
        </w:tcPr>
        <w:p w:rsidR="00020DAB" w:rsidRPr="00487162" w:rsidRDefault="00020DAB" w:rsidP="00D35C5F">
          <w:pPr>
            <w:pStyle w:val="Footer"/>
          </w:pPr>
          <w:proofErr w:type="spellStart"/>
          <w:r w:rsidRPr="00487162">
            <w:t>AusPAR</w:t>
          </w:r>
          <w:proofErr w:type="spellEnd"/>
          <w:r w:rsidRPr="00487162">
            <w:t xml:space="preserve"> </w:t>
          </w:r>
          <w:proofErr w:type="spellStart"/>
          <w:r>
            <w:t>Retapamulin</w:t>
          </w:r>
          <w:proofErr w:type="spellEnd"/>
          <w:r>
            <w:t xml:space="preserve">; </w:t>
          </w:r>
          <w:proofErr w:type="spellStart"/>
          <w:r>
            <w:t>Altargo</w:t>
          </w:r>
          <w:proofErr w:type="spellEnd"/>
          <w:r>
            <w:t xml:space="preserve">; </w:t>
          </w:r>
          <w:r w:rsidRPr="007053E5">
            <w:t>GlaxoSmithKline Australia Pty Ltd</w:t>
          </w:r>
          <w:r>
            <w:t>;</w:t>
          </w:r>
          <w:r w:rsidRPr="007053E5">
            <w:t xml:space="preserve"> </w:t>
          </w:r>
          <w:r w:rsidRPr="00487162">
            <w:t>PM-20</w:t>
          </w:r>
          <w:r>
            <w:t>12</w:t>
          </w:r>
          <w:r w:rsidRPr="00487162">
            <w:t>-</w:t>
          </w:r>
          <w:r>
            <w:t>01489</w:t>
          </w:r>
          <w:r w:rsidRPr="00487162">
            <w:t>-</w:t>
          </w:r>
          <w:r>
            <w:t>3</w:t>
          </w:r>
          <w:r w:rsidRPr="00487162">
            <w:t>-</w:t>
          </w:r>
          <w:r>
            <w:t>2</w:t>
          </w:r>
          <w:r>
            <w:br/>
          </w:r>
          <w:r w:rsidRPr="00487162">
            <w:t>Date of Finalisation</w:t>
          </w:r>
          <w:r>
            <w:t xml:space="preserve"> 11 November 2013</w:t>
          </w:r>
        </w:p>
      </w:tc>
      <w:tc>
        <w:tcPr>
          <w:tcW w:w="1940" w:type="dxa"/>
          <w:tcMar>
            <w:top w:w="142" w:type="dxa"/>
            <w:bottom w:w="0" w:type="dxa"/>
          </w:tcMar>
        </w:tcPr>
        <w:p w:rsidR="00020DAB" w:rsidRPr="00487162" w:rsidRDefault="00020DAB" w:rsidP="00D855D4">
          <w:pPr>
            <w:pStyle w:val="Footer"/>
            <w:jc w:val="right"/>
          </w:pPr>
          <w:r w:rsidRPr="00ED4A30">
            <w:t xml:space="preserve">Page </w:t>
          </w:r>
          <w:fldSimple w:instr="PAGE">
            <w:r w:rsidR="004B6083">
              <w:rPr>
                <w:noProof/>
              </w:rPr>
              <w:t>31</w:t>
            </w:r>
          </w:fldSimple>
          <w:r w:rsidRPr="00ED4A30">
            <w:t xml:space="preserve"> of </w:t>
          </w:r>
          <w:fldSimple w:instr=" NUMPAGES  \* Arabic ">
            <w:r w:rsidR="004B6083">
              <w:rPr>
                <w:noProof/>
              </w:rPr>
              <w:t>35</w:t>
            </w:r>
          </w:fldSimple>
        </w:p>
      </w:tc>
    </w:tr>
  </w:tbl>
  <w:p w:rsidR="00020DAB" w:rsidRDefault="00020DAB" w:rsidP="003D1E6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655"/>
      <w:gridCol w:w="1206"/>
    </w:tblGrid>
    <w:tr w:rsidR="00020DAB" w:rsidRPr="00487162" w:rsidTr="00ED4A30">
      <w:trPr>
        <w:trHeight w:val="269"/>
      </w:trPr>
      <w:tc>
        <w:tcPr>
          <w:tcW w:w="7655" w:type="dxa"/>
          <w:tcMar>
            <w:top w:w="142" w:type="dxa"/>
            <w:bottom w:w="0" w:type="dxa"/>
          </w:tcMar>
        </w:tcPr>
        <w:p w:rsidR="00020DAB" w:rsidRPr="00487162" w:rsidRDefault="00020DAB" w:rsidP="00D35C5F">
          <w:pPr>
            <w:pStyle w:val="Footer"/>
          </w:pPr>
          <w:proofErr w:type="spellStart"/>
          <w:r w:rsidRPr="00487162">
            <w:t>AusPAR</w:t>
          </w:r>
          <w:proofErr w:type="spellEnd"/>
          <w:r w:rsidRPr="00487162">
            <w:t xml:space="preserve"> </w:t>
          </w:r>
          <w:proofErr w:type="spellStart"/>
          <w:r>
            <w:t>Retapamulin</w:t>
          </w:r>
          <w:proofErr w:type="spellEnd"/>
          <w:r>
            <w:t xml:space="preserve">; </w:t>
          </w:r>
          <w:proofErr w:type="spellStart"/>
          <w:r>
            <w:t>Altargo</w:t>
          </w:r>
          <w:proofErr w:type="spellEnd"/>
          <w:r>
            <w:t xml:space="preserve">; </w:t>
          </w:r>
          <w:r w:rsidRPr="007053E5">
            <w:t>GlaxoSmithKline Australia Pty Ltd</w:t>
          </w:r>
          <w:r>
            <w:t>;</w:t>
          </w:r>
          <w:r w:rsidRPr="007053E5">
            <w:t xml:space="preserve"> </w:t>
          </w:r>
          <w:r w:rsidRPr="00487162">
            <w:t>PM-20</w:t>
          </w:r>
          <w:r>
            <w:t>12</w:t>
          </w:r>
          <w:r w:rsidRPr="00487162">
            <w:t>-</w:t>
          </w:r>
          <w:r>
            <w:t>01489</w:t>
          </w:r>
          <w:r w:rsidRPr="00487162">
            <w:t>-</w:t>
          </w:r>
          <w:r>
            <w:t>3</w:t>
          </w:r>
          <w:r w:rsidRPr="00487162">
            <w:t>-</w:t>
          </w:r>
          <w:r>
            <w:t>2</w:t>
          </w:r>
          <w:r>
            <w:br/>
          </w:r>
          <w:r w:rsidRPr="00487162">
            <w:t>Date of Finalisation</w:t>
          </w:r>
          <w:r>
            <w:t xml:space="preserve"> 11 November 2013</w:t>
          </w:r>
        </w:p>
      </w:tc>
      <w:tc>
        <w:tcPr>
          <w:tcW w:w="1206" w:type="dxa"/>
          <w:tcMar>
            <w:top w:w="142" w:type="dxa"/>
            <w:bottom w:w="0" w:type="dxa"/>
          </w:tcMar>
        </w:tcPr>
        <w:p w:rsidR="00020DAB" w:rsidRPr="00487162" w:rsidRDefault="00020DAB" w:rsidP="00D855D4">
          <w:pPr>
            <w:pStyle w:val="Footer"/>
            <w:jc w:val="right"/>
          </w:pPr>
          <w:r w:rsidRPr="00ED4A30">
            <w:t xml:space="preserve">Page </w:t>
          </w:r>
          <w:fldSimple w:instr="PAGE">
            <w:r w:rsidR="004B6083">
              <w:rPr>
                <w:noProof/>
              </w:rPr>
              <w:t>67</w:t>
            </w:r>
          </w:fldSimple>
          <w:r w:rsidRPr="00ED4A30">
            <w:t xml:space="preserve"> of </w:t>
          </w:r>
          <w:fldSimple w:instr=" NUMPAGES  \* Arabic ">
            <w:r w:rsidR="004B6083">
              <w:rPr>
                <w:noProof/>
              </w:rPr>
              <w:t>67</w:t>
            </w:r>
          </w:fldSimple>
        </w:p>
      </w:tc>
    </w:tr>
  </w:tbl>
  <w:p w:rsidR="00020DAB" w:rsidRDefault="00020DAB" w:rsidP="003D1E6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20DAB" w:rsidRPr="00487162" w:rsidTr="00E45619">
      <w:trPr>
        <w:trHeight w:val="269"/>
      </w:trPr>
      <w:tc>
        <w:tcPr>
          <w:tcW w:w="4519" w:type="dxa"/>
          <w:tcBorders>
            <w:top w:val="single" w:sz="4" w:space="0" w:color="auto"/>
          </w:tcBorders>
          <w:tcMar>
            <w:top w:w="142" w:type="dxa"/>
            <w:bottom w:w="0" w:type="dxa"/>
          </w:tcMar>
        </w:tcPr>
        <w:p w:rsidR="00020DAB" w:rsidRPr="00487162" w:rsidRDefault="00020DAB" w:rsidP="00FE1DEE">
          <w:pPr>
            <w:pStyle w:val="Footer"/>
          </w:pPr>
          <w:r w:rsidRPr="00487162">
            <w:t>Document title, Part #, Section # - Section title</w:t>
          </w:r>
        </w:p>
        <w:p w:rsidR="00020DAB" w:rsidRPr="00487162" w:rsidRDefault="00020DAB" w:rsidP="00FE1DEE">
          <w:pPr>
            <w:pStyle w:val="Footer"/>
          </w:pPr>
          <w:r w:rsidRPr="00487162">
            <w:t>V1.0 October 2010</w:t>
          </w:r>
        </w:p>
      </w:tc>
      <w:tc>
        <w:tcPr>
          <w:tcW w:w="4342" w:type="dxa"/>
          <w:tcBorders>
            <w:top w:val="single" w:sz="4" w:space="0" w:color="auto"/>
          </w:tcBorders>
          <w:tcMar>
            <w:top w:w="142" w:type="dxa"/>
            <w:bottom w:w="0" w:type="dxa"/>
          </w:tcMar>
        </w:tcPr>
        <w:p w:rsidR="00020DAB" w:rsidRPr="00487162" w:rsidRDefault="00020DA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020DAB" w:rsidRDefault="00020DA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20DAB" w:rsidRPr="00487162" w:rsidTr="00E45619">
              <w:trPr>
                <w:trHeight w:hRule="exact" w:val="704"/>
              </w:trPr>
              <w:tc>
                <w:tcPr>
                  <w:tcW w:w="9175" w:type="dxa"/>
                </w:tcPr>
                <w:p w:rsidR="00020DAB" w:rsidRPr="00487162" w:rsidRDefault="00020DAB" w:rsidP="008E7846">
                  <w:pPr>
                    <w:pStyle w:val="TGASignoff"/>
                  </w:pPr>
                  <w:r w:rsidRPr="00487162">
                    <w:t>Therapeutic Goods Administration</w:t>
                  </w:r>
                </w:p>
              </w:tc>
            </w:tr>
            <w:tr w:rsidR="00020DAB" w:rsidRPr="00487162" w:rsidTr="00E45619">
              <w:trPr>
                <w:trHeight w:val="1221"/>
              </w:trPr>
              <w:tc>
                <w:tcPr>
                  <w:tcW w:w="9175" w:type="dxa"/>
                  <w:tcMar>
                    <w:top w:w="28" w:type="dxa"/>
                  </w:tcMar>
                </w:tcPr>
                <w:p w:rsidR="00020DAB" w:rsidRPr="00487162" w:rsidRDefault="00020DAB" w:rsidP="00E45619">
                  <w:pPr>
                    <w:pStyle w:val="Address"/>
                  </w:pPr>
                  <w:r w:rsidRPr="00487162">
                    <w:t>PO Box 100 Woden ACT 2606 Australia</w:t>
                  </w:r>
                </w:p>
                <w:p w:rsidR="00020DAB" w:rsidRPr="00487162" w:rsidRDefault="00020DAB"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020DAB" w:rsidRPr="004C239D" w:rsidRDefault="00976703" w:rsidP="004C239D">
                  <w:pPr>
                    <w:pStyle w:val="Address"/>
                    <w:spacing w:line="260" w:lineRule="atLeast"/>
                    <w:rPr>
                      <w:b/>
                      <w:color w:val="0000FF"/>
                      <w:u w:val="single"/>
                    </w:rPr>
                  </w:pPr>
                  <w:hyperlink r:id="rId2" w:history="1">
                    <w:r w:rsidR="00020DAB" w:rsidRPr="00607888">
                      <w:rPr>
                        <w:rStyle w:val="Hyperlink"/>
                        <w:b/>
                      </w:rPr>
                      <w:t>http://www.tga.gov.au</w:t>
                    </w:r>
                  </w:hyperlink>
                </w:p>
              </w:tc>
            </w:tr>
          </w:tbl>
          <w:p w:rsidR="00020DAB" w:rsidRDefault="00976703"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20DAB" w:rsidTr="0010601F">
      <w:trPr>
        <w:trHeight w:val="108"/>
      </w:trPr>
      <w:tc>
        <w:tcPr>
          <w:tcW w:w="8875" w:type="dxa"/>
          <w:gridSpan w:val="2"/>
          <w:tcBorders>
            <w:bottom w:val="single" w:sz="4" w:space="0" w:color="auto"/>
          </w:tcBorders>
          <w:tcMar>
            <w:right w:w="284" w:type="dxa"/>
          </w:tcMar>
        </w:tcPr>
        <w:p w:rsidR="00020DAB" w:rsidRDefault="00020DAB" w:rsidP="006E08B3">
          <w:pPr>
            <w:pStyle w:val="Heading3"/>
          </w:pPr>
          <w:r>
            <w:t>Copyright</w:t>
          </w:r>
        </w:p>
        <w:p w:rsidR="00020DAB" w:rsidRDefault="00020DAB" w:rsidP="006E08B3">
          <w:r>
            <w:rPr>
              <w:rFonts w:cs="Arial"/>
            </w:rPr>
            <w:t>©</w:t>
          </w:r>
          <w:r>
            <w:t xml:space="preserve"> Commonwealth of Australia [add year]</w:t>
          </w:r>
        </w:p>
        <w:p w:rsidR="00020DAB" w:rsidRDefault="00020DAB" w:rsidP="006E08B3"/>
        <w:p w:rsidR="00020DAB" w:rsidRDefault="00020DA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20DAB" w:rsidRDefault="00020DAB" w:rsidP="006E08B3"/>
        <w:p w:rsidR="00020DAB" w:rsidRDefault="00020DAB" w:rsidP="006E08B3">
          <w:pPr>
            <w:pStyle w:val="Heading3"/>
          </w:pPr>
          <w:r>
            <w:t>Confidentiality</w:t>
          </w:r>
        </w:p>
        <w:p w:rsidR="00020DAB" w:rsidRDefault="00020DA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20DAB" w:rsidRDefault="00020DAB" w:rsidP="006E08B3"/>
        <w:p w:rsidR="00020DAB" w:rsidRDefault="00020DAB" w:rsidP="006E08B3">
          <w:r>
            <w:t>For submission made by individuals, all personal details, other than your name, will be removed from your submission before it is published on the TGA’s Internet site.</w:t>
          </w:r>
        </w:p>
        <w:p w:rsidR="00020DAB" w:rsidRDefault="00020DAB" w:rsidP="006E08B3"/>
        <w:p w:rsidR="00020DAB" w:rsidRDefault="00020DA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20DAB" w:rsidTr="0010601F">
      <w:trPr>
        <w:trHeight w:val="417"/>
      </w:trPr>
      <w:tc>
        <w:tcPr>
          <w:tcW w:w="4519" w:type="dxa"/>
          <w:tcBorders>
            <w:top w:val="single" w:sz="4" w:space="0" w:color="auto"/>
          </w:tcBorders>
          <w:tcMar>
            <w:top w:w="142" w:type="dxa"/>
            <w:bottom w:w="0" w:type="dxa"/>
          </w:tcMar>
        </w:tcPr>
        <w:p w:rsidR="00020DAB" w:rsidRDefault="00020DAB" w:rsidP="006E08B3">
          <w:r>
            <w:t>Document title, Part #, Section # - Section title</w:t>
          </w:r>
        </w:p>
        <w:p w:rsidR="00020DAB" w:rsidRDefault="00020DAB" w:rsidP="006E08B3">
          <w:r>
            <w:t>V1.0 October 2010</w:t>
          </w:r>
        </w:p>
      </w:tc>
      <w:tc>
        <w:tcPr>
          <w:tcW w:w="4356" w:type="dxa"/>
          <w:tcBorders>
            <w:top w:val="single" w:sz="4" w:space="0" w:color="auto"/>
          </w:tcBorders>
          <w:tcMar>
            <w:top w:w="142" w:type="dxa"/>
            <w:bottom w:w="0" w:type="dxa"/>
          </w:tcMar>
        </w:tcPr>
        <w:p w:rsidR="00020DAB" w:rsidRDefault="00020DAB"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020DAB" w:rsidRDefault="00020D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DAB" w:rsidRDefault="00020DAB" w:rsidP="00C40A36">
      <w:pPr>
        <w:spacing w:after="0"/>
      </w:pPr>
      <w:r>
        <w:separator/>
      </w:r>
    </w:p>
  </w:footnote>
  <w:footnote w:type="continuationSeparator" w:id="0">
    <w:p w:rsidR="00020DAB" w:rsidRDefault="00020DAB" w:rsidP="00C40A36">
      <w:pPr>
        <w:spacing w:after="0"/>
      </w:pPr>
      <w:r>
        <w:continuationSeparator/>
      </w:r>
    </w:p>
  </w:footnote>
  <w:footnote w:id="1">
    <w:p w:rsidR="00020DAB" w:rsidRPr="00491E38" w:rsidRDefault="00020DAB" w:rsidP="00491E38">
      <w:pPr>
        <w:pStyle w:val="FootnoteText"/>
        <w:rPr>
          <w:sz w:val="18"/>
          <w:szCs w:val="18"/>
        </w:rPr>
      </w:pPr>
      <w:r w:rsidRPr="00491E38">
        <w:rPr>
          <w:rStyle w:val="FootnoteReference"/>
          <w:sz w:val="18"/>
          <w:szCs w:val="18"/>
        </w:rPr>
        <w:footnoteRef/>
      </w:r>
      <w:r w:rsidRPr="00491E38">
        <w:rPr>
          <w:sz w:val="18"/>
          <w:szCs w:val="18"/>
        </w:rPr>
        <w:t xml:space="preserve"> </w:t>
      </w:r>
      <w:proofErr w:type="spellStart"/>
      <w:r>
        <w:rPr>
          <w:sz w:val="18"/>
          <w:szCs w:val="18"/>
        </w:rPr>
        <w:t>Borrza</w:t>
      </w:r>
      <w:proofErr w:type="spellEnd"/>
      <w:r>
        <w:rPr>
          <w:sz w:val="18"/>
          <w:szCs w:val="18"/>
        </w:rPr>
        <w:t>, S, Philippi, E. (E</w:t>
      </w:r>
      <w:r w:rsidRPr="00491E38">
        <w:rPr>
          <w:sz w:val="18"/>
          <w:szCs w:val="18"/>
        </w:rPr>
        <w:t>d</w:t>
      </w:r>
      <w:r>
        <w:rPr>
          <w:sz w:val="18"/>
          <w:szCs w:val="18"/>
        </w:rPr>
        <w:t>itor).</w:t>
      </w:r>
      <w:r w:rsidRPr="00491E38">
        <w:rPr>
          <w:sz w:val="18"/>
          <w:szCs w:val="18"/>
        </w:rPr>
        <w:t xml:space="preserve"> Physicians’</w:t>
      </w:r>
      <w:r>
        <w:rPr>
          <w:sz w:val="18"/>
          <w:szCs w:val="18"/>
        </w:rPr>
        <w:t xml:space="preserve"> Desk Reference (62 ed.); 2008</w:t>
      </w:r>
      <w:proofErr w:type="gramStart"/>
      <w:r>
        <w:rPr>
          <w:sz w:val="18"/>
          <w:szCs w:val="18"/>
        </w:rPr>
        <w:t>;</w:t>
      </w:r>
      <w:r w:rsidRPr="00491E38">
        <w:rPr>
          <w:sz w:val="18"/>
          <w:szCs w:val="18"/>
        </w:rPr>
        <w:t>1318</w:t>
      </w:r>
      <w:proofErr w:type="gramEnd"/>
      <w:r w:rsidRPr="00491E38">
        <w:rPr>
          <w:sz w:val="18"/>
          <w:szCs w:val="18"/>
        </w:rPr>
        <w:t>–20.</w:t>
      </w:r>
    </w:p>
  </w:footnote>
  <w:footnote w:id="2">
    <w:p w:rsidR="00020DAB" w:rsidRPr="00491E38" w:rsidRDefault="00020DAB" w:rsidP="00491E38">
      <w:pPr>
        <w:pStyle w:val="FootnoteText"/>
        <w:rPr>
          <w:sz w:val="18"/>
          <w:szCs w:val="18"/>
        </w:rPr>
      </w:pPr>
      <w:r w:rsidRPr="00491E38">
        <w:rPr>
          <w:rStyle w:val="FootnoteReference"/>
          <w:sz w:val="18"/>
          <w:szCs w:val="18"/>
        </w:rPr>
        <w:footnoteRef/>
      </w:r>
      <w:r w:rsidRPr="00491E38">
        <w:rPr>
          <w:sz w:val="18"/>
          <w:szCs w:val="18"/>
        </w:rPr>
        <w:t xml:space="preserve"> Novak R. Are </w:t>
      </w:r>
      <w:proofErr w:type="spellStart"/>
      <w:r w:rsidRPr="00491E38">
        <w:rPr>
          <w:sz w:val="18"/>
          <w:szCs w:val="18"/>
        </w:rPr>
        <w:t>pleuromutilin</w:t>
      </w:r>
      <w:proofErr w:type="spellEnd"/>
      <w:r w:rsidRPr="00491E38">
        <w:rPr>
          <w:sz w:val="18"/>
          <w:szCs w:val="18"/>
        </w:rPr>
        <w:t xml:space="preserve"> antibiotics finally fit for human use? </w:t>
      </w:r>
      <w:r w:rsidRPr="00DA50F7">
        <w:rPr>
          <w:i/>
          <w:iCs/>
          <w:sz w:val="18"/>
          <w:szCs w:val="18"/>
        </w:rPr>
        <w:t xml:space="preserve">Ann N Y </w:t>
      </w:r>
      <w:proofErr w:type="spellStart"/>
      <w:r w:rsidRPr="00DA50F7">
        <w:rPr>
          <w:i/>
          <w:iCs/>
          <w:sz w:val="18"/>
          <w:szCs w:val="18"/>
        </w:rPr>
        <w:t>Acad</w:t>
      </w:r>
      <w:proofErr w:type="spellEnd"/>
      <w:r w:rsidRPr="00DA50F7">
        <w:rPr>
          <w:i/>
          <w:iCs/>
          <w:sz w:val="18"/>
          <w:szCs w:val="18"/>
        </w:rPr>
        <w:t xml:space="preserve"> Sci</w:t>
      </w:r>
      <w:r w:rsidRPr="00491E38">
        <w:rPr>
          <w:sz w:val="18"/>
          <w:szCs w:val="18"/>
        </w:rPr>
        <w:t>. 2011</w:t>
      </w:r>
      <w:proofErr w:type="gramStart"/>
      <w:r>
        <w:rPr>
          <w:sz w:val="18"/>
          <w:szCs w:val="18"/>
        </w:rPr>
        <w:t>;</w:t>
      </w:r>
      <w:r w:rsidRPr="00491E38">
        <w:rPr>
          <w:sz w:val="18"/>
          <w:szCs w:val="18"/>
        </w:rPr>
        <w:t>1241:71</w:t>
      </w:r>
      <w:proofErr w:type="gramEnd"/>
      <w:r w:rsidRPr="00491E38">
        <w:rPr>
          <w:sz w:val="18"/>
          <w:szCs w:val="18"/>
        </w:rPr>
        <w:t>‐81.</w:t>
      </w:r>
      <w:r>
        <w:rPr>
          <w:sz w:val="18"/>
          <w:szCs w:val="18"/>
        </w:rPr>
        <w:t xml:space="preserve"> </w:t>
      </w:r>
    </w:p>
  </w:footnote>
  <w:footnote w:id="3">
    <w:p w:rsidR="00020DAB" w:rsidRPr="00491E38" w:rsidRDefault="00020DAB" w:rsidP="00491E38">
      <w:pPr>
        <w:pStyle w:val="FootnoteText"/>
        <w:rPr>
          <w:sz w:val="18"/>
          <w:szCs w:val="18"/>
        </w:rPr>
      </w:pPr>
      <w:r w:rsidRPr="00491E38">
        <w:rPr>
          <w:rStyle w:val="FootnoteReference"/>
          <w:sz w:val="18"/>
          <w:szCs w:val="18"/>
        </w:rPr>
        <w:footnoteRef/>
      </w:r>
      <w:r w:rsidRPr="00491E38">
        <w:rPr>
          <w:sz w:val="18"/>
          <w:szCs w:val="18"/>
        </w:rPr>
        <w:t xml:space="preserve"> Tang Y</w:t>
      </w:r>
      <w:r>
        <w:rPr>
          <w:sz w:val="18"/>
          <w:szCs w:val="18"/>
        </w:rPr>
        <w:t>.‐Z</w:t>
      </w:r>
      <w:proofErr w:type="gramStart"/>
      <w:r>
        <w:rPr>
          <w:sz w:val="18"/>
          <w:szCs w:val="18"/>
        </w:rPr>
        <w:t>. ,</w:t>
      </w:r>
      <w:proofErr w:type="gramEnd"/>
      <w:r>
        <w:rPr>
          <w:sz w:val="18"/>
          <w:szCs w:val="18"/>
        </w:rPr>
        <w:t xml:space="preserve"> Liu Y.‐H. and Chen J.‐X.</w:t>
      </w:r>
      <w:r w:rsidRPr="00491E38">
        <w:rPr>
          <w:sz w:val="18"/>
          <w:szCs w:val="18"/>
        </w:rPr>
        <w:t xml:space="preserve"> </w:t>
      </w:r>
      <w:proofErr w:type="spellStart"/>
      <w:r w:rsidRPr="00491E38">
        <w:rPr>
          <w:sz w:val="18"/>
          <w:szCs w:val="18"/>
        </w:rPr>
        <w:t>Pleuromutilin</w:t>
      </w:r>
      <w:proofErr w:type="spellEnd"/>
      <w:r w:rsidRPr="00491E38">
        <w:rPr>
          <w:sz w:val="18"/>
          <w:szCs w:val="18"/>
        </w:rPr>
        <w:t xml:space="preserve"> and its Derivatives‐The Lead Compounds for</w:t>
      </w:r>
      <w:r>
        <w:rPr>
          <w:sz w:val="18"/>
          <w:szCs w:val="18"/>
        </w:rPr>
        <w:t xml:space="preserve"> </w:t>
      </w:r>
      <w:r w:rsidRPr="00491E38">
        <w:rPr>
          <w:sz w:val="18"/>
          <w:szCs w:val="18"/>
        </w:rPr>
        <w:t xml:space="preserve">Novel Antibiotics. </w:t>
      </w:r>
      <w:proofErr w:type="gramStart"/>
      <w:r w:rsidRPr="00DA50F7">
        <w:rPr>
          <w:i/>
          <w:iCs/>
          <w:sz w:val="18"/>
          <w:szCs w:val="18"/>
        </w:rPr>
        <w:t>Mini‐Reviews in Medicinal Chemistry</w:t>
      </w:r>
      <w:r w:rsidRPr="00491E38">
        <w:rPr>
          <w:sz w:val="18"/>
          <w:szCs w:val="18"/>
        </w:rPr>
        <w:t>.</w:t>
      </w:r>
      <w:proofErr w:type="gramEnd"/>
      <w:r w:rsidRPr="00491E38">
        <w:rPr>
          <w:sz w:val="18"/>
          <w:szCs w:val="18"/>
        </w:rPr>
        <w:t xml:space="preserve"> 2</w:t>
      </w:r>
      <w:r>
        <w:rPr>
          <w:sz w:val="18"/>
          <w:szCs w:val="18"/>
        </w:rPr>
        <w:t>001;</w:t>
      </w:r>
      <w:r w:rsidRPr="00491E38">
        <w:rPr>
          <w:sz w:val="18"/>
          <w:szCs w:val="18"/>
        </w:rPr>
        <w:t>12:53‐61</w:t>
      </w:r>
    </w:p>
  </w:footnote>
  <w:footnote w:id="4">
    <w:p w:rsidR="00020DAB" w:rsidRPr="003A2F26" w:rsidRDefault="00020DAB" w:rsidP="003A2F26">
      <w:pPr>
        <w:pStyle w:val="FootnoteText"/>
        <w:rPr>
          <w:sz w:val="18"/>
          <w:szCs w:val="18"/>
        </w:rPr>
      </w:pPr>
      <w:r w:rsidRPr="003A2F26">
        <w:rPr>
          <w:rStyle w:val="FootnoteReference"/>
          <w:sz w:val="18"/>
          <w:szCs w:val="18"/>
        </w:rPr>
        <w:footnoteRef/>
      </w:r>
      <w:r w:rsidRPr="003A2F26">
        <w:rPr>
          <w:sz w:val="18"/>
          <w:szCs w:val="18"/>
        </w:rPr>
        <w:t xml:space="preserve"> The maximum amount of retapamulin ointment applied per dose to a subject was estimated to be 200 to </w:t>
      </w:r>
      <w:r w:rsidRPr="003A2F26">
        <w:rPr>
          <w:rFonts w:eastAsiaTheme="minorHAnsi"/>
          <w:sz w:val="18"/>
          <w:szCs w:val="18"/>
        </w:rPr>
        <w:t>500 mg per 100 cm</w:t>
      </w:r>
      <w:r w:rsidRPr="003A2F26">
        <w:rPr>
          <w:rFonts w:eastAsiaTheme="minorHAnsi"/>
          <w:sz w:val="18"/>
          <w:szCs w:val="18"/>
          <w:vertAlign w:val="superscript"/>
        </w:rPr>
        <w:t xml:space="preserve">2 </w:t>
      </w:r>
      <w:r w:rsidRPr="003A2F26">
        <w:rPr>
          <w:rFonts w:eastAsiaTheme="minorHAnsi"/>
          <w:sz w:val="18"/>
          <w:szCs w:val="18"/>
        </w:rPr>
        <w:t>by the sponsor in the clinical overview document. For BID dosing, the total daily dose applied is estimated to be 0.4 to 1 g of 1% retapamulin ointment per 100 cm</w:t>
      </w:r>
      <w:r w:rsidRPr="003A2F26">
        <w:rPr>
          <w:rFonts w:eastAsiaTheme="minorHAnsi"/>
          <w:sz w:val="18"/>
          <w:szCs w:val="18"/>
          <w:vertAlign w:val="superscript"/>
        </w:rPr>
        <w:t>2</w:t>
      </w:r>
      <w:r w:rsidRPr="003A2F26">
        <w:rPr>
          <w:rFonts w:eastAsiaTheme="minorHAnsi"/>
          <w:sz w:val="18"/>
          <w:szCs w:val="18"/>
        </w:rPr>
        <w:t>. This corresponds to 4 to 10 mg of retapamulin. Conversion to mg/m</w:t>
      </w:r>
      <w:r w:rsidRPr="003A2F26">
        <w:rPr>
          <w:rFonts w:eastAsiaTheme="minorHAnsi"/>
          <w:sz w:val="18"/>
          <w:szCs w:val="18"/>
          <w:vertAlign w:val="superscript"/>
        </w:rPr>
        <w:t>2</w:t>
      </w:r>
      <w:r w:rsidRPr="003A2F26">
        <w:rPr>
          <w:rFonts w:eastAsiaTheme="minorHAnsi"/>
          <w:sz w:val="18"/>
          <w:szCs w:val="18"/>
        </w:rPr>
        <w:t xml:space="preserve"> using a factor of 33 gives a dose of 6.6 mg/m</w:t>
      </w:r>
      <w:r w:rsidRPr="003A2F26">
        <w:rPr>
          <w:rFonts w:eastAsiaTheme="minorHAnsi"/>
          <w:sz w:val="18"/>
          <w:szCs w:val="18"/>
          <w:vertAlign w:val="superscript"/>
        </w:rPr>
        <w:t>2</w:t>
      </w:r>
      <w:r w:rsidRPr="003A2F26">
        <w:rPr>
          <w:rFonts w:eastAsiaTheme="minorHAnsi"/>
          <w:sz w:val="18"/>
          <w:szCs w:val="18"/>
        </w:rPr>
        <w:t xml:space="preserve"> for a 50 kg human. Factors of 3 (mice) and 2</w:t>
      </w:r>
      <w:r>
        <w:rPr>
          <w:rFonts w:eastAsiaTheme="minorHAnsi"/>
          <w:sz w:val="18"/>
          <w:szCs w:val="18"/>
        </w:rPr>
        <w:t>0 (dog), 12 (monkey) were used.</w:t>
      </w:r>
    </w:p>
  </w:footnote>
  <w:footnote w:id="5">
    <w:p w:rsidR="00020DAB" w:rsidRPr="00B97753" w:rsidRDefault="00020DAB" w:rsidP="00B97753">
      <w:pPr>
        <w:pStyle w:val="FootnoteText"/>
        <w:rPr>
          <w:sz w:val="18"/>
          <w:szCs w:val="18"/>
        </w:rPr>
      </w:pPr>
      <w:r w:rsidRPr="00B97753">
        <w:rPr>
          <w:rStyle w:val="FootnoteReference"/>
          <w:sz w:val="18"/>
          <w:szCs w:val="18"/>
        </w:rPr>
        <w:footnoteRef/>
      </w:r>
      <w:r w:rsidRPr="00B97753">
        <w:rPr>
          <w:sz w:val="18"/>
          <w:szCs w:val="18"/>
        </w:rPr>
        <w:t xml:space="preserve"> </w:t>
      </w:r>
      <w:proofErr w:type="gramStart"/>
      <w:r w:rsidRPr="00B97753">
        <w:rPr>
          <w:sz w:val="18"/>
          <w:szCs w:val="18"/>
        </w:rPr>
        <w:t>Barrett C.W. Skin Penetration.</w:t>
      </w:r>
      <w:proofErr w:type="gramEnd"/>
      <w:r w:rsidRPr="00B97753">
        <w:rPr>
          <w:sz w:val="18"/>
          <w:szCs w:val="18"/>
        </w:rPr>
        <w:t xml:space="preserve"> </w:t>
      </w:r>
      <w:r w:rsidRPr="00F4251D">
        <w:rPr>
          <w:i/>
          <w:iCs/>
          <w:sz w:val="18"/>
          <w:szCs w:val="18"/>
        </w:rPr>
        <w:t>J. Soc. Cosmetic Chemists</w:t>
      </w:r>
      <w:r w:rsidRPr="00B97753">
        <w:rPr>
          <w:sz w:val="18"/>
          <w:szCs w:val="18"/>
        </w:rPr>
        <w:t xml:space="preserve"> 1969; 20:487‐499 69</w:t>
      </w:r>
    </w:p>
  </w:footnote>
  <w:footnote w:id="6">
    <w:p w:rsidR="00020DAB" w:rsidRPr="00B97753" w:rsidRDefault="00020DAB" w:rsidP="00B97753">
      <w:pPr>
        <w:pStyle w:val="FootnoteText"/>
        <w:rPr>
          <w:sz w:val="18"/>
          <w:szCs w:val="18"/>
        </w:rPr>
      </w:pPr>
      <w:r w:rsidRPr="00B97753">
        <w:rPr>
          <w:rStyle w:val="FootnoteReference"/>
          <w:sz w:val="18"/>
          <w:szCs w:val="18"/>
        </w:rPr>
        <w:footnoteRef/>
      </w:r>
      <w:r w:rsidRPr="00B97753">
        <w:rPr>
          <w:sz w:val="18"/>
          <w:szCs w:val="18"/>
        </w:rPr>
        <w:t xml:space="preserve"> Mortensen J T, </w:t>
      </w:r>
      <w:proofErr w:type="spellStart"/>
      <w:r w:rsidRPr="00B97753">
        <w:rPr>
          <w:sz w:val="18"/>
          <w:szCs w:val="18"/>
        </w:rPr>
        <w:t>Brinck</w:t>
      </w:r>
      <w:proofErr w:type="spellEnd"/>
      <w:r w:rsidRPr="00B97753">
        <w:rPr>
          <w:sz w:val="18"/>
          <w:szCs w:val="18"/>
        </w:rPr>
        <w:t xml:space="preserve"> P, Lichtenberg J The </w:t>
      </w:r>
      <w:proofErr w:type="spellStart"/>
      <w:r w:rsidRPr="00B97753">
        <w:rPr>
          <w:sz w:val="18"/>
          <w:szCs w:val="18"/>
        </w:rPr>
        <w:t>minipig</w:t>
      </w:r>
      <w:proofErr w:type="spellEnd"/>
      <w:r w:rsidRPr="00B97753">
        <w:rPr>
          <w:sz w:val="18"/>
          <w:szCs w:val="18"/>
        </w:rPr>
        <w:t xml:space="preserve"> in dermal toxicology. </w:t>
      </w:r>
      <w:proofErr w:type="gramStart"/>
      <w:r w:rsidRPr="00B97753">
        <w:rPr>
          <w:sz w:val="18"/>
          <w:szCs w:val="18"/>
        </w:rPr>
        <w:t>A Literature Review.</w:t>
      </w:r>
      <w:proofErr w:type="gramEnd"/>
      <w:r>
        <w:rPr>
          <w:sz w:val="18"/>
          <w:szCs w:val="18"/>
        </w:rPr>
        <w:t xml:space="preserve"> </w:t>
      </w:r>
      <w:r w:rsidRPr="00F4251D">
        <w:rPr>
          <w:i/>
          <w:iCs/>
          <w:sz w:val="18"/>
          <w:szCs w:val="18"/>
        </w:rPr>
        <w:t>Scand. J. Lab. Anim. Sci</w:t>
      </w:r>
      <w:r w:rsidRPr="00B97753">
        <w:rPr>
          <w:sz w:val="18"/>
          <w:szCs w:val="18"/>
        </w:rPr>
        <w:t>. Suppl. l. 1998; 25:77‐83</w:t>
      </w:r>
    </w:p>
  </w:footnote>
  <w:footnote w:id="7">
    <w:p w:rsidR="00020DAB" w:rsidRPr="000B1378" w:rsidRDefault="00020DAB" w:rsidP="000B1378">
      <w:pPr>
        <w:spacing w:before="0" w:after="0" w:line="240" w:lineRule="auto"/>
        <w:rPr>
          <w:sz w:val="18"/>
          <w:szCs w:val="18"/>
        </w:rPr>
      </w:pPr>
      <w:r w:rsidRPr="000B1378">
        <w:rPr>
          <w:sz w:val="18"/>
          <w:szCs w:val="18"/>
          <w:vertAlign w:val="superscript"/>
        </w:rPr>
        <w:footnoteRef/>
      </w:r>
      <w:r w:rsidRPr="000B1378">
        <w:rPr>
          <w:sz w:val="18"/>
          <w:szCs w:val="18"/>
        </w:rPr>
        <w:t xml:space="preserve"> Body surface area (BSA) was estimated using the average body weight of 2.5 kg. A BSA of 1890 cm</w:t>
      </w:r>
      <w:r w:rsidRPr="000B1378">
        <w:rPr>
          <w:sz w:val="18"/>
          <w:szCs w:val="18"/>
          <w:vertAlign w:val="superscript"/>
        </w:rPr>
        <w:t>2</w:t>
      </w:r>
      <w:r w:rsidRPr="000B1378">
        <w:rPr>
          <w:sz w:val="18"/>
          <w:szCs w:val="18"/>
        </w:rPr>
        <w:t xml:space="preserve"> was calculated using the following equation: BSA= kW</w:t>
      </w:r>
      <w:r w:rsidRPr="000B1378">
        <w:rPr>
          <w:sz w:val="18"/>
          <w:szCs w:val="18"/>
          <w:vertAlign w:val="superscript"/>
        </w:rPr>
        <w:t>2/3</w:t>
      </w:r>
      <w:r>
        <w:rPr>
          <w:sz w:val="18"/>
          <w:szCs w:val="18"/>
        </w:rPr>
        <w:t xml:space="preserve">. </w:t>
      </w:r>
      <w:r w:rsidRPr="000B1378">
        <w:rPr>
          <w:sz w:val="18"/>
          <w:szCs w:val="18"/>
        </w:rPr>
        <w:t xml:space="preserve">K is a constant </w:t>
      </w:r>
      <w:proofErr w:type="spellStart"/>
      <w:r w:rsidRPr="000B1378">
        <w:rPr>
          <w:sz w:val="18"/>
          <w:szCs w:val="18"/>
        </w:rPr>
        <w:t>K</w:t>
      </w:r>
      <w:r w:rsidRPr="000B1378">
        <w:rPr>
          <w:sz w:val="18"/>
          <w:szCs w:val="18"/>
          <w:vertAlign w:val="subscript"/>
        </w:rPr>
        <w:t>rabbit</w:t>
      </w:r>
      <w:proofErr w:type="spellEnd"/>
      <w:r w:rsidRPr="000B1378">
        <w:rPr>
          <w:sz w:val="18"/>
          <w:szCs w:val="18"/>
        </w:rPr>
        <w:t>= 10.</w:t>
      </w:r>
      <w:r>
        <w:rPr>
          <w:sz w:val="18"/>
          <w:szCs w:val="18"/>
        </w:rPr>
        <w:t xml:space="preserve"> </w:t>
      </w:r>
      <w:proofErr w:type="gramStart"/>
      <w:r w:rsidRPr="000B1378">
        <w:rPr>
          <w:sz w:val="18"/>
          <w:szCs w:val="18"/>
        </w:rPr>
        <w:t xml:space="preserve">Derived from </w:t>
      </w:r>
      <w:proofErr w:type="spellStart"/>
      <w:r w:rsidRPr="000B1378">
        <w:rPr>
          <w:sz w:val="18"/>
          <w:szCs w:val="18"/>
        </w:rPr>
        <w:t>Derelanko</w:t>
      </w:r>
      <w:proofErr w:type="spellEnd"/>
      <w:r w:rsidRPr="000B1378">
        <w:rPr>
          <w:sz w:val="18"/>
          <w:szCs w:val="18"/>
        </w:rPr>
        <w:t xml:space="preserve"> and Hollinger.</w:t>
      </w:r>
      <w:proofErr w:type="gramEnd"/>
      <w:r w:rsidRPr="000B1378">
        <w:rPr>
          <w:sz w:val="18"/>
          <w:szCs w:val="18"/>
        </w:rPr>
        <w:t xml:space="preserve"> CRC Handbook of Toxicology, CRC Press; 1995, p647</w:t>
      </w:r>
    </w:p>
  </w:footnote>
  <w:footnote w:id="8">
    <w:p w:rsidR="00020DAB" w:rsidRPr="00F829BF" w:rsidRDefault="00020DAB" w:rsidP="00F829BF">
      <w:pPr>
        <w:pStyle w:val="FootnoteText"/>
        <w:rPr>
          <w:sz w:val="18"/>
          <w:szCs w:val="18"/>
        </w:rPr>
      </w:pPr>
      <w:r w:rsidRPr="00F829BF">
        <w:rPr>
          <w:rStyle w:val="FootnoteReference"/>
          <w:sz w:val="18"/>
          <w:szCs w:val="18"/>
        </w:rPr>
        <w:footnoteRef/>
      </w:r>
      <w:r w:rsidRPr="00F829BF">
        <w:rPr>
          <w:sz w:val="18"/>
          <w:szCs w:val="18"/>
        </w:rPr>
        <w:t xml:space="preserve"> Brabant G, </w:t>
      </w:r>
      <w:proofErr w:type="spellStart"/>
      <w:r w:rsidRPr="00F829BF">
        <w:rPr>
          <w:sz w:val="18"/>
          <w:szCs w:val="18"/>
        </w:rPr>
        <w:t>Ocran</w:t>
      </w:r>
      <w:proofErr w:type="spellEnd"/>
      <w:r w:rsidRPr="00F829BF">
        <w:rPr>
          <w:sz w:val="18"/>
          <w:szCs w:val="18"/>
        </w:rPr>
        <w:t xml:space="preserve"> K, </w:t>
      </w:r>
      <w:proofErr w:type="spellStart"/>
      <w:r w:rsidRPr="00F829BF">
        <w:rPr>
          <w:sz w:val="18"/>
          <w:szCs w:val="18"/>
        </w:rPr>
        <w:t>Ranft</w:t>
      </w:r>
      <w:proofErr w:type="spellEnd"/>
      <w:r w:rsidRPr="00F829BF">
        <w:rPr>
          <w:sz w:val="18"/>
          <w:szCs w:val="18"/>
        </w:rPr>
        <w:t xml:space="preserve"> U, </w:t>
      </w:r>
      <w:r w:rsidRPr="00786F95">
        <w:rPr>
          <w:i/>
          <w:iCs/>
          <w:sz w:val="18"/>
          <w:szCs w:val="18"/>
        </w:rPr>
        <w:t>et al.</w:t>
      </w:r>
      <w:r w:rsidRPr="00F829BF">
        <w:rPr>
          <w:sz w:val="18"/>
          <w:szCs w:val="18"/>
        </w:rPr>
        <w:t xml:space="preserve"> Physiological regulation of</w:t>
      </w:r>
      <w:r>
        <w:rPr>
          <w:sz w:val="18"/>
          <w:szCs w:val="18"/>
        </w:rPr>
        <w:t xml:space="preserve"> </w:t>
      </w:r>
      <w:proofErr w:type="spellStart"/>
      <w:r>
        <w:rPr>
          <w:sz w:val="18"/>
          <w:szCs w:val="18"/>
        </w:rPr>
        <w:t>thyrotropin</w:t>
      </w:r>
      <w:proofErr w:type="spellEnd"/>
      <w:r>
        <w:rPr>
          <w:sz w:val="18"/>
          <w:szCs w:val="18"/>
        </w:rPr>
        <w:t xml:space="preserve">. </w:t>
      </w:r>
      <w:proofErr w:type="spellStart"/>
      <w:r w:rsidRPr="00786F95">
        <w:rPr>
          <w:i/>
          <w:iCs/>
          <w:sz w:val="18"/>
          <w:szCs w:val="18"/>
        </w:rPr>
        <w:t>Biochimie</w:t>
      </w:r>
      <w:proofErr w:type="spellEnd"/>
      <w:r>
        <w:rPr>
          <w:sz w:val="18"/>
          <w:szCs w:val="18"/>
        </w:rPr>
        <w:t>, 1989;</w:t>
      </w:r>
      <w:r w:rsidRPr="00F829BF">
        <w:rPr>
          <w:sz w:val="18"/>
          <w:szCs w:val="18"/>
        </w:rPr>
        <w:t>71:293 – 301</w:t>
      </w:r>
    </w:p>
  </w:footnote>
  <w:footnote w:id="9">
    <w:p w:rsidR="00020DAB" w:rsidRPr="00F829BF" w:rsidRDefault="00020DAB" w:rsidP="00F829BF">
      <w:pPr>
        <w:pStyle w:val="FootnoteText"/>
        <w:rPr>
          <w:sz w:val="18"/>
          <w:szCs w:val="18"/>
        </w:rPr>
      </w:pPr>
      <w:r w:rsidRPr="00F829BF">
        <w:rPr>
          <w:rStyle w:val="FootnoteReference"/>
          <w:sz w:val="18"/>
          <w:szCs w:val="18"/>
        </w:rPr>
        <w:footnoteRef/>
      </w:r>
      <w:r w:rsidRPr="00F829BF">
        <w:rPr>
          <w:sz w:val="18"/>
          <w:szCs w:val="18"/>
        </w:rPr>
        <w:t xml:space="preserve"> </w:t>
      </w:r>
      <w:proofErr w:type="spellStart"/>
      <w:r w:rsidRPr="00F829BF">
        <w:rPr>
          <w:sz w:val="18"/>
          <w:szCs w:val="18"/>
        </w:rPr>
        <w:t>Capen</w:t>
      </w:r>
      <w:proofErr w:type="spellEnd"/>
      <w:r w:rsidRPr="00F829BF">
        <w:rPr>
          <w:sz w:val="18"/>
          <w:szCs w:val="18"/>
        </w:rPr>
        <w:t xml:space="preserve"> CC. Mechanistic data and risk assessment of selected toxic end points of the thyroid gland. </w:t>
      </w:r>
      <w:proofErr w:type="spellStart"/>
      <w:r w:rsidRPr="00786F95">
        <w:rPr>
          <w:i/>
          <w:iCs/>
          <w:sz w:val="18"/>
          <w:szCs w:val="18"/>
        </w:rPr>
        <w:t>Toxicol</w:t>
      </w:r>
      <w:proofErr w:type="spellEnd"/>
      <w:r w:rsidRPr="00786F95">
        <w:rPr>
          <w:i/>
          <w:iCs/>
          <w:sz w:val="18"/>
          <w:szCs w:val="18"/>
        </w:rPr>
        <w:t xml:space="preserve"> </w:t>
      </w:r>
      <w:proofErr w:type="spellStart"/>
      <w:r w:rsidRPr="00786F95">
        <w:rPr>
          <w:i/>
          <w:iCs/>
          <w:sz w:val="18"/>
          <w:szCs w:val="18"/>
        </w:rPr>
        <w:t>Pathol</w:t>
      </w:r>
      <w:proofErr w:type="spellEnd"/>
      <w:r w:rsidRPr="00F829BF">
        <w:rPr>
          <w:sz w:val="18"/>
          <w:szCs w:val="18"/>
        </w:rPr>
        <w:t>. 1997</w:t>
      </w:r>
      <w:proofErr w:type="gramStart"/>
      <w:r w:rsidRPr="00F829BF">
        <w:rPr>
          <w:sz w:val="18"/>
          <w:szCs w:val="18"/>
        </w:rPr>
        <w:t>;25</w:t>
      </w:r>
      <w:proofErr w:type="gramEnd"/>
      <w:r w:rsidRPr="00F829BF">
        <w:rPr>
          <w:sz w:val="18"/>
          <w:szCs w:val="18"/>
        </w:rPr>
        <w:t>(1):39‐48.</w:t>
      </w:r>
    </w:p>
  </w:footnote>
  <w:footnote w:id="10">
    <w:p w:rsidR="00020DAB" w:rsidRPr="00F829BF" w:rsidRDefault="00020DAB" w:rsidP="00F829BF">
      <w:pPr>
        <w:pStyle w:val="FootnoteText"/>
        <w:rPr>
          <w:sz w:val="18"/>
          <w:szCs w:val="18"/>
        </w:rPr>
      </w:pPr>
      <w:r w:rsidRPr="00F829BF">
        <w:rPr>
          <w:rStyle w:val="FootnoteReference"/>
          <w:sz w:val="18"/>
          <w:szCs w:val="18"/>
        </w:rPr>
        <w:footnoteRef/>
      </w:r>
      <w:r w:rsidRPr="00F829BF">
        <w:rPr>
          <w:sz w:val="18"/>
          <w:szCs w:val="18"/>
        </w:rPr>
        <w:t xml:space="preserve"> </w:t>
      </w:r>
      <w:proofErr w:type="spellStart"/>
      <w:r w:rsidRPr="00F829BF">
        <w:rPr>
          <w:sz w:val="18"/>
          <w:szCs w:val="18"/>
        </w:rPr>
        <w:t>Hannet</w:t>
      </w:r>
      <w:proofErr w:type="spellEnd"/>
      <w:r w:rsidRPr="00F829BF">
        <w:rPr>
          <w:sz w:val="18"/>
          <w:szCs w:val="18"/>
        </w:rPr>
        <w:t xml:space="preserve">, I., </w:t>
      </w:r>
      <w:proofErr w:type="spellStart"/>
      <w:r w:rsidRPr="00F829BF">
        <w:rPr>
          <w:sz w:val="18"/>
          <w:szCs w:val="18"/>
        </w:rPr>
        <w:t>Erkeller‐Yuksel</w:t>
      </w:r>
      <w:proofErr w:type="spellEnd"/>
      <w:r w:rsidRPr="00F829BF">
        <w:rPr>
          <w:sz w:val="18"/>
          <w:szCs w:val="18"/>
        </w:rPr>
        <w:t xml:space="preserve">, F., </w:t>
      </w:r>
      <w:proofErr w:type="spellStart"/>
      <w:r w:rsidRPr="00F829BF">
        <w:rPr>
          <w:sz w:val="18"/>
          <w:szCs w:val="18"/>
        </w:rPr>
        <w:t>Lydyard</w:t>
      </w:r>
      <w:proofErr w:type="spellEnd"/>
      <w:r w:rsidRPr="00F829BF">
        <w:rPr>
          <w:sz w:val="18"/>
          <w:szCs w:val="18"/>
        </w:rPr>
        <w:t>, P.</w:t>
      </w:r>
      <w:r>
        <w:rPr>
          <w:sz w:val="18"/>
          <w:szCs w:val="18"/>
        </w:rPr>
        <w:t xml:space="preserve"> </w:t>
      </w:r>
      <w:r w:rsidRPr="00786F95">
        <w:rPr>
          <w:i/>
          <w:iCs/>
          <w:sz w:val="18"/>
          <w:szCs w:val="18"/>
        </w:rPr>
        <w:t>et al.</w:t>
      </w:r>
      <w:r>
        <w:rPr>
          <w:sz w:val="18"/>
          <w:szCs w:val="18"/>
        </w:rPr>
        <w:t xml:space="preserve"> </w:t>
      </w:r>
      <w:r w:rsidRPr="00F829BF">
        <w:rPr>
          <w:sz w:val="18"/>
          <w:szCs w:val="18"/>
        </w:rPr>
        <w:t>Developmental and</w:t>
      </w:r>
      <w:r>
        <w:rPr>
          <w:sz w:val="18"/>
          <w:szCs w:val="18"/>
        </w:rPr>
        <w:t xml:space="preserve"> </w:t>
      </w:r>
      <w:r w:rsidRPr="00F829BF">
        <w:rPr>
          <w:sz w:val="18"/>
          <w:szCs w:val="18"/>
        </w:rPr>
        <w:t xml:space="preserve">Maturational Changes in Human Blood Lymphocyte Subpopulations. </w:t>
      </w:r>
      <w:proofErr w:type="spellStart"/>
      <w:proofErr w:type="gramStart"/>
      <w:r w:rsidRPr="00786F95">
        <w:rPr>
          <w:i/>
          <w:iCs/>
          <w:sz w:val="18"/>
          <w:szCs w:val="18"/>
        </w:rPr>
        <w:t>Immunol</w:t>
      </w:r>
      <w:proofErr w:type="spellEnd"/>
      <w:r w:rsidRPr="00786F95">
        <w:rPr>
          <w:i/>
          <w:iCs/>
          <w:sz w:val="18"/>
          <w:szCs w:val="18"/>
        </w:rPr>
        <w:t>.</w:t>
      </w:r>
      <w:proofErr w:type="gramEnd"/>
      <w:r w:rsidRPr="00786F95">
        <w:rPr>
          <w:i/>
          <w:iCs/>
          <w:sz w:val="18"/>
          <w:szCs w:val="18"/>
        </w:rPr>
        <w:t xml:space="preserve"> Today,</w:t>
      </w:r>
      <w:r w:rsidRPr="00F829BF">
        <w:rPr>
          <w:sz w:val="18"/>
          <w:szCs w:val="18"/>
        </w:rPr>
        <w:t xml:space="preserve"> 1992; 13:215‐218.</w:t>
      </w:r>
    </w:p>
  </w:footnote>
  <w:footnote w:id="11">
    <w:p w:rsidR="00020DAB" w:rsidRPr="00F829BF" w:rsidRDefault="00020DAB" w:rsidP="00F829BF">
      <w:pPr>
        <w:pStyle w:val="FootnoteText"/>
        <w:rPr>
          <w:sz w:val="18"/>
          <w:szCs w:val="18"/>
        </w:rPr>
      </w:pPr>
      <w:r w:rsidRPr="00F829BF">
        <w:rPr>
          <w:rStyle w:val="FootnoteReference"/>
          <w:sz w:val="18"/>
          <w:szCs w:val="18"/>
        </w:rPr>
        <w:footnoteRef/>
      </w:r>
      <w:r w:rsidRPr="00F829BF">
        <w:rPr>
          <w:sz w:val="18"/>
          <w:szCs w:val="18"/>
        </w:rPr>
        <w:t xml:space="preserve"> </w:t>
      </w:r>
      <w:proofErr w:type="spellStart"/>
      <w:r w:rsidRPr="00F829BF">
        <w:rPr>
          <w:sz w:val="18"/>
          <w:szCs w:val="18"/>
        </w:rPr>
        <w:t>Luster</w:t>
      </w:r>
      <w:proofErr w:type="spellEnd"/>
      <w:r w:rsidRPr="00F829BF">
        <w:rPr>
          <w:sz w:val="18"/>
          <w:szCs w:val="18"/>
        </w:rPr>
        <w:t xml:space="preserve">, M.I., </w:t>
      </w:r>
      <w:proofErr w:type="spellStart"/>
      <w:r w:rsidRPr="00F829BF">
        <w:rPr>
          <w:sz w:val="18"/>
          <w:szCs w:val="18"/>
        </w:rPr>
        <w:t>Portier</w:t>
      </w:r>
      <w:proofErr w:type="spellEnd"/>
      <w:r w:rsidRPr="00F829BF">
        <w:rPr>
          <w:sz w:val="18"/>
          <w:szCs w:val="18"/>
        </w:rPr>
        <w:t xml:space="preserve">, C., </w:t>
      </w:r>
      <w:proofErr w:type="spellStart"/>
      <w:r w:rsidRPr="00F829BF">
        <w:rPr>
          <w:sz w:val="18"/>
          <w:szCs w:val="18"/>
        </w:rPr>
        <w:t>Pait</w:t>
      </w:r>
      <w:proofErr w:type="spellEnd"/>
      <w:r w:rsidRPr="00F829BF">
        <w:rPr>
          <w:sz w:val="18"/>
          <w:szCs w:val="18"/>
        </w:rPr>
        <w:t xml:space="preserve">, D.G., </w:t>
      </w:r>
      <w:r w:rsidRPr="00786F95">
        <w:rPr>
          <w:i/>
          <w:iCs/>
          <w:sz w:val="18"/>
          <w:szCs w:val="18"/>
        </w:rPr>
        <w:t>et al</w:t>
      </w:r>
      <w:r>
        <w:rPr>
          <w:sz w:val="18"/>
          <w:szCs w:val="18"/>
        </w:rPr>
        <w:t xml:space="preserve">. </w:t>
      </w:r>
      <w:r w:rsidRPr="00F829BF">
        <w:rPr>
          <w:sz w:val="18"/>
          <w:szCs w:val="18"/>
        </w:rPr>
        <w:t xml:space="preserve">Risk Assessment in </w:t>
      </w:r>
      <w:proofErr w:type="spellStart"/>
      <w:r w:rsidRPr="00F829BF">
        <w:rPr>
          <w:sz w:val="18"/>
          <w:szCs w:val="18"/>
        </w:rPr>
        <w:t>Immunotoxicology</w:t>
      </w:r>
      <w:proofErr w:type="spellEnd"/>
      <w:r w:rsidRPr="00F829BF">
        <w:rPr>
          <w:sz w:val="18"/>
          <w:szCs w:val="18"/>
        </w:rPr>
        <w:t xml:space="preserve"> I: Sensitivity and Predictability of Immune Tests. </w:t>
      </w:r>
      <w:proofErr w:type="spellStart"/>
      <w:proofErr w:type="gramStart"/>
      <w:r w:rsidRPr="00786F95">
        <w:rPr>
          <w:i/>
          <w:iCs/>
          <w:sz w:val="18"/>
          <w:szCs w:val="18"/>
        </w:rPr>
        <w:t>Fundam</w:t>
      </w:r>
      <w:proofErr w:type="spellEnd"/>
      <w:r w:rsidRPr="00786F95">
        <w:rPr>
          <w:i/>
          <w:iCs/>
          <w:sz w:val="18"/>
          <w:szCs w:val="18"/>
        </w:rPr>
        <w:t>.</w:t>
      </w:r>
      <w:proofErr w:type="gramEnd"/>
      <w:r w:rsidRPr="00786F95">
        <w:rPr>
          <w:i/>
          <w:iCs/>
          <w:sz w:val="18"/>
          <w:szCs w:val="18"/>
        </w:rPr>
        <w:t xml:space="preserve"> Appl. </w:t>
      </w:r>
      <w:proofErr w:type="spellStart"/>
      <w:r w:rsidRPr="00786F95">
        <w:rPr>
          <w:i/>
          <w:iCs/>
          <w:sz w:val="18"/>
          <w:szCs w:val="18"/>
        </w:rPr>
        <w:t>Toxicol</w:t>
      </w:r>
      <w:proofErr w:type="spellEnd"/>
      <w:r w:rsidRPr="00F829BF">
        <w:rPr>
          <w:sz w:val="18"/>
          <w:szCs w:val="18"/>
        </w:rPr>
        <w:t>. 1992; 18:200‐210</w:t>
      </w:r>
      <w:r>
        <w:rPr>
          <w:sz w:val="18"/>
          <w:szCs w:val="18"/>
        </w:rPr>
        <w:t>.</w:t>
      </w:r>
    </w:p>
  </w:footnote>
  <w:footnote w:id="12">
    <w:p w:rsidR="00020DAB" w:rsidRPr="00F829BF" w:rsidRDefault="00020DAB" w:rsidP="00F829BF">
      <w:pPr>
        <w:pStyle w:val="FootnoteText"/>
        <w:rPr>
          <w:sz w:val="18"/>
          <w:szCs w:val="18"/>
        </w:rPr>
      </w:pPr>
      <w:r w:rsidRPr="00F829BF">
        <w:rPr>
          <w:rStyle w:val="FootnoteReference"/>
          <w:sz w:val="18"/>
          <w:szCs w:val="18"/>
        </w:rPr>
        <w:footnoteRef/>
      </w:r>
      <w:r w:rsidRPr="00F829BF">
        <w:rPr>
          <w:sz w:val="18"/>
          <w:szCs w:val="18"/>
        </w:rPr>
        <w:t xml:space="preserve"> Proctor GB, Carpenter GH. </w:t>
      </w:r>
      <w:proofErr w:type="spellStart"/>
      <w:r w:rsidRPr="00F829BF">
        <w:rPr>
          <w:sz w:val="18"/>
          <w:szCs w:val="18"/>
        </w:rPr>
        <w:t>Auton</w:t>
      </w:r>
      <w:proofErr w:type="spellEnd"/>
      <w:r w:rsidRPr="00F829BF">
        <w:rPr>
          <w:sz w:val="18"/>
          <w:szCs w:val="18"/>
        </w:rPr>
        <w:t xml:space="preserve"> </w:t>
      </w:r>
      <w:proofErr w:type="spellStart"/>
      <w:r w:rsidRPr="00F829BF">
        <w:rPr>
          <w:sz w:val="18"/>
          <w:szCs w:val="18"/>
        </w:rPr>
        <w:t>Neurosci</w:t>
      </w:r>
      <w:proofErr w:type="spellEnd"/>
      <w:r w:rsidRPr="00F829BF">
        <w:rPr>
          <w:sz w:val="18"/>
          <w:szCs w:val="18"/>
        </w:rPr>
        <w:t xml:space="preserve">. </w:t>
      </w:r>
      <w:proofErr w:type="gramStart"/>
      <w:r w:rsidRPr="00F829BF">
        <w:rPr>
          <w:sz w:val="18"/>
          <w:szCs w:val="18"/>
        </w:rPr>
        <w:t>Regulation of salivary gland function</w:t>
      </w:r>
      <w:proofErr w:type="gramEnd"/>
      <w:r w:rsidRPr="00F829BF">
        <w:rPr>
          <w:sz w:val="18"/>
          <w:szCs w:val="18"/>
        </w:rPr>
        <w:t xml:space="preserve"> by autonomic</w:t>
      </w:r>
      <w:r>
        <w:rPr>
          <w:sz w:val="18"/>
          <w:szCs w:val="18"/>
        </w:rPr>
        <w:t xml:space="preserve"> </w:t>
      </w:r>
      <w:r w:rsidRPr="00F829BF">
        <w:rPr>
          <w:sz w:val="18"/>
          <w:szCs w:val="18"/>
        </w:rPr>
        <w:t>nerves. 2007</w:t>
      </w:r>
      <w:proofErr w:type="gramStart"/>
      <w:r w:rsidRPr="00F829BF">
        <w:rPr>
          <w:sz w:val="18"/>
          <w:szCs w:val="18"/>
        </w:rPr>
        <w:t>;133</w:t>
      </w:r>
      <w:proofErr w:type="gramEnd"/>
      <w:r w:rsidRPr="00F829BF">
        <w:rPr>
          <w:sz w:val="18"/>
          <w:szCs w:val="18"/>
        </w:rPr>
        <w:t>(1):3‐18.</w:t>
      </w:r>
    </w:p>
  </w:footnote>
  <w:footnote w:id="13">
    <w:p w:rsidR="00020DAB" w:rsidRPr="00DA6E66" w:rsidRDefault="00020DAB" w:rsidP="00DA6E66">
      <w:pPr>
        <w:pStyle w:val="FootnoteText"/>
        <w:rPr>
          <w:sz w:val="18"/>
          <w:szCs w:val="18"/>
        </w:rPr>
      </w:pPr>
      <w:r w:rsidRPr="00DA6E66">
        <w:rPr>
          <w:rStyle w:val="FootnoteReference"/>
          <w:sz w:val="18"/>
          <w:szCs w:val="18"/>
        </w:rPr>
        <w:footnoteRef/>
      </w:r>
      <w:r w:rsidRPr="00DA6E66">
        <w:rPr>
          <w:sz w:val="18"/>
          <w:szCs w:val="18"/>
        </w:rPr>
        <w:t xml:space="preserve"> Mortensen J T, </w:t>
      </w:r>
      <w:proofErr w:type="spellStart"/>
      <w:r w:rsidRPr="00DA6E66">
        <w:rPr>
          <w:sz w:val="18"/>
          <w:szCs w:val="18"/>
        </w:rPr>
        <w:t>Brinck</w:t>
      </w:r>
      <w:proofErr w:type="spellEnd"/>
      <w:r w:rsidRPr="00DA6E66">
        <w:rPr>
          <w:sz w:val="18"/>
          <w:szCs w:val="18"/>
        </w:rPr>
        <w:t xml:space="preserve"> P, Lichtenberg J</w:t>
      </w:r>
      <w:r>
        <w:rPr>
          <w:sz w:val="18"/>
          <w:szCs w:val="18"/>
        </w:rPr>
        <w:t>.</w:t>
      </w:r>
      <w:r w:rsidRPr="00DA6E66">
        <w:rPr>
          <w:sz w:val="18"/>
          <w:szCs w:val="18"/>
        </w:rPr>
        <w:t xml:space="preserve"> The </w:t>
      </w:r>
      <w:proofErr w:type="spellStart"/>
      <w:r w:rsidRPr="00DA6E66">
        <w:rPr>
          <w:sz w:val="18"/>
          <w:szCs w:val="18"/>
        </w:rPr>
        <w:t>minipig</w:t>
      </w:r>
      <w:proofErr w:type="spellEnd"/>
      <w:r w:rsidRPr="00DA6E66">
        <w:rPr>
          <w:sz w:val="18"/>
          <w:szCs w:val="18"/>
        </w:rPr>
        <w:t xml:space="preserve"> in dermal toxicology. </w:t>
      </w:r>
      <w:proofErr w:type="gramStart"/>
      <w:r w:rsidRPr="00DA6E66">
        <w:rPr>
          <w:sz w:val="18"/>
          <w:szCs w:val="18"/>
        </w:rPr>
        <w:t xml:space="preserve">A </w:t>
      </w:r>
      <w:r>
        <w:rPr>
          <w:sz w:val="18"/>
          <w:szCs w:val="18"/>
        </w:rPr>
        <w:t>l</w:t>
      </w:r>
      <w:r w:rsidRPr="00DA6E66">
        <w:rPr>
          <w:sz w:val="18"/>
          <w:szCs w:val="18"/>
        </w:rPr>
        <w:t xml:space="preserve">iterature </w:t>
      </w:r>
      <w:r>
        <w:rPr>
          <w:sz w:val="18"/>
          <w:szCs w:val="18"/>
        </w:rPr>
        <w:t>r</w:t>
      </w:r>
      <w:r w:rsidRPr="00DA6E66">
        <w:rPr>
          <w:sz w:val="18"/>
          <w:szCs w:val="18"/>
        </w:rPr>
        <w:t>eview.</w:t>
      </w:r>
      <w:proofErr w:type="gramEnd"/>
      <w:r>
        <w:rPr>
          <w:sz w:val="18"/>
          <w:szCs w:val="18"/>
        </w:rPr>
        <w:t xml:space="preserve"> </w:t>
      </w:r>
      <w:r w:rsidRPr="00DA1782">
        <w:rPr>
          <w:i/>
          <w:iCs/>
          <w:sz w:val="18"/>
          <w:szCs w:val="18"/>
        </w:rPr>
        <w:t>Scand. J. Lab. Anim. Sci</w:t>
      </w:r>
      <w:r>
        <w:rPr>
          <w:sz w:val="18"/>
          <w:szCs w:val="18"/>
        </w:rPr>
        <w:t>. Suppl. l. 1998;</w:t>
      </w:r>
      <w:r w:rsidRPr="00DA6E66">
        <w:rPr>
          <w:sz w:val="18"/>
          <w:szCs w:val="18"/>
        </w:rPr>
        <w:t>25:77‐83</w:t>
      </w:r>
    </w:p>
  </w:footnote>
  <w:footnote w:id="14">
    <w:p w:rsidR="00020DAB" w:rsidRPr="00DA6E66" w:rsidRDefault="00020DAB" w:rsidP="00DA6E66">
      <w:pPr>
        <w:pStyle w:val="FootnoteText"/>
        <w:rPr>
          <w:sz w:val="18"/>
          <w:szCs w:val="18"/>
        </w:rPr>
      </w:pPr>
      <w:r w:rsidRPr="00DA6E66">
        <w:rPr>
          <w:rStyle w:val="FootnoteReference"/>
          <w:sz w:val="18"/>
          <w:szCs w:val="18"/>
        </w:rPr>
        <w:footnoteRef/>
      </w:r>
      <w:r w:rsidRPr="00DA6E66">
        <w:rPr>
          <w:sz w:val="18"/>
          <w:szCs w:val="18"/>
        </w:rPr>
        <w:t xml:space="preserve"> Bode G, </w:t>
      </w:r>
      <w:proofErr w:type="spellStart"/>
      <w:r w:rsidRPr="00DA6E66">
        <w:rPr>
          <w:sz w:val="18"/>
          <w:szCs w:val="18"/>
        </w:rPr>
        <w:t>Clausing</w:t>
      </w:r>
      <w:proofErr w:type="spellEnd"/>
      <w:r w:rsidRPr="00DA6E66">
        <w:rPr>
          <w:sz w:val="18"/>
          <w:szCs w:val="18"/>
        </w:rPr>
        <w:t xml:space="preserve"> P, </w:t>
      </w:r>
      <w:proofErr w:type="spellStart"/>
      <w:r w:rsidRPr="00DA6E66">
        <w:rPr>
          <w:sz w:val="18"/>
          <w:szCs w:val="18"/>
        </w:rPr>
        <w:t>Gervais</w:t>
      </w:r>
      <w:proofErr w:type="spellEnd"/>
      <w:r w:rsidRPr="00DA6E66">
        <w:rPr>
          <w:sz w:val="18"/>
          <w:szCs w:val="18"/>
        </w:rPr>
        <w:t xml:space="preserve"> F, </w:t>
      </w:r>
      <w:r w:rsidRPr="00DA1782">
        <w:rPr>
          <w:i/>
          <w:iCs/>
          <w:sz w:val="18"/>
          <w:szCs w:val="18"/>
        </w:rPr>
        <w:t>et al</w:t>
      </w:r>
      <w:r w:rsidRPr="00DA6E66">
        <w:rPr>
          <w:sz w:val="18"/>
          <w:szCs w:val="18"/>
        </w:rPr>
        <w:t xml:space="preserve">. </w:t>
      </w:r>
      <w:proofErr w:type="gramStart"/>
      <w:r w:rsidRPr="00DA6E66">
        <w:rPr>
          <w:sz w:val="18"/>
          <w:szCs w:val="18"/>
        </w:rPr>
        <w:t xml:space="preserve">The utility of the </w:t>
      </w:r>
      <w:proofErr w:type="spellStart"/>
      <w:r w:rsidRPr="00DA6E66">
        <w:rPr>
          <w:sz w:val="18"/>
          <w:szCs w:val="18"/>
        </w:rPr>
        <w:t>minipig</w:t>
      </w:r>
      <w:proofErr w:type="spellEnd"/>
      <w:r w:rsidRPr="00DA6E66">
        <w:rPr>
          <w:sz w:val="18"/>
          <w:szCs w:val="18"/>
        </w:rPr>
        <w:t xml:space="preserve"> as an</w:t>
      </w:r>
      <w:r>
        <w:rPr>
          <w:sz w:val="18"/>
          <w:szCs w:val="18"/>
        </w:rPr>
        <w:t xml:space="preserve"> </w:t>
      </w:r>
      <w:r w:rsidRPr="00DA6E66">
        <w:rPr>
          <w:sz w:val="18"/>
          <w:szCs w:val="18"/>
        </w:rPr>
        <w:t>animal model in regulatory toxicology.</w:t>
      </w:r>
      <w:proofErr w:type="gramEnd"/>
      <w:r w:rsidRPr="00DA6E66">
        <w:rPr>
          <w:sz w:val="18"/>
          <w:szCs w:val="18"/>
        </w:rPr>
        <w:t xml:space="preserve"> </w:t>
      </w:r>
      <w:proofErr w:type="gramStart"/>
      <w:r w:rsidRPr="00DA1782">
        <w:rPr>
          <w:i/>
          <w:iCs/>
          <w:sz w:val="18"/>
          <w:szCs w:val="18"/>
        </w:rPr>
        <w:t xml:space="preserve">J </w:t>
      </w:r>
      <w:proofErr w:type="spellStart"/>
      <w:r w:rsidRPr="00DA1782">
        <w:rPr>
          <w:i/>
          <w:iCs/>
          <w:sz w:val="18"/>
          <w:szCs w:val="18"/>
        </w:rPr>
        <w:t>Pharmacol</w:t>
      </w:r>
      <w:proofErr w:type="spellEnd"/>
      <w:r w:rsidRPr="00DA1782">
        <w:rPr>
          <w:i/>
          <w:iCs/>
          <w:sz w:val="18"/>
          <w:szCs w:val="18"/>
        </w:rPr>
        <w:t xml:space="preserve"> </w:t>
      </w:r>
      <w:proofErr w:type="spellStart"/>
      <w:r w:rsidRPr="00DA1782">
        <w:rPr>
          <w:i/>
          <w:iCs/>
          <w:sz w:val="18"/>
          <w:szCs w:val="18"/>
        </w:rPr>
        <w:t>Toxicol</w:t>
      </w:r>
      <w:proofErr w:type="spellEnd"/>
      <w:r w:rsidRPr="00DA1782">
        <w:rPr>
          <w:i/>
          <w:iCs/>
          <w:sz w:val="18"/>
          <w:szCs w:val="18"/>
        </w:rPr>
        <w:t xml:space="preserve"> Methods</w:t>
      </w:r>
      <w:r w:rsidRPr="00DA6E66">
        <w:rPr>
          <w:sz w:val="18"/>
          <w:szCs w:val="18"/>
        </w:rPr>
        <w:t>.</w:t>
      </w:r>
      <w:proofErr w:type="gramEnd"/>
      <w:r>
        <w:rPr>
          <w:sz w:val="18"/>
          <w:szCs w:val="18"/>
        </w:rPr>
        <w:t xml:space="preserve"> 2010;</w:t>
      </w:r>
      <w:r w:rsidRPr="00DA6E66">
        <w:rPr>
          <w:sz w:val="18"/>
          <w:szCs w:val="18"/>
        </w:rPr>
        <w:t>62:196–220</w:t>
      </w:r>
    </w:p>
  </w:footnote>
  <w:footnote w:id="15">
    <w:p w:rsidR="00020DAB" w:rsidRPr="00DA6E66" w:rsidRDefault="00020DAB" w:rsidP="00DA6E66">
      <w:pPr>
        <w:pStyle w:val="FootnoteText"/>
        <w:rPr>
          <w:sz w:val="18"/>
          <w:szCs w:val="18"/>
        </w:rPr>
      </w:pPr>
      <w:r w:rsidRPr="00DA6E66">
        <w:rPr>
          <w:rStyle w:val="FootnoteReference"/>
          <w:sz w:val="18"/>
          <w:szCs w:val="18"/>
        </w:rPr>
        <w:footnoteRef/>
      </w:r>
      <w:r w:rsidRPr="00DA6E66">
        <w:rPr>
          <w:sz w:val="18"/>
          <w:szCs w:val="18"/>
        </w:rPr>
        <w:t xml:space="preserve"> van </w:t>
      </w:r>
      <w:proofErr w:type="spellStart"/>
      <w:r w:rsidRPr="00DA6E66">
        <w:rPr>
          <w:sz w:val="18"/>
          <w:szCs w:val="18"/>
        </w:rPr>
        <w:t>der</w:t>
      </w:r>
      <w:proofErr w:type="spellEnd"/>
      <w:r w:rsidRPr="00DA6E66">
        <w:rPr>
          <w:sz w:val="18"/>
          <w:szCs w:val="18"/>
        </w:rPr>
        <w:t xml:space="preserve"> </w:t>
      </w:r>
      <w:proofErr w:type="spellStart"/>
      <w:r w:rsidRPr="00DA6E66">
        <w:rPr>
          <w:sz w:val="18"/>
          <w:szCs w:val="18"/>
        </w:rPr>
        <w:t>Laan</w:t>
      </w:r>
      <w:proofErr w:type="spellEnd"/>
      <w:r w:rsidRPr="00DA6E66">
        <w:rPr>
          <w:sz w:val="18"/>
          <w:szCs w:val="18"/>
        </w:rPr>
        <w:t xml:space="preserve"> JW, </w:t>
      </w:r>
      <w:proofErr w:type="spellStart"/>
      <w:r w:rsidRPr="00DA6E66">
        <w:rPr>
          <w:sz w:val="18"/>
          <w:szCs w:val="18"/>
        </w:rPr>
        <w:t>Brightwell</w:t>
      </w:r>
      <w:proofErr w:type="spellEnd"/>
      <w:r w:rsidRPr="00DA6E66">
        <w:rPr>
          <w:sz w:val="18"/>
          <w:szCs w:val="18"/>
        </w:rPr>
        <w:t xml:space="preserve"> J, </w:t>
      </w:r>
      <w:proofErr w:type="spellStart"/>
      <w:r w:rsidRPr="00DA6E66">
        <w:rPr>
          <w:sz w:val="18"/>
          <w:szCs w:val="18"/>
        </w:rPr>
        <w:t>McAnulty</w:t>
      </w:r>
      <w:proofErr w:type="spellEnd"/>
      <w:r w:rsidRPr="00DA6E66">
        <w:rPr>
          <w:sz w:val="18"/>
          <w:szCs w:val="18"/>
        </w:rPr>
        <w:t xml:space="preserve"> P</w:t>
      </w:r>
      <w:r>
        <w:rPr>
          <w:sz w:val="18"/>
          <w:szCs w:val="18"/>
        </w:rPr>
        <w:t xml:space="preserve">. </w:t>
      </w:r>
      <w:r w:rsidRPr="00DA1782">
        <w:rPr>
          <w:i/>
          <w:iCs/>
          <w:sz w:val="18"/>
          <w:szCs w:val="18"/>
        </w:rPr>
        <w:t>et al</w:t>
      </w:r>
      <w:r>
        <w:rPr>
          <w:i/>
          <w:iCs/>
          <w:sz w:val="18"/>
          <w:szCs w:val="18"/>
        </w:rPr>
        <w:t xml:space="preserve"> </w:t>
      </w:r>
      <w:r w:rsidRPr="00DA6E66">
        <w:rPr>
          <w:sz w:val="18"/>
          <w:szCs w:val="18"/>
        </w:rPr>
        <w:t xml:space="preserve">Regulatory acceptability of the </w:t>
      </w:r>
      <w:proofErr w:type="spellStart"/>
      <w:r w:rsidRPr="00DA6E66">
        <w:rPr>
          <w:sz w:val="18"/>
          <w:szCs w:val="18"/>
        </w:rPr>
        <w:t>minipig</w:t>
      </w:r>
      <w:proofErr w:type="spellEnd"/>
      <w:r>
        <w:rPr>
          <w:sz w:val="18"/>
          <w:szCs w:val="18"/>
        </w:rPr>
        <w:t xml:space="preserve"> </w:t>
      </w:r>
      <w:r w:rsidRPr="00DA6E66">
        <w:rPr>
          <w:sz w:val="18"/>
          <w:szCs w:val="18"/>
        </w:rPr>
        <w:t>in the development of pharmaceuticals, chemicals and other products</w:t>
      </w:r>
      <w:r>
        <w:rPr>
          <w:sz w:val="18"/>
          <w:szCs w:val="18"/>
        </w:rPr>
        <w:t>.</w:t>
      </w:r>
      <w:r w:rsidRPr="00DA6E66">
        <w:rPr>
          <w:sz w:val="18"/>
          <w:szCs w:val="18"/>
        </w:rPr>
        <w:t xml:space="preserve"> </w:t>
      </w:r>
      <w:proofErr w:type="gramStart"/>
      <w:r w:rsidRPr="00DA1782">
        <w:rPr>
          <w:i/>
          <w:iCs/>
          <w:sz w:val="18"/>
          <w:szCs w:val="18"/>
        </w:rPr>
        <w:t xml:space="preserve">J </w:t>
      </w:r>
      <w:proofErr w:type="spellStart"/>
      <w:r w:rsidRPr="00DA1782">
        <w:rPr>
          <w:i/>
          <w:iCs/>
          <w:sz w:val="18"/>
          <w:szCs w:val="18"/>
        </w:rPr>
        <w:t>Pharmacol</w:t>
      </w:r>
      <w:proofErr w:type="spellEnd"/>
      <w:r w:rsidRPr="00DA1782">
        <w:rPr>
          <w:i/>
          <w:iCs/>
          <w:sz w:val="18"/>
          <w:szCs w:val="18"/>
        </w:rPr>
        <w:t xml:space="preserve"> </w:t>
      </w:r>
      <w:proofErr w:type="spellStart"/>
      <w:r w:rsidRPr="00DA1782">
        <w:rPr>
          <w:i/>
          <w:iCs/>
          <w:sz w:val="18"/>
          <w:szCs w:val="18"/>
        </w:rPr>
        <w:t>Toxicol</w:t>
      </w:r>
      <w:proofErr w:type="spellEnd"/>
      <w:r w:rsidRPr="00DA1782">
        <w:rPr>
          <w:i/>
          <w:iCs/>
          <w:sz w:val="18"/>
          <w:szCs w:val="18"/>
        </w:rPr>
        <w:t xml:space="preserve"> Methods</w:t>
      </w:r>
      <w:r>
        <w:rPr>
          <w:sz w:val="18"/>
          <w:szCs w:val="18"/>
        </w:rPr>
        <w:t>.</w:t>
      </w:r>
      <w:proofErr w:type="gramEnd"/>
      <w:r>
        <w:rPr>
          <w:sz w:val="18"/>
          <w:szCs w:val="18"/>
        </w:rPr>
        <w:t xml:space="preserve"> 2010:62:</w:t>
      </w:r>
      <w:r w:rsidRPr="00DA6E66">
        <w:rPr>
          <w:sz w:val="18"/>
          <w:szCs w:val="18"/>
        </w:rPr>
        <w:t>184–195</w:t>
      </w:r>
    </w:p>
  </w:footnote>
  <w:footnote w:id="16">
    <w:p w:rsidR="00020DAB" w:rsidRPr="00DA6E66" w:rsidRDefault="00020DAB" w:rsidP="00DA6E66">
      <w:pPr>
        <w:pStyle w:val="FootnoteText"/>
        <w:rPr>
          <w:sz w:val="18"/>
          <w:szCs w:val="18"/>
        </w:rPr>
      </w:pPr>
      <w:r w:rsidRPr="00DA6E66">
        <w:rPr>
          <w:rStyle w:val="FootnoteReference"/>
          <w:sz w:val="18"/>
          <w:szCs w:val="18"/>
        </w:rPr>
        <w:footnoteRef/>
      </w:r>
      <w:r w:rsidRPr="00DA6E66">
        <w:rPr>
          <w:sz w:val="18"/>
          <w:szCs w:val="18"/>
        </w:rPr>
        <w:t xml:space="preserve"> Swindle MM, Makin A, Herron AJ, </w:t>
      </w:r>
      <w:r w:rsidRPr="00DA1782">
        <w:rPr>
          <w:i/>
          <w:iCs/>
          <w:sz w:val="18"/>
          <w:szCs w:val="18"/>
        </w:rPr>
        <w:t>et al</w:t>
      </w:r>
      <w:r w:rsidRPr="00DA6E66">
        <w:rPr>
          <w:sz w:val="18"/>
          <w:szCs w:val="18"/>
        </w:rPr>
        <w:t>. Swine as models in biomedical research</w:t>
      </w:r>
      <w:r>
        <w:rPr>
          <w:sz w:val="18"/>
          <w:szCs w:val="18"/>
        </w:rPr>
        <w:t xml:space="preserve"> </w:t>
      </w:r>
      <w:r w:rsidRPr="00DA6E66">
        <w:rPr>
          <w:sz w:val="18"/>
          <w:szCs w:val="18"/>
        </w:rPr>
        <w:t xml:space="preserve">and toxicology testing. </w:t>
      </w:r>
      <w:r w:rsidRPr="00DA1782">
        <w:rPr>
          <w:i/>
          <w:iCs/>
          <w:sz w:val="18"/>
          <w:szCs w:val="18"/>
        </w:rPr>
        <w:t xml:space="preserve">Vet </w:t>
      </w:r>
      <w:proofErr w:type="spellStart"/>
      <w:r w:rsidRPr="00DA1782">
        <w:rPr>
          <w:i/>
          <w:iCs/>
          <w:sz w:val="18"/>
          <w:szCs w:val="18"/>
        </w:rPr>
        <w:t>Pathol</w:t>
      </w:r>
      <w:proofErr w:type="spellEnd"/>
      <w:r w:rsidRPr="00DA6E66">
        <w:rPr>
          <w:sz w:val="18"/>
          <w:szCs w:val="18"/>
        </w:rPr>
        <w:t>. 2012; 49(2):344‐56</w:t>
      </w:r>
    </w:p>
  </w:footnote>
  <w:footnote w:id="17">
    <w:p w:rsidR="00020DAB" w:rsidRPr="00DC0EEC" w:rsidRDefault="00020DAB">
      <w:pPr>
        <w:pStyle w:val="FootnoteText"/>
        <w:rPr>
          <w:sz w:val="18"/>
          <w:szCs w:val="18"/>
        </w:rPr>
      </w:pPr>
      <w:r w:rsidRPr="00DC0EEC">
        <w:rPr>
          <w:rStyle w:val="FootnoteReference"/>
          <w:sz w:val="18"/>
          <w:szCs w:val="18"/>
        </w:rPr>
        <w:footnoteRef/>
      </w:r>
      <w:r w:rsidRPr="00DC0EEC">
        <w:rPr>
          <w:sz w:val="18"/>
          <w:szCs w:val="18"/>
        </w:rPr>
        <w:t xml:space="preserve"> </w:t>
      </w:r>
      <w:proofErr w:type="spellStart"/>
      <w:r w:rsidRPr="00DC0EEC">
        <w:rPr>
          <w:sz w:val="18"/>
          <w:szCs w:val="18"/>
        </w:rPr>
        <w:t>Traczewski</w:t>
      </w:r>
      <w:proofErr w:type="spellEnd"/>
      <w:r w:rsidRPr="00DC0EEC">
        <w:rPr>
          <w:sz w:val="18"/>
          <w:szCs w:val="18"/>
        </w:rPr>
        <w:t xml:space="preserve"> MM, Brown SD. Proposed MIC and disk diffusion microbiological </w:t>
      </w:r>
      <w:proofErr w:type="spellStart"/>
      <w:r w:rsidRPr="00DC0EEC">
        <w:rPr>
          <w:sz w:val="18"/>
          <w:szCs w:val="18"/>
        </w:rPr>
        <w:t>cutoffs</w:t>
      </w:r>
      <w:proofErr w:type="spellEnd"/>
      <w:r w:rsidRPr="00DC0EEC">
        <w:rPr>
          <w:sz w:val="18"/>
          <w:szCs w:val="18"/>
        </w:rPr>
        <w:t xml:space="preserve"> and spectrum of activity of retapamulin, a novel topical antimicrobial agent. </w:t>
      </w:r>
      <w:proofErr w:type="spellStart"/>
      <w:r w:rsidRPr="00DC0EEC">
        <w:rPr>
          <w:i/>
          <w:iCs/>
          <w:sz w:val="18"/>
          <w:szCs w:val="18"/>
        </w:rPr>
        <w:t>Antimicrob</w:t>
      </w:r>
      <w:proofErr w:type="spellEnd"/>
      <w:r w:rsidRPr="00DC0EEC">
        <w:rPr>
          <w:i/>
          <w:iCs/>
          <w:sz w:val="18"/>
          <w:szCs w:val="18"/>
        </w:rPr>
        <w:t xml:space="preserve"> Agents </w:t>
      </w:r>
      <w:proofErr w:type="spellStart"/>
      <w:r w:rsidRPr="00DC0EEC">
        <w:rPr>
          <w:i/>
          <w:iCs/>
          <w:sz w:val="18"/>
          <w:szCs w:val="18"/>
        </w:rPr>
        <w:t>Chemother</w:t>
      </w:r>
      <w:proofErr w:type="spellEnd"/>
      <w:r w:rsidRPr="00DC0EEC">
        <w:rPr>
          <w:sz w:val="18"/>
          <w:szCs w:val="18"/>
        </w:rPr>
        <w:t xml:space="preserve"> 2008;52:3863-7</w:t>
      </w:r>
    </w:p>
  </w:footnote>
  <w:footnote w:id="18">
    <w:p w:rsidR="00020DAB" w:rsidRPr="00DC0EEC" w:rsidRDefault="00020DAB">
      <w:pPr>
        <w:pStyle w:val="FootnoteText"/>
        <w:rPr>
          <w:sz w:val="18"/>
          <w:szCs w:val="18"/>
        </w:rPr>
      </w:pPr>
      <w:r w:rsidRPr="00DC0EEC">
        <w:rPr>
          <w:rStyle w:val="FootnoteReference"/>
          <w:sz w:val="18"/>
          <w:szCs w:val="18"/>
        </w:rPr>
        <w:footnoteRef/>
      </w:r>
      <w:r w:rsidRPr="00DC0EEC">
        <w:rPr>
          <w:sz w:val="18"/>
          <w:szCs w:val="18"/>
        </w:rPr>
        <w:t xml:space="preserve"> QT interval is a measure of the time between the start of the Q wave and the end of the T wave in the heart's electrical cycle. A lengthened QT interval is a biomarker for ventricular </w:t>
      </w:r>
      <w:proofErr w:type="spellStart"/>
      <w:r w:rsidRPr="00DC0EEC">
        <w:rPr>
          <w:sz w:val="18"/>
          <w:szCs w:val="18"/>
        </w:rPr>
        <w:t>tachyarrhythmias</w:t>
      </w:r>
      <w:proofErr w:type="spellEnd"/>
      <w:r w:rsidRPr="00DC0EEC">
        <w:rPr>
          <w:sz w:val="18"/>
          <w:szCs w:val="18"/>
        </w:rPr>
        <w:t xml:space="preserve"> like torsades de pointes and a risk factor for sudden death. </w:t>
      </w:r>
      <w:proofErr w:type="spellStart"/>
      <w:r w:rsidRPr="00DC0EEC">
        <w:rPr>
          <w:sz w:val="18"/>
          <w:szCs w:val="18"/>
        </w:rPr>
        <w:t>QTc</w:t>
      </w:r>
      <w:proofErr w:type="spellEnd"/>
      <w:r w:rsidRPr="00DC0EEC">
        <w:rPr>
          <w:sz w:val="18"/>
          <w:szCs w:val="18"/>
        </w:rPr>
        <w:t xml:space="preserve"> is QT interval corrected for heart rate.</w:t>
      </w:r>
    </w:p>
  </w:footnote>
  <w:footnote w:id="19">
    <w:p w:rsidR="00020DAB" w:rsidRPr="00A41BB9" w:rsidRDefault="00020DAB">
      <w:pPr>
        <w:pStyle w:val="FootnoteText"/>
        <w:rPr>
          <w:sz w:val="18"/>
          <w:szCs w:val="18"/>
        </w:rPr>
      </w:pPr>
      <w:r w:rsidRPr="00A41BB9">
        <w:rPr>
          <w:rStyle w:val="FootnoteReference"/>
          <w:sz w:val="18"/>
          <w:szCs w:val="18"/>
        </w:rPr>
        <w:footnoteRef/>
      </w:r>
      <w:r w:rsidRPr="00A41BB9">
        <w:rPr>
          <w:sz w:val="18"/>
          <w:szCs w:val="18"/>
        </w:rPr>
        <w:t xml:space="preserve"> Details of these are beyond the scope of the AusPAR.</w:t>
      </w:r>
    </w:p>
  </w:footnote>
  <w:footnote w:id="20">
    <w:p w:rsidR="00020DAB" w:rsidRPr="00003425" w:rsidRDefault="00020DAB" w:rsidP="00AE5570">
      <w:pPr>
        <w:pStyle w:val="FootnoteText"/>
        <w:rPr>
          <w:sz w:val="18"/>
          <w:szCs w:val="18"/>
        </w:rPr>
      </w:pPr>
      <w:r w:rsidRPr="00003425">
        <w:rPr>
          <w:rStyle w:val="FootnoteReference"/>
          <w:sz w:val="18"/>
          <w:szCs w:val="18"/>
        </w:rPr>
        <w:footnoteRef/>
      </w:r>
      <w:r w:rsidRPr="00003425">
        <w:rPr>
          <w:sz w:val="18"/>
          <w:szCs w:val="18"/>
        </w:rPr>
        <w:t xml:space="preserve"> According to the sponsor’s </w:t>
      </w:r>
      <w:r w:rsidRPr="00003425">
        <w:rPr>
          <w:i/>
          <w:iCs/>
          <w:sz w:val="18"/>
          <w:szCs w:val="18"/>
        </w:rPr>
        <w:t xml:space="preserve">Risk Assessment of Microbial Resistance </w:t>
      </w:r>
      <w:r w:rsidRPr="005C625C">
        <w:rPr>
          <w:sz w:val="18"/>
          <w:szCs w:val="18"/>
        </w:rPr>
        <w:t>document,</w:t>
      </w:r>
      <w:r w:rsidRPr="00003425">
        <w:rPr>
          <w:i/>
          <w:iCs/>
          <w:sz w:val="18"/>
          <w:szCs w:val="18"/>
        </w:rPr>
        <w:t xml:space="preserve"> </w:t>
      </w:r>
      <w:r w:rsidRPr="00003425">
        <w:rPr>
          <w:sz w:val="18"/>
          <w:szCs w:val="18"/>
        </w:rPr>
        <w:t>the</w:t>
      </w:r>
      <w:r>
        <w:rPr>
          <w:sz w:val="18"/>
          <w:szCs w:val="18"/>
        </w:rPr>
        <w:t>se ratings are defined as: High</w:t>
      </w:r>
      <w:r w:rsidRPr="00003425">
        <w:rPr>
          <w:sz w:val="18"/>
          <w:szCs w:val="18"/>
        </w:rPr>
        <w:t xml:space="preserve">: These are essential antibiotics for treatment of human infections where there are few or no alternatives for many infections. Also </w:t>
      </w:r>
      <w:r>
        <w:rPr>
          <w:sz w:val="18"/>
          <w:szCs w:val="18"/>
        </w:rPr>
        <w:t xml:space="preserve">they </w:t>
      </w:r>
      <w:r w:rsidRPr="00003425">
        <w:rPr>
          <w:sz w:val="18"/>
          <w:szCs w:val="18"/>
        </w:rPr>
        <w:t xml:space="preserve">have been called “critical”, “last </w:t>
      </w:r>
      <w:r>
        <w:rPr>
          <w:sz w:val="18"/>
          <w:szCs w:val="18"/>
        </w:rPr>
        <w:t>resort” or “</w:t>
      </w:r>
      <w:r w:rsidRPr="00003425">
        <w:rPr>
          <w:sz w:val="18"/>
          <w:szCs w:val="18"/>
        </w:rPr>
        <w:t>last line” antibiotics.</w:t>
      </w:r>
    </w:p>
    <w:p w:rsidR="00020DAB" w:rsidRDefault="00020DAB" w:rsidP="00AE5570">
      <w:pPr>
        <w:pStyle w:val="FootnoteText"/>
        <w:rPr>
          <w:sz w:val="18"/>
          <w:szCs w:val="18"/>
        </w:rPr>
      </w:pPr>
      <w:r w:rsidRPr="00003425">
        <w:rPr>
          <w:sz w:val="18"/>
          <w:szCs w:val="18"/>
        </w:rPr>
        <w:t xml:space="preserve">Medium: There are other alternatives available but less than for those classified as </w:t>
      </w:r>
    </w:p>
    <w:p w:rsidR="00020DAB" w:rsidRPr="00003425" w:rsidRDefault="00020DAB" w:rsidP="00AE5570">
      <w:pPr>
        <w:pStyle w:val="FootnoteText"/>
        <w:rPr>
          <w:sz w:val="18"/>
          <w:szCs w:val="18"/>
        </w:rPr>
      </w:pPr>
      <w:r w:rsidRPr="00003425">
        <w:rPr>
          <w:sz w:val="18"/>
          <w:szCs w:val="18"/>
        </w:rPr>
        <w:t xml:space="preserve">Low: There are a reasonable number of alternative agents in different classes available to treat most infections even if antibiotic resistance develops.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rsidP="004C239D">
    <w:pPr>
      <w:pStyle w:val="HeaderNoLin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rsidP="006E08B3">
    <w:r>
      <w:t>Therapeutic Goods Administration</w:t>
    </w:r>
  </w:p>
  <w:p w:rsidR="00020DAB" w:rsidRDefault="00020DAB"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rPr>
        <w:noProof/>
        <w:lang w:eastAsia="en-AU"/>
      </w:rPr>
    </w:pPr>
    <w:r>
      <w:rPr>
        <w:noProof/>
        <w:lang w:eastAsia="en-AU"/>
      </w:rPr>
      <w:drawing>
        <wp:anchor distT="0" distB="0" distL="114300" distR="114300" simplePos="0" relativeHeight="251658240" behindDoc="1" locked="0" layoutInCell="1" allowOverlap="1">
          <wp:simplePos x="0" y="0"/>
          <wp:positionH relativeFrom="column">
            <wp:posOffset>-1089515</wp:posOffset>
          </wp:positionH>
          <wp:positionV relativeFrom="paragraph">
            <wp:posOffset>-585470</wp:posOffset>
          </wp:positionV>
          <wp:extent cx="7568736"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20DAB" w:rsidRDefault="004B608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r>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AB" w:rsidRDefault="00020D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A68B5FA"/>
    <w:lvl w:ilvl="0">
      <w:start w:val="1"/>
      <w:numFmt w:val="decimal"/>
      <w:lvlText w:val="%1."/>
      <w:lvlJc w:val="left"/>
      <w:pPr>
        <w:tabs>
          <w:tab w:val="num" w:pos="1492"/>
        </w:tabs>
        <w:ind w:left="1492" w:hanging="360"/>
      </w:pPr>
    </w:lvl>
  </w:abstractNum>
  <w:abstractNum w:abstractNumId="1">
    <w:nsid w:val="FFFFFF7D"/>
    <w:multiLevelType w:val="singleLevel"/>
    <w:tmpl w:val="AE78B62E"/>
    <w:lvl w:ilvl="0">
      <w:start w:val="1"/>
      <w:numFmt w:val="decimal"/>
      <w:lvlText w:val="%1."/>
      <w:lvlJc w:val="left"/>
      <w:pPr>
        <w:tabs>
          <w:tab w:val="num" w:pos="1209"/>
        </w:tabs>
        <w:ind w:left="1209" w:hanging="360"/>
      </w:pPr>
    </w:lvl>
  </w:abstractNum>
  <w:abstractNum w:abstractNumId="2">
    <w:nsid w:val="FFFFFF7E"/>
    <w:multiLevelType w:val="singleLevel"/>
    <w:tmpl w:val="ECA63282"/>
    <w:lvl w:ilvl="0">
      <w:start w:val="1"/>
      <w:numFmt w:val="decimal"/>
      <w:lvlText w:val="%1."/>
      <w:lvlJc w:val="left"/>
      <w:pPr>
        <w:tabs>
          <w:tab w:val="num" w:pos="926"/>
        </w:tabs>
        <w:ind w:left="926" w:hanging="360"/>
      </w:pPr>
    </w:lvl>
  </w:abstractNum>
  <w:abstractNum w:abstractNumId="3">
    <w:nsid w:val="FFFFFF7F"/>
    <w:multiLevelType w:val="singleLevel"/>
    <w:tmpl w:val="58ECD492"/>
    <w:lvl w:ilvl="0">
      <w:start w:val="1"/>
      <w:numFmt w:val="decimal"/>
      <w:lvlText w:val="%1."/>
      <w:lvlJc w:val="left"/>
      <w:pPr>
        <w:tabs>
          <w:tab w:val="num" w:pos="643"/>
        </w:tabs>
        <w:ind w:left="643" w:hanging="360"/>
      </w:pPr>
    </w:lvl>
  </w:abstractNum>
  <w:abstractNum w:abstractNumId="4">
    <w:nsid w:val="FFFFFF80"/>
    <w:multiLevelType w:val="singleLevel"/>
    <w:tmpl w:val="8DEAF6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B045B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AB04654"/>
    <w:lvl w:ilvl="0">
      <w:start w:val="1"/>
      <w:numFmt w:val="decimal"/>
      <w:lvlText w:val="%1."/>
      <w:lvlJc w:val="left"/>
      <w:pPr>
        <w:tabs>
          <w:tab w:val="num" w:pos="360"/>
        </w:tabs>
        <w:ind w:left="360" w:hanging="360"/>
      </w:pPr>
    </w:lvl>
  </w:abstractNum>
  <w:abstractNum w:abstractNumId="7">
    <w:nsid w:val="FFFFFF89"/>
    <w:multiLevelType w:val="singleLevel"/>
    <w:tmpl w:val="22F6A228"/>
    <w:lvl w:ilvl="0">
      <w:start w:val="1"/>
      <w:numFmt w:val="bullet"/>
      <w:lvlText w:val=""/>
      <w:lvlJc w:val="left"/>
      <w:pPr>
        <w:tabs>
          <w:tab w:val="num" w:pos="360"/>
        </w:tabs>
        <w:ind w:left="360" w:hanging="360"/>
      </w:pPr>
      <w:rPr>
        <w:rFonts w:ascii="Symbol" w:hAnsi="Symbol" w:hint="default"/>
      </w:r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0DB45781"/>
    <w:multiLevelType w:val="hybridMultilevel"/>
    <w:tmpl w:val="5A8C01E2"/>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42732F6"/>
    <w:multiLevelType w:val="hybridMultilevel"/>
    <w:tmpl w:val="2FD4451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3DA6696"/>
    <w:multiLevelType w:val="hybridMultilevel"/>
    <w:tmpl w:val="623E8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283"/>
        </w:tabs>
        <w:ind w:left="283"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2B44459"/>
    <w:multiLevelType w:val="hybridMultilevel"/>
    <w:tmpl w:val="9E908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5F105AE"/>
    <w:multiLevelType w:val="hybridMultilevel"/>
    <w:tmpl w:val="456FA8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89B15D7"/>
    <w:multiLevelType w:val="hybridMultilevel"/>
    <w:tmpl w:val="3D2E60CC"/>
    <w:lvl w:ilvl="0" w:tplc="04CEB5FC">
      <w:start w:val="1"/>
      <w:numFmt w:val="bullet"/>
      <w:pStyle w:val="Bulletpoint"/>
      <w:lvlText w:val=""/>
      <w:lvlJc w:val="left"/>
      <w:pPr>
        <w:tabs>
          <w:tab w:val="num" w:pos="511"/>
        </w:tabs>
        <w:ind w:left="511"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BD0778B"/>
    <w:multiLevelType w:val="hybridMultilevel"/>
    <w:tmpl w:val="2A322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3F595D"/>
    <w:multiLevelType w:val="hybridMultilevel"/>
    <w:tmpl w:val="86B69502"/>
    <w:lvl w:ilvl="0" w:tplc="E78C7BAA">
      <w:start w:val="1"/>
      <w:numFmt w:val="bullet"/>
      <w:pStyle w:val="Instructions2"/>
      <w:lvlText w:val="­"/>
      <w:lvlJc w:val="left"/>
      <w:pPr>
        <w:ind w:left="644" w:hanging="360"/>
      </w:pPr>
      <w:rPr>
        <w:rFonts w:ascii="Calibri" w:hAnsi="Calibri" w:hint="default"/>
      </w:rPr>
    </w:lvl>
    <w:lvl w:ilvl="1" w:tplc="C1FC71FC" w:tentative="1">
      <w:start w:val="1"/>
      <w:numFmt w:val="bullet"/>
      <w:lvlText w:val="o"/>
      <w:lvlJc w:val="left"/>
      <w:pPr>
        <w:ind w:left="1610" w:hanging="360"/>
      </w:pPr>
      <w:rPr>
        <w:rFonts w:ascii="Courier New" w:hAnsi="Courier New" w:cs="Courier New" w:hint="default"/>
      </w:rPr>
    </w:lvl>
    <w:lvl w:ilvl="2" w:tplc="4A20259A" w:tentative="1">
      <w:start w:val="1"/>
      <w:numFmt w:val="bullet"/>
      <w:lvlText w:val=""/>
      <w:lvlJc w:val="left"/>
      <w:pPr>
        <w:ind w:left="2330" w:hanging="360"/>
      </w:pPr>
      <w:rPr>
        <w:rFonts w:ascii="Wingdings" w:hAnsi="Wingdings" w:hint="default"/>
      </w:rPr>
    </w:lvl>
    <w:lvl w:ilvl="3" w:tplc="CB1A636A" w:tentative="1">
      <w:start w:val="1"/>
      <w:numFmt w:val="bullet"/>
      <w:lvlText w:val=""/>
      <w:lvlJc w:val="left"/>
      <w:pPr>
        <w:ind w:left="3050" w:hanging="360"/>
      </w:pPr>
      <w:rPr>
        <w:rFonts w:ascii="Symbol" w:hAnsi="Symbol" w:hint="default"/>
      </w:rPr>
    </w:lvl>
    <w:lvl w:ilvl="4" w:tplc="51DAB0EC" w:tentative="1">
      <w:start w:val="1"/>
      <w:numFmt w:val="bullet"/>
      <w:lvlText w:val="o"/>
      <w:lvlJc w:val="left"/>
      <w:pPr>
        <w:ind w:left="3770" w:hanging="360"/>
      </w:pPr>
      <w:rPr>
        <w:rFonts w:ascii="Courier New" w:hAnsi="Courier New" w:cs="Courier New" w:hint="default"/>
      </w:rPr>
    </w:lvl>
    <w:lvl w:ilvl="5" w:tplc="04B60CE6" w:tentative="1">
      <w:start w:val="1"/>
      <w:numFmt w:val="bullet"/>
      <w:lvlText w:val=""/>
      <w:lvlJc w:val="left"/>
      <w:pPr>
        <w:ind w:left="4490" w:hanging="360"/>
      </w:pPr>
      <w:rPr>
        <w:rFonts w:ascii="Wingdings" w:hAnsi="Wingdings" w:hint="default"/>
      </w:rPr>
    </w:lvl>
    <w:lvl w:ilvl="6" w:tplc="3F46C89C" w:tentative="1">
      <w:start w:val="1"/>
      <w:numFmt w:val="bullet"/>
      <w:lvlText w:val=""/>
      <w:lvlJc w:val="left"/>
      <w:pPr>
        <w:ind w:left="5210" w:hanging="360"/>
      </w:pPr>
      <w:rPr>
        <w:rFonts w:ascii="Symbol" w:hAnsi="Symbol" w:hint="default"/>
      </w:rPr>
    </w:lvl>
    <w:lvl w:ilvl="7" w:tplc="B73AE1CE" w:tentative="1">
      <w:start w:val="1"/>
      <w:numFmt w:val="bullet"/>
      <w:lvlText w:val="o"/>
      <w:lvlJc w:val="left"/>
      <w:pPr>
        <w:ind w:left="5930" w:hanging="360"/>
      </w:pPr>
      <w:rPr>
        <w:rFonts w:ascii="Courier New" w:hAnsi="Courier New" w:cs="Courier New" w:hint="default"/>
      </w:rPr>
    </w:lvl>
    <w:lvl w:ilvl="8" w:tplc="512A5158" w:tentative="1">
      <w:start w:val="1"/>
      <w:numFmt w:val="bullet"/>
      <w:lvlText w:val=""/>
      <w:lvlJc w:val="left"/>
      <w:pPr>
        <w:ind w:left="6650" w:hanging="360"/>
      </w:pPr>
      <w:rPr>
        <w:rFonts w:ascii="Wingdings" w:hAnsi="Wingdings" w:hint="default"/>
      </w:rPr>
    </w:lvl>
  </w:abstractNum>
  <w:abstractNum w:abstractNumId="21">
    <w:nsid w:val="6D214E8B"/>
    <w:multiLevelType w:val="hybridMultilevel"/>
    <w:tmpl w:val="4426C4F8"/>
    <w:lvl w:ilvl="0" w:tplc="339433B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ADC29CB2" w:tentative="1">
      <w:start w:val="1"/>
      <w:numFmt w:val="bullet"/>
      <w:lvlText w:val="o"/>
      <w:lvlJc w:val="left"/>
      <w:pPr>
        <w:tabs>
          <w:tab w:val="num" w:pos="1440"/>
        </w:tabs>
        <w:ind w:left="1440" w:hanging="360"/>
      </w:pPr>
      <w:rPr>
        <w:rFonts w:ascii="Courier New" w:hAnsi="Courier New" w:cs="Courier New" w:hint="default"/>
      </w:rPr>
    </w:lvl>
    <w:lvl w:ilvl="2" w:tplc="F8B4A8E0" w:tentative="1">
      <w:start w:val="1"/>
      <w:numFmt w:val="bullet"/>
      <w:lvlText w:val=""/>
      <w:lvlJc w:val="left"/>
      <w:pPr>
        <w:tabs>
          <w:tab w:val="num" w:pos="2160"/>
        </w:tabs>
        <w:ind w:left="2160" w:hanging="360"/>
      </w:pPr>
      <w:rPr>
        <w:rFonts w:ascii="Wingdings" w:hAnsi="Wingdings" w:hint="default"/>
      </w:rPr>
    </w:lvl>
    <w:lvl w:ilvl="3" w:tplc="466E78B6" w:tentative="1">
      <w:start w:val="1"/>
      <w:numFmt w:val="bullet"/>
      <w:lvlText w:val=""/>
      <w:lvlJc w:val="left"/>
      <w:pPr>
        <w:tabs>
          <w:tab w:val="num" w:pos="2880"/>
        </w:tabs>
        <w:ind w:left="2880" w:hanging="360"/>
      </w:pPr>
      <w:rPr>
        <w:rFonts w:ascii="Symbol" w:hAnsi="Symbol" w:hint="default"/>
      </w:rPr>
    </w:lvl>
    <w:lvl w:ilvl="4" w:tplc="567EAC6A" w:tentative="1">
      <w:start w:val="1"/>
      <w:numFmt w:val="bullet"/>
      <w:lvlText w:val="o"/>
      <w:lvlJc w:val="left"/>
      <w:pPr>
        <w:tabs>
          <w:tab w:val="num" w:pos="3600"/>
        </w:tabs>
        <w:ind w:left="3600" w:hanging="360"/>
      </w:pPr>
      <w:rPr>
        <w:rFonts w:ascii="Courier New" w:hAnsi="Courier New" w:cs="Courier New" w:hint="default"/>
      </w:rPr>
    </w:lvl>
    <w:lvl w:ilvl="5" w:tplc="E4FC46D4" w:tentative="1">
      <w:start w:val="1"/>
      <w:numFmt w:val="bullet"/>
      <w:lvlText w:val=""/>
      <w:lvlJc w:val="left"/>
      <w:pPr>
        <w:tabs>
          <w:tab w:val="num" w:pos="4320"/>
        </w:tabs>
        <w:ind w:left="4320" w:hanging="360"/>
      </w:pPr>
      <w:rPr>
        <w:rFonts w:ascii="Wingdings" w:hAnsi="Wingdings" w:hint="default"/>
      </w:rPr>
    </w:lvl>
    <w:lvl w:ilvl="6" w:tplc="96EA1538" w:tentative="1">
      <w:start w:val="1"/>
      <w:numFmt w:val="bullet"/>
      <w:lvlText w:val=""/>
      <w:lvlJc w:val="left"/>
      <w:pPr>
        <w:tabs>
          <w:tab w:val="num" w:pos="5040"/>
        </w:tabs>
        <w:ind w:left="5040" w:hanging="360"/>
      </w:pPr>
      <w:rPr>
        <w:rFonts w:ascii="Symbol" w:hAnsi="Symbol" w:hint="default"/>
      </w:rPr>
    </w:lvl>
    <w:lvl w:ilvl="7" w:tplc="63D07D02" w:tentative="1">
      <w:start w:val="1"/>
      <w:numFmt w:val="bullet"/>
      <w:lvlText w:val="o"/>
      <w:lvlJc w:val="left"/>
      <w:pPr>
        <w:tabs>
          <w:tab w:val="num" w:pos="5760"/>
        </w:tabs>
        <w:ind w:left="5760" w:hanging="360"/>
      </w:pPr>
      <w:rPr>
        <w:rFonts w:ascii="Courier New" w:hAnsi="Courier New" w:cs="Courier New" w:hint="default"/>
      </w:rPr>
    </w:lvl>
    <w:lvl w:ilvl="8" w:tplc="2B4EBD6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8"/>
  </w:num>
  <w:num w:numId="6">
    <w:abstractNumId w:val="9"/>
  </w:num>
  <w:num w:numId="7">
    <w:abstractNumId w:val="14"/>
  </w:num>
  <w:num w:numId="8">
    <w:abstractNumId w:val="21"/>
  </w:num>
  <w:num w:numId="9">
    <w:abstractNumId w:val="13"/>
  </w:num>
  <w:num w:numId="10">
    <w:abstractNumId w:val="15"/>
  </w:num>
  <w:num w:numId="11">
    <w:abstractNumId w:val="8"/>
  </w:num>
  <w:num w:numId="12">
    <w:abstractNumId w:val="20"/>
  </w:num>
  <w:num w:numId="13">
    <w:abstractNumId w:val="17"/>
  </w:num>
  <w:num w:numId="14">
    <w:abstractNumId w:val="19"/>
  </w:num>
  <w:num w:numId="15">
    <w:abstractNumId w:val="16"/>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5"/>
  </w:num>
  <w:num w:numId="20">
    <w:abstractNumId w:val="4"/>
  </w:num>
  <w:num w:numId="21">
    <w:abstractNumId w:val="6"/>
  </w:num>
  <w:num w:numId="22">
    <w:abstractNumId w:val="3"/>
  </w:num>
  <w:num w:numId="23">
    <w:abstractNumId w:val="2"/>
  </w:num>
  <w:num w:numId="24">
    <w:abstractNumId w:val="1"/>
  </w:num>
  <w:num w:numId="25">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9874">
      <o:colormenu v:ext="edit" fillcolor="none [3206]"/>
    </o:shapedefaults>
  </w:hdrShapeDefaults>
  <w:footnotePr>
    <w:footnote w:id="-1"/>
    <w:footnote w:id="0"/>
  </w:footnotePr>
  <w:endnotePr>
    <w:endnote w:id="-1"/>
    <w:endnote w:id="0"/>
  </w:endnotePr>
  <w:compat/>
  <w:rsids>
    <w:rsidRoot w:val="007053E5"/>
    <w:rsid w:val="00002031"/>
    <w:rsid w:val="00003425"/>
    <w:rsid w:val="00004734"/>
    <w:rsid w:val="00005EDE"/>
    <w:rsid w:val="00006B22"/>
    <w:rsid w:val="0001276A"/>
    <w:rsid w:val="00020DAB"/>
    <w:rsid w:val="000246AE"/>
    <w:rsid w:val="00025C67"/>
    <w:rsid w:val="000319E1"/>
    <w:rsid w:val="00034A7C"/>
    <w:rsid w:val="0003523F"/>
    <w:rsid w:val="00042313"/>
    <w:rsid w:val="0005559E"/>
    <w:rsid w:val="00077775"/>
    <w:rsid w:val="00083C6A"/>
    <w:rsid w:val="00090471"/>
    <w:rsid w:val="00096AA7"/>
    <w:rsid w:val="000A3AED"/>
    <w:rsid w:val="000A4449"/>
    <w:rsid w:val="000A57CD"/>
    <w:rsid w:val="000B1378"/>
    <w:rsid w:val="000B3532"/>
    <w:rsid w:val="000B3882"/>
    <w:rsid w:val="000B3A75"/>
    <w:rsid w:val="000C1BC0"/>
    <w:rsid w:val="000C690F"/>
    <w:rsid w:val="000D1295"/>
    <w:rsid w:val="000D391B"/>
    <w:rsid w:val="000D3BA8"/>
    <w:rsid w:val="000D3D6D"/>
    <w:rsid w:val="000D4FC7"/>
    <w:rsid w:val="000D66E0"/>
    <w:rsid w:val="000F4869"/>
    <w:rsid w:val="000F4E15"/>
    <w:rsid w:val="000F5B42"/>
    <w:rsid w:val="000F6E6F"/>
    <w:rsid w:val="0010601F"/>
    <w:rsid w:val="00106C84"/>
    <w:rsid w:val="0010788A"/>
    <w:rsid w:val="00107A31"/>
    <w:rsid w:val="00110EA5"/>
    <w:rsid w:val="00112F56"/>
    <w:rsid w:val="0011721E"/>
    <w:rsid w:val="00125318"/>
    <w:rsid w:val="001305A2"/>
    <w:rsid w:val="00133238"/>
    <w:rsid w:val="00133742"/>
    <w:rsid w:val="001363EF"/>
    <w:rsid w:val="0014197B"/>
    <w:rsid w:val="001447CD"/>
    <w:rsid w:val="001516B1"/>
    <w:rsid w:val="00154EBB"/>
    <w:rsid w:val="00156316"/>
    <w:rsid w:val="00161C32"/>
    <w:rsid w:val="00162D14"/>
    <w:rsid w:val="00165389"/>
    <w:rsid w:val="0017693F"/>
    <w:rsid w:val="0018110E"/>
    <w:rsid w:val="00181684"/>
    <w:rsid w:val="001843C6"/>
    <w:rsid w:val="001850E0"/>
    <w:rsid w:val="001A2158"/>
    <w:rsid w:val="001A525F"/>
    <w:rsid w:val="001B09F9"/>
    <w:rsid w:val="001B6448"/>
    <w:rsid w:val="001C5F44"/>
    <w:rsid w:val="001D4D0B"/>
    <w:rsid w:val="001D6284"/>
    <w:rsid w:val="001E07CF"/>
    <w:rsid w:val="001E4BB5"/>
    <w:rsid w:val="001E59F1"/>
    <w:rsid w:val="001F49EB"/>
    <w:rsid w:val="001F6CBA"/>
    <w:rsid w:val="00201D4E"/>
    <w:rsid w:val="002076C9"/>
    <w:rsid w:val="00220B8A"/>
    <w:rsid w:val="002257F3"/>
    <w:rsid w:val="00226A9C"/>
    <w:rsid w:val="002307C5"/>
    <w:rsid w:val="00233456"/>
    <w:rsid w:val="002339A5"/>
    <w:rsid w:val="00235EA0"/>
    <w:rsid w:val="00250635"/>
    <w:rsid w:val="00257848"/>
    <w:rsid w:val="002622F6"/>
    <w:rsid w:val="002636C7"/>
    <w:rsid w:val="00267E2F"/>
    <w:rsid w:val="0027084A"/>
    <w:rsid w:val="00282926"/>
    <w:rsid w:val="00286434"/>
    <w:rsid w:val="00286689"/>
    <w:rsid w:val="00286C59"/>
    <w:rsid w:val="00291957"/>
    <w:rsid w:val="002942D1"/>
    <w:rsid w:val="0029501A"/>
    <w:rsid w:val="00296410"/>
    <w:rsid w:val="00296FA8"/>
    <w:rsid w:val="002A1631"/>
    <w:rsid w:val="002A26D2"/>
    <w:rsid w:val="002A308B"/>
    <w:rsid w:val="002A3E89"/>
    <w:rsid w:val="002A4B9D"/>
    <w:rsid w:val="002A5EC6"/>
    <w:rsid w:val="002B1638"/>
    <w:rsid w:val="002C709C"/>
    <w:rsid w:val="002D4897"/>
    <w:rsid w:val="002E4C9A"/>
    <w:rsid w:val="002E69E6"/>
    <w:rsid w:val="002F11F8"/>
    <w:rsid w:val="002F3F56"/>
    <w:rsid w:val="002F44B5"/>
    <w:rsid w:val="0031103B"/>
    <w:rsid w:val="00311AC0"/>
    <w:rsid w:val="0032134E"/>
    <w:rsid w:val="00322CEB"/>
    <w:rsid w:val="0032583B"/>
    <w:rsid w:val="00327883"/>
    <w:rsid w:val="0033471F"/>
    <w:rsid w:val="00335504"/>
    <w:rsid w:val="00335CDC"/>
    <w:rsid w:val="00336ED8"/>
    <w:rsid w:val="00345013"/>
    <w:rsid w:val="003521E8"/>
    <w:rsid w:val="00365014"/>
    <w:rsid w:val="003728F3"/>
    <w:rsid w:val="00373F67"/>
    <w:rsid w:val="0037496E"/>
    <w:rsid w:val="00386150"/>
    <w:rsid w:val="003869CA"/>
    <w:rsid w:val="003874CE"/>
    <w:rsid w:val="00390900"/>
    <w:rsid w:val="00392FFF"/>
    <w:rsid w:val="003967D1"/>
    <w:rsid w:val="003A0A63"/>
    <w:rsid w:val="003A2F26"/>
    <w:rsid w:val="003A7F6C"/>
    <w:rsid w:val="003B10E7"/>
    <w:rsid w:val="003B4D60"/>
    <w:rsid w:val="003B7E39"/>
    <w:rsid w:val="003C58DC"/>
    <w:rsid w:val="003C714B"/>
    <w:rsid w:val="003D0090"/>
    <w:rsid w:val="003D1E62"/>
    <w:rsid w:val="003E19F2"/>
    <w:rsid w:val="003E2486"/>
    <w:rsid w:val="003E3208"/>
    <w:rsid w:val="003F0B04"/>
    <w:rsid w:val="003F2095"/>
    <w:rsid w:val="003F5C68"/>
    <w:rsid w:val="0040134E"/>
    <w:rsid w:val="00420812"/>
    <w:rsid w:val="00423E99"/>
    <w:rsid w:val="00424EF2"/>
    <w:rsid w:val="004323A9"/>
    <w:rsid w:val="00440A2D"/>
    <w:rsid w:val="00454347"/>
    <w:rsid w:val="004564A7"/>
    <w:rsid w:val="004617BF"/>
    <w:rsid w:val="00463658"/>
    <w:rsid w:val="00465A7F"/>
    <w:rsid w:val="004722CC"/>
    <w:rsid w:val="0047348B"/>
    <w:rsid w:val="00476C43"/>
    <w:rsid w:val="00490145"/>
    <w:rsid w:val="00491E38"/>
    <w:rsid w:val="00493571"/>
    <w:rsid w:val="004936E4"/>
    <w:rsid w:val="00494E60"/>
    <w:rsid w:val="00497487"/>
    <w:rsid w:val="004A776A"/>
    <w:rsid w:val="004B1D8F"/>
    <w:rsid w:val="004B6083"/>
    <w:rsid w:val="004B71E2"/>
    <w:rsid w:val="004B7B76"/>
    <w:rsid w:val="004C239D"/>
    <w:rsid w:val="004C2DCA"/>
    <w:rsid w:val="004C73CD"/>
    <w:rsid w:val="004C7F70"/>
    <w:rsid w:val="004D4633"/>
    <w:rsid w:val="004E14EA"/>
    <w:rsid w:val="004E4E79"/>
    <w:rsid w:val="004F0F38"/>
    <w:rsid w:val="00501921"/>
    <w:rsid w:val="00511F64"/>
    <w:rsid w:val="00530354"/>
    <w:rsid w:val="0053625B"/>
    <w:rsid w:val="005413FD"/>
    <w:rsid w:val="005434C6"/>
    <w:rsid w:val="00543B39"/>
    <w:rsid w:val="00550096"/>
    <w:rsid w:val="00557FF9"/>
    <w:rsid w:val="00561D10"/>
    <w:rsid w:val="00563A41"/>
    <w:rsid w:val="00576378"/>
    <w:rsid w:val="00577130"/>
    <w:rsid w:val="00577945"/>
    <w:rsid w:val="00577E38"/>
    <w:rsid w:val="00585322"/>
    <w:rsid w:val="005857C6"/>
    <w:rsid w:val="00592F6E"/>
    <w:rsid w:val="00593AD1"/>
    <w:rsid w:val="005A06CC"/>
    <w:rsid w:val="005A68B6"/>
    <w:rsid w:val="005B1DA2"/>
    <w:rsid w:val="005C2578"/>
    <w:rsid w:val="005C5570"/>
    <w:rsid w:val="005C562A"/>
    <w:rsid w:val="005C625C"/>
    <w:rsid w:val="005C79A4"/>
    <w:rsid w:val="005C7C25"/>
    <w:rsid w:val="005D5442"/>
    <w:rsid w:val="005F11BC"/>
    <w:rsid w:val="005F1C1A"/>
    <w:rsid w:val="006001F8"/>
    <w:rsid w:val="00603F32"/>
    <w:rsid w:val="0061787A"/>
    <w:rsid w:val="00625A6E"/>
    <w:rsid w:val="0063121F"/>
    <w:rsid w:val="00632398"/>
    <w:rsid w:val="00640FC3"/>
    <w:rsid w:val="00642020"/>
    <w:rsid w:val="0065327D"/>
    <w:rsid w:val="0065337B"/>
    <w:rsid w:val="0065419D"/>
    <w:rsid w:val="006565A3"/>
    <w:rsid w:val="006604D8"/>
    <w:rsid w:val="006615D1"/>
    <w:rsid w:val="00664A5B"/>
    <w:rsid w:val="00667E11"/>
    <w:rsid w:val="006763D2"/>
    <w:rsid w:val="00680C08"/>
    <w:rsid w:val="006854E1"/>
    <w:rsid w:val="006931B1"/>
    <w:rsid w:val="00697565"/>
    <w:rsid w:val="006A0E86"/>
    <w:rsid w:val="006A15C0"/>
    <w:rsid w:val="006B18EC"/>
    <w:rsid w:val="006C05C7"/>
    <w:rsid w:val="006C3E2A"/>
    <w:rsid w:val="006C642F"/>
    <w:rsid w:val="006D03E5"/>
    <w:rsid w:val="006D17E9"/>
    <w:rsid w:val="006D2D93"/>
    <w:rsid w:val="006D5D3E"/>
    <w:rsid w:val="006D72CA"/>
    <w:rsid w:val="006E08B3"/>
    <w:rsid w:val="006E5100"/>
    <w:rsid w:val="006F0ADE"/>
    <w:rsid w:val="006F17AC"/>
    <w:rsid w:val="006F572E"/>
    <w:rsid w:val="006F5F1E"/>
    <w:rsid w:val="00701478"/>
    <w:rsid w:val="007021BE"/>
    <w:rsid w:val="007046D6"/>
    <w:rsid w:val="007053E5"/>
    <w:rsid w:val="00705DB0"/>
    <w:rsid w:val="0071538B"/>
    <w:rsid w:val="00722B57"/>
    <w:rsid w:val="00730A0D"/>
    <w:rsid w:val="0074253D"/>
    <w:rsid w:val="00743620"/>
    <w:rsid w:val="0074429B"/>
    <w:rsid w:val="0075775B"/>
    <w:rsid w:val="007578A9"/>
    <w:rsid w:val="007615BC"/>
    <w:rsid w:val="00762F05"/>
    <w:rsid w:val="007652FF"/>
    <w:rsid w:val="00770EF1"/>
    <w:rsid w:val="00773EF7"/>
    <w:rsid w:val="00774E1D"/>
    <w:rsid w:val="0077675A"/>
    <w:rsid w:val="00780355"/>
    <w:rsid w:val="00785721"/>
    <w:rsid w:val="00786F95"/>
    <w:rsid w:val="007872C5"/>
    <w:rsid w:val="0079091D"/>
    <w:rsid w:val="00793A59"/>
    <w:rsid w:val="007A5B8B"/>
    <w:rsid w:val="007A5F52"/>
    <w:rsid w:val="007B6E9F"/>
    <w:rsid w:val="007C1216"/>
    <w:rsid w:val="007C1AF7"/>
    <w:rsid w:val="007C7BE6"/>
    <w:rsid w:val="007D2C14"/>
    <w:rsid w:val="007E2570"/>
    <w:rsid w:val="007F0AE4"/>
    <w:rsid w:val="007F571C"/>
    <w:rsid w:val="00801564"/>
    <w:rsid w:val="00803E9C"/>
    <w:rsid w:val="00805D27"/>
    <w:rsid w:val="00816BC2"/>
    <w:rsid w:val="00821776"/>
    <w:rsid w:val="00822CED"/>
    <w:rsid w:val="00824D91"/>
    <w:rsid w:val="008321F5"/>
    <w:rsid w:val="00832369"/>
    <w:rsid w:val="00834660"/>
    <w:rsid w:val="00836BC2"/>
    <w:rsid w:val="00842151"/>
    <w:rsid w:val="00855F35"/>
    <w:rsid w:val="0085641B"/>
    <w:rsid w:val="00857136"/>
    <w:rsid w:val="008658F2"/>
    <w:rsid w:val="00877B92"/>
    <w:rsid w:val="00885B11"/>
    <w:rsid w:val="00886D15"/>
    <w:rsid w:val="00887DD8"/>
    <w:rsid w:val="00896018"/>
    <w:rsid w:val="008960DD"/>
    <w:rsid w:val="0089635C"/>
    <w:rsid w:val="008A05FA"/>
    <w:rsid w:val="008A2B9D"/>
    <w:rsid w:val="008A5E0B"/>
    <w:rsid w:val="008A6D59"/>
    <w:rsid w:val="008A76F0"/>
    <w:rsid w:val="008B20FA"/>
    <w:rsid w:val="008B4B03"/>
    <w:rsid w:val="008B596F"/>
    <w:rsid w:val="008B68F0"/>
    <w:rsid w:val="008C159F"/>
    <w:rsid w:val="008C1623"/>
    <w:rsid w:val="008C1850"/>
    <w:rsid w:val="008C51A9"/>
    <w:rsid w:val="008D3A1D"/>
    <w:rsid w:val="008D5864"/>
    <w:rsid w:val="008E155E"/>
    <w:rsid w:val="008E7846"/>
    <w:rsid w:val="008F1CCC"/>
    <w:rsid w:val="008F2967"/>
    <w:rsid w:val="008F5C87"/>
    <w:rsid w:val="008F6943"/>
    <w:rsid w:val="00902225"/>
    <w:rsid w:val="00902A21"/>
    <w:rsid w:val="00906973"/>
    <w:rsid w:val="0091343D"/>
    <w:rsid w:val="00920330"/>
    <w:rsid w:val="009219D7"/>
    <w:rsid w:val="00922D53"/>
    <w:rsid w:val="00923B70"/>
    <w:rsid w:val="00924482"/>
    <w:rsid w:val="00930237"/>
    <w:rsid w:val="0093086D"/>
    <w:rsid w:val="0093333B"/>
    <w:rsid w:val="0093469B"/>
    <w:rsid w:val="0094033D"/>
    <w:rsid w:val="00945CCB"/>
    <w:rsid w:val="00946EA5"/>
    <w:rsid w:val="009501BB"/>
    <w:rsid w:val="00963C08"/>
    <w:rsid w:val="00964615"/>
    <w:rsid w:val="00976703"/>
    <w:rsid w:val="0098585A"/>
    <w:rsid w:val="00987C4B"/>
    <w:rsid w:val="00992BA1"/>
    <w:rsid w:val="009A4CED"/>
    <w:rsid w:val="009A690D"/>
    <w:rsid w:val="009B1D12"/>
    <w:rsid w:val="009B416B"/>
    <w:rsid w:val="009C4BD5"/>
    <w:rsid w:val="009D1E2A"/>
    <w:rsid w:val="009D7B77"/>
    <w:rsid w:val="009E0BB0"/>
    <w:rsid w:val="009E2316"/>
    <w:rsid w:val="009E3FBB"/>
    <w:rsid w:val="00A07BC7"/>
    <w:rsid w:val="00A102E4"/>
    <w:rsid w:val="00A12C42"/>
    <w:rsid w:val="00A145A5"/>
    <w:rsid w:val="00A14DF7"/>
    <w:rsid w:val="00A1513E"/>
    <w:rsid w:val="00A16E70"/>
    <w:rsid w:val="00A20CF5"/>
    <w:rsid w:val="00A2266C"/>
    <w:rsid w:val="00A2509B"/>
    <w:rsid w:val="00A3246D"/>
    <w:rsid w:val="00A35D2F"/>
    <w:rsid w:val="00A3679B"/>
    <w:rsid w:val="00A36FA7"/>
    <w:rsid w:val="00A41BB9"/>
    <w:rsid w:val="00A435AE"/>
    <w:rsid w:val="00A475B7"/>
    <w:rsid w:val="00A47AF7"/>
    <w:rsid w:val="00A47C3E"/>
    <w:rsid w:val="00A50226"/>
    <w:rsid w:val="00A50AA7"/>
    <w:rsid w:val="00A60BAD"/>
    <w:rsid w:val="00A70FF1"/>
    <w:rsid w:val="00A73D59"/>
    <w:rsid w:val="00A80FF8"/>
    <w:rsid w:val="00A84E36"/>
    <w:rsid w:val="00A964D1"/>
    <w:rsid w:val="00AA0ED0"/>
    <w:rsid w:val="00AA4A79"/>
    <w:rsid w:val="00AC2B40"/>
    <w:rsid w:val="00AC2BB2"/>
    <w:rsid w:val="00AC2C3C"/>
    <w:rsid w:val="00AC3915"/>
    <w:rsid w:val="00AC512D"/>
    <w:rsid w:val="00AD0083"/>
    <w:rsid w:val="00AD42FB"/>
    <w:rsid w:val="00AD666B"/>
    <w:rsid w:val="00AE1385"/>
    <w:rsid w:val="00AE261F"/>
    <w:rsid w:val="00AE5570"/>
    <w:rsid w:val="00AE65EB"/>
    <w:rsid w:val="00AE67A7"/>
    <w:rsid w:val="00AF1D94"/>
    <w:rsid w:val="00AF60C5"/>
    <w:rsid w:val="00B009C6"/>
    <w:rsid w:val="00B01548"/>
    <w:rsid w:val="00B11F18"/>
    <w:rsid w:val="00B20F42"/>
    <w:rsid w:val="00B21D29"/>
    <w:rsid w:val="00B25034"/>
    <w:rsid w:val="00B33588"/>
    <w:rsid w:val="00B33863"/>
    <w:rsid w:val="00B37D17"/>
    <w:rsid w:val="00B4175E"/>
    <w:rsid w:val="00B452CE"/>
    <w:rsid w:val="00B47769"/>
    <w:rsid w:val="00B5225E"/>
    <w:rsid w:val="00B5271A"/>
    <w:rsid w:val="00B54C25"/>
    <w:rsid w:val="00B70341"/>
    <w:rsid w:val="00B76B91"/>
    <w:rsid w:val="00B77EB1"/>
    <w:rsid w:val="00B811C6"/>
    <w:rsid w:val="00B817F3"/>
    <w:rsid w:val="00B855B0"/>
    <w:rsid w:val="00B92E08"/>
    <w:rsid w:val="00B97753"/>
    <w:rsid w:val="00BC20CD"/>
    <w:rsid w:val="00BC622A"/>
    <w:rsid w:val="00BD3A79"/>
    <w:rsid w:val="00BE0A78"/>
    <w:rsid w:val="00BE20FA"/>
    <w:rsid w:val="00BE522E"/>
    <w:rsid w:val="00BE79F0"/>
    <w:rsid w:val="00BE7DCF"/>
    <w:rsid w:val="00BF046D"/>
    <w:rsid w:val="00BF1190"/>
    <w:rsid w:val="00BF5D04"/>
    <w:rsid w:val="00C07404"/>
    <w:rsid w:val="00C1164D"/>
    <w:rsid w:val="00C158ED"/>
    <w:rsid w:val="00C16861"/>
    <w:rsid w:val="00C251F5"/>
    <w:rsid w:val="00C404A6"/>
    <w:rsid w:val="00C40A36"/>
    <w:rsid w:val="00C44419"/>
    <w:rsid w:val="00C45E7B"/>
    <w:rsid w:val="00C471B1"/>
    <w:rsid w:val="00C53A89"/>
    <w:rsid w:val="00C6316B"/>
    <w:rsid w:val="00C634A9"/>
    <w:rsid w:val="00C64586"/>
    <w:rsid w:val="00C70D53"/>
    <w:rsid w:val="00C72F53"/>
    <w:rsid w:val="00C73D0B"/>
    <w:rsid w:val="00C74A65"/>
    <w:rsid w:val="00C772FF"/>
    <w:rsid w:val="00C80137"/>
    <w:rsid w:val="00C801AF"/>
    <w:rsid w:val="00C80256"/>
    <w:rsid w:val="00C97BBE"/>
    <w:rsid w:val="00CA4B19"/>
    <w:rsid w:val="00CA6AA9"/>
    <w:rsid w:val="00CA75E3"/>
    <w:rsid w:val="00CB100B"/>
    <w:rsid w:val="00CB217E"/>
    <w:rsid w:val="00CB6BC0"/>
    <w:rsid w:val="00CC1B7C"/>
    <w:rsid w:val="00CC362E"/>
    <w:rsid w:val="00CC727F"/>
    <w:rsid w:val="00CF126D"/>
    <w:rsid w:val="00CF15C3"/>
    <w:rsid w:val="00CF2B6F"/>
    <w:rsid w:val="00CF58B6"/>
    <w:rsid w:val="00D017ED"/>
    <w:rsid w:val="00D040D3"/>
    <w:rsid w:val="00D04C65"/>
    <w:rsid w:val="00D224FE"/>
    <w:rsid w:val="00D35641"/>
    <w:rsid w:val="00D35C5F"/>
    <w:rsid w:val="00D37B36"/>
    <w:rsid w:val="00D604E2"/>
    <w:rsid w:val="00D6493E"/>
    <w:rsid w:val="00D7301E"/>
    <w:rsid w:val="00D83AE1"/>
    <w:rsid w:val="00D855D4"/>
    <w:rsid w:val="00D909AC"/>
    <w:rsid w:val="00D93466"/>
    <w:rsid w:val="00DA1124"/>
    <w:rsid w:val="00DA1782"/>
    <w:rsid w:val="00DA50F7"/>
    <w:rsid w:val="00DA6E66"/>
    <w:rsid w:val="00DB74D4"/>
    <w:rsid w:val="00DB75B7"/>
    <w:rsid w:val="00DC0D50"/>
    <w:rsid w:val="00DC0EEC"/>
    <w:rsid w:val="00DC0EF3"/>
    <w:rsid w:val="00DC6E02"/>
    <w:rsid w:val="00DE02AE"/>
    <w:rsid w:val="00DE2032"/>
    <w:rsid w:val="00DF0699"/>
    <w:rsid w:val="00DF1D7F"/>
    <w:rsid w:val="00DF4BE4"/>
    <w:rsid w:val="00E02DE1"/>
    <w:rsid w:val="00E02FB4"/>
    <w:rsid w:val="00E04A78"/>
    <w:rsid w:val="00E120BF"/>
    <w:rsid w:val="00E17660"/>
    <w:rsid w:val="00E20571"/>
    <w:rsid w:val="00E22D07"/>
    <w:rsid w:val="00E235F7"/>
    <w:rsid w:val="00E23659"/>
    <w:rsid w:val="00E239D4"/>
    <w:rsid w:val="00E25622"/>
    <w:rsid w:val="00E26130"/>
    <w:rsid w:val="00E40B22"/>
    <w:rsid w:val="00E41BBC"/>
    <w:rsid w:val="00E45619"/>
    <w:rsid w:val="00E4588F"/>
    <w:rsid w:val="00E46DA3"/>
    <w:rsid w:val="00E51BB1"/>
    <w:rsid w:val="00E624A5"/>
    <w:rsid w:val="00E7344E"/>
    <w:rsid w:val="00E8219C"/>
    <w:rsid w:val="00E84B1E"/>
    <w:rsid w:val="00E9404C"/>
    <w:rsid w:val="00E967D0"/>
    <w:rsid w:val="00EA27D0"/>
    <w:rsid w:val="00EA469A"/>
    <w:rsid w:val="00EB0798"/>
    <w:rsid w:val="00EB40AD"/>
    <w:rsid w:val="00EB586E"/>
    <w:rsid w:val="00EB5FC8"/>
    <w:rsid w:val="00ED39DD"/>
    <w:rsid w:val="00ED3CAD"/>
    <w:rsid w:val="00ED4A30"/>
    <w:rsid w:val="00ED5A41"/>
    <w:rsid w:val="00EE1DE8"/>
    <w:rsid w:val="00EE521C"/>
    <w:rsid w:val="00EE5B1A"/>
    <w:rsid w:val="00F033EC"/>
    <w:rsid w:val="00F04F68"/>
    <w:rsid w:val="00F10EBB"/>
    <w:rsid w:val="00F12670"/>
    <w:rsid w:val="00F14B27"/>
    <w:rsid w:val="00F305DB"/>
    <w:rsid w:val="00F3148D"/>
    <w:rsid w:val="00F325C5"/>
    <w:rsid w:val="00F32FE0"/>
    <w:rsid w:val="00F35298"/>
    <w:rsid w:val="00F4251D"/>
    <w:rsid w:val="00F47333"/>
    <w:rsid w:val="00F47E37"/>
    <w:rsid w:val="00F5285D"/>
    <w:rsid w:val="00F52A52"/>
    <w:rsid w:val="00F53C07"/>
    <w:rsid w:val="00F54B65"/>
    <w:rsid w:val="00F640B6"/>
    <w:rsid w:val="00F65B9A"/>
    <w:rsid w:val="00F70947"/>
    <w:rsid w:val="00F73F87"/>
    <w:rsid w:val="00F74137"/>
    <w:rsid w:val="00F80E40"/>
    <w:rsid w:val="00F829BF"/>
    <w:rsid w:val="00F848D9"/>
    <w:rsid w:val="00F86929"/>
    <w:rsid w:val="00F93135"/>
    <w:rsid w:val="00F97F09"/>
    <w:rsid w:val="00FA237F"/>
    <w:rsid w:val="00FA5953"/>
    <w:rsid w:val="00FA5B82"/>
    <w:rsid w:val="00FA639E"/>
    <w:rsid w:val="00FB1D5C"/>
    <w:rsid w:val="00FC25E4"/>
    <w:rsid w:val="00FC4EF7"/>
    <w:rsid w:val="00FC7961"/>
    <w:rsid w:val="00FD0421"/>
    <w:rsid w:val="00FE1DEE"/>
    <w:rsid w:val="00FE3C0B"/>
    <w:rsid w:val="00FF2126"/>
    <w:rsid w:val="00FF31B0"/>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semiHidden="0" w:unhideWhenUsed="0"/>
    <w:lsdException w:name="Body Text Indent 2" w:uiPriority="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F5C8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3D0090"/>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3D0090"/>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8F5C87"/>
    <w:pPr>
      <w:spacing w:before="0" w:line="240" w:lineRule="auto"/>
    </w:pPr>
    <w:rPr>
      <w:sz w:val="18"/>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point">
    <w:name w:val="Bullet point"/>
    <w:basedOn w:val="Normal"/>
    <w:rsid w:val="00D35641"/>
    <w:pPr>
      <w:numPr>
        <w:numId w:val="5"/>
      </w:numPr>
      <w:tabs>
        <w:tab w:val="clear" w:pos="511"/>
        <w:tab w:val="num" w:pos="360"/>
        <w:tab w:val="left" w:pos="397"/>
      </w:tabs>
      <w:spacing w:before="0" w:after="180" w:line="252" w:lineRule="auto"/>
      <w:ind w:left="397" w:firstLine="0"/>
    </w:pPr>
    <w:rPr>
      <w:rFonts w:asciiTheme="minorHAnsi" w:eastAsia="Times New Roman" w:hAnsiTheme="minorHAnsi"/>
      <w:snapToGrid w:val="0"/>
      <w:kern w:val="16"/>
      <w:sz w:val="23"/>
      <w:szCs w:val="24"/>
      <w:lang w:eastAsia="en-AU"/>
    </w:rPr>
  </w:style>
  <w:style w:type="paragraph" w:styleId="FootnoteText">
    <w:name w:val="footnote text"/>
    <w:basedOn w:val="Normal"/>
    <w:link w:val="FootnoteTextChar"/>
    <w:semiHidden/>
    <w:unhideWhenUsed/>
    <w:rsid w:val="00D35641"/>
    <w:pPr>
      <w:spacing w:before="0" w:after="0" w:line="240" w:lineRule="auto"/>
    </w:pPr>
    <w:rPr>
      <w:sz w:val="20"/>
      <w:szCs w:val="20"/>
    </w:rPr>
  </w:style>
  <w:style w:type="character" w:customStyle="1" w:styleId="FootnoteTextChar">
    <w:name w:val="Footnote Text Char"/>
    <w:basedOn w:val="DefaultParagraphFont"/>
    <w:link w:val="FootnoteText"/>
    <w:semiHidden/>
    <w:rsid w:val="00D35641"/>
    <w:rPr>
      <w:rFonts w:ascii="Cambria" w:eastAsia="Cambria" w:hAnsi="Cambria" w:cs="Times New Roman"/>
      <w:sz w:val="20"/>
      <w:szCs w:val="20"/>
    </w:rPr>
  </w:style>
  <w:style w:type="character" w:styleId="FootnoteReference">
    <w:name w:val="footnote reference"/>
    <w:basedOn w:val="DefaultParagraphFont"/>
    <w:semiHidden/>
    <w:rsid w:val="00D35641"/>
    <w:rPr>
      <w:vertAlign w:val="superscript"/>
    </w:rPr>
  </w:style>
  <w:style w:type="character" w:customStyle="1" w:styleId="Heading8Char">
    <w:name w:val="Heading 8 Char"/>
    <w:basedOn w:val="DefaultParagraphFont"/>
    <w:link w:val="Heading8"/>
    <w:rsid w:val="003D0090"/>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3D0090"/>
    <w:rPr>
      <w:rFonts w:ascii="Arial" w:eastAsia="Times New Roman" w:hAnsi="Arial" w:cs="Arial"/>
      <w:kern w:val="16"/>
      <w:u w:val="single"/>
      <w:lang w:eastAsia="en-AU"/>
    </w:rPr>
  </w:style>
  <w:style w:type="paragraph" w:customStyle="1" w:styleId="FigureCaption">
    <w:name w:val="Figure Caption"/>
    <w:basedOn w:val="Normal"/>
    <w:qFormat/>
    <w:rsid w:val="003D0090"/>
    <w:pPr>
      <w:spacing w:before="0" w:after="0" w:line="276" w:lineRule="auto"/>
    </w:pPr>
    <w:rPr>
      <w:rFonts w:asciiTheme="minorHAnsi" w:eastAsiaTheme="minorEastAsia" w:hAnsiTheme="minorHAnsi" w:cstheme="minorBidi"/>
      <w:lang w:eastAsia="en-AU"/>
    </w:rPr>
  </w:style>
  <w:style w:type="paragraph" w:customStyle="1" w:styleId="TableCaption">
    <w:name w:val="Table Caption"/>
    <w:basedOn w:val="FigureCaption"/>
    <w:qFormat/>
    <w:rsid w:val="003D0090"/>
    <w:pPr>
      <w:spacing w:after="240"/>
    </w:pPr>
    <w:rPr>
      <w:sz w:val="17"/>
    </w:rPr>
  </w:style>
  <w:style w:type="paragraph" w:customStyle="1" w:styleId="Subject">
    <w:name w:val="Subject"/>
    <w:basedOn w:val="Normal"/>
    <w:qFormat/>
    <w:rsid w:val="003D0090"/>
    <w:pPr>
      <w:spacing w:before="0" w:after="200" w:line="276" w:lineRule="auto"/>
    </w:pPr>
    <w:rPr>
      <w:rFonts w:asciiTheme="minorHAnsi" w:eastAsiaTheme="minorEastAsia" w:hAnsiTheme="minorHAnsi" w:cstheme="minorBidi"/>
      <w:b/>
      <w:lang w:eastAsia="en-AU"/>
    </w:rPr>
  </w:style>
  <w:style w:type="paragraph" w:customStyle="1" w:styleId="Footnote">
    <w:name w:val="Footnote"/>
    <w:qFormat/>
    <w:rsid w:val="003D0090"/>
    <w:pPr>
      <w:spacing w:after="0" w:line="240" w:lineRule="auto"/>
    </w:pPr>
    <w:rPr>
      <w:rFonts w:ascii="Cambria" w:eastAsiaTheme="minorEastAsia" w:hAnsi="Cambria" w:cs="Times New Roman"/>
      <w:sz w:val="20"/>
      <w:szCs w:val="20"/>
      <w:lang w:eastAsia="zh-CN"/>
    </w:rPr>
  </w:style>
  <w:style w:type="paragraph" w:customStyle="1" w:styleId="Bullet1">
    <w:name w:val="Bullet 1"/>
    <w:basedOn w:val="Normal"/>
    <w:rsid w:val="003D0090"/>
    <w:pPr>
      <w:numPr>
        <w:numId w:val="9"/>
      </w:numPr>
      <w:spacing w:after="0" w:line="240" w:lineRule="auto"/>
    </w:pPr>
    <w:rPr>
      <w:rFonts w:eastAsia="Times New Roman"/>
      <w:kern w:val="24"/>
      <w:szCs w:val="24"/>
      <w:lang w:eastAsia="en-AU"/>
    </w:rPr>
  </w:style>
  <w:style w:type="paragraph" w:customStyle="1" w:styleId="Bullet2">
    <w:name w:val="Bullet 2"/>
    <w:basedOn w:val="Bullet1"/>
    <w:rsid w:val="003D0090"/>
    <w:pPr>
      <w:numPr>
        <w:numId w:val="10"/>
      </w:numPr>
      <w:tabs>
        <w:tab w:val="clear" w:pos="283"/>
        <w:tab w:val="num" w:pos="284"/>
      </w:tabs>
      <w:ind w:left="284" w:hanging="284"/>
    </w:pPr>
  </w:style>
  <w:style w:type="paragraph" w:customStyle="1" w:styleId="Heading0inTOC">
    <w:name w:val="Heading 0 (in TOC)"/>
    <w:basedOn w:val="Heading1"/>
    <w:next w:val="Normal"/>
    <w:rsid w:val="003D0090"/>
    <w:pPr>
      <w:keepLines w:val="0"/>
      <w:spacing w:before="0" w:after="120" w:line="240" w:lineRule="auto"/>
    </w:pPr>
    <w:rPr>
      <w:rFonts w:ascii="Arial" w:hAnsi="Arial" w:cstheme="minorBidi"/>
      <w:bCs w:val="0"/>
      <w:kern w:val="16"/>
      <w:sz w:val="28"/>
      <w:szCs w:val="24"/>
      <w:lang w:eastAsia="en-AU"/>
    </w:rPr>
  </w:style>
  <w:style w:type="character" w:styleId="PageNumber">
    <w:name w:val="page number"/>
    <w:rsid w:val="003D0090"/>
    <w:rPr>
      <w:sz w:val="20"/>
    </w:rPr>
  </w:style>
  <w:style w:type="paragraph" w:customStyle="1" w:styleId="TableBullet">
    <w:name w:val="Table Bullet"/>
    <w:basedOn w:val="Normal"/>
    <w:rsid w:val="003D0090"/>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3D0090"/>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3D0090"/>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3D0090"/>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3D0090"/>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3D0090"/>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3D0090"/>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3D00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3D0090"/>
    <w:rPr>
      <w:rFonts w:ascii="Cambria" w:eastAsia="Times New Roman" w:hAnsi="Cambria" w:cs="Times New Roman"/>
      <w:kern w:val="16"/>
      <w:sz w:val="20"/>
      <w:szCs w:val="20"/>
      <w:lang w:eastAsia="en-AU"/>
    </w:rPr>
  </w:style>
  <w:style w:type="character" w:styleId="EndnoteReference">
    <w:name w:val="endnote reference"/>
    <w:semiHidden/>
    <w:rsid w:val="003D0090"/>
    <w:rPr>
      <w:dstrike w:val="0"/>
      <w:vertAlign w:val="baseline"/>
    </w:rPr>
  </w:style>
  <w:style w:type="paragraph" w:customStyle="1" w:styleId="Abbreviations">
    <w:name w:val="Abbreviations"/>
    <w:basedOn w:val="Normal"/>
    <w:rsid w:val="003D009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3D0090"/>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3D009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3D009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3D0090"/>
    <w:pPr>
      <w:numPr>
        <w:numId w:val="11"/>
      </w:numPr>
      <w:ind w:left="1134" w:firstLine="0"/>
    </w:pPr>
  </w:style>
  <w:style w:type="paragraph" w:customStyle="1" w:styleId="Instructions1">
    <w:name w:val="Instructions 1"/>
    <w:basedOn w:val="Normal"/>
    <w:qFormat/>
    <w:rsid w:val="003D009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3D0090"/>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3D0090"/>
    <w:rPr>
      <w:sz w:val="16"/>
      <w:szCs w:val="16"/>
    </w:rPr>
  </w:style>
  <w:style w:type="paragraph" w:styleId="CommentText">
    <w:name w:val="annotation text"/>
    <w:basedOn w:val="Normal"/>
    <w:link w:val="CommentTextChar"/>
    <w:rsid w:val="003D00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3D0090"/>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3D0090"/>
    <w:rPr>
      <w:b/>
      <w:bCs/>
    </w:rPr>
  </w:style>
  <w:style w:type="character" w:customStyle="1" w:styleId="CommentSubjectChar">
    <w:name w:val="Comment Subject Char"/>
    <w:basedOn w:val="CommentTextChar"/>
    <w:link w:val="CommentSubject"/>
    <w:rsid w:val="003D0090"/>
    <w:rPr>
      <w:b/>
      <w:bCs/>
    </w:rPr>
  </w:style>
  <w:style w:type="paragraph" w:customStyle="1" w:styleId="Contentslist1">
    <w:name w:val="Contents list 1"/>
    <w:basedOn w:val="Normal"/>
    <w:qFormat/>
    <w:rsid w:val="003D0090"/>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3D0090"/>
  </w:style>
  <w:style w:type="paragraph" w:styleId="ListParagraph">
    <w:name w:val="List Paragraph"/>
    <w:basedOn w:val="Normal"/>
    <w:uiPriority w:val="34"/>
    <w:qFormat/>
    <w:rsid w:val="003D009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Indent">
    <w:name w:val="Body Text Indent"/>
    <w:basedOn w:val="Normal"/>
    <w:link w:val="BodyTextIndentChar"/>
    <w:rsid w:val="003D0090"/>
    <w:pPr>
      <w:spacing w:before="0" w:after="0" w:line="240" w:lineRule="auto"/>
      <w:ind w:left="2880"/>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rsid w:val="003D0090"/>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3D0090"/>
    <w:pPr>
      <w:spacing w:before="0" w:after="0" w:line="240" w:lineRule="auto"/>
      <w:ind w:left="2160" w:hanging="884"/>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rsid w:val="003D0090"/>
    <w:rPr>
      <w:rFonts w:ascii="Times New Roman" w:eastAsia="Times New Roman" w:hAnsi="Times New Roman" w:cs="Times New Roman"/>
      <w:sz w:val="24"/>
      <w:szCs w:val="20"/>
      <w:lang w:val="en-GB"/>
    </w:rPr>
  </w:style>
  <w:style w:type="character" w:customStyle="1" w:styleId="pb">
    <w:name w:val="pb"/>
    <w:basedOn w:val="DefaultParagraphFont"/>
    <w:rsid w:val="003D0090"/>
  </w:style>
  <w:style w:type="character" w:customStyle="1" w:styleId="da">
    <w:name w:val="da"/>
    <w:basedOn w:val="DefaultParagraphFont"/>
    <w:rsid w:val="003D0090"/>
  </w:style>
  <w:style w:type="character" w:customStyle="1" w:styleId="yr">
    <w:name w:val="yr"/>
    <w:basedOn w:val="DefaultParagraphFont"/>
    <w:rsid w:val="003D0090"/>
  </w:style>
  <w:style w:type="character" w:customStyle="1" w:styleId="v">
    <w:name w:val="v"/>
    <w:basedOn w:val="DefaultParagraphFont"/>
    <w:rsid w:val="003D0090"/>
  </w:style>
  <w:style w:type="character" w:customStyle="1" w:styleId="is">
    <w:name w:val="is"/>
    <w:basedOn w:val="DefaultParagraphFont"/>
    <w:rsid w:val="003D0090"/>
  </w:style>
  <w:style w:type="character" w:customStyle="1" w:styleId="ip">
    <w:name w:val="ip"/>
    <w:basedOn w:val="DefaultParagraphFont"/>
    <w:rsid w:val="003D0090"/>
  </w:style>
  <w:style w:type="character" w:customStyle="1" w:styleId="pg">
    <w:name w:val="pg"/>
    <w:basedOn w:val="DefaultParagraphFont"/>
    <w:rsid w:val="003D0090"/>
  </w:style>
  <w:style w:type="paragraph" w:customStyle="1" w:styleId="Default">
    <w:name w:val="Default"/>
    <w:rsid w:val="003D009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A-Head1">
    <w:name w:val="A-Head 1"/>
    <w:basedOn w:val="Normal"/>
    <w:rsid w:val="003D0090"/>
    <w:pPr>
      <w:tabs>
        <w:tab w:val="left" w:pos="567"/>
      </w:tabs>
      <w:spacing w:before="60" w:after="240" w:line="240" w:lineRule="auto"/>
      <w:ind w:left="567" w:hanging="567"/>
    </w:pPr>
    <w:rPr>
      <w:rFonts w:ascii="Arial" w:eastAsia="Times New Roman" w:hAnsi="Arial"/>
      <w:b/>
      <w:sz w:val="36"/>
      <w:szCs w:val="20"/>
      <w:lang w:eastAsia="en-AU"/>
    </w:rPr>
  </w:style>
  <w:style w:type="paragraph" w:customStyle="1" w:styleId="A-Head3">
    <w:name w:val="A-Head 3"/>
    <w:basedOn w:val="Normal"/>
    <w:rsid w:val="003D0090"/>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Overview3">
    <w:name w:val="Overview 3"/>
    <w:basedOn w:val="Normal"/>
    <w:rsid w:val="003D0090"/>
    <w:pPr>
      <w:spacing w:before="0" w:after="0" w:line="240" w:lineRule="auto"/>
      <w:ind w:left="-11"/>
      <w:jc w:val="both"/>
    </w:pPr>
    <w:rPr>
      <w:rFonts w:ascii="Arial" w:eastAsia="Times New Roman" w:hAnsi="Arial" w:cs="Arial"/>
      <w:b/>
      <w:sz w:val="20"/>
      <w:szCs w:val="20"/>
      <w:lang w:eastAsia="en-AU"/>
    </w:rPr>
  </w:style>
  <w:style w:type="paragraph" w:customStyle="1" w:styleId="Standard">
    <w:name w:val="Standard"/>
    <w:basedOn w:val="Normal"/>
    <w:link w:val="StandardChar"/>
    <w:rsid w:val="003D0090"/>
    <w:pPr>
      <w:spacing w:before="0" w:after="220" w:line="252" w:lineRule="auto"/>
    </w:pPr>
    <w:rPr>
      <w:rFonts w:asciiTheme="minorHAnsi" w:eastAsia="Times New Roman" w:hAnsiTheme="minorHAnsi"/>
      <w:snapToGrid w:val="0"/>
      <w:kern w:val="16"/>
      <w:sz w:val="23"/>
      <w:szCs w:val="24"/>
      <w:lang w:eastAsia="en-AU"/>
    </w:rPr>
  </w:style>
  <w:style w:type="character" w:customStyle="1" w:styleId="StandardChar">
    <w:name w:val="Standard Char"/>
    <w:basedOn w:val="DefaultParagraphFont"/>
    <w:link w:val="Standard"/>
    <w:rsid w:val="003D0090"/>
    <w:rPr>
      <w:rFonts w:eastAsia="Times New Roman" w:cs="Times New Roman"/>
      <w:snapToGrid w:val="0"/>
      <w:kern w:val="16"/>
      <w:sz w:val="23"/>
      <w:szCs w:val="24"/>
      <w:lang w:eastAsia="en-AU"/>
    </w:rPr>
  </w:style>
  <w:style w:type="paragraph" w:styleId="DocumentMap">
    <w:name w:val="Document Map"/>
    <w:basedOn w:val="Normal"/>
    <w:link w:val="DocumentMapChar"/>
    <w:uiPriority w:val="99"/>
    <w:semiHidden/>
    <w:unhideWhenUsed/>
    <w:rsid w:val="0025063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0635"/>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98589">
      <w:bodyDiv w:val="1"/>
      <w:marLeft w:val="0"/>
      <w:marRight w:val="0"/>
      <w:marTop w:val="0"/>
      <w:marBottom w:val="0"/>
      <w:divBdr>
        <w:top w:val="none" w:sz="0" w:space="0" w:color="auto"/>
        <w:left w:val="none" w:sz="0" w:space="0" w:color="auto"/>
        <w:bottom w:val="none" w:sz="0" w:space="0" w:color="auto"/>
        <w:right w:val="none" w:sz="0" w:space="0" w:color="auto"/>
      </w:divBdr>
    </w:div>
    <w:div w:id="152112649">
      <w:bodyDiv w:val="1"/>
      <w:marLeft w:val="0"/>
      <w:marRight w:val="0"/>
      <w:marTop w:val="0"/>
      <w:marBottom w:val="0"/>
      <w:divBdr>
        <w:top w:val="none" w:sz="0" w:space="0" w:color="auto"/>
        <w:left w:val="none" w:sz="0" w:space="0" w:color="auto"/>
        <w:bottom w:val="none" w:sz="0" w:space="0" w:color="auto"/>
        <w:right w:val="none" w:sz="0" w:space="0" w:color="auto"/>
      </w:divBdr>
    </w:div>
    <w:div w:id="167794105">
      <w:bodyDiv w:val="1"/>
      <w:marLeft w:val="0"/>
      <w:marRight w:val="0"/>
      <w:marTop w:val="0"/>
      <w:marBottom w:val="0"/>
      <w:divBdr>
        <w:top w:val="none" w:sz="0" w:space="0" w:color="auto"/>
        <w:left w:val="none" w:sz="0" w:space="0" w:color="auto"/>
        <w:bottom w:val="none" w:sz="0" w:space="0" w:color="auto"/>
        <w:right w:val="none" w:sz="0" w:space="0" w:color="auto"/>
      </w:divBdr>
    </w:div>
    <w:div w:id="197593270">
      <w:bodyDiv w:val="1"/>
      <w:marLeft w:val="0"/>
      <w:marRight w:val="0"/>
      <w:marTop w:val="0"/>
      <w:marBottom w:val="0"/>
      <w:divBdr>
        <w:top w:val="none" w:sz="0" w:space="0" w:color="auto"/>
        <w:left w:val="none" w:sz="0" w:space="0" w:color="auto"/>
        <w:bottom w:val="none" w:sz="0" w:space="0" w:color="auto"/>
        <w:right w:val="none" w:sz="0" w:space="0" w:color="auto"/>
      </w:divBdr>
    </w:div>
    <w:div w:id="199168970">
      <w:bodyDiv w:val="1"/>
      <w:marLeft w:val="0"/>
      <w:marRight w:val="0"/>
      <w:marTop w:val="0"/>
      <w:marBottom w:val="0"/>
      <w:divBdr>
        <w:top w:val="none" w:sz="0" w:space="0" w:color="auto"/>
        <w:left w:val="none" w:sz="0" w:space="0" w:color="auto"/>
        <w:bottom w:val="none" w:sz="0" w:space="0" w:color="auto"/>
        <w:right w:val="none" w:sz="0" w:space="0" w:color="auto"/>
      </w:divBdr>
    </w:div>
    <w:div w:id="264969574">
      <w:bodyDiv w:val="1"/>
      <w:marLeft w:val="0"/>
      <w:marRight w:val="0"/>
      <w:marTop w:val="0"/>
      <w:marBottom w:val="0"/>
      <w:divBdr>
        <w:top w:val="none" w:sz="0" w:space="0" w:color="auto"/>
        <w:left w:val="none" w:sz="0" w:space="0" w:color="auto"/>
        <w:bottom w:val="none" w:sz="0" w:space="0" w:color="auto"/>
        <w:right w:val="none" w:sz="0" w:space="0" w:color="auto"/>
      </w:divBdr>
    </w:div>
    <w:div w:id="294603360">
      <w:bodyDiv w:val="1"/>
      <w:marLeft w:val="0"/>
      <w:marRight w:val="0"/>
      <w:marTop w:val="0"/>
      <w:marBottom w:val="0"/>
      <w:divBdr>
        <w:top w:val="none" w:sz="0" w:space="0" w:color="auto"/>
        <w:left w:val="none" w:sz="0" w:space="0" w:color="auto"/>
        <w:bottom w:val="none" w:sz="0" w:space="0" w:color="auto"/>
        <w:right w:val="none" w:sz="0" w:space="0" w:color="auto"/>
      </w:divBdr>
    </w:div>
    <w:div w:id="376587400">
      <w:bodyDiv w:val="1"/>
      <w:marLeft w:val="0"/>
      <w:marRight w:val="0"/>
      <w:marTop w:val="0"/>
      <w:marBottom w:val="0"/>
      <w:divBdr>
        <w:top w:val="none" w:sz="0" w:space="0" w:color="auto"/>
        <w:left w:val="none" w:sz="0" w:space="0" w:color="auto"/>
        <w:bottom w:val="none" w:sz="0" w:space="0" w:color="auto"/>
        <w:right w:val="none" w:sz="0" w:space="0" w:color="auto"/>
      </w:divBdr>
    </w:div>
    <w:div w:id="420950541">
      <w:bodyDiv w:val="1"/>
      <w:marLeft w:val="0"/>
      <w:marRight w:val="0"/>
      <w:marTop w:val="0"/>
      <w:marBottom w:val="0"/>
      <w:divBdr>
        <w:top w:val="none" w:sz="0" w:space="0" w:color="auto"/>
        <w:left w:val="none" w:sz="0" w:space="0" w:color="auto"/>
        <w:bottom w:val="none" w:sz="0" w:space="0" w:color="auto"/>
        <w:right w:val="none" w:sz="0" w:space="0" w:color="auto"/>
      </w:divBdr>
    </w:div>
    <w:div w:id="515921864">
      <w:bodyDiv w:val="1"/>
      <w:marLeft w:val="0"/>
      <w:marRight w:val="0"/>
      <w:marTop w:val="0"/>
      <w:marBottom w:val="0"/>
      <w:divBdr>
        <w:top w:val="none" w:sz="0" w:space="0" w:color="auto"/>
        <w:left w:val="none" w:sz="0" w:space="0" w:color="auto"/>
        <w:bottom w:val="none" w:sz="0" w:space="0" w:color="auto"/>
        <w:right w:val="none" w:sz="0" w:space="0" w:color="auto"/>
      </w:divBdr>
    </w:div>
    <w:div w:id="545527549">
      <w:bodyDiv w:val="1"/>
      <w:marLeft w:val="0"/>
      <w:marRight w:val="0"/>
      <w:marTop w:val="0"/>
      <w:marBottom w:val="0"/>
      <w:divBdr>
        <w:top w:val="none" w:sz="0" w:space="0" w:color="auto"/>
        <w:left w:val="none" w:sz="0" w:space="0" w:color="auto"/>
        <w:bottom w:val="none" w:sz="0" w:space="0" w:color="auto"/>
        <w:right w:val="none" w:sz="0" w:space="0" w:color="auto"/>
      </w:divBdr>
    </w:div>
    <w:div w:id="569191407">
      <w:bodyDiv w:val="1"/>
      <w:marLeft w:val="0"/>
      <w:marRight w:val="0"/>
      <w:marTop w:val="0"/>
      <w:marBottom w:val="0"/>
      <w:divBdr>
        <w:top w:val="none" w:sz="0" w:space="0" w:color="auto"/>
        <w:left w:val="none" w:sz="0" w:space="0" w:color="auto"/>
        <w:bottom w:val="none" w:sz="0" w:space="0" w:color="auto"/>
        <w:right w:val="none" w:sz="0" w:space="0" w:color="auto"/>
      </w:divBdr>
    </w:div>
    <w:div w:id="611715873">
      <w:bodyDiv w:val="1"/>
      <w:marLeft w:val="0"/>
      <w:marRight w:val="0"/>
      <w:marTop w:val="0"/>
      <w:marBottom w:val="0"/>
      <w:divBdr>
        <w:top w:val="none" w:sz="0" w:space="0" w:color="auto"/>
        <w:left w:val="none" w:sz="0" w:space="0" w:color="auto"/>
        <w:bottom w:val="none" w:sz="0" w:space="0" w:color="auto"/>
        <w:right w:val="none" w:sz="0" w:space="0" w:color="auto"/>
      </w:divBdr>
    </w:div>
    <w:div w:id="678317497">
      <w:bodyDiv w:val="1"/>
      <w:marLeft w:val="0"/>
      <w:marRight w:val="0"/>
      <w:marTop w:val="0"/>
      <w:marBottom w:val="0"/>
      <w:divBdr>
        <w:top w:val="none" w:sz="0" w:space="0" w:color="auto"/>
        <w:left w:val="none" w:sz="0" w:space="0" w:color="auto"/>
        <w:bottom w:val="none" w:sz="0" w:space="0" w:color="auto"/>
        <w:right w:val="none" w:sz="0" w:space="0" w:color="auto"/>
      </w:divBdr>
    </w:div>
    <w:div w:id="779684350">
      <w:bodyDiv w:val="1"/>
      <w:marLeft w:val="0"/>
      <w:marRight w:val="0"/>
      <w:marTop w:val="0"/>
      <w:marBottom w:val="0"/>
      <w:divBdr>
        <w:top w:val="none" w:sz="0" w:space="0" w:color="auto"/>
        <w:left w:val="none" w:sz="0" w:space="0" w:color="auto"/>
        <w:bottom w:val="none" w:sz="0" w:space="0" w:color="auto"/>
        <w:right w:val="none" w:sz="0" w:space="0" w:color="auto"/>
      </w:divBdr>
    </w:div>
    <w:div w:id="790512820">
      <w:bodyDiv w:val="1"/>
      <w:marLeft w:val="0"/>
      <w:marRight w:val="0"/>
      <w:marTop w:val="0"/>
      <w:marBottom w:val="0"/>
      <w:divBdr>
        <w:top w:val="none" w:sz="0" w:space="0" w:color="auto"/>
        <w:left w:val="none" w:sz="0" w:space="0" w:color="auto"/>
        <w:bottom w:val="none" w:sz="0" w:space="0" w:color="auto"/>
        <w:right w:val="none" w:sz="0" w:space="0" w:color="auto"/>
      </w:divBdr>
    </w:div>
    <w:div w:id="942029710">
      <w:bodyDiv w:val="1"/>
      <w:marLeft w:val="0"/>
      <w:marRight w:val="0"/>
      <w:marTop w:val="0"/>
      <w:marBottom w:val="0"/>
      <w:divBdr>
        <w:top w:val="none" w:sz="0" w:space="0" w:color="auto"/>
        <w:left w:val="none" w:sz="0" w:space="0" w:color="auto"/>
        <w:bottom w:val="none" w:sz="0" w:space="0" w:color="auto"/>
        <w:right w:val="none" w:sz="0" w:space="0" w:color="auto"/>
      </w:divBdr>
    </w:div>
    <w:div w:id="989555670">
      <w:bodyDiv w:val="1"/>
      <w:marLeft w:val="0"/>
      <w:marRight w:val="0"/>
      <w:marTop w:val="0"/>
      <w:marBottom w:val="0"/>
      <w:divBdr>
        <w:top w:val="none" w:sz="0" w:space="0" w:color="auto"/>
        <w:left w:val="none" w:sz="0" w:space="0" w:color="auto"/>
        <w:bottom w:val="none" w:sz="0" w:space="0" w:color="auto"/>
        <w:right w:val="none" w:sz="0" w:space="0" w:color="auto"/>
      </w:divBdr>
    </w:div>
    <w:div w:id="1050374941">
      <w:bodyDiv w:val="1"/>
      <w:marLeft w:val="0"/>
      <w:marRight w:val="0"/>
      <w:marTop w:val="0"/>
      <w:marBottom w:val="0"/>
      <w:divBdr>
        <w:top w:val="none" w:sz="0" w:space="0" w:color="auto"/>
        <w:left w:val="none" w:sz="0" w:space="0" w:color="auto"/>
        <w:bottom w:val="none" w:sz="0" w:space="0" w:color="auto"/>
        <w:right w:val="none" w:sz="0" w:space="0" w:color="auto"/>
      </w:divBdr>
    </w:div>
    <w:div w:id="1063869721">
      <w:bodyDiv w:val="1"/>
      <w:marLeft w:val="0"/>
      <w:marRight w:val="0"/>
      <w:marTop w:val="0"/>
      <w:marBottom w:val="0"/>
      <w:divBdr>
        <w:top w:val="none" w:sz="0" w:space="0" w:color="auto"/>
        <w:left w:val="none" w:sz="0" w:space="0" w:color="auto"/>
        <w:bottom w:val="none" w:sz="0" w:space="0" w:color="auto"/>
        <w:right w:val="none" w:sz="0" w:space="0" w:color="auto"/>
      </w:divBdr>
    </w:div>
    <w:div w:id="1305507051">
      <w:bodyDiv w:val="1"/>
      <w:marLeft w:val="0"/>
      <w:marRight w:val="0"/>
      <w:marTop w:val="0"/>
      <w:marBottom w:val="0"/>
      <w:divBdr>
        <w:top w:val="none" w:sz="0" w:space="0" w:color="auto"/>
        <w:left w:val="none" w:sz="0" w:space="0" w:color="auto"/>
        <w:bottom w:val="none" w:sz="0" w:space="0" w:color="auto"/>
        <w:right w:val="none" w:sz="0" w:space="0" w:color="auto"/>
      </w:divBdr>
    </w:div>
    <w:div w:id="1388605841">
      <w:bodyDiv w:val="1"/>
      <w:marLeft w:val="0"/>
      <w:marRight w:val="0"/>
      <w:marTop w:val="0"/>
      <w:marBottom w:val="0"/>
      <w:divBdr>
        <w:top w:val="none" w:sz="0" w:space="0" w:color="auto"/>
        <w:left w:val="none" w:sz="0" w:space="0" w:color="auto"/>
        <w:bottom w:val="none" w:sz="0" w:space="0" w:color="auto"/>
        <w:right w:val="none" w:sz="0" w:space="0" w:color="auto"/>
      </w:divBdr>
    </w:div>
    <w:div w:id="1425375139">
      <w:bodyDiv w:val="1"/>
      <w:marLeft w:val="0"/>
      <w:marRight w:val="0"/>
      <w:marTop w:val="0"/>
      <w:marBottom w:val="0"/>
      <w:divBdr>
        <w:top w:val="none" w:sz="0" w:space="0" w:color="auto"/>
        <w:left w:val="none" w:sz="0" w:space="0" w:color="auto"/>
        <w:bottom w:val="none" w:sz="0" w:space="0" w:color="auto"/>
        <w:right w:val="none" w:sz="0" w:space="0" w:color="auto"/>
      </w:divBdr>
    </w:div>
    <w:div w:id="1436442186">
      <w:bodyDiv w:val="1"/>
      <w:marLeft w:val="0"/>
      <w:marRight w:val="0"/>
      <w:marTop w:val="0"/>
      <w:marBottom w:val="0"/>
      <w:divBdr>
        <w:top w:val="none" w:sz="0" w:space="0" w:color="auto"/>
        <w:left w:val="none" w:sz="0" w:space="0" w:color="auto"/>
        <w:bottom w:val="none" w:sz="0" w:space="0" w:color="auto"/>
        <w:right w:val="none" w:sz="0" w:space="0" w:color="auto"/>
      </w:divBdr>
    </w:div>
    <w:div w:id="1440953504">
      <w:bodyDiv w:val="1"/>
      <w:marLeft w:val="0"/>
      <w:marRight w:val="0"/>
      <w:marTop w:val="0"/>
      <w:marBottom w:val="0"/>
      <w:divBdr>
        <w:top w:val="none" w:sz="0" w:space="0" w:color="auto"/>
        <w:left w:val="none" w:sz="0" w:space="0" w:color="auto"/>
        <w:bottom w:val="none" w:sz="0" w:space="0" w:color="auto"/>
        <w:right w:val="none" w:sz="0" w:space="0" w:color="auto"/>
      </w:divBdr>
    </w:div>
    <w:div w:id="1449163153">
      <w:bodyDiv w:val="1"/>
      <w:marLeft w:val="0"/>
      <w:marRight w:val="0"/>
      <w:marTop w:val="0"/>
      <w:marBottom w:val="0"/>
      <w:divBdr>
        <w:top w:val="none" w:sz="0" w:space="0" w:color="auto"/>
        <w:left w:val="none" w:sz="0" w:space="0" w:color="auto"/>
        <w:bottom w:val="none" w:sz="0" w:space="0" w:color="auto"/>
        <w:right w:val="none" w:sz="0" w:space="0" w:color="auto"/>
      </w:divBdr>
    </w:div>
    <w:div w:id="1522740250">
      <w:bodyDiv w:val="1"/>
      <w:marLeft w:val="0"/>
      <w:marRight w:val="0"/>
      <w:marTop w:val="0"/>
      <w:marBottom w:val="0"/>
      <w:divBdr>
        <w:top w:val="none" w:sz="0" w:space="0" w:color="auto"/>
        <w:left w:val="none" w:sz="0" w:space="0" w:color="auto"/>
        <w:bottom w:val="none" w:sz="0" w:space="0" w:color="auto"/>
        <w:right w:val="none" w:sz="0" w:space="0" w:color="auto"/>
      </w:divBdr>
    </w:div>
    <w:div w:id="1547178103">
      <w:bodyDiv w:val="1"/>
      <w:marLeft w:val="0"/>
      <w:marRight w:val="0"/>
      <w:marTop w:val="0"/>
      <w:marBottom w:val="0"/>
      <w:divBdr>
        <w:top w:val="none" w:sz="0" w:space="0" w:color="auto"/>
        <w:left w:val="none" w:sz="0" w:space="0" w:color="auto"/>
        <w:bottom w:val="none" w:sz="0" w:space="0" w:color="auto"/>
        <w:right w:val="none" w:sz="0" w:space="0" w:color="auto"/>
      </w:divBdr>
    </w:div>
    <w:div w:id="1573079801">
      <w:bodyDiv w:val="1"/>
      <w:marLeft w:val="0"/>
      <w:marRight w:val="0"/>
      <w:marTop w:val="0"/>
      <w:marBottom w:val="0"/>
      <w:divBdr>
        <w:top w:val="none" w:sz="0" w:space="0" w:color="auto"/>
        <w:left w:val="none" w:sz="0" w:space="0" w:color="auto"/>
        <w:bottom w:val="none" w:sz="0" w:space="0" w:color="auto"/>
        <w:right w:val="none" w:sz="0" w:space="0" w:color="auto"/>
      </w:divBdr>
    </w:div>
    <w:div w:id="1578982385">
      <w:bodyDiv w:val="1"/>
      <w:marLeft w:val="0"/>
      <w:marRight w:val="0"/>
      <w:marTop w:val="0"/>
      <w:marBottom w:val="0"/>
      <w:divBdr>
        <w:top w:val="none" w:sz="0" w:space="0" w:color="auto"/>
        <w:left w:val="none" w:sz="0" w:space="0" w:color="auto"/>
        <w:bottom w:val="none" w:sz="0" w:space="0" w:color="auto"/>
        <w:right w:val="none" w:sz="0" w:space="0" w:color="auto"/>
      </w:divBdr>
    </w:div>
    <w:div w:id="1661422189">
      <w:bodyDiv w:val="1"/>
      <w:marLeft w:val="0"/>
      <w:marRight w:val="0"/>
      <w:marTop w:val="0"/>
      <w:marBottom w:val="0"/>
      <w:divBdr>
        <w:top w:val="none" w:sz="0" w:space="0" w:color="auto"/>
        <w:left w:val="none" w:sz="0" w:space="0" w:color="auto"/>
        <w:bottom w:val="none" w:sz="0" w:space="0" w:color="auto"/>
        <w:right w:val="none" w:sz="0" w:space="0" w:color="auto"/>
      </w:divBdr>
    </w:div>
    <w:div w:id="1679188838">
      <w:bodyDiv w:val="1"/>
      <w:marLeft w:val="0"/>
      <w:marRight w:val="0"/>
      <w:marTop w:val="0"/>
      <w:marBottom w:val="0"/>
      <w:divBdr>
        <w:top w:val="none" w:sz="0" w:space="0" w:color="auto"/>
        <w:left w:val="none" w:sz="0" w:space="0" w:color="auto"/>
        <w:bottom w:val="none" w:sz="0" w:space="0" w:color="auto"/>
        <w:right w:val="none" w:sz="0" w:space="0" w:color="auto"/>
      </w:divBdr>
    </w:div>
    <w:div w:id="1707296425">
      <w:bodyDiv w:val="1"/>
      <w:marLeft w:val="0"/>
      <w:marRight w:val="0"/>
      <w:marTop w:val="0"/>
      <w:marBottom w:val="0"/>
      <w:divBdr>
        <w:top w:val="none" w:sz="0" w:space="0" w:color="auto"/>
        <w:left w:val="none" w:sz="0" w:space="0" w:color="auto"/>
        <w:bottom w:val="none" w:sz="0" w:space="0" w:color="auto"/>
        <w:right w:val="none" w:sz="0" w:space="0" w:color="auto"/>
      </w:divBdr>
    </w:div>
    <w:div w:id="1732271293">
      <w:bodyDiv w:val="1"/>
      <w:marLeft w:val="0"/>
      <w:marRight w:val="0"/>
      <w:marTop w:val="0"/>
      <w:marBottom w:val="0"/>
      <w:divBdr>
        <w:top w:val="none" w:sz="0" w:space="0" w:color="auto"/>
        <w:left w:val="none" w:sz="0" w:space="0" w:color="auto"/>
        <w:bottom w:val="none" w:sz="0" w:space="0" w:color="auto"/>
        <w:right w:val="none" w:sz="0" w:space="0" w:color="auto"/>
      </w:divBdr>
    </w:div>
    <w:div w:id="1822649975">
      <w:bodyDiv w:val="1"/>
      <w:marLeft w:val="0"/>
      <w:marRight w:val="0"/>
      <w:marTop w:val="0"/>
      <w:marBottom w:val="0"/>
      <w:divBdr>
        <w:top w:val="none" w:sz="0" w:space="0" w:color="auto"/>
        <w:left w:val="none" w:sz="0" w:space="0" w:color="auto"/>
        <w:bottom w:val="none" w:sz="0" w:space="0" w:color="auto"/>
        <w:right w:val="none" w:sz="0" w:space="0" w:color="auto"/>
      </w:divBdr>
    </w:div>
    <w:div w:id="20230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header" Target="header7.xm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header" Target="header6.xml"/><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www.tga.gov.au/hp/information-medicines-pi.htm" TargetMode="External"/><Relationship Id="rId48"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footer" Target="footer6.xml"/><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864\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A7C71-BD92-4074-8FBA-3A7BF745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1124</TotalTime>
  <Pages>68</Pages>
  <Words>26983</Words>
  <Characters>151649</Characters>
  <Application>Microsoft Office Word</Application>
  <DocSecurity>0</DocSecurity>
  <Lines>2757</Lines>
  <Paragraphs>1038</Paragraphs>
  <ScaleCrop>false</ScaleCrop>
  <HeadingPairs>
    <vt:vector size="2" baseType="variant">
      <vt:variant>
        <vt:lpstr>Title</vt:lpstr>
      </vt:variant>
      <vt:variant>
        <vt:i4>1</vt:i4>
      </vt:variant>
    </vt:vector>
  </HeadingPairs>
  <TitlesOfParts>
    <vt:vector size="1" baseType="lpstr">
      <vt:lpstr>Australian public assessment Report for Retapamulin</vt:lpstr>
    </vt:vector>
  </TitlesOfParts>
  <Company>TGA</Company>
  <LinksUpToDate>false</LinksUpToDate>
  <CharactersWithSpaces>177594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Retapamulin</dc:title>
  <dc:subject>prescription medicine regulation</dc:subject>
  <dc:creator>Therapeutic Goods Administration</dc:creator>
  <cp:keywords>auspar, prescription, medicine, assessment, regulation, australia, retapamulin, altargo, gsk, glaxosmithkline</cp:keywords>
  <cp:lastModifiedBy>Sheppard, Fran</cp:lastModifiedBy>
  <cp:revision>179</cp:revision>
  <cp:lastPrinted>2013-09-23T03:36:00Z</cp:lastPrinted>
  <dcterms:created xsi:type="dcterms:W3CDTF">2013-10-09T05:36:00Z</dcterms:created>
  <dcterms:modified xsi:type="dcterms:W3CDTF">2013-12-10T03:28:00Z</dcterms:modified>
</cp:coreProperties>
</file>