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0F" w:rsidRPr="00F65D5C" w:rsidRDefault="00D52EA0" w:rsidP="00A30798">
      <w:pPr>
        <w:jc w:val="center"/>
        <w:rPr>
          <w:rFonts w:ascii="Arial" w:hAnsi="Arial" w:cs="Arial"/>
          <w:b/>
          <w:sz w:val="22"/>
          <w:szCs w:val="22"/>
        </w:rPr>
      </w:pPr>
      <w:r w:rsidRPr="00F65D5C">
        <w:rPr>
          <w:rFonts w:ascii="Arial" w:hAnsi="Arial" w:cs="Arial"/>
          <w:b/>
          <w:sz w:val="22"/>
          <w:szCs w:val="22"/>
        </w:rPr>
        <w:t>ALTARGO</w:t>
      </w:r>
      <w:r w:rsidR="00796D87" w:rsidRPr="00F65D5C">
        <w:rPr>
          <w:rFonts w:ascii="Arial Bold" w:hAnsi="Arial Bold" w:cs="Arial"/>
          <w:b/>
          <w:sz w:val="22"/>
          <w:szCs w:val="22"/>
          <w:vertAlign w:val="superscript"/>
        </w:rPr>
        <w:t xml:space="preserve"> </w:t>
      </w:r>
      <w:r w:rsidR="0038582E" w:rsidRPr="0038582E">
        <w:rPr>
          <w:rFonts w:ascii="Arial Bold" w:hAnsi="Arial Bold" w:cs="Arial"/>
          <w:b/>
          <w:sz w:val="26"/>
          <w:szCs w:val="22"/>
          <w:vertAlign w:val="superscript"/>
        </w:rPr>
        <w:t>®</w:t>
      </w:r>
    </w:p>
    <w:p w:rsidR="007A4294" w:rsidRPr="00453BA1" w:rsidRDefault="0077380F" w:rsidP="00A30798">
      <w:pPr>
        <w:jc w:val="center"/>
        <w:rPr>
          <w:rFonts w:ascii="Arial" w:hAnsi="Arial" w:cs="Arial"/>
          <w:b/>
          <w:sz w:val="22"/>
          <w:szCs w:val="22"/>
        </w:rPr>
      </w:pPr>
      <w:r w:rsidRPr="00453BA1">
        <w:rPr>
          <w:rFonts w:ascii="Arial" w:hAnsi="Arial" w:cs="Arial"/>
          <w:b/>
          <w:sz w:val="22"/>
          <w:szCs w:val="22"/>
        </w:rPr>
        <w:t>PRODUCT INFORMATION</w:t>
      </w:r>
    </w:p>
    <w:p w:rsidR="007A0414" w:rsidRPr="00453BA1" w:rsidRDefault="007A0414" w:rsidP="00A30798">
      <w:pPr>
        <w:jc w:val="center"/>
        <w:rPr>
          <w:rFonts w:ascii="Arial" w:hAnsi="Arial" w:cs="Arial"/>
          <w:b/>
          <w:sz w:val="22"/>
          <w:szCs w:val="22"/>
        </w:rPr>
      </w:pPr>
    </w:p>
    <w:p w:rsidR="00E81E59" w:rsidRPr="00453BA1" w:rsidRDefault="0077380F" w:rsidP="00A30798">
      <w:pPr>
        <w:jc w:val="both"/>
        <w:rPr>
          <w:rFonts w:ascii="Arial" w:hAnsi="Arial" w:cs="Arial"/>
          <w:sz w:val="22"/>
          <w:szCs w:val="22"/>
        </w:rPr>
      </w:pPr>
      <w:r w:rsidRPr="00453BA1">
        <w:rPr>
          <w:rFonts w:ascii="Arial" w:hAnsi="Arial" w:cs="Arial"/>
          <w:b/>
          <w:sz w:val="22"/>
          <w:szCs w:val="22"/>
        </w:rPr>
        <w:t>NAME OF THE MEDICINE</w:t>
      </w:r>
    </w:p>
    <w:p w:rsidR="00F65D5C" w:rsidRDefault="00F65D5C" w:rsidP="00A30798">
      <w:pPr>
        <w:jc w:val="both"/>
        <w:rPr>
          <w:rFonts w:ascii="Arial" w:hAnsi="Arial" w:cs="Arial"/>
          <w:sz w:val="22"/>
          <w:szCs w:val="22"/>
        </w:rPr>
      </w:pPr>
    </w:p>
    <w:p w:rsidR="0068359F" w:rsidRDefault="00E50499" w:rsidP="00A30798">
      <w:pPr>
        <w:jc w:val="both"/>
        <w:rPr>
          <w:rFonts w:ascii="Arial" w:hAnsi="Arial" w:cs="Arial"/>
          <w:sz w:val="22"/>
          <w:szCs w:val="22"/>
        </w:rPr>
      </w:pPr>
      <w:proofErr w:type="spellStart"/>
      <w:r>
        <w:rPr>
          <w:rFonts w:ascii="Arial" w:hAnsi="Arial" w:cs="Arial"/>
          <w:sz w:val="22"/>
          <w:szCs w:val="22"/>
        </w:rPr>
        <w:t>Retapamulin</w:t>
      </w:r>
      <w:proofErr w:type="spellEnd"/>
    </w:p>
    <w:p w:rsidR="00F65D5C" w:rsidRDefault="00F65D5C" w:rsidP="00A30798">
      <w:pPr>
        <w:jc w:val="both"/>
        <w:rPr>
          <w:rFonts w:ascii="Arial" w:hAnsi="Arial" w:cs="Arial"/>
          <w:sz w:val="22"/>
          <w:szCs w:val="22"/>
        </w:rPr>
      </w:pPr>
    </w:p>
    <w:p w:rsidR="0068359F" w:rsidRPr="00F65D5C" w:rsidRDefault="00F65D5C" w:rsidP="00A30798">
      <w:pPr>
        <w:jc w:val="both"/>
        <w:rPr>
          <w:rFonts w:ascii="Arial" w:hAnsi="Arial" w:cs="Arial"/>
          <w:sz w:val="22"/>
          <w:szCs w:val="22"/>
        </w:rPr>
      </w:pPr>
      <w:r w:rsidRPr="00F65D5C">
        <w:rPr>
          <w:rFonts w:ascii="Arial" w:hAnsi="Arial" w:cs="Arial"/>
          <w:b/>
          <w:sz w:val="22"/>
          <w:szCs w:val="22"/>
        </w:rPr>
        <w:t>Structure</w:t>
      </w:r>
      <w:r w:rsidR="00FB6AA5">
        <w:rPr>
          <w:rFonts w:ascii="Arial" w:hAnsi="Arial" w:cs="Arial"/>
          <w:b/>
          <w:sz w:val="22"/>
          <w:szCs w:val="22"/>
        </w:rPr>
        <w:t>:</w:t>
      </w:r>
    </w:p>
    <w:p w:rsidR="0068359F" w:rsidRPr="00F65D5C" w:rsidRDefault="00BE3B61" w:rsidP="00A30798">
      <w:pPr>
        <w:jc w:val="both"/>
        <w:rPr>
          <w:rFonts w:ascii="Arial" w:hAnsi="Arial" w:cs="Arial"/>
          <w:sz w:val="22"/>
          <w:szCs w:val="22"/>
        </w:rPr>
      </w:pPr>
      <w:r>
        <w:rPr>
          <w:noProof/>
          <w:color w:val="1F497D"/>
          <w:sz w:val="28"/>
          <w:szCs w:val="28"/>
        </w:rPr>
        <w:drawing>
          <wp:inline distT="0" distB="0" distL="0" distR="0">
            <wp:extent cx="4504311" cy="1958138"/>
            <wp:effectExtent l="19050" t="0" r="0" b="0"/>
            <wp:docPr id="36" name="Picture 7" descr="structure of retapamu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5.png@01CDF88E.A32BE5E0"/>
                    <pic:cNvPicPr>
                      <a:picLocks noChangeAspect="1" noChangeArrowheads="1"/>
                    </pic:cNvPicPr>
                  </pic:nvPicPr>
                  <pic:blipFill>
                    <a:blip r:embed="rId8" r:link="rId9" cstate="print"/>
                    <a:srcRect t="18980"/>
                    <a:stretch>
                      <a:fillRect/>
                    </a:stretch>
                  </pic:blipFill>
                  <pic:spPr bwMode="auto">
                    <a:xfrm>
                      <a:off x="0" y="0"/>
                      <a:ext cx="4505093" cy="1958478"/>
                    </a:xfrm>
                    <a:prstGeom prst="rect">
                      <a:avLst/>
                    </a:prstGeom>
                    <a:noFill/>
                    <a:ln w="9525">
                      <a:noFill/>
                      <a:miter lim="800000"/>
                      <a:headEnd/>
                      <a:tailEnd/>
                    </a:ln>
                  </pic:spPr>
                </pic:pic>
              </a:graphicData>
            </a:graphic>
          </wp:inline>
        </w:drawing>
      </w:r>
    </w:p>
    <w:p w:rsidR="0068359F" w:rsidRPr="00F65D5C" w:rsidRDefault="0068359F" w:rsidP="00A30798">
      <w:pPr>
        <w:jc w:val="both"/>
        <w:rPr>
          <w:rFonts w:ascii="Arial" w:hAnsi="Arial" w:cs="Arial"/>
          <w:sz w:val="22"/>
          <w:szCs w:val="22"/>
        </w:rPr>
      </w:pPr>
      <w:r w:rsidRPr="00F65D5C">
        <w:rPr>
          <w:rFonts w:ascii="Arial" w:hAnsi="Arial" w:cs="Arial"/>
          <w:b/>
          <w:sz w:val="22"/>
          <w:szCs w:val="22"/>
        </w:rPr>
        <w:t>CAS N</w:t>
      </w:r>
      <w:r w:rsidR="00F65D5C" w:rsidRPr="00F65D5C">
        <w:rPr>
          <w:rFonts w:ascii="Arial" w:hAnsi="Arial" w:cs="Arial"/>
          <w:b/>
          <w:sz w:val="22"/>
          <w:szCs w:val="22"/>
        </w:rPr>
        <w:t>umber:</w:t>
      </w:r>
      <w:r w:rsidR="00F65D5C">
        <w:rPr>
          <w:rFonts w:ascii="Arial" w:hAnsi="Arial" w:cs="Arial"/>
          <w:sz w:val="22"/>
          <w:szCs w:val="22"/>
        </w:rPr>
        <w:t xml:space="preserve"> </w:t>
      </w:r>
      <w:r w:rsidRPr="00F65D5C">
        <w:rPr>
          <w:rFonts w:ascii="Arial" w:hAnsi="Arial" w:cs="Arial"/>
          <w:sz w:val="22"/>
          <w:szCs w:val="22"/>
        </w:rPr>
        <w:t xml:space="preserve"> 224452-66-8</w:t>
      </w:r>
    </w:p>
    <w:p w:rsidR="0068359F" w:rsidRPr="00453BA1" w:rsidRDefault="0068359F" w:rsidP="00A30798">
      <w:pPr>
        <w:jc w:val="both"/>
        <w:rPr>
          <w:rFonts w:ascii="Arial" w:hAnsi="Arial" w:cs="Arial"/>
          <w:sz w:val="22"/>
          <w:szCs w:val="22"/>
        </w:rPr>
      </w:pPr>
    </w:p>
    <w:p w:rsidR="00C556BA" w:rsidRDefault="00E81E59" w:rsidP="00A30798">
      <w:pPr>
        <w:jc w:val="both"/>
        <w:rPr>
          <w:rFonts w:ascii="Arial" w:hAnsi="Arial" w:cs="Arial"/>
          <w:b/>
          <w:sz w:val="22"/>
          <w:szCs w:val="22"/>
        </w:rPr>
      </w:pPr>
      <w:r w:rsidRPr="00453BA1">
        <w:rPr>
          <w:rFonts w:ascii="Arial" w:hAnsi="Arial" w:cs="Arial"/>
          <w:b/>
          <w:sz w:val="22"/>
          <w:szCs w:val="22"/>
        </w:rPr>
        <w:t>DESCRIPTION</w:t>
      </w:r>
    </w:p>
    <w:p w:rsidR="007404FB" w:rsidRDefault="007404FB" w:rsidP="00A30798">
      <w:pPr>
        <w:jc w:val="both"/>
        <w:rPr>
          <w:rFonts w:ascii="Arial" w:hAnsi="Arial" w:cs="Arial"/>
          <w:b/>
          <w:sz w:val="22"/>
          <w:szCs w:val="22"/>
        </w:rPr>
      </w:pPr>
    </w:p>
    <w:p w:rsidR="007404FB" w:rsidRDefault="007404FB" w:rsidP="00A30798">
      <w:pPr>
        <w:jc w:val="both"/>
        <w:rPr>
          <w:rFonts w:ascii="Arial" w:hAnsi="Arial" w:cs="Arial"/>
          <w:sz w:val="22"/>
          <w:szCs w:val="22"/>
        </w:rPr>
      </w:pPr>
      <w:proofErr w:type="spellStart"/>
      <w:r>
        <w:rPr>
          <w:rFonts w:ascii="Arial" w:hAnsi="Arial" w:cs="Arial"/>
          <w:sz w:val="22"/>
          <w:szCs w:val="22"/>
        </w:rPr>
        <w:t>Retapamulin</w:t>
      </w:r>
      <w:proofErr w:type="spellEnd"/>
      <w:r>
        <w:rPr>
          <w:rFonts w:ascii="Arial" w:hAnsi="Arial" w:cs="Arial"/>
          <w:sz w:val="22"/>
          <w:szCs w:val="22"/>
        </w:rPr>
        <w:t xml:space="preserve"> is a white to pale yellow solid with a molecular weight of 517.78.</w:t>
      </w:r>
      <w:r w:rsidR="00E93790">
        <w:rPr>
          <w:rFonts w:ascii="Arial" w:hAnsi="Arial" w:cs="Arial"/>
          <w:sz w:val="22"/>
          <w:szCs w:val="22"/>
        </w:rPr>
        <w:t xml:space="preserve"> </w:t>
      </w:r>
      <w:r w:rsidR="00E93790" w:rsidRPr="00E93790">
        <w:rPr>
          <w:rFonts w:ascii="Arial" w:hAnsi="Arial" w:cs="Arial"/>
          <w:bCs/>
          <w:sz w:val="22"/>
          <w:szCs w:val="22"/>
        </w:rPr>
        <w:t xml:space="preserve">The partition coefficient (log D) of </w:t>
      </w:r>
      <w:proofErr w:type="spellStart"/>
      <w:r w:rsidR="00E93790" w:rsidRPr="00E93790">
        <w:rPr>
          <w:rFonts w:ascii="Arial" w:hAnsi="Arial" w:cs="Arial"/>
          <w:bCs/>
          <w:sz w:val="22"/>
          <w:szCs w:val="22"/>
        </w:rPr>
        <w:t>retapamulin</w:t>
      </w:r>
      <w:proofErr w:type="spellEnd"/>
      <w:r w:rsidR="00E93790" w:rsidRPr="00E93790">
        <w:rPr>
          <w:rFonts w:ascii="Arial" w:hAnsi="Arial" w:cs="Arial"/>
          <w:bCs/>
          <w:sz w:val="22"/>
          <w:szCs w:val="22"/>
        </w:rPr>
        <w:t xml:space="preserve"> in </w:t>
      </w:r>
      <w:proofErr w:type="spellStart"/>
      <w:r w:rsidR="00E93790" w:rsidRPr="00E93790">
        <w:rPr>
          <w:rFonts w:ascii="Arial" w:hAnsi="Arial" w:cs="Arial"/>
          <w:bCs/>
          <w:sz w:val="22"/>
          <w:szCs w:val="22"/>
        </w:rPr>
        <w:t>octanol</w:t>
      </w:r>
      <w:proofErr w:type="spellEnd"/>
      <w:r w:rsidR="00E93790" w:rsidRPr="00E93790">
        <w:rPr>
          <w:rFonts w:ascii="Arial" w:hAnsi="Arial" w:cs="Arial"/>
          <w:bCs/>
          <w:sz w:val="22"/>
          <w:szCs w:val="22"/>
        </w:rPr>
        <w:t xml:space="preserve"> and water is +1.89</w:t>
      </w:r>
      <w:r w:rsidR="00E93790">
        <w:rPr>
          <w:rFonts w:ascii="Arial" w:hAnsi="Arial" w:cs="Arial"/>
          <w:bCs/>
          <w:sz w:val="22"/>
          <w:szCs w:val="22"/>
        </w:rPr>
        <w:t>.</w:t>
      </w:r>
    </w:p>
    <w:p w:rsidR="007404FB" w:rsidRPr="00F65D5C" w:rsidRDefault="007404FB" w:rsidP="00A30798">
      <w:pPr>
        <w:jc w:val="both"/>
        <w:rPr>
          <w:rFonts w:ascii="Arial" w:hAnsi="Arial" w:cs="Arial"/>
          <w:sz w:val="22"/>
          <w:szCs w:val="22"/>
        </w:rPr>
      </w:pPr>
    </w:p>
    <w:p w:rsidR="0068359F" w:rsidRPr="00F65D5C" w:rsidRDefault="007404FB" w:rsidP="00AC5B76">
      <w:pPr>
        <w:autoSpaceDE w:val="0"/>
        <w:autoSpaceDN w:val="0"/>
        <w:adjustRightInd w:val="0"/>
        <w:rPr>
          <w:rFonts w:ascii="Arial" w:hAnsi="Arial" w:cs="Arial"/>
          <w:i/>
          <w:sz w:val="22"/>
          <w:szCs w:val="22"/>
        </w:rPr>
      </w:pPr>
      <w:proofErr w:type="spellStart"/>
      <w:r w:rsidRPr="00F65D5C">
        <w:rPr>
          <w:rFonts w:ascii="Arial" w:hAnsi="Arial" w:cs="Arial"/>
          <w:sz w:val="22"/>
          <w:szCs w:val="22"/>
        </w:rPr>
        <w:t>Altargo</w:t>
      </w:r>
      <w:proofErr w:type="spellEnd"/>
      <w:r w:rsidR="0068359F" w:rsidRPr="00F65D5C">
        <w:rPr>
          <w:rFonts w:ascii="Arial" w:hAnsi="Arial" w:cs="Arial"/>
          <w:sz w:val="22"/>
          <w:szCs w:val="22"/>
        </w:rPr>
        <w:t xml:space="preserve"> is </w:t>
      </w:r>
      <w:proofErr w:type="gramStart"/>
      <w:r w:rsidR="00AC129E" w:rsidRPr="00F65D5C">
        <w:rPr>
          <w:rFonts w:ascii="Arial" w:hAnsi="Arial" w:cs="Arial"/>
          <w:sz w:val="22"/>
          <w:szCs w:val="22"/>
        </w:rPr>
        <w:t>an off</w:t>
      </w:r>
      <w:proofErr w:type="gramEnd"/>
      <w:r w:rsidR="0068359F" w:rsidRPr="00F65D5C">
        <w:rPr>
          <w:rFonts w:ascii="Arial" w:hAnsi="Arial" w:cs="Arial"/>
          <w:sz w:val="22"/>
          <w:szCs w:val="22"/>
        </w:rPr>
        <w:t>-white, smooth ointment for topical use which contains</w:t>
      </w:r>
      <w:r w:rsidR="00D52EA0" w:rsidRPr="00F65D5C">
        <w:rPr>
          <w:rFonts w:ascii="Arial" w:hAnsi="Arial" w:cs="Arial"/>
          <w:sz w:val="22"/>
          <w:szCs w:val="22"/>
        </w:rPr>
        <w:t xml:space="preserve"> </w:t>
      </w:r>
      <w:r w:rsidR="00AC5B76" w:rsidRPr="00F65D5C">
        <w:rPr>
          <w:rFonts w:ascii="Arial" w:hAnsi="Arial" w:cs="Arial"/>
          <w:sz w:val="22"/>
          <w:szCs w:val="22"/>
        </w:rPr>
        <w:t xml:space="preserve">the active ingredient </w:t>
      </w:r>
      <w:proofErr w:type="spellStart"/>
      <w:r w:rsidR="00D52EA0" w:rsidRPr="00F65D5C">
        <w:rPr>
          <w:rFonts w:ascii="Arial" w:hAnsi="Arial" w:cs="Arial"/>
          <w:sz w:val="22"/>
          <w:szCs w:val="22"/>
        </w:rPr>
        <w:t>retapamulin</w:t>
      </w:r>
      <w:proofErr w:type="spellEnd"/>
      <w:r w:rsidR="00D52EA0" w:rsidRPr="00F65D5C">
        <w:rPr>
          <w:rFonts w:ascii="Arial" w:hAnsi="Arial" w:cs="Arial"/>
          <w:sz w:val="22"/>
          <w:szCs w:val="22"/>
        </w:rPr>
        <w:t xml:space="preserve"> </w:t>
      </w:r>
      <w:r w:rsidR="0068359F" w:rsidRPr="00F65D5C">
        <w:rPr>
          <w:rFonts w:ascii="Arial" w:hAnsi="Arial" w:cs="Arial"/>
          <w:sz w:val="22"/>
          <w:szCs w:val="22"/>
        </w:rPr>
        <w:t>1% w/w</w:t>
      </w:r>
      <w:r w:rsidR="00D52EA0" w:rsidRPr="00F65D5C">
        <w:rPr>
          <w:rFonts w:ascii="Arial" w:hAnsi="Arial" w:cs="Arial"/>
          <w:sz w:val="22"/>
          <w:szCs w:val="22"/>
        </w:rPr>
        <w:t>.</w:t>
      </w:r>
      <w:r w:rsidR="0068359F" w:rsidRPr="00F65D5C">
        <w:rPr>
          <w:rFonts w:ascii="Arial" w:hAnsi="Arial" w:cs="Arial"/>
          <w:sz w:val="22"/>
          <w:szCs w:val="22"/>
        </w:rPr>
        <w:t xml:space="preserve"> </w:t>
      </w:r>
      <w:proofErr w:type="spellStart"/>
      <w:r w:rsidR="00F26381">
        <w:rPr>
          <w:rFonts w:ascii="Arial" w:hAnsi="Arial" w:cs="Arial"/>
          <w:sz w:val="22"/>
          <w:szCs w:val="22"/>
        </w:rPr>
        <w:t>Altargo</w:t>
      </w:r>
      <w:proofErr w:type="spellEnd"/>
      <w:r w:rsidR="00AC5B76" w:rsidRPr="00F65D5C">
        <w:rPr>
          <w:rFonts w:ascii="Arial" w:hAnsi="Arial" w:cs="Arial"/>
          <w:sz w:val="22"/>
          <w:szCs w:val="22"/>
        </w:rPr>
        <w:t xml:space="preserve"> also contains the inactive ingredient </w:t>
      </w:r>
      <w:r w:rsidR="002A3C06">
        <w:rPr>
          <w:rFonts w:ascii="Arial" w:hAnsi="Arial" w:cs="Arial"/>
          <w:sz w:val="22"/>
          <w:szCs w:val="22"/>
        </w:rPr>
        <w:t>soft white</w:t>
      </w:r>
      <w:r w:rsidR="00F26381">
        <w:rPr>
          <w:rFonts w:ascii="Arial" w:hAnsi="Arial" w:cs="Arial"/>
          <w:sz w:val="22"/>
          <w:szCs w:val="22"/>
        </w:rPr>
        <w:t xml:space="preserve"> paraffin and may contain traces of the antioxidant, </w:t>
      </w:r>
      <w:proofErr w:type="spellStart"/>
      <w:r w:rsidR="00F26381">
        <w:rPr>
          <w:rFonts w:ascii="Arial" w:hAnsi="Arial" w:cs="Arial"/>
          <w:sz w:val="22"/>
          <w:szCs w:val="22"/>
        </w:rPr>
        <w:t>butylated</w:t>
      </w:r>
      <w:proofErr w:type="spellEnd"/>
      <w:r w:rsidR="00F26381">
        <w:rPr>
          <w:rFonts w:ascii="Arial" w:hAnsi="Arial" w:cs="Arial"/>
          <w:sz w:val="22"/>
          <w:szCs w:val="22"/>
        </w:rPr>
        <w:t xml:space="preserve"> </w:t>
      </w:r>
      <w:proofErr w:type="spellStart"/>
      <w:r w:rsidR="00F26381">
        <w:rPr>
          <w:rFonts w:ascii="Arial" w:hAnsi="Arial" w:cs="Arial"/>
          <w:sz w:val="22"/>
          <w:szCs w:val="22"/>
        </w:rPr>
        <w:t>hydroxytoluene</w:t>
      </w:r>
      <w:proofErr w:type="spellEnd"/>
      <w:r w:rsidR="00F26381">
        <w:rPr>
          <w:rFonts w:ascii="Arial" w:hAnsi="Arial" w:cs="Arial"/>
          <w:sz w:val="22"/>
          <w:szCs w:val="22"/>
        </w:rPr>
        <w:t>.</w:t>
      </w:r>
    </w:p>
    <w:p w:rsidR="00A30798" w:rsidRDefault="00A30798" w:rsidP="00A30798">
      <w:pPr>
        <w:jc w:val="both"/>
        <w:rPr>
          <w:rFonts w:ascii="Arial" w:hAnsi="Arial" w:cs="Arial"/>
          <w:b/>
          <w:sz w:val="22"/>
          <w:szCs w:val="22"/>
        </w:rPr>
      </w:pPr>
    </w:p>
    <w:p w:rsidR="0077380F" w:rsidRPr="00453BA1" w:rsidRDefault="0077380F" w:rsidP="00A30798">
      <w:pPr>
        <w:jc w:val="both"/>
        <w:rPr>
          <w:rFonts w:ascii="Arial" w:hAnsi="Arial" w:cs="Arial"/>
          <w:b/>
          <w:sz w:val="22"/>
          <w:szCs w:val="22"/>
        </w:rPr>
      </w:pPr>
      <w:r w:rsidRPr="00453BA1">
        <w:rPr>
          <w:rFonts w:ascii="Arial" w:hAnsi="Arial" w:cs="Arial"/>
          <w:b/>
          <w:sz w:val="22"/>
          <w:szCs w:val="22"/>
        </w:rPr>
        <w:t>PHARMACOLOGY</w:t>
      </w:r>
    </w:p>
    <w:p w:rsidR="00A30798" w:rsidRDefault="00A30798" w:rsidP="00A30798">
      <w:pPr>
        <w:jc w:val="both"/>
        <w:rPr>
          <w:rFonts w:ascii="Arial" w:hAnsi="Arial" w:cs="Arial"/>
          <w:b/>
          <w:color w:val="0000FF"/>
          <w:sz w:val="22"/>
          <w:szCs w:val="22"/>
        </w:rPr>
      </w:pPr>
    </w:p>
    <w:p w:rsidR="00E8070F" w:rsidRPr="00F65D5C" w:rsidRDefault="00AA5598" w:rsidP="00A30798">
      <w:pPr>
        <w:jc w:val="both"/>
        <w:rPr>
          <w:rFonts w:ascii="Arial" w:hAnsi="Arial" w:cs="Arial"/>
          <w:b/>
          <w:sz w:val="22"/>
          <w:szCs w:val="22"/>
        </w:rPr>
      </w:pPr>
      <w:proofErr w:type="spellStart"/>
      <w:r w:rsidRPr="00F65D5C">
        <w:rPr>
          <w:rFonts w:ascii="Arial" w:hAnsi="Arial" w:cs="Arial"/>
          <w:b/>
          <w:sz w:val="22"/>
          <w:szCs w:val="22"/>
        </w:rPr>
        <w:t>Pharmacodynamics</w:t>
      </w:r>
      <w:proofErr w:type="spellEnd"/>
      <w:r w:rsidRPr="00F65D5C">
        <w:rPr>
          <w:rFonts w:ascii="Arial" w:hAnsi="Arial" w:cs="Arial"/>
          <w:b/>
          <w:sz w:val="22"/>
          <w:szCs w:val="22"/>
        </w:rPr>
        <w:t>:</w:t>
      </w:r>
    </w:p>
    <w:p w:rsidR="00601805" w:rsidRPr="00F65D5C" w:rsidRDefault="00601805" w:rsidP="00A30798">
      <w:pPr>
        <w:jc w:val="both"/>
        <w:rPr>
          <w:rFonts w:ascii="Arial" w:hAnsi="Arial" w:cs="Arial"/>
          <w:b/>
          <w:sz w:val="22"/>
          <w:szCs w:val="22"/>
        </w:rPr>
      </w:pPr>
    </w:p>
    <w:p w:rsidR="00AA5598" w:rsidRPr="00F65D5C" w:rsidRDefault="00AA5598" w:rsidP="00A30798">
      <w:pPr>
        <w:jc w:val="both"/>
        <w:rPr>
          <w:rFonts w:ascii="Arial" w:hAnsi="Arial" w:cs="Arial"/>
          <w:i/>
          <w:sz w:val="22"/>
          <w:szCs w:val="22"/>
        </w:rPr>
      </w:pPr>
      <w:r w:rsidRPr="00F65D5C">
        <w:rPr>
          <w:rFonts w:ascii="Arial" w:hAnsi="Arial" w:cs="Arial"/>
          <w:i/>
          <w:sz w:val="22"/>
          <w:szCs w:val="22"/>
        </w:rPr>
        <w:t>Mechanism of Action</w:t>
      </w:r>
    </w:p>
    <w:p w:rsidR="00AA5598" w:rsidRPr="00F65D5C" w:rsidRDefault="00AA5598" w:rsidP="00A30798">
      <w:pPr>
        <w:jc w:val="both"/>
        <w:rPr>
          <w:rFonts w:ascii="Arial" w:hAnsi="Arial" w:cs="Arial"/>
          <w:i/>
          <w:sz w:val="22"/>
          <w:szCs w:val="22"/>
        </w:rPr>
      </w:pPr>
    </w:p>
    <w:p w:rsidR="00AA5598" w:rsidRDefault="00AA5598" w:rsidP="00A30798">
      <w:pPr>
        <w:jc w:val="both"/>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is a </w:t>
      </w:r>
      <w:proofErr w:type="spellStart"/>
      <w:r w:rsidRPr="00F65D5C">
        <w:rPr>
          <w:rFonts w:ascii="Arial" w:hAnsi="Arial" w:cs="Arial"/>
          <w:sz w:val="22"/>
          <w:szCs w:val="22"/>
        </w:rPr>
        <w:t>semisynthetic</w:t>
      </w:r>
      <w:proofErr w:type="spellEnd"/>
      <w:r w:rsidRPr="00F65D5C">
        <w:rPr>
          <w:rFonts w:ascii="Arial" w:hAnsi="Arial" w:cs="Arial"/>
          <w:sz w:val="22"/>
          <w:szCs w:val="22"/>
        </w:rPr>
        <w:t xml:space="preserve"> derivative of the compound </w:t>
      </w:r>
      <w:proofErr w:type="spellStart"/>
      <w:r w:rsidRPr="00F65D5C">
        <w:rPr>
          <w:rFonts w:ascii="Arial" w:hAnsi="Arial" w:cs="Arial"/>
          <w:sz w:val="22"/>
          <w:szCs w:val="22"/>
        </w:rPr>
        <w:t>pleuromutilin</w:t>
      </w:r>
      <w:proofErr w:type="spellEnd"/>
      <w:r w:rsidRPr="00F65D5C">
        <w:rPr>
          <w:rFonts w:ascii="Arial" w:hAnsi="Arial" w:cs="Arial"/>
          <w:sz w:val="22"/>
          <w:szCs w:val="22"/>
        </w:rPr>
        <w:t xml:space="preserve">, which is isolated through fermentation from </w:t>
      </w:r>
      <w:proofErr w:type="spellStart"/>
      <w:r w:rsidRPr="004B0301">
        <w:rPr>
          <w:rFonts w:ascii="Arial" w:hAnsi="Arial" w:cs="Arial"/>
          <w:i/>
          <w:sz w:val="22"/>
          <w:szCs w:val="22"/>
        </w:rPr>
        <w:t>Clitopilus</w:t>
      </w:r>
      <w:proofErr w:type="spellEnd"/>
      <w:r w:rsidRPr="004B0301">
        <w:rPr>
          <w:rFonts w:ascii="Arial" w:hAnsi="Arial" w:cs="Arial"/>
          <w:i/>
          <w:sz w:val="22"/>
          <w:szCs w:val="22"/>
        </w:rPr>
        <w:t xml:space="preserve"> </w:t>
      </w:r>
      <w:proofErr w:type="spellStart"/>
      <w:r w:rsidRPr="004B0301">
        <w:rPr>
          <w:rFonts w:ascii="Arial" w:hAnsi="Arial" w:cs="Arial"/>
          <w:i/>
          <w:sz w:val="22"/>
          <w:szCs w:val="22"/>
        </w:rPr>
        <w:t>passeckerianus</w:t>
      </w:r>
      <w:proofErr w:type="spellEnd"/>
      <w:r w:rsidRPr="00F65D5C">
        <w:rPr>
          <w:rFonts w:ascii="Arial" w:hAnsi="Arial" w:cs="Arial"/>
          <w:sz w:val="22"/>
          <w:szCs w:val="22"/>
        </w:rPr>
        <w:t xml:space="preserve">. </w:t>
      </w:r>
    </w:p>
    <w:p w:rsidR="00FB6AA5" w:rsidRPr="00F65D5C" w:rsidRDefault="00FB6AA5" w:rsidP="00A30798">
      <w:pPr>
        <w:jc w:val="both"/>
        <w:rPr>
          <w:rFonts w:ascii="Arial" w:hAnsi="Arial" w:cs="Arial"/>
          <w:sz w:val="22"/>
          <w:szCs w:val="22"/>
        </w:rPr>
      </w:pPr>
    </w:p>
    <w:p w:rsidR="00AA5598" w:rsidRDefault="00AA5598" w:rsidP="00A30798">
      <w:pPr>
        <w:jc w:val="both"/>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selectively inhibits bacterial protein synthesis by interacting with the 50S subunit of the bacterial ribosome in a way that is distinct from that of other non-</w:t>
      </w:r>
      <w:proofErr w:type="spellStart"/>
      <w:r w:rsidRPr="00F65D5C">
        <w:rPr>
          <w:rFonts w:ascii="Arial" w:hAnsi="Arial" w:cs="Arial"/>
          <w:sz w:val="22"/>
          <w:szCs w:val="22"/>
        </w:rPr>
        <w:t>pleuromutilin</w:t>
      </w:r>
      <w:proofErr w:type="spellEnd"/>
      <w:r w:rsidRPr="00F65D5C">
        <w:rPr>
          <w:rFonts w:ascii="Arial" w:hAnsi="Arial" w:cs="Arial"/>
          <w:sz w:val="22"/>
          <w:szCs w:val="22"/>
        </w:rPr>
        <w:t xml:space="preserve"> antibiotics that interact with the ribosome.</w:t>
      </w:r>
    </w:p>
    <w:p w:rsidR="00FB6AA5" w:rsidRPr="00F65D5C" w:rsidRDefault="00FB6AA5" w:rsidP="00A30798">
      <w:pPr>
        <w:jc w:val="both"/>
        <w:rPr>
          <w:rFonts w:ascii="Arial" w:hAnsi="Arial" w:cs="Arial"/>
          <w:sz w:val="22"/>
          <w:szCs w:val="22"/>
        </w:rPr>
      </w:pPr>
    </w:p>
    <w:p w:rsidR="00AA5598" w:rsidRDefault="00AA5598" w:rsidP="00A30798">
      <w:pPr>
        <w:jc w:val="both"/>
        <w:rPr>
          <w:rFonts w:ascii="Arial" w:hAnsi="Arial" w:cs="Arial"/>
          <w:sz w:val="22"/>
          <w:szCs w:val="22"/>
        </w:rPr>
      </w:pPr>
      <w:r w:rsidRPr="00F65D5C">
        <w:rPr>
          <w:rFonts w:ascii="Arial" w:hAnsi="Arial" w:cs="Arial"/>
          <w:sz w:val="22"/>
          <w:szCs w:val="22"/>
        </w:rPr>
        <w:t xml:space="preserve">Data indicate that the binding site involves ribosomal protein L3 and is in the region of the ribosomal P site and </w:t>
      </w:r>
      <w:proofErr w:type="spellStart"/>
      <w:r w:rsidRPr="00F65D5C">
        <w:rPr>
          <w:rFonts w:ascii="Arial" w:hAnsi="Arial" w:cs="Arial"/>
          <w:sz w:val="22"/>
          <w:szCs w:val="22"/>
        </w:rPr>
        <w:t>peptidyl</w:t>
      </w:r>
      <w:proofErr w:type="spellEnd"/>
      <w:r w:rsidRPr="00F65D5C">
        <w:rPr>
          <w:rFonts w:ascii="Arial" w:hAnsi="Arial" w:cs="Arial"/>
          <w:sz w:val="22"/>
          <w:szCs w:val="22"/>
        </w:rPr>
        <w:t xml:space="preserve"> </w:t>
      </w:r>
      <w:proofErr w:type="spellStart"/>
      <w:r w:rsidRPr="00F65D5C">
        <w:rPr>
          <w:rFonts w:ascii="Arial" w:hAnsi="Arial" w:cs="Arial"/>
          <w:sz w:val="22"/>
          <w:szCs w:val="22"/>
        </w:rPr>
        <w:t>transferase</w:t>
      </w:r>
      <w:proofErr w:type="spellEnd"/>
      <w:r w:rsidRPr="00F65D5C">
        <w:rPr>
          <w:rFonts w:ascii="Arial" w:hAnsi="Arial" w:cs="Arial"/>
          <w:sz w:val="22"/>
          <w:szCs w:val="22"/>
        </w:rPr>
        <w:t xml:space="preserve"> centre. By virtue of binding to this site, </w:t>
      </w:r>
      <w:proofErr w:type="spellStart"/>
      <w:r w:rsidRPr="00F65D5C">
        <w:rPr>
          <w:rFonts w:ascii="Arial" w:hAnsi="Arial" w:cs="Arial"/>
          <w:sz w:val="22"/>
          <w:szCs w:val="22"/>
        </w:rPr>
        <w:t>pleuromutilins</w:t>
      </w:r>
      <w:proofErr w:type="spellEnd"/>
      <w:r w:rsidRPr="00F65D5C">
        <w:rPr>
          <w:rFonts w:ascii="Arial" w:hAnsi="Arial" w:cs="Arial"/>
          <w:sz w:val="22"/>
          <w:szCs w:val="22"/>
        </w:rPr>
        <w:t xml:space="preserve"> inhibit </w:t>
      </w:r>
      <w:proofErr w:type="spellStart"/>
      <w:r w:rsidRPr="00F65D5C">
        <w:rPr>
          <w:rFonts w:ascii="Arial" w:hAnsi="Arial" w:cs="Arial"/>
          <w:sz w:val="22"/>
          <w:szCs w:val="22"/>
        </w:rPr>
        <w:t>peptidyl</w:t>
      </w:r>
      <w:proofErr w:type="spellEnd"/>
      <w:r w:rsidRPr="00F65D5C">
        <w:rPr>
          <w:rFonts w:ascii="Arial" w:hAnsi="Arial" w:cs="Arial"/>
          <w:sz w:val="22"/>
          <w:szCs w:val="22"/>
        </w:rPr>
        <w:t xml:space="preserve"> transfer, partially block P-site interactions, and prevent normal formation of active 50S ribosomal subunits, and therefore appear to inhibit bacterial protein synthesis by multiple mechanisms. </w:t>
      </w:r>
    </w:p>
    <w:p w:rsidR="00FB6AA5" w:rsidRPr="00F65D5C" w:rsidRDefault="00FB6AA5" w:rsidP="00A30798">
      <w:pPr>
        <w:jc w:val="both"/>
        <w:rPr>
          <w:rFonts w:ascii="Arial" w:hAnsi="Arial" w:cs="Arial"/>
          <w:sz w:val="22"/>
          <w:szCs w:val="22"/>
        </w:rPr>
      </w:pPr>
    </w:p>
    <w:p w:rsidR="00AA5598" w:rsidRPr="00F65D5C" w:rsidRDefault="00AA5598" w:rsidP="00A30798">
      <w:pPr>
        <w:jc w:val="both"/>
        <w:rPr>
          <w:rFonts w:ascii="Arial" w:hAnsi="Arial" w:cs="Arial"/>
          <w:sz w:val="22"/>
          <w:szCs w:val="22"/>
        </w:rPr>
      </w:pPr>
      <w:r w:rsidRPr="00F65D5C">
        <w:rPr>
          <w:rFonts w:ascii="Arial" w:hAnsi="Arial" w:cs="Arial"/>
          <w:sz w:val="22"/>
          <w:szCs w:val="22"/>
        </w:rPr>
        <w:t xml:space="preserve">Due to this distinct mode of action, </w:t>
      </w:r>
      <w:r w:rsidR="004B0301" w:rsidRPr="004B0301">
        <w:rPr>
          <w:rFonts w:ascii="Arial" w:hAnsi="Arial" w:cs="Arial"/>
          <w:i/>
          <w:sz w:val="22"/>
          <w:szCs w:val="22"/>
        </w:rPr>
        <w:t>in vitro</w:t>
      </w:r>
      <w:r w:rsidRPr="00F65D5C">
        <w:rPr>
          <w:rFonts w:ascii="Arial" w:hAnsi="Arial" w:cs="Arial"/>
          <w:sz w:val="22"/>
          <w:szCs w:val="22"/>
        </w:rPr>
        <w:t xml:space="preserve"> target-specific cross-resistance with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other classes of antibiotics is rare. </w:t>
      </w:r>
    </w:p>
    <w:p w:rsidR="00AA5598" w:rsidRPr="00F65D5C" w:rsidRDefault="00AA5598" w:rsidP="00A30798">
      <w:pPr>
        <w:jc w:val="both"/>
        <w:rPr>
          <w:rFonts w:ascii="Arial" w:hAnsi="Arial" w:cs="Arial"/>
          <w:sz w:val="22"/>
          <w:szCs w:val="22"/>
        </w:rPr>
      </w:pPr>
    </w:p>
    <w:p w:rsidR="008B4A39" w:rsidRDefault="00FB6AA5">
      <w:pPr>
        <w:keepNext/>
        <w:jc w:val="both"/>
        <w:rPr>
          <w:rFonts w:ascii="Arial" w:hAnsi="Arial" w:cs="Arial"/>
          <w:i/>
          <w:sz w:val="22"/>
          <w:szCs w:val="22"/>
        </w:rPr>
      </w:pPr>
      <w:proofErr w:type="spellStart"/>
      <w:r>
        <w:rPr>
          <w:rFonts w:ascii="Arial" w:hAnsi="Arial" w:cs="Arial"/>
          <w:i/>
          <w:sz w:val="22"/>
          <w:szCs w:val="22"/>
        </w:rPr>
        <w:lastRenderedPageBreak/>
        <w:t>Pharmacodynamic</w:t>
      </w:r>
      <w:proofErr w:type="spellEnd"/>
      <w:r>
        <w:rPr>
          <w:rFonts w:ascii="Arial" w:hAnsi="Arial" w:cs="Arial"/>
          <w:i/>
          <w:sz w:val="22"/>
          <w:szCs w:val="22"/>
        </w:rPr>
        <w:t xml:space="preserve"> Effects</w:t>
      </w:r>
    </w:p>
    <w:p w:rsidR="00601805" w:rsidRPr="00F65D5C" w:rsidRDefault="00601805" w:rsidP="00A30798">
      <w:pPr>
        <w:jc w:val="both"/>
        <w:rPr>
          <w:rFonts w:ascii="Arial" w:hAnsi="Arial" w:cs="Arial"/>
          <w:i/>
          <w:sz w:val="22"/>
          <w:szCs w:val="22"/>
        </w:rPr>
      </w:pPr>
    </w:p>
    <w:p w:rsidR="00AA5598" w:rsidRDefault="00AA5598" w:rsidP="00A30798">
      <w:pPr>
        <w:jc w:val="both"/>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is active against most isolates of the common skin and skin structure pathogens </w:t>
      </w:r>
      <w:r w:rsidRPr="004B0301">
        <w:rPr>
          <w:rFonts w:ascii="Arial" w:hAnsi="Arial" w:cs="Arial"/>
          <w:i/>
          <w:sz w:val="22"/>
          <w:szCs w:val="22"/>
        </w:rPr>
        <w:t xml:space="preserve">Staphylococcus </w:t>
      </w:r>
      <w:proofErr w:type="spellStart"/>
      <w:r w:rsidRPr="004B0301">
        <w:rPr>
          <w:rFonts w:ascii="Arial" w:hAnsi="Arial" w:cs="Arial"/>
          <w:i/>
          <w:sz w:val="22"/>
          <w:szCs w:val="22"/>
        </w:rPr>
        <w:t>aureus</w:t>
      </w:r>
      <w:proofErr w:type="spellEnd"/>
      <w:r w:rsidRPr="00F65D5C">
        <w:rPr>
          <w:rFonts w:ascii="Arial" w:hAnsi="Arial" w:cs="Arial"/>
          <w:sz w:val="22"/>
          <w:szCs w:val="22"/>
        </w:rPr>
        <w:t xml:space="preserve"> and </w:t>
      </w:r>
      <w:r w:rsidRPr="004B0301">
        <w:rPr>
          <w:rFonts w:ascii="Arial" w:hAnsi="Arial" w:cs="Arial"/>
          <w:i/>
          <w:sz w:val="22"/>
          <w:szCs w:val="22"/>
        </w:rPr>
        <w:t xml:space="preserve">Streptococcus </w:t>
      </w:r>
      <w:proofErr w:type="spellStart"/>
      <w:r w:rsidRPr="004B0301">
        <w:rPr>
          <w:rFonts w:ascii="Arial" w:hAnsi="Arial" w:cs="Arial"/>
          <w:i/>
          <w:sz w:val="22"/>
          <w:szCs w:val="22"/>
        </w:rPr>
        <w:t>pyogenes</w:t>
      </w:r>
      <w:proofErr w:type="spellEnd"/>
      <w:r w:rsidRPr="00F65D5C">
        <w:rPr>
          <w:rFonts w:ascii="Arial" w:hAnsi="Arial" w:cs="Arial"/>
          <w:sz w:val="22"/>
          <w:szCs w:val="22"/>
        </w:rPr>
        <w:t xml:space="preserve">, both </w:t>
      </w:r>
      <w:r w:rsidR="004B0301" w:rsidRPr="004B0301">
        <w:rPr>
          <w:rFonts w:ascii="Arial" w:hAnsi="Arial" w:cs="Arial"/>
          <w:i/>
          <w:sz w:val="22"/>
          <w:szCs w:val="22"/>
        </w:rPr>
        <w:t>in vitro</w:t>
      </w:r>
      <w:r w:rsidRPr="00F65D5C">
        <w:rPr>
          <w:rFonts w:ascii="Arial" w:hAnsi="Arial" w:cs="Arial"/>
          <w:sz w:val="22"/>
          <w:szCs w:val="22"/>
        </w:rPr>
        <w:t xml:space="preserve"> and in clinical studies.  However,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w:t>
      </w:r>
      <w:r w:rsidR="00C0082A">
        <w:rPr>
          <w:rFonts w:ascii="Arial" w:hAnsi="Arial" w:cs="Arial"/>
          <w:sz w:val="22"/>
          <w:szCs w:val="22"/>
        </w:rPr>
        <w:t xml:space="preserve">has limited activity </w:t>
      </w:r>
      <w:r w:rsidRPr="00F65D5C">
        <w:rPr>
          <w:rFonts w:ascii="Arial" w:hAnsi="Arial" w:cs="Arial"/>
          <w:sz w:val="22"/>
          <w:szCs w:val="22"/>
        </w:rPr>
        <w:t xml:space="preserve">against some MRSA strains in the clinical setting (see </w:t>
      </w:r>
      <w:r w:rsidRPr="00476C21">
        <w:rPr>
          <w:rFonts w:ascii="Arial" w:hAnsi="Arial" w:cs="Arial"/>
          <w:i/>
          <w:sz w:val="22"/>
          <w:szCs w:val="22"/>
        </w:rPr>
        <w:t xml:space="preserve">Clinical </w:t>
      </w:r>
      <w:r w:rsidR="00601805" w:rsidRPr="00476C21">
        <w:rPr>
          <w:rFonts w:ascii="Arial" w:hAnsi="Arial" w:cs="Arial"/>
          <w:i/>
          <w:sz w:val="22"/>
          <w:szCs w:val="22"/>
        </w:rPr>
        <w:t>Trials</w:t>
      </w:r>
      <w:r w:rsidRPr="00F65D5C">
        <w:rPr>
          <w:rFonts w:ascii="Arial" w:hAnsi="Arial" w:cs="Arial"/>
          <w:sz w:val="22"/>
          <w:szCs w:val="22"/>
        </w:rPr>
        <w:t xml:space="preserve">). </w:t>
      </w:r>
    </w:p>
    <w:p w:rsidR="00A64BC3" w:rsidRPr="00F65D5C" w:rsidRDefault="00A64BC3" w:rsidP="00A30798">
      <w:pPr>
        <w:jc w:val="both"/>
        <w:rPr>
          <w:rFonts w:ascii="Arial" w:hAnsi="Arial" w:cs="Arial"/>
          <w:sz w:val="22"/>
          <w:szCs w:val="22"/>
        </w:rPr>
      </w:pPr>
    </w:p>
    <w:p w:rsidR="00AA5598" w:rsidRDefault="00AA5598" w:rsidP="00A30798">
      <w:pPr>
        <w:jc w:val="both"/>
        <w:rPr>
          <w:rFonts w:ascii="Arial" w:hAnsi="Arial" w:cs="Arial"/>
          <w:sz w:val="22"/>
          <w:szCs w:val="22"/>
        </w:rPr>
      </w:pPr>
      <w:r w:rsidRPr="00F65D5C">
        <w:rPr>
          <w:rFonts w:ascii="Arial" w:hAnsi="Arial" w:cs="Arial"/>
          <w:sz w:val="22"/>
          <w:szCs w:val="22"/>
        </w:rPr>
        <w:t xml:space="preserve">It also has </w:t>
      </w:r>
      <w:r w:rsidR="004B0301" w:rsidRPr="004B0301">
        <w:rPr>
          <w:rFonts w:ascii="Arial" w:hAnsi="Arial" w:cs="Arial"/>
          <w:i/>
          <w:sz w:val="22"/>
          <w:szCs w:val="22"/>
        </w:rPr>
        <w:t>in vitro</w:t>
      </w:r>
      <w:r w:rsidRPr="00F65D5C">
        <w:rPr>
          <w:rFonts w:ascii="Arial" w:hAnsi="Arial" w:cs="Arial"/>
          <w:sz w:val="22"/>
          <w:szCs w:val="22"/>
        </w:rPr>
        <w:t xml:space="preserve"> activity against some other Gram-positive, Gram-negative and anaerobic bacteria.</w:t>
      </w:r>
    </w:p>
    <w:p w:rsidR="00A64BC3" w:rsidRPr="00F65D5C" w:rsidRDefault="00A64BC3" w:rsidP="00A30798">
      <w:pPr>
        <w:jc w:val="both"/>
        <w:rPr>
          <w:rFonts w:ascii="Arial" w:hAnsi="Arial" w:cs="Arial"/>
          <w:sz w:val="22"/>
          <w:szCs w:val="22"/>
        </w:rPr>
      </w:pPr>
    </w:p>
    <w:p w:rsidR="00AA5598" w:rsidRDefault="00AA5598" w:rsidP="00A30798">
      <w:pPr>
        <w:jc w:val="both"/>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is predominantly </w:t>
      </w:r>
      <w:proofErr w:type="spellStart"/>
      <w:r w:rsidRPr="00F65D5C">
        <w:rPr>
          <w:rFonts w:ascii="Arial" w:hAnsi="Arial" w:cs="Arial"/>
          <w:sz w:val="22"/>
          <w:szCs w:val="22"/>
        </w:rPr>
        <w:t>bacteriostatic</w:t>
      </w:r>
      <w:proofErr w:type="spellEnd"/>
      <w:r w:rsidRPr="00F65D5C">
        <w:rPr>
          <w:rFonts w:ascii="Arial" w:hAnsi="Arial" w:cs="Arial"/>
          <w:sz w:val="22"/>
          <w:szCs w:val="22"/>
        </w:rPr>
        <w:t xml:space="preserve"> against </w:t>
      </w:r>
      <w:r w:rsidRPr="004B0301">
        <w:rPr>
          <w:rFonts w:ascii="Arial" w:hAnsi="Arial" w:cs="Arial"/>
          <w:i/>
          <w:sz w:val="22"/>
          <w:szCs w:val="22"/>
        </w:rPr>
        <w:t xml:space="preserve">S. </w:t>
      </w:r>
      <w:proofErr w:type="spellStart"/>
      <w:r w:rsidRPr="004B0301">
        <w:rPr>
          <w:rFonts w:ascii="Arial" w:hAnsi="Arial" w:cs="Arial"/>
          <w:i/>
          <w:sz w:val="22"/>
          <w:szCs w:val="22"/>
        </w:rPr>
        <w:t>aureus</w:t>
      </w:r>
      <w:proofErr w:type="spellEnd"/>
      <w:r w:rsidRPr="00F65D5C">
        <w:rPr>
          <w:rFonts w:ascii="Arial" w:hAnsi="Arial" w:cs="Arial"/>
          <w:sz w:val="22"/>
          <w:szCs w:val="22"/>
        </w:rPr>
        <w:t xml:space="preserve"> and </w:t>
      </w:r>
      <w:r w:rsidRPr="004B0301">
        <w:rPr>
          <w:rFonts w:ascii="Arial" w:hAnsi="Arial" w:cs="Arial"/>
          <w:i/>
          <w:sz w:val="22"/>
          <w:szCs w:val="22"/>
        </w:rPr>
        <w:t xml:space="preserve">S. </w:t>
      </w:r>
      <w:proofErr w:type="spellStart"/>
      <w:r w:rsidRPr="004B0301">
        <w:rPr>
          <w:rFonts w:ascii="Arial" w:hAnsi="Arial" w:cs="Arial"/>
          <w:i/>
          <w:sz w:val="22"/>
          <w:szCs w:val="22"/>
        </w:rPr>
        <w:t>pyogenes</w:t>
      </w:r>
      <w:proofErr w:type="spellEnd"/>
      <w:r w:rsidRPr="00F65D5C">
        <w:rPr>
          <w:rFonts w:ascii="Arial" w:hAnsi="Arial" w:cs="Arial"/>
          <w:sz w:val="22"/>
          <w:szCs w:val="22"/>
        </w:rPr>
        <w:t xml:space="preserve">. The minimum bactericidal concentration (MBC) against </w:t>
      </w:r>
      <w:r w:rsidRPr="004B0301">
        <w:rPr>
          <w:rFonts w:ascii="Arial" w:hAnsi="Arial" w:cs="Arial"/>
          <w:i/>
          <w:sz w:val="22"/>
          <w:szCs w:val="22"/>
        </w:rPr>
        <w:t xml:space="preserve">S. </w:t>
      </w:r>
      <w:proofErr w:type="spellStart"/>
      <w:r w:rsidRPr="004B0301">
        <w:rPr>
          <w:rFonts w:ascii="Arial" w:hAnsi="Arial" w:cs="Arial"/>
          <w:i/>
          <w:sz w:val="22"/>
          <w:szCs w:val="22"/>
        </w:rPr>
        <w:t>aureus</w:t>
      </w:r>
      <w:proofErr w:type="spellEnd"/>
      <w:r w:rsidRPr="00F65D5C">
        <w:rPr>
          <w:rFonts w:ascii="Arial" w:hAnsi="Arial" w:cs="Arial"/>
          <w:sz w:val="22"/>
          <w:szCs w:val="22"/>
        </w:rPr>
        <w:t xml:space="preserve"> and </w:t>
      </w:r>
      <w:r w:rsidRPr="004B0301">
        <w:rPr>
          <w:rFonts w:ascii="Arial" w:hAnsi="Arial" w:cs="Arial"/>
          <w:i/>
          <w:sz w:val="22"/>
          <w:szCs w:val="22"/>
        </w:rPr>
        <w:t xml:space="preserve">S. </w:t>
      </w:r>
      <w:proofErr w:type="spellStart"/>
      <w:r w:rsidRPr="004B0301">
        <w:rPr>
          <w:rFonts w:ascii="Arial" w:hAnsi="Arial" w:cs="Arial"/>
          <w:i/>
          <w:sz w:val="22"/>
          <w:szCs w:val="22"/>
        </w:rPr>
        <w:t>pyogenes</w:t>
      </w:r>
      <w:proofErr w:type="spellEnd"/>
      <w:r w:rsidRPr="00F65D5C">
        <w:rPr>
          <w:rFonts w:ascii="Arial" w:hAnsi="Arial" w:cs="Arial"/>
          <w:sz w:val="22"/>
          <w:szCs w:val="22"/>
        </w:rPr>
        <w:t xml:space="preserve"> was 512 to 1024 fold higher than the minimum inhibitory concentration (MIC).</w:t>
      </w:r>
    </w:p>
    <w:p w:rsidR="00A64BC3" w:rsidRPr="00F65D5C" w:rsidRDefault="00A64BC3" w:rsidP="00A30798">
      <w:pPr>
        <w:jc w:val="both"/>
        <w:rPr>
          <w:rFonts w:ascii="Arial" w:hAnsi="Arial" w:cs="Arial"/>
          <w:sz w:val="22"/>
          <w:szCs w:val="22"/>
        </w:rPr>
      </w:pPr>
    </w:p>
    <w:p w:rsidR="00AA5598" w:rsidRPr="00F65D5C" w:rsidRDefault="00AA5598" w:rsidP="00A30798">
      <w:pPr>
        <w:jc w:val="both"/>
        <w:rPr>
          <w:rFonts w:ascii="Arial" w:hAnsi="Arial" w:cs="Arial"/>
          <w:sz w:val="22"/>
          <w:szCs w:val="22"/>
        </w:rPr>
      </w:pPr>
      <w:r w:rsidRPr="00F65D5C">
        <w:rPr>
          <w:rFonts w:ascii="Arial" w:hAnsi="Arial" w:cs="Arial"/>
          <w:sz w:val="22"/>
          <w:szCs w:val="22"/>
        </w:rPr>
        <w:t xml:space="preserve">The following </w:t>
      </w:r>
      <w:r w:rsidR="004B0301" w:rsidRPr="004B0301">
        <w:rPr>
          <w:rFonts w:ascii="Arial" w:hAnsi="Arial" w:cs="Arial"/>
          <w:i/>
          <w:sz w:val="22"/>
          <w:szCs w:val="22"/>
        </w:rPr>
        <w:t>in vitro</w:t>
      </w:r>
      <w:r w:rsidRPr="00F65D5C">
        <w:rPr>
          <w:rFonts w:ascii="Arial" w:hAnsi="Arial" w:cs="Arial"/>
          <w:sz w:val="22"/>
          <w:szCs w:val="22"/>
        </w:rPr>
        <w:t xml:space="preserve"> data are available, but their clinical significance is unknown:</w:t>
      </w:r>
    </w:p>
    <w:p w:rsidR="00AA5598" w:rsidRPr="00F65D5C" w:rsidRDefault="00AA5598" w:rsidP="00A30798">
      <w:pPr>
        <w:jc w:val="both"/>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is active against most isolates of </w:t>
      </w:r>
      <w:r w:rsidRPr="004B0301">
        <w:rPr>
          <w:rFonts w:ascii="Arial" w:hAnsi="Arial" w:cs="Arial"/>
          <w:i/>
          <w:sz w:val="22"/>
          <w:szCs w:val="22"/>
        </w:rPr>
        <w:t xml:space="preserve">Staphylococcus </w:t>
      </w:r>
      <w:proofErr w:type="spellStart"/>
      <w:r w:rsidRPr="004B0301">
        <w:rPr>
          <w:rFonts w:ascii="Arial" w:hAnsi="Arial" w:cs="Arial"/>
          <w:i/>
          <w:sz w:val="22"/>
          <w:szCs w:val="22"/>
        </w:rPr>
        <w:t>epidermidis</w:t>
      </w:r>
      <w:proofErr w:type="spellEnd"/>
      <w:r w:rsidRPr="00F65D5C">
        <w:rPr>
          <w:rFonts w:ascii="Arial" w:hAnsi="Arial" w:cs="Arial"/>
          <w:sz w:val="22"/>
          <w:szCs w:val="22"/>
        </w:rPr>
        <w:t xml:space="preserve">, </w:t>
      </w:r>
      <w:r w:rsidRPr="004B0301">
        <w:rPr>
          <w:rFonts w:ascii="Arial" w:hAnsi="Arial" w:cs="Arial"/>
          <w:i/>
          <w:sz w:val="22"/>
          <w:szCs w:val="22"/>
        </w:rPr>
        <w:t xml:space="preserve">Streptococcus </w:t>
      </w:r>
      <w:proofErr w:type="spellStart"/>
      <w:r w:rsidRPr="004B0301">
        <w:rPr>
          <w:rFonts w:ascii="Arial" w:hAnsi="Arial" w:cs="Arial"/>
          <w:i/>
          <w:sz w:val="22"/>
          <w:szCs w:val="22"/>
        </w:rPr>
        <w:t>agalactiae</w:t>
      </w:r>
      <w:proofErr w:type="spellEnd"/>
      <w:r w:rsidRPr="00F65D5C">
        <w:rPr>
          <w:rFonts w:ascii="Arial" w:hAnsi="Arial" w:cs="Arial"/>
          <w:sz w:val="22"/>
          <w:szCs w:val="22"/>
        </w:rPr>
        <w:t xml:space="preserve">, </w:t>
      </w:r>
      <w:proofErr w:type="spellStart"/>
      <w:r w:rsidRPr="004B0301">
        <w:rPr>
          <w:rFonts w:ascii="Arial" w:hAnsi="Arial" w:cs="Arial"/>
          <w:i/>
          <w:sz w:val="22"/>
          <w:szCs w:val="22"/>
        </w:rPr>
        <w:t>viridans</w:t>
      </w:r>
      <w:proofErr w:type="spellEnd"/>
      <w:r w:rsidRPr="004B0301">
        <w:rPr>
          <w:rFonts w:ascii="Arial" w:hAnsi="Arial" w:cs="Arial"/>
          <w:i/>
          <w:sz w:val="22"/>
          <w:szCs w:val="22"/>
        </w:rPr>
        <w:t xml:space="preserve"> streptococci</w:t>
      </w:r>
      <w:r w:rsidRPr="00F65D5C">
        <w:rPr>
          <w:rFonts w:ascii="Arial" w:hAnsi="Arial" w:cs="Arial"/>
          <w:sz w:val="22"/>
          <w:szCs w:val="22"/>
        </w:rPr>
        <w:t xml:space="preserve">, </w:t>
      </w:r>
      <w:proofErr w:type="spellStart"/>
      <w:r w:rsidRPr="004B0301">
        <w:rPr>
          <w:rFonts w:ascii="Arial" w:hAnsi="Arial" w:cs="Arial"/>
          <w:i/>
          <w:sz w:val="22"/>
          <w:szCs w:val="22"/>
        </w:rPr>
        <w:t>Propionibacterium</w:t>
      </w:r>
      <w:proofErr w:type="spellEnd"/>
      <w:r w:rsidRPr="004B0301">
        <w:rPr>
          <w:rFonts w:ascii="Arial" w:hAnsi="Arial" w:cs="Arial"/>
          <w:i/>
          <w:sz w:val="22"/>
          <w:szCs w:val="22"/>
        </w:rPr>
        <w:t xml:space="preserve"> acnes</w:t>
      </w:r>
      <w:r w:rsidRPr="00F65D5C">
        <w:rPr>
          <w:rFonts w:ascii="Arial" w:hAnsi="Arial" w:cs="Arial"/>
          <w:sz w:val="22"/>
          <w:szCs w:val="22"/>
        </w:rPr>
        <w:t xml:space="preserve">, </w:t>
      </w:r>
      <w:proofErr w:type="spellStart"/>
      <w:r w:rsidRPr="004B0301">
        <w:rPr>
          <w:rFonts w:ascii="Arial" w:hAnsi="Arial" w:cs="Arial"/>
          <w:i/>
          <w:sz w:val="22"/>
          <w:szCs w:val="22"/>
        </w:rPr>
        <w:t>Peptostreptococcus</w:t>
      </w:r>
      <w:proofErr w:type="spellEnd"/>
      <w:r w:rsidRPr="00F65D5C">
        <w:rPr>
          <w:rFonts w:ascii="Arial" w:hAnsi="Arial" w:cs="Arial"/>
          <w:sz w:val="22"/>
          <w:szCs w:val="22"/>
        </w:rPr>
        <w:t xml:space="preserve"> species, </w:t>
      </w:r>
      <w:proofErr w:type="spellStart"/>
      <w:r w:rsidRPr="004B0301">
        <w:rPr>
          <w:rFonts w:ascii="Arial" w:hAnsi="Arial" w:cs="Arial"/>
          <w:i/>
          <w:sz w:val="22"/>
          <w:szCs w:val="22"/>
        </w:rPr>
        <w:t>Prevotella</w:t>
      </w:r>
      <w:proofErr w:type="spellEnd"/>
      <w:r w:rsidRPr="00F65D5C">
        <w:rPr>
          <w:rFonts w:ascii="Arial" w:hAnsi="Arial" w:cs="Arial"/>
          <w:sz w:val="22"/>
          <w:szCs w:val="22"/>
        </w:rPr>
        <w:t xml:space="preserve"> species, </w:t>
      </w:r>
      <w:proofErr w:type="spellStart"/>
      <w:r w:rsidRPr="004B0301">
        <w:rPr>
          <w:rFonts w:ascii="Arial" w:hAnsi="Arial" w:cs="Arial"/>
          <w:i/>
          <w:sz w:val="22"/>
          <w:szCs w:val="22"/>
        </w:rPr>
        <w:t>Fusobacterium</w:t>
      </w:r>
      <w:proofErr w:type="spellEnd"/>
      <w:r w:rsidRPr="00F65D5C">
        <w:rPr>
          <w:rFonts w:ascii="Arial" w:hAnsi="Arial" w:cs="Arial"/>
          <w:sz w:val="22"/>
          <w:szCs w:val="22"/>
        </w:rPr>
        <w:t xml:space="preserve"> species and </w:t>
      </w:r>
      <w:proofErr w:type="spellStart"/>
      <w:r w:rsidRPr="004B0301">
        <w:rPr>
          <w:rFonts w:ascii="Arial" w:hAnsi="Arial" w:cs="Arial"/>
          <w:i/>
          <w:sz w:val="22"/>
          <w:szCs w:val="22"/>
        </w:rPr>
        <w:t>Porphyromonas</w:t>
      </w:r>
      <w:proofErr w:type="spellEnd"/>
      <w:r w:rsidRPr="00F65D5C">
        <w:rPr>
          <w:rFonts w:ascii="Arial" w:hAnsi="Arial" w:cs="Arial"/>
          <w:sz w:val="22"/>
          <w:szCs w:val="22"/>
        </w:rPr>
        <w:t xml:space="preserve"> species.</w:t>
      </w:r>
    </w:p>
    <w:p w:rsidR="00AA5598" w:rsidRPr="00F65D5C" w:rsidRDefault="00AA5598" w:rsidP="00A30798">
      <w:pPr>
        <w:jc w:val="both"/>
        <w:rPr>
          <w:rFonts w:ascii="Arial" w:hAnsi="Arial" w:cs="Arial"/>
          <w:sz w:val="22"/>
          <w:szCs w:val="22"/>
        </w:rPr>
      </w:pPr>
    </w:p>
    <w:p w:rsidR="00AA5598" w:rsidRPr="00F65D5C" w:rsidRDefault="00AA5598" w:rsidP="00A30798">
      <w:pPr>
        <w:jc w:val="both"/>
        <w:rPr>
          <w:rFonts w:ascii="Arial" w:hAnsi="Arial" w:cs="Arial"/>
          <w:i/>
          <w:sz w:val="22"/>
          <w:szCs w:val="22"/>
        </w:rPr>
      </w:pPr>
      <w:r w:rsidRPr="00F65D5C">
        <w:rPr>
          <w:rFonts w:ascii="Arial" w:hAnsi="Arial" w:cs="Arial"/>
          <w:i/>
          <w:sz w:val="22"/>
          <w:szCs w:val="22"/>
        </w:rPr>
        <w:t xml:space="preserve">Resistance </w:t>
      </w:r>
    </w:p>
    <w:p w:rsidR="00601805" w:rsidRPr="00F65D5C" w:rsidRDefault="00601805" w:rsidP="00A30798">
      <w:pPr>
        <w:jc w:val="both"/>
        <w:rPr>
          <w:rFonts w:ascii="Arial" w:hAnsi="Arial" w:cs="Arial"/>
          <w:i/>
          <w:sz w:val="22"/>
          <w:szCs w:val="22"/>
        </w:rPr>
      </w:pPr>
    </w:p>
    <w:p w:rsidR="00AA5598" w:rsidRDefault="00AA5598" w:rsidP="00A30798">
      <w:pPr>
        <w:jc w:val="both"/>
        <w:rPr>
          <w:rFonts w:ascii="Arial" w:hAnsi="Arial" w:cs="Arial"/>
          <w:sz w:val="22"/>
          <w:szCs w:val="22"/>
        </w:rPr>
      </w:pPr>
      <w:r w:rsidRPr="00F65D5C">
        <w:rPr>
          <w:rFonts w:ascii="Arial" w:hAnsi="Arial" w:cs="Arial"/>
          <w:sz w:val="22"/>
          <w:szCs w:val="22"/>
        </w:rPr>
        <w:t xml:space="preserve">Due to the distinct mode of action, </w:t>
      </w:r>
      <w:r w:rsidR="004B0301" w:rsidRPr="004B0301">
        <w:rPr>
          <w:rFonts w:ascii="Arial" w:hAnsi="Arial" w:cs="Arial"/>
          <w:i/>
          <w:sz w:val="22"/>
          <w:szCs w:val="22"/>
        </w:rPr>
        <w:t>in vitro</w:t>
      </w:r>
      <w:r w:rsidRPr="00F65D5C">
        <w:rPr>
          <w:rFonts w:ascii="Arial" w:hAnsi="Arial" w:cs="Arial"/>
          <w:sz w:val="22"/>
          <w:szCs w:val="22"/>
        </w:rPr>
        <w:t xml:space="preserve"> target specific cross-resistance with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other classes of antibiotics is rare.</w:t>
      </w:r>
    </w:p>
    <w:p w:rsidR="00A64BC3" w:rsidRPr="00F65D5C" w:rsidRDefault="00A64BC3" w:rsidP="00A30798">
      <w:pPr>
        <w:jc w:val="both"/>
        <w:rPr>
          <w:rFonts w:ascii="Arial" w:hAnsi="Arial" w:cs="Arial"/>
          <w:sz w:val="22"/>
          <w:szCs w:val="22"/>
        </w:rPr>
      </w:pPr>
    </w:p>
    <w:p w:rsidR="00AA5598" w:rsidRDefault="00AA5598" w:rsidP="00A30798">
      <w:pPr>
        <w:jc w:val="both"/>
        <w:rPr>
          <w:rFonts w:ascii="Arial" w:hAnsi="Arial" w:cs="Arial"/>
          <w:sz w:val="22"/>
          <w:szCs w:val="22"/>
        </w:rPr>
      </w:pPr>
      <w:r w:rsidRPr="00F65D5C">
        <w:rPr>
          <w:rFonts w:ascii="Arial" w:hAnsi="Arial" w:cs="Arial"/>
          <w:sz w:val="22"/>
          <w:szCs w:val="22"/>
        </w:rPr>
        <w:t xml:space="preserve">A reduction in the </w:t>
      </w:r>
      <w:r w:rsidR="004B0301" w:rsidRPr="004B0301">
        <w:rPr>
          <w:rFonts w:ascii="Arial" w:hAnsi="Arial" w:cs="Arial"/>
          <w:i/>
          <w:sz w:val="22"/>
          <w:szCs w:val="22"/>
        </w:rPr>
        <w:t>in vitro</w:t>
      </w:r>
      <w:r w:rsidRPr="00F65D5C">
        <w:rPr>
          <w:rFonts w:ascii="Arial" w:hAnsi="Arial" w:cs="Arial"/>
          <w:sz w:val="22"/>
          <w:szCs w:val="22"/>
        </w:rPr>
        <w:t xml:space="preserve"> activity of </w:t>
      </w:r>
      <w:proofErr w:type="spellStart"/>
      <w:r w:rsidRPr="00F65D5C">
        <w:rPr>
          <w:rFonts w:ascii="Arial" w:hAnsi="Arial" w:cs="Arial"/>
          <w:sz w:val="22"/>
          <w:szCs w:val="22"/>
        </w:rPr>
        <w:t>pleuromutilins</w:t>
      </w:r>
      <w:proofErr w:type="spellEnd"/>
      <w:r w:rsidRPr="00F65D5C">
        <w:rPr>
          <w:rFonts w:ascii="Arial" w:hAnsi="Arial" w:cs="Arial"/>
          <w:sz w:val="22"/>
          <w:szCs w:val="22"/>
        </w:rPr>
        <w:t xml:space="preserve"> is mediated through mutations in ribosomal protein L3. The presence of the ABC transporter </w:t>
      </w:r>
      <w:proofErr w:type="spellStart"/>
      <w:r w:rsidRPr="00F65D5C">
        <w:rPr>
          <w:rFonts w:ascii="Arial" w:hAnsi="Arial" w:cs="Arial"/>
          <w:sz w:val="22"/>
          <w:szCs w:val="22"/>
        </w:rPr>
        <w:t>vgaAv</w:t>
      </w:r>
      <w:proofErr w:type="spellEnd"/>
      <w:r w:rsidRPr="00F65D5C">
        <w:rPr>
          <w:rFonts w:ascii="Arial" w:hAnsi="Arial" w:cs="Arial"/>
          <w:sz w:val="22"/>
          <w:szCs w:val="22"/>
        </w:rPr>
        <w:t xml:space="preserve"> reduces the </w:t>
      </w:r>
      <w:r w:rsidR="004B0301" w:rsidRPr="004B0301">
        <w:rPr>
          <w:rFonts w:ascii="Arial" w:hAnsi="Arial" w:cs="Arial"/>
          <w:i/>
          <w:sz w:val="22"/>
          <w:szCs w:val="22"/>
        </w:rPr>
        <w:t>in vitro</w:t>
      </w:r>
      <w:r w:rsidRPr="00F65D5C">
        <w:rPr>
          <w:rFonts w:ascii="Arial" w:hAnsi="Arial" w:cs="Arial"/>
          <w:sz w:val="22"/>
          <w:szCs w:val="22"/>
        </w:rPr>
        <w:t xml:space="preserve"> activity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Susceptibility to </w:t>
      </w:r>
      <w:proofErr w:type="spellStart"/>
      <w:r w:rsidRPr="00F65D5C">
        <w:rPr>
          <w:rFonts w:ascii="Arial" w:hAnsi="Arial" w:cs="Arial"/>
          <w:sz w:val="22"/>
          <w:szCs w:val="22"/>
        </w:rPr>
        <w:t>pleuromutilins</w:t>
      </w:r>
      <w:proofErr w:type="spellEnd"/>
      <w:r w:rsidRPr="00F65D5C">
        <w:rPr>
          <w:rFonts w:ascii="Arial" w:hAnsi="Arial" w:cs="Arial"/>
          <w:sz w:val="22"/>
          <w:szCs w:val="22"/>
        </w:rPr>
        <w:t xml:space="preserve"> can also be affected by the </w:t>
      </w:r>
      <w:proofErr w:type="spellStart"/>
      <w:r w:rsidRPr="00F65D5C">
        <w:rPr>
          <w:rFonts w:ascii="Arial" w:hAnsi="Arial" w:cs="Arial"/>
          <w:sz w:val="22"/>
          <w:szCs w:val="22"/>
        </w:rPr>
        <w:t>Cfr</w:t>
      </w:r>
      <w:proofErr w:type="spellEnd"/>
      <w:r w:rsidRPr="00F65D5C">
        <w:rPr>
          <w:rFonts w:ascii="Arial" w:hAnsi="Arial" w:cs="Arial"/>
          <w:sz w:val="22"/>
          <w:szCs w:val="22"/>
        </w:rPr>
        <w:t xml:space="preserve"> </w:t>
      </w:r>
      <w:proofErr w:type="spellStart"/>
      <w:r w:rsidRPr="00F65D5C">
        <w:rPr>
          <w:rFonts w:ascii="Arial" w:hAnsi="Arial" w:cs="Arial"/>
          <w:sz w:val="22"/>
          <w:szCs w:val="22"/>
        </w:rPr>
        <w:t>rRNA</w:t>
      </w:r>
      <w:proofErr w:type="spellEnd"/>
      <w:r w:rsidRPr="00F65D5C">
        <w:rPr>
          <w:rFonts w:ascii="Arial" w:hAnsi="Arial" w:cs="Arial"/>
          <w:sz w:val="22"/>
          <w:szCs w:val="22"/>
        </w:rPr>
        <w:t xml:space="preserve"> </w:t>
      </w:r>
      <w:proofErr w:type="spellStart"/>
      <w:r w:rsidRPr="00F65D5C">
        <w:rPr>
          <w:rFonts w:ascii="Arial" w:hAnsi="Arial" w:cs="Arial"/>
          <w:sz w:val="22"/>
          <w:szCs w:val="22"/>
        </w:rPr>
        <w:t>methyltransferase</w:t>
      </w:r>
      <w:proofErr w:type="spellEnd"/>
      <w:r w:rsidRPr="00F65D5C">
        <w:rPr>
          <w:rFonts w:ascii="Arial" w:hAnsi="Arial" w:cs="Arial"/>
          <w:sz w:val="22"/>
          <w:szCs w:val="22"/>
        </w:rPr>
        <w:t xml:space="preserve">, which confers cross-resistance to </w:t>
      </w:r>
      <w:proofErr w:type="spellStart"/>
      <w:r w:rsidRPr="00F65D5C">
        <w:rPr>
          <w:rFonts w:ascii="Arial" w:hAnsi="Arial" w:cs="Arial"/>
          <w:sz w:val="22"/>
          <w:szCs w:val="22"/>
        </w:rPr>
        <w:t>phenicols</w:t>
      </w:r>
      <w:proofErr w:type="spellEnd"/>
      <w:r w:rsidRPr="00F65D5C">
        <w:rPr>
          <w:rFonts w:ascii="Arial" w:hAnsi="Arial" w:cs="Arial"/>
          <w:sz w:val="22"/>
          <w:szCs w:val="22"/>
        </w:rPr>
        <w:t xml:space="preserve">, </w:t>
      </w:r>
      <w:proofErr w:type="spellStart"/>
      <w:r w:rsidRPr="00F65D5C">
        <w:rPr>
          <w:rFonts w:ascii="Arial" w:hAnsi="Arial" w:cs="Arial"/>
          <w:sz w:val="22"/>
          <w:szCs w:val="22"/>
        </w:rPr>
        <w:t>lincosamindes</w:t>
      </w:r>
      <w:proofErr w:type="spellEnd"/>
      <w:r w:rsidRPr="00F65D5C">
        <w:rPr>
          <w:rFonts w:ascii="Arial" w:hAnsi="Arial" w:cs="Arial"/>
          <w:sz w:val="22"/>
          <w:szCs w:val="22"/>
        </w:rPr>
        <w:t xml:space="preserve"> and </w:t>
      </w:r>
      <w:proofErr w:type="spellStart"/>
      <w:r w:rsidRPr="00F65D5C">
        <w:rPr>
          <w:rFonts w:ascii="Arial" w:hAnsi="Arial" w:cs="Arial"/>
          <w:sz w:val="22"/>
          <w:szCs w:val="22"/>
        </w:rPr>
        <w:t>streptogramin</w:t>
      </w:r>
      <w:proofErr w:type="spellEnd"/>
      <w:r w:rsidRPr="00F65D5C">
        <w:rPr>
          <w:rFonts w:ascii="Arial" w:hAnsi="Arial" w:cs="Arial"/>
          <w:sz w:val="22"/>
          <w:szCs w:val="22"/>
        </w:rPr>
        <w:t xml:space="preserve"> A in staphylococci.</w:t>
      </w:r>
    </w:p>
    <w:p w:rsidR="00A64BC3" w:rsidRPr="00F65D5C" w:rsidRDefault="00A64BC3" w:rsidP="00A30798">
      <w:pPr>
        <w:jc w:val="both"/>
        <w:rPr>
          <w:rFonts w:ascii="Arial" w:hAnsi="Arial" w:cs="Arial"/>
          <w:sz w:val="22"/>
          <w:szCs w:val="22"/>
        </w:rPr>
      </w:pPr>
    </w:p>
    <w:p w:rsidR="00AA5598" w:rsidRDefault="00AA5598" w:rsidP="00A30798">
      <w:pPr>
        <w:jc w:val="both"/>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has shown a low potential for development of resistance </w:t>
      </w:r>
      <w:r w:rsidR="004B0301" w:rsidRPr="004B0301">
        <w:rPr>
          <w:rFonts w:ascii="Arial" w:hAnsi="Arial" w:cs="Arial"/>
          <w:i/>
          <w:sz w:val="22"/>
          <w:szCs w:val="22"/>
        </w:rPr>
        <w:t>in vitro</w:t>
      </w:r>
      <w:r w:rsidRPr="00F65D5C">
        <w:rPr>
          <w:rFonts w:ascii="Arial" w:hAnsi="Arial" w:cs="Arial"/>
          <w:sz w:val="22"/>
          <w:szCs w:val="22"/>
        </w:rPr>
        <w:t xml:space="preserve">.  The highest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MIC from serial passage of </w:t>
      </w:r>
      <w:r w:rsidRPr="00101AF0">
        <w:rPr>
          <w:rFonts w:ascii="Arial" w:hAnsi="Arial" w:cs="Arial"/>
          <w:i/>
          <w:sz w:val="22"/>
          <w:szCs w:val="22"/>
        </w:rPr>
        <w:t xml:space="preserve">S. </w:t>
      </w:r>
      <w:proofErr w:type="spellStart"/>
      <w:r w:rsidRPr="00101AF0">
        <w:rPr>
          <w:rFonts w:ascii="Arial" w:hAnsi="Arial" w:cs="Arial"/>
          <w:i/>
          <w:sz w:val="22"/>
          <w:szCs w:val="22"/>
        </w:rPr>
        <w:t>aureus</w:t>
      </w:r>
      <w:proofErr w:type="spellEnd"/>
      <w:r w:rsidRPr="00F65D5C">
        <w:rPr>
          <w:rFonts w:ascii="Arial" w:hAnsi="Arial" w:cs="Arial"/>
          <w:sz w:val="22"/>
          <w:szCs w:val="22"/>
        </w:rPr>
        <w:t xml:space="preserve"> and </w:t>
      </w:r>
      <w:r w:rsidRPr="00101AF0">
        <w:rPr>
          <w:rFonts w:ascii="Arial" w:hAnsi="Arial" w:cs="Arial"/>
          <w:i/>
          <w:sz w:val="22"/>
          <w:szCs w:val="22"/>
        </w:rPr>
        <w:t xml:space="preserve">S. </w:t>
      </w:r>
      <w:proofErr w:type="spellStart"/>
      <w:r w:rsidRPr="00101AF0">
        <w:rPr>
          <w:rFonts w:ascii="Arial" w:hAnsi="Arial" w:cs="Arial"/>
          <w:i/>
          <w:sz w:val="22"/>
          <w:szCs w:val="22"/>
        </w:rPr>
        <w:t>pyogenes</w:t>
      </w:r>
      <w:proofErr w:type="spellEnd"/>
      <w:r w:rsidRPr="00F65D5C">
        <w:rPr>
          <w:rFonts w:ascii="Arial" w:hAnsi="Arial" w:cs="Arial"/>
          <w:sz w:val="22"/>
          <w:szCs w:val="22"/>
        </w:rPr>
        <w:t xml:space="preserve"> in the presence of sub-minimum inhibitory concentrations (sub-MICs)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was 2 micrograms/ml.  No development of resistance was observed during treatment with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in the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clinical study programme.</w:t>
      </w:r>
    </w:p>
    <w:p w:rsidR="00E37CC9" w:rsidRPr="00E37CC9" w:rsidRDefault="00E37CC9" w:rsidP="00400522">
      <w:pPr>
        <w:pStyle w:val="BodyTextIndent"/>
        <w:tabs>
          <w:tab w:val="left" w:pos="0"/>
        </w:tabs>
        <w:spacing w:before="240"/>
        <w:ind w:left="11" w:firstLine="0"/>
        <w:jc w:val="both"/>
        <w:rPr>
          <w:rFonts w:ascii="Arial" w:hAnsi="Arial" w:cs="Arial"/>
          <w:sz w:val="22"/>
          <w:szCs w:val="22"/>
        </w:rPr>
      </w:pPr>
      <w:r w:rsidRPr="00E37CC9">
        <w:rPr>
          <w:rFonts w:ascii="Arial" w:hAnsi="Arial" w:cs="Arial"/>
          <w:sz w:val="22"/>
          <w:szCs w:val="22"/>
        </w:rPr>
        <w:t xml:space="preserve">The prevalence of </w:t>
      </w:r>
      <w:proofErr w:type="spellStart"/>
      <w:r>
        <w:rPr>
          <w:rFonts w:ascii="Arial" w:hAnsi="Arial" w:cs="Arial"/>
          <w:sz w:val="22"/>
          <w:szCs w:val="22"/>
        </w:rPr>
        <w:t>retapamuli</w:t>
      </w:r>
      <w:r w:rsidRPr="00E37CC9">
        <w:rPr>
          <w:rFonts w:ascii="Arial" w:hAnsi="Arial" w:cs="Arial"/>
          <w:sz w:val="22"/>
          <w:szCs w:val="22"/>
        </w:rPr>
        <w:t>n</w:t>
      </w:r>
      <w:proofErr w:type="spellEnd"/>
      <w:r w:rsidRPr="00E37CC9">
        <w:rPr>
          <w:rFonts w:ascii="Arial" w:hAnsi="Arial" w:cs="Arial"/>
          <w:sz w:val="22"/>
          <w:szCs w:val="22"/>
        </w:rPr>
        <w:t xml:space="preserve"> resistance may vary geographically and with time for </w:t>
      </w:r>
      <w:r>
        <w:rPr>
          <w:rFonts w:ascii="Arial" w:hAnsi="Arial" w:cs="Arial"/>
          <w:sz w:val="22"/>
          <w:szCs w:val="22"/>
        </w:rPr>
        <w:t>s</w:t>
      </w:r>
      <w:r w:rsidRPr="00E37CC9">
        <w:rPr>
          <w:rFonts w:ascii="Arial" w:hAnsi="Arial" w:cs="Arial"/>
          <w:sz w:val="22"/>
          <w:szCs w:val="22"/>
        </w:rPr>
        <w:t>elect</w:t>
      </w:r>
      <w:r>
        <w:rPr>
          <w:rFonts w:ascii="Arial" w:hAnsi="Arial" w:cs="Arial"/>
          <w:sz w:val="22"/>
          <w:szCs w:val="22"/>
        </w:rPr>
        <w:t>ed species.</w:t>
      </w:r>
      <w:r w:rsidR="00400522" w:rsidRPr="00400522">
        <w:rPr>
          <w:rFonts w:ascii="Arial" w:hAnsi="Arial" w:cs="Arial"/>
          <w:szCs w:val="24"/>
        </w:rPr>
        <w:t xml:space="preserve"> </w:t>
      </w:r>
      <w:r w:rsidR="00400522" w:rsidRPr="00400522">
        <w:rPr>
          <w:rFonts w:ascii="Arial" w:hAnsi="Arial" w:cs="Arial"/>
          <w:sz w:val="22"/>
          <w:szCs w:val="22"/>
        </w:rPr>
        <w:t>Local recommendations about antibiotic use and prevalence of resistance should be taken into consideration.</w:t>
      </w:r>
      <w:r w:rsidRPr="00E37CC9">
        <w:rPr>
          <w:rFonts w:ascii="Arial" w:hAnsi="Arial" w:cs="Arial"/>
          <w:sz w:val="22"/>
          <w:szCs w:val="22"/>
        </w:rPr>
        <w:t xml:space="preserve"> </w:t>
      </w:r>
    </w:p>
    <w:p w:rsidR="00E37CC9" w:rsidRDefault="00E37CC9" w:rsidP="00A30798">
      <w:pPr>
        <w:jc w:val="both"/>
        <w:rPr>
          <w:rFonts w:ascii="Arial" w:hAnsi="Arial" w:cs="Arial"/>
          <w:sz w:val="22"/>
          <w:szCs w:val="22"/>
        </w:rPr>
      </w:pPr>
    </w:p>
    <w:p w:rsidR="00D06FFC" w:rsidRPr="00453BA1" w:rsidRDefault="00D06FFC" w:rsidP="00A30798">
      <w:pPr>
        <w:jc w:val="both"/>
        <w:rPr>
          <w:rFonts w:ascii="Arial" w:hAnsi="Arial" w:cs="Arial"/>
          <w:b/>
          <w:sz w:val="22"/>
          <w:szCs w:val="22"/>
        </w:rPr>
      </w:pPr>
      <w:r w:rsidRPr="00453BA1">
        <w:rPr>
          <w:rFonts w:ascii="Arial" w:hAnsi="Arial" w:cs="Arial"/>
          <w:b/>
          <w:sz w:val="22"/>
          <w:szCs w:val="22"/>
        </w:rPr>
        <w:t>Pharmacokinetics</w:t>
      </w:r>
      <w:r w:rsidR="005D14FF" w:rsidRPr="00453BA1">
        <w:rPr>
          <w:rFonts w:ascii="Arial" w:hAnsi="Arial" w:cs="Arial"/>
          <w:b/>
          <w:sz w:val="22"/>
          <w:szCs w:val="22"/>
        </w:rPr>
        <w:t>:</w:t>
      </w:r>
    </w:p>
    <w:p w:rsidR="00E8070F" w:rsidRPr="00453BA1" w:rsidRDefault="00E8070F" w:rsidP="00A30798">
      <w:pPr>
        <w:jc w:val="both"/>
        <w:rPr>
          <w:rFonts w:ascii="Arial" w:hAnsi="Arial" w:cs="Arial"/>
          <w:color w:val="0000FF"/>
          <w:sz w:val="22"/>
          <w:szCs w:val="22"/>
        </w:rPr>
      </w:pPr>
    </w:p>
    <w:p w:rsidR="00D06FFC" w:rsidRPr="00453BA1" w:rsidRDefault="00D06FFC" w:rsidP="00A30798">
      <w:pPr>
        <w:jc w:val="both"/>
        <w:rPr>
          <w:rFonts w:ascii="Arial" w:hAnsi="Arial" w:cs="Arial"/>
          <w:b/>
          <w:i/>
          <w:sz w:val="22"/>
          <w:szCs w:val="22"/>
        </w:rPr>
      </w:pPr>
      <w:r w:rsidRPr="00453BA1">
        <w:rPr>
          <w:rFonts w:ascii="Arial" w:hAnsi="Arial" w:cs="Arial"/>
          <w:b/>
          <w:i/>
          <w:sz w:val="22"/>
          <w:szCs w:val="22"/>
        </w:rPr>
        <w:t>Absorption</w:t>
      </w:r>
    </w:p>
    <w:p w:rsidR="00E41544" w:rsidRPr="00453BA1" w:rsidRDefault="00E41544" w:rsidP="00A30798">
      <w:pPr>
        <w:jc w:val="both"/>
        <w:rPr>
          <w:rFonts w:ascii="Arial" w:hAnsi="Arial" w:cs="Arial"/>
          <w:b/>
          <w:i/>
          <w:sz w:val="22"/>
          <w:szCs w:val="22"/>
        </w:rPr>
      </w:pPr>
    </w:p>
    <w:p w:rsidR="00E41544" w:rsidRPr="00F65D5C" w:rsidRDefault="00E41544" w:rsidP="00A30798">
      <w:pPr>
        <w:rPr>
          <w:rFonts w:ascii="Arial" w:hAnsi="Arial" w:cs="Arial"/>
          <w:sz w:val="22"/>
          <w:szCs w:val="22"/>
        </w:rPr>
      </w:pPr>
      <w:r w:rsidRPr="00F65D5C">
        <w:rPr>
          <w:rFonts w:ascii="Arial" w:hAnsi="Arial" w:cs="Arial"/>
          <w:sz w:val="22"/>
          <w:szCs w:val="22"/>
        </w:rPr>
        <w:t xml:space="preserve">In a study of healthy adult subjects,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ointment, 1%, was applied daily to intact and to </w:t>
      </w:r>
      <w:proofErr w:type="gramStart"/>
      <w:r w:rsidRPr="00F65D5C">
        <w:rPr>
          <w:rFonts w:ascii="Arial" w:hAnsi="Arial" w:cs="Arial"/>
          <w:sz w:val="22"/>
          <w:szCs w:val="22"/>
        </w:rPr>
        <w:t>abraded</w:t>
      </w:r>
      <w:proofErr w:type="gramEnd"/>
      <w:r w:rsidRPr="00F65D5C">
        <w:rPr>
          <w:rFonts w:ascii="Arial" w:hAnsi="Arial" w:cs="Arial"/>
          <w:sz w:val="22"/>
          <w:szCs w:val="22"/>
        </w:rPr>
        <w:t xml:space="preserve"> skin under occlusion for up to 7 days. Systemic exposure following topical application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through intact skin was very low. The geometric mean </w:t>
      </w:r>
      <w:proofErr w:type="spellStart"/>
      <w:r w:rsidRPr="00F65D5C">
        <w:rPr>
          <w:rFonts w:ascii="Arial" w:hAnsi="Arial" w:cs="Arial"/>
          <w:sz w:val="22"/>
          <w:szCs w:val="22"/>
        </w:rPr>
        <w:t>C</w:t>
      </w:r>
      <w:r w:rsidRPr="00F65D5C">
        <w:rPr>
          <w:rFonts w:ascii="Arial" w:hAnsi="Arial" w:cs="Arial"/>
          <w:sz w:val="22"/>
          <w:szCs w:val="22"/>
          <w:vertAlign w:val="subscript"/>
        </w:rPr>
        <w:t>max</w:t>
      </w:r>
      <w:proofErr w:type="spellEnd"/>
      <w:r w:rsidRPr="00F65D5C">
        <w:rPr>
          <w:rFonts w:ascii="Arial" w:hAnsi="Arial" w:cs="Arial"/>
          <w:sz w:val="22"/>
          <w:szCs w:val="22"/>
          <w:vertAlign w:val="subscript"/>
        </w:rPr>
        <w:t xml:space="preserve"> </w:t>
      </w:r>
      <w:r w:rsidRPr="00F65D5C">
        <w:rPr>
          <w:rFonts w:ascii="Arial" w:hAnsi="Arial" w:cs="Arial"/>
          <w:sz w:val="22"/>
          <w:szCs w:val="22"/>
        </w:rPr>
        <w:t>value in plasma after application to 200 cm</w:t>
      </w:r>
      <w:r w:rsidRPr="00F65D5C">
        <w:rPr>
          <w:rFonts w:ascii="Arial" w:hAnsi="Arial" w:cs="Arial"/>
          <w:sz w:val="22"/>
          <w:szCs w:val="22"/>
          <w:vertAlign w:val="superscript"/>
        </w:rPr>
        <w:t xml:space="preserve">2 </w:t>
      </w:r>
      <w:r w:rsidRPr="00F65D5C">
        <w:rPr>
          <w:rFonts w:ascii="Arial" w:hAnsi="Arial" w:cs="Arial"/>
          <w:sz w:val="22"/>
          <w:szCs w:val="22"/>
        </w:rPr>
        <w:t xml:space="preserve">of abraded skin was </w:t>
      </w:r>
      <w:proofErr w:type="gramStart"/>
      <w:r w:rsidRPr="00F65D5C">
        <w:rPr>
          <w:rFonts w:ascii="Arial" w:hAnsi="Arial" w:cs="Arial"/>
          <w:sz w:val="22"/>
          <w:szCs w:val="22"/>
        </w:rPr>
        <w:t xml:space="preserve">9.75 </w:t>
      </w:r>
      <w:proofErr w:type="spellStart"/>
      <w:r w:rsidRPr="00F65D5C">
        <w:rPr>
          <w:rFonts w:ascii="Arial" w:hAnsi="Arial" w:cs="Arial"/>
          <w:sz w:val="22"/>
          <w:szCs w:val="22"/>
        </w:rPr>
        <w:t>ng</w:t>
      </w:r>
      <w:proofErr w:type="spellEnd"/>
      <w:r w:rsidRPr="00F65D5C">
        <w:rPr>
          <w:rFonts w:ascii="Arial" w:hAnsi="Arial" w:cs="Arial"/>
          <w:sz w:val="22"/>
          <w:szCs w:val="22"/>
        </w:rPr>
        <w:t xml:space="preserve">/ml on day 1 and 8.79 </w:t>
      </w:r>
      <w:proofErr w:type="spellStart"/>
      <w:r w:rsidRPr="00F65D5C">
        <w:rPr>
          <w:rFonts w:ascii="Arial" w:hAnsi="Arial" w:cs="Arial"/>
          <w:sz w:val="22"/>
          <w:szCs w:val="22"/>
        </w:rPr>
        <w:t>ng</w:t>
      </w:r>
      <w:proofErr w:type="spellEnd"/>
      <w:r w:rsidRPr="00F65D5C">
        <w:rPr>
          <w:rFonts w:ascii="Arial" w:hAnsi="Arial" w:cs="Arial"/>
          <w:sz w:val="22"/>
          <w:szCs w:val="22"/>
        </w:rPr>
        <w:t>/ml</w:t>
      </w:r>
      <w:proofErr w:type="gramEnd"/>
      <w:r w:rsidRPr="00F65D5C">
        <w:rPr>
          <w:rFonts w:ascii="Arial" w:hAnsi="Arial" w:cs="Arial"/>
          <w:sz w:val="22"/>
          <w:szCs w:val="22"/>
        </w:rPr>
        <w:t xml:space="preserve"> on day 7. The maximum individual systemic exposure (</w:t>
      </w:r>
      <w:proofErr w:type="spellStart"/>
      <w:r w:rsidRPr="00F65D5C">
        <w:rPr>
          <w:rFonts w:ascii="Arial" w:hAnsi="Arial" w:cs="Arial"/>
          <w:sz w:val="22"/>
          <w:szCs w:val="22"/>
        </w:rPr>
        <w:t>C</w:t>
      </w:r>
      <w:r w:rsidRPr="00F65D5C">
        <w:rPr>
          <w:rFonts w:ascii="Arial" w:hAnsi="Arial" w:cs="Arial"/>
          <w:sz w:val="22"/>
          <w:szCs w:val="22"/>
          <w:vertAlign w:val="subscript"/>
        </w:rPr>
        <w:t>max</w:t>
      </w:r>
      <w:proofErr w:type="spellEnd"/>
      <w:r w:rsidRPr="00F65D5C">
        <w:rPr>
          <w:rFonts w:ascii="Arial" w:hAnsi="Arial" w:cs="Arial"/>
          <w:sz w:val="22"/>
          <w:szCs w:val="22"/>
        </w:rPr>
        <w:t xml:space="preserve">) after a single topical application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ointment, 1%, to 200 cm</w:t>
      </w:r>
      <w:r w:rsidRPr="00F65D5C">
        <w:rPr>
          <w:rFonts w:ascii="Arial" w:hAnsi="Arial" w:cs="Arial"/>
          <w:sz w:val="22"/>
          <w:szCs w:val="22"/>
          <w:vertAlign w:val="superscript"/>
        </w:rPr>
        <w:t>2</w:t>
      </w:r>
      <w:r w:rsidRPr="00F65D5C">
        <w:rPr>
          <w:rFonts w:ascii="Arial" w:hAnsi="Arial" w:cs="Arial"/>
          <w:sz w:val="22"/>
          <w:szCs w:val="22"/>
        </w:rPr>
        <w:t xml:space="preserve"> of abraded skin, was </w:t>
      </w:r>
      <w:proofErr w:type="gramStart"/>
      <w:r w:rsidRPr="00F65D5C">
        <w:rPr>
          <w:rFonts w:ascii="Arial" w:hAnsi="Arial" w:cs="Arial"/>
          <w:sz w:val="22"/>
          <w:szCs w:val="22"/>
        </w:rPr>
        <w:t xml:space="preserve">22.1 </w:t>
      </w:r>
      <w:proofErr w:type="spellStart"/>
      <w:r w:rsidRPr="00F65D5C">
        <w:rPr>
          <w:rFonts w:ascii="Arial" w:hAnsi="Arial" w:cs="Arial"/>
          <w:sz w:val="22"/>
          <w:szCs w:val="22"/>
        </w:rPr>
        <w:t>ng</w:t>
      </w:r>
      <w:proofErr w:type="spellEnd"/>
      <w:r w:rsidRPr="00F65D5C">
        <w:rPr>
          <w:rFonts w:ascii="Arial" w:hAnsi="Arial" w:cs="Arial"/>
          <w:sz w:val="22"/>
          <w:szCs w:val="22"/>
        </w:rPr>
        <w:t>/ml</w:t>
      </w:r>
      <w:proofErr w:type="gramEnd"/>
      <w:r w:rsidRPr="00F65D5C">
        <w:rPr>
          <w:rFonts w:ascii="Arial" w:hAnsi="Arial" w:cs="Arial"/>
          <w:sz w:val="22"/>
          <w:szCs w:val="22"/>
        </w:rPr>
        <w:t>.</w:t>
      </w:r>
    </w:p>
    <w:p w:rsidR="00E41544" w:rsidRPr="00F65D5C" w:rsidRDefault="00E41544" w:rsidP="00A30798">
      <w:pPr>
        <w:rPr>
          <w:rFonts w:ascii="Arial" w:hAnsi="Arial" w:cs="Arial"/>
          <w:sz w:val="22"/>
          <w:szCs w:val="22"/>
        </w:rPr>
      </w:pPr>
    </w:p>
    <w:p w:rsidR="00E41544" w:rsidRPr="00F65D5C" w:rsidRDefault="00E41544" w:rsidP="00A30798">
      <w:pPr>
        <w:rPr>
          <w:rFonts w:ascii="Arial" w:hAnsi="Arial" w:cs="Arial"/>
          <w:sz w:val="22"/>
          <w:szCs w:val="22"/>
        </w:rPr>
      </w:pPr>
      <w:r w:rsidRPr="00F65D5C">
        <w:rPr>
          <w:rFonts w:ascii="Arial" w:hAnsi="Arial" w:cs="Arial"/>
          <w:sz w:val="22"/>
          <w:szCs w:val="22"/>
        </w:rPr>
        <w:lastRenderedPageBreak/>
        <w:t xml:space="preserve">Plasma samples were obtained from 516 adult and paediatric patients who were receiving topical treatment with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twice daily for the treatment of secondarily infected traumatic lesions.  The majority of samples (89%) were below the lower limit of </w:t>
      </w:r>
      <w:proofErr w:type="spellStart"/>
      <w:r w:rsidRPr="00F65D5C">
        <w:rPr>
          <w:rFonts w:ascii="Arial" w:hAnsi="Arial" w:cs="Arial"/>
          <w:sz w:val="22"/>
          <w:szCs w:val="22"/>
        </w:rPr>
        <w:t>quantitation</w:t>
      </w:r>
      <w:proofErr w:type="spellEnd"/>
      <w:r w:rsidRPr="00F65D5C">
        <w:rPr>
          <w:rFonts w:ascii="Arial" w:hAnsi="Arial" w:cs="Arial"/>
          <w:sz w:val="22"/>
          <w:szCs w:val="22"/>
        </w:rPr>
        <w:t xml:space="preserve"> (lower limit of </w:t>
      </w:r>
      <w:proofErr w:type="spellStart"/>
      <w:r w:rsidRPr="00F65D5C">
        <w:rPr>
          <w:rFonts w:ascii="Arial" w:hAnsi="Arial" w:cs="Arial"/>
          <w:sz w:val="22"/>
          <w:szCs w:val="22"/>
        </w:rPr>
        <w:t>quantitation</w:t>
      </w:r>
      <w:proofErr w:type="spellEnd"/>
      <w:r w:rsidRPr="00F65D5C">
        <w:rPr>
          <w:rFonts w:ascii="Arial" w:hAnsi="Arial" w:cs="Arial"/>
          <w:sz w:val="22"/>
          <w:szCs w:val="22"/>
        </w:rPr>
        <w:t xml:space="preserve"> 0.5ng/ml). Of the remaining samples which had measurable concentrations (11%), the majority (90%) had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concentrations less than 2.5ng/ml. The maximum measured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concentration in adults was 10.7ng/ml and in paediatric patients (aged 2-17 years) was 18.5ng/ml.</w:t>
      </w:r>
    </w:p>
    <w:p w:rsidR="000B3F7C" w:rsidRPr="00F65D5C" w:rsidRDefault="000B3F7C" w:rsidP="00A30798">
      <w:pPr>
        <w:jc w:val="both"/>
        <w:rPr>
          <w:rFonts w:ascii="Arial" w:hAnsi="Arial" w:cs="Arial"/>
          <w:sz w:val="22"/>
          <w:szCs w:val="22"/>
        </w:rPr>
      </w:pPr>
    </w:p>
    <w:p w:rsidR="00E41544" w:rsidRPr="00F65D5C" w:rsidRDefault="00E41544" w:rsidP="00A30798">
      <w:pPr>
        <w:rPr>
          <w:rFonts w:ascii="Arial" w:hAnsi="Arial" w:cs="Arial"/>
          <w:b/>
          <w:sz w:val="22"/>
          <w:szCs w:val="22"/>
        </w:rPr>
      </w:pPr>
      <w:r w:rsidRPr="00F65D5C">
        <w:rPr>
          <w:rFonts w:ascii="Arial" w:hAnsi="Arial" w:cs="Arial"/>
          <w:b/>
          <w:sz w:val="22"/>
          <w:szCs w:val="22"/>
        </w:rPr>
        <w:t>Children up to 2 years of age</w:t>
      </w:r>
    </w:p>
    <w:p w:rsidR="00E41544" w:rsidRPr="00F65D5C" w:rsidRDefault="00E41544" w:rsidP="00A30798">
      <w:pPr>
        <w:rPr>
          <w:rFonts w:ascii="Arial" w:hAnsi="Arial" w:cs="Arial"/>
          <w:sz w:val="22"/>
          <w:szCs w:val="22"/>
        </w:rPr>
      </w:pPr>
    </w:p>
    <w:p w:rsidR="00E41544" w:rsidRPr="00F65D5C" w:rsidRDefault="00E41544" w:rsidP="00A30798">
      <w:pPr>
        <w:rPr>
          <w:rFonts w:ascii="Arial" w:hAnsi="Arial" w:cs="Arial"/>
          <w:sz w:val="22"/>
          <w:szCs w:val="22"/>
        </w:rPr>
      </w:pPr>
      <w:r w:rsidRPr="00F65D5C">
        <w:rPr>
          <w:rFonts w:ascii="Arial" w:hAnsi="Arial" w:cs="Arial"/>
          <w:sz w:val="22"/>
          <w:szCs w:val="22"/>
        </w:rPr>
        <w:t xml:space="preserve">In a paediatric study assessing the pharmacokinetics of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plasma samples were obtained from patients aged 2 months to 2 years. Forty-six percent of samples had measurable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concentrations (range 0.52 to 177.3 </w:t>
      </w:r>
      <w:proofErr w:type="spellStart"/>
      <w:r w:rsidRPr="00F65D5C">
        <w:rPr>
          <w:rFonts w:ascii="Arial" w:hAnsi="Arial" w:cs="Arial"/>
          <w:sz w:val="22"/>
          <w:szCs w:val="22"/>
        </w:rPr>
        <w:t>ng</w:t>
      </w:r>
      <w:proofErr w:type="spellEnd"/>
      <w:r w:rsidRPr="00F65D5C">
        <w:rPr>
          <w:rFonts w:ascii="Arial" w:hAnsi="Arial" w:cs="Arial"/>
          <w:sz w:val="22"/>
          <w:szCs w:val="22"/>
        </w:rPr>
        <w:t>/m</w:t>
      </w:r>
      <w:r w:rsidR="00A64BC3">
        <w:rPr>
          <w:rFonts w:ascii="Arial" w:hAnsi="Arial" w:cs="Arial"/>
          <w:sz w:val="22"/>
          <w:szCs w:val="22"/>
        </w:rPr>
        <w:t>l</w:t>
      </w:r>
      <w:r w:rsidRPr="00F65D5C">
        <w:rPr>
          <w:rFonts w:ascii="Arial" w:hAnsi="Arial" w:cs="Arial"/>
          <w:sz w:val="22"/>
          <w:szCs w:val="22"/>
        </w:rPr>
        <w:t>), with the majority (75%) having concentrations &lt;5.0 </w:t>
      </w:r>
      <w:proofErr w:type="spellStart"/>
      <w:r w:rsidRPr="00F65D5C">
        <w:rPr>
          <w:rFonts w:ascii="Arial" w:hAnsi="Arial" w:cs="Arial"/>
          <w:sz w:val="22"/>
          <w:szCs w:val="22"/>
        </w:rPr>
        <w:t>ng</w:t>
      </w:r>
      <w:proofErr w:type="spellEnd"/>
      <w:r w:rsidRPr="00F65D5C">
        <w:rPr>
          <w:rFonts w:ascii="Arial" w:hAnsi="Arial" w:cs="Arial"/>
          <w:sz w:val="22"/>
          <w:szCs w:val="22"/>
        </w:rPr>
        <w:t>/m</w:t>
      </w:r>
      <w:r w:rsidR="00A64BC3">
        <w:rPr>
          <w:rFonts w:ascii="Arial" w:hAnsi="Arial" w:cs="Arial"/>
          <w:sz w:val="22"/>
          <w:szCs w:val="22"/>
        </w:rPr>
        <w:t>l</w:t>
      </w:r>
      <w:r w:rsidRPr="00F65D5C">
        <w:rPr>
          <w:rFonts w:ascii="Arial" w:hAnsi="Arial" w:cs="Arial"/>
          <w:sz w:val="22"/>
          <w:szCs w:val="22"/>
        </w:rPr>
        <w:t xml:space="preserve">. </w:t>
      </w:r>
    </w:p>
    <w:p w:rsidR="00E41544" w:rsidRPr="00F65D5C" w:rsidRDefault="00E41544" w:rsidP="00A30798">
      <w:pPr>
        <w:rPr>
          <w:rFonts w:ascii="Arial" w:hAnsi="Arial" w:cs="Arial"/>
          <w:i/>
          <w:sz w:val="22"/>
          <w:szCs w:val="22"/>
        </w:rPr>
      </w:pPr>
    </w:p>
    <w:p w:rsidR="00E41544" w:rsidRPr="00F65D5C" w:rsidRDefault="00E41544" w:rsidP="00A30798">
      <w:pPr>
        <w:rPr>
          <w:rFonts w:ascii="Arial" w:hAnsi="Arial" w:cs="Arial"/>
          <w:i/>
          <w:sz w:val="22"/>
          <w:szCs w:val="22"/>
        </w:rPr>
      </w:pPr>
      <w:r w:rsidRPr="00F65D5C">
        <w:rPr>
          <w:rFonts w:ascii="Arial" w:hAnsi="Arial" w:cs="Arial"/>
          <w:i/>
          <w:sz w:val="22"/>
          <w:szCs w:val="22"/>
        </w:rPr>
        <w:t xml:space="preserve">2 months to 9 months </w:t>
      </w:r>
    </w:p>
    <w:p w:rsidR="00E41544" w:rsidRPr="00F65D5C" w:rsidRDefault="00E41544" w:rsidP="00A30798">
      <w:pPr>
        <w:rPr>
          <w:rFonts w:ascii="Arial" w:hAnsi="Arial" w:cs="Arial"/>
          <w:sz w:val="22"/>
          <w:szCs w:val="22"/>
        </w:rPr>
      </w:pPr>
      <w:r w:rsidRPr="00F65D5C">
        <w:rPr>
          <w:rFonts w:ascii="Arial" w:hAnsi="Arial" w:cs="Arial"/>
          <w:sz w:val="22"/>
          <w:szCs w:val="22"/>
        </w:rPr>
        <w:t xml:space="preserve">Plasma concentrations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were measurable in 69% of patients (n = 20). Four plasma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concentrations in this age group (26.9, 80.3, 174.3, and 177.3 </w:t>
      </w:r>
      <w:proofErr w:type="spellStart"/>
      <w:r w:rsidRPr="00F65D5C">
        <w:rPr>
          <w:rFonts w:ascii="Arial" w:hAnsi="Arial" w:cs="Arial"/>
          <w:sz w:val="22"/>
          <w:szCs w:val="22"/>
        </w:rPr>
        <w:t>ng</w:t>
      </w:r>
      <w:proofErr w:type="spellEnd"/>
      <w:r w:rsidRPr="00F65D5C">
        <w:rPr>
          <w:rFonts w:ascii="Arial" w:hAnsi="Arial" w:cs="Arial"/>
          <w:sz w:val="22"/>
          <w:szCs w:val="22"/>
        </w:rPr>
        <w:t>/m</w:t>
      </w:r>
      <w:r w:rsidR="00A64BC3">
        <w:rPr>
          <w:rFonts w:ascii="Arial" w:hAnsi="Arial" w:cs="Arial"/>
          <w:sz w:val="22"/>
          <w:szCs w:val="22"/>
        </w:rPr>
        <w:t>l</w:t>
      </w:r>
      <w:r w:rsidRPr="00F65D5C">
        <w:rPr>
          <w:rFonts w:ascii="Arial" w:hAnsi="Arial" w:cs="Arial"/>
          <w:sz w:val="22"/>
          <w:szCs w:val="22"/>
        </w:rPr>
        <w:t>) were</w:t>
      </w:r>
      <w:r w:rsidRPr="00F65D5C" w:rsidDel="00C05711">
        <w:rPr>
          <w:rFonts w:ascii="Arial" w:hAnsi="Arial" w:cs="Arial"/>
          <w:sz w:val="22"/>
          <w:szCs w:val="22"/>
        </w:rPr>
        <w:t xml:space="preserve"> </w:t>
      </w:r>
      <w:r w:rsidRPr="00F65D5C">
        <w:rPr>
          <w:rFonts w:ascii="Arial" w:hAnsi="Arial" w:cs="Arial"/>
          <w:sz w:val="22"/>
          <w:szCs w:val="22"/>
        </w:rPr>
        <w:t xml:space="preserve">higher than the highest observed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level seen in paediatric patients aged 2-17 years (18.5ng/m</w:t>
      </w:r>
      <w:r w:rsidR="00A64BC3">
        <w:rPr>
          <w:rFonts w:ascii="Arial" w:hAnsi="Arial" w:cs="Arial"/>
          <w:sz w:val="22"/>
          <w:szCs w:val="22"/>
        </w:rPr>
        <w:t>l</w:t>
      </w:r>
      <w:r w:rsidRPr="00F65D5C">
        <w:rPr>
          <w:rFonts w:ascii="Arial" w:hAnsi="Arial" w:cs="Arial"/>
          <w:sz w:val="22"/>
          <w:szCs w:val="22"/>
        </w:rPr>
        <w:t xml:space="preserve">).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is not indicated in paediatric patients less than 9 months of age (</w:t>
      </w:r>
      <w:r w:rsidRPr="00F65D5C">
        <w:rPr>
          <w:rFonts w:ascii="Arial" w:hAnsi="Arial" w:cs="Arial"/>
          <w:i/>
          <w:sz w:val="22"/>
          <w:szCs w:val="22"/>
        </w:rPr>
        <w:t>see Dosage and Administration</w:t>
      </w:r>
      <w:r w:rsidRPr="00F65D5C">
        <w:rPr>
          <w:rFonts w:ascii="Arial" w:hAnsi="Arial" w:cs="Arial"/>
          <w:sz w:val="22"/>
          <w:szCs w:val="22"/>
        </w:rPr>
        <w:t>).</w:t>
      </w:r>
    </w:p>
    <w:p w:rsidR="00E41544" w:rsidRPr="00F65D5C" w:rsidRDefault="00E41544" w:rsidP="00A30798">
      <w:pPr>
        <w:rPr>
          <w:rFonts w:ascii="Arial" w:hAnsi="Arial" w:cs="Arial"/>
          <w:i/>
          <w:sz w:val="22"/>
          <w:szCs w:val="22"/>
        </w:rPr>
      </w:pPr>
    </w:p>
    <w:p w:rsidR="00E41544" w:rsidRPr="00F65D5C" w:rsidRDefault="00E41544" w:rsidP="00A30798">
      <w:pPr>
        <w:rPr>
          <w:rFonts w:ascii="Arial" w:hAnsi="Arial" w:cs="Arial"/>
          <w:i/>
          <w:sz w:val="22"/>
          <w:szCs w:val="22"/>
        </w:rPr>
      </w:pPr>
      <w:r w:rsidRPr="00F65D5C">
        <w:rPr>
          <w:rFonts w:ascii="Arial" w:hAnsi="Arial" w:cs="Arial"/>
          <w:i/>
          <w:sz w:val="22"/>
          <w:szCs w:val="22"/>
        </w:rPr>
        <w:t xml:space="preserve">9 months to 2 years </w:t>
      </w:r>
    </w:p>
    <w:p w:rsidR="00E41544" w:rsidRPr="00F65D5C" w:rsidRDefault="00E41544" w:rsidP="00A30798">
      <w:pPr>
        <w:rPr>
          <w:rFonts w:ascii="Arial" w:hAnsi="Arial" w:cs="Arial"/>
          <w:sz w:val="22"/>
          <w:szCs w:val="22"/>
        </w:rPr>
      </w:pPr>
      <w:r w:rsidRPr="00F65D5C">
        <w:rPr>
          <w:rFonts w:ascii="Arial" w:hAnsi="Arial" w:cs="Arial"/>
          <w:sz w:val="22"/>
          <w:szCs w:val="22"/>
        </w:rPr>
        <w:t xml:space="preserve">Plasma concentrations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were measurable in 32% of patients (n = 16). One plasma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concentration in this age group </w:t>
      </w:r>
      <w:proofErr w:type="gramStart"/>
      <w:r w:rsidRPr="00F65D5C">
        <w:rPr>
          <w:rFonts w:ascii="Arial" w:hAnsi="Arial" w:cs="Arial"/>
          <w:sz w:val="22"/>
          <w:szCs w:val="22"/>
        </w:rPr>
        <w:t xml:space="preserve">(95.1 </w:t>
      </w:r>
      <w:proofErr w:type="spellStart"/>
      <w:r w:rsidRPr="00F65D5C">
        <w:rPr>
          <w:rFonts w:ascii="Arial" w:hAnsi="Arial" w:cs="Arial"/>
          <w:sz w:val="22"/>
          <w:szCs w:val="22"/>
        </w:rPr>
        <w:t>ng</w:t>
      </w:r>
      <w:proofErr w:type="spellEnd"/>
      <w:r w:rsidRPr="00F65D5C">
        <w:rPr>
          <w:rFonts w:ascii="Arial" w:hAnsi="Arial" w:cs="Arial"/>
          <w:sz w:val="22"/>
          <w:szCs w:val="22"/>
        </w:rPr>
        <w:t>/m</w:t>
      </w:r>
      <w:r w:rsidR="00A64BC3">
        <w:rPr>
          <w:rFonts w:ascii="Arial" w:hAnsi="Arial" w:cs="Arial"/>
          <w:sz w:val="22"/>
          <w:szCs w:val="22"/>
        </w:rPr>
        <w:t>l</w:t>
      </w:r>
      <w:r w:rsidRPr="00F65D5C">
        <w:rPr>
          <w:rFonts w:ascii="Arial" w:hAnsi="Arial" w:cs="Arial"/>
          <w:sz w:val="22"/>
          <w:szCs w:val="22"/>
        </w:rPr>
        <w:t>)</w:t>
      </w:r>
      <w:proofErr w:type="gramEnd"/>
      <w:r w:rsidRPr="00F65D5C">
        <w:rPr>
          <w:rFonts w:ascii="Arial" w:hAnsi="Arial" w:cs="Arial"/>
          <w:sz w:val="22"/>
          <w:szCs w:val="22"/>
        </w:rPr>
        <w:t xml:space="preserve"> was</w:t>
      </w:r>
      <w:r w:rsidRPr="00F65D5C" w:rsidDel="00C05711">
        <w:rPr>
          <w:rFonts w:ascii="Arial" w:hAnsi="Arial" w:cs="Arial"/>
          <w:sz w:val="22"/>
          <w:szCs w:val="22"/>
        </w:rPr>
        <w:t xml:space="preserve"> </w:t>
      </w:r>
      <w:r w:rsidRPr="00F65D5C">
        <w:rPr>
          <w:rFonts w:ascii="Arial" w:hAnsi="Arial" w:cs="Arial"/>
          <w:sz w:val="22"/>
          <w:szCs w:val="22"/>
        </w:rPr>
        <w:t xml:space="preserve">higher than the highest observed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level seen in paediatric patients aged 2-17 years (18.5ng/m</w:t>
      </w:r>
      <w:r w:rsidR="00A64BC3">
        <w:rPr>
          <w:rFonts w:ascii="Arial" w:hAnsi="Arial" w:cs="Arial"/>
          <w:sz w:val="22"/>
          <w:szCs w:val="22"/>
        </w:rPr>
        <w:t>l)</w:t>
      </w:r>
      <w:r w:rsidRPr="00F65D5C">
        <w:rPr>
          <w:rFonts w:ascii="Arial" w:hAnsi="Arial" w:cs="Arial"/>
          <w:sz w:val="22"/>
          <w:szCs w:val="22"/>
        </w:rPr>
        <w:t xml:space="preserve"> (see </w:t>
      </w:r>
      <w:r w:rsidRPr="00A64BC3">
        <w:rPr>
          <w:rFonts w:ascii="Arial" w:hAnsi="Arial" w:cs="Arial"/>
          <w:i/>
          <w:sz w:val="22"/>
          <w:szCs w:val="22"/>
        </w:rPr>
        <w:t>Interactions</w:t>
      </w:r>
      <w:r w:rsidRPr="00F65D5C">
        <w:rPr>
          <w:rFonts w:ascii="Arial" w:hAnsi="Arial" w:cs="Arial"/>
          <w:sz w:val="22"/>
          <w:szCs w:val="22"/>
        </w:rPr>
        <w:t>).</w:t>
      </w:r>
    </w:p>
    <w:p w:rsidR="00E41544" w:rsidRPr="00F65D5C" w:rsidRDefault="00E41544" w:rsidP="00A30798">
      <w:pPr>
        <w:jc w:val="both"/>
        <w:rPr>
          <w:rFonts w:ascii="Arial" w:hAnsi="Arial" w:cs="Arial"/>
          <w:sz w:val="22"/>
          <w:szCs w:val="22"/>
        </w:rPr>
      </w:pPr>
    </w:p>
    <w:p w:rsidR="00E41544" w:rsidRPr="00F65D5C" w:rsidRDefault="00E41544" w:rsidP="00E81DC5">
      <w:pPr>
        <w:pStyle w:val="BridgeheadGDS"/>
        <w:rPr>
          <w:color w:val="auto"/>
        </w:rPr>
      </w:pPr>
      <w:r w:rsidRPr="00F65D5C">
        <w:rPr>
          <w:color w:val="auto"/>
        </w:rPr>
        <w:t xml:space="preserve">Co-administration with </w:t>
      </w:r>
      <w:proofErr w:type="spellStart"/>
      <w:r w:rsidRPr="00F65D5C">
        <w:rPr>
          <w:color w:val="auto"/>
        </w:rPr>
        <w:t>ketoconazole</w:t>
      </w:r>
      <w:proofErr w:type="spellEnd"/>
    </w:p>
    <w:p w:rsidR="00E41544" w:rsidRDefault="00E41544" w:rsidP="00A30798">
      <w:pPr>
        <w:rPr>
          <w:rFonts w:ascii="Arial" w:hAnsi="Arial" w:cs="Arial"/>
          <w:sz w:val="22"/>
          <w:szCs w:val="22"/>
        </w:rPr>
      </w:pPr>
      <w:r w:rsidRPr="00F65D5C">
        <w:rPr>
          <w:rFonts w:ascii="Arial" w:hAnsi="Arial" w:cs="Arial"/>
          <w:sz w:val="22"/>
          <w:szCs w:val="22"/>
        </w:rPr>
        <w:t xml:space="preserve">Co-administration of oral </w:t>
      </w:r>
      <w:proofErr w:type="spellStart"/>
      <w:r w:rsidRPr="00F65D5C">
        <w:rPr>
          <w:rFonts w:ascii="Arial" w:hAnsi="Arial" w:cs="Arial"/>
          <w:sz w:val="22"/>
          <w:szCs w:val="22"/>
        </w:rPr>
        <w:t>ketoconazole</w:t>
      </w:r>
      <w:proofErr w:type="spellEnd"/>
      <w:r w:rsidRPr="00F65D5C">
        <w:rPr>
          <w:rFonts w:ascii="Arial" w:hAnsi="Arial" w:cs="Arial"/>
          <w:sz w:val="22"/>
          <w:szCs w:val="22"/>
        </w:rPr>
        <w:t xml:space="preserve"> 200mg twice daily increased mean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w:t>
      </w:r>
      <w:proofErr w:type="gramStart"/>
      <w:r w:rsidRPr="00F65D5C">
        <w:rPr>
          <w:rFonts w:ascii="Arial" w:hAnsi="Arial" w:cs="Arial"/>
          <w:sz w:val="22"/>
          <w:szCs w:val="22"/>
        </w:rPr>
        <w:t>AUC(</w:t>
      </w:r>
      <w:proofErr w:type="gramEnd"/>
      <w:r w:rsidRPr="00F65D5C">
        <w:rPr>
          <w:rFonts w:ascii="Arial" w:hAnsi="Arial" w:cs="Arial"/>
          <w:sz w:val="22"/>
          <w:szCs w:val="22"/>
        </w:rPr>
        <w:t xml:space="preserve">0-24) and </w:t>
      </w:r>
      <w:proofErr w:type="spellStart"/>
      <w:r w:rsidRPr="00F65D5C">
        <w:rPr>
          <w:rFonts w:ascii="Arial" w:hAnsi="Arial" w:cs="Arial"/>
          <w:sz w:val="22"/>
          <w:szCs w:val="22"/>
        </w:rPr>
        <w:t>C</w:t>
      </w:r>
      <w:r w:rsidRPr="00F65D5C">
        <w:rPr>
          <w:rFonts w:ascii="Arial" w:hAnsi="Arial" w:cs="Arial"/>
          <w:sz w:val="22"/>
          <w:szCs w:val="22"/>
          <w:vertAlign w:val="subscript"/>
        </w:rPr>
        <w:t>max</w:t>
      </w:r>
      <w:proofErr w:type="spellEnd"/>
      <w:r w:rsidRPr="00F65D5C">
        <w:rPr>
          <w:rFonts w:ascii="Arial" w:hAnsi="Arial" w:cs="Arial"/>
          <w:sz w:val="22"/>
          <w:szCs w:val="22"/>
        </w:rPr>
        <w:t xml:space="preserve"> by 81% after topical application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1% ointment on the abraded skin of healthy adult males.</w:t>
      </w:r>
    </w:p>
    <w:p w:rsidR="005F3ACF" w:rsidRPr="00F65D5C" w:rsidRDefault="005F3ACF" w:rsidP="00A30798">
      <w:pPr>
        <w:rPr>
          <w:rFonts w:ascii="Arial" w:hAnsi="Arial" w:cs="Arial"/>
          <w:strike/>
          <w:sz w:val="22"/>
          <w:szCs w:val="22"/>
        </w:rPr>
      </w:pPr>
    </w:p>
    <w:p w:rsidR="00E41544" w:rsidRDefault="00E41544" w:rsidP="00A30798">
      <w:pPr>
        <w:rPr>
          <w:rFonts w:ascii="Arial" w:hAnsi="Arial" w:cs="Arial"/>
          <w:sz w:val="22"/>
          <w:szCs w:val="22"/>
        </w:rPr>
      </w:pPr>
      <w:r w:rsidRPr="00F65D5C">
        <w:rPr>
          <w:rFonts w:ascii="Arial" w:hAnsi="Arial" w:cs="Arial"/>
          <w:sz w:val="22"/>
          <w:szCs w:val="22"/>
        </w:rPr>
        <w:t xml:space="preserve">Co-administration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CYP3A4 inhibitors such as </w:t>
      </w:r>
      <w:proofErr w:type="spellStart"/>
      <w:proofErr w:type="gramStart"/>
      <w:r w:rsidRPr="00F65D5C">
        <w:rPr>
          <w:rFonts w:ascii="Arial" w:hAnsi="Arial" w:cs="Arial"/>
          <w:sz w:val="22"/>
          <w:szCs w:val="22"/>
        </w:rPr>
        <w:t>ketoconazole</w:t>
      </w:r>
      <w:proofErr w:type="spellEnd"/>
      <w:r w:rsidRPr="00F65D5C">
        <w:rPr>
          <w:rFonts w:ascii="Arial" w:hAnsi="Arial" w:cs="Arial"/>
          <w:sz w:val="22"/>
          <w:szCs w:val="22"/>
        </w:rPr>
        <w:t>,</w:t>
      </w:r>
      <w:proofErr w:type="gramEnd"/>
      <w:r w:rsidRPr="00F65D5C">
        <w:rPr>
          <w:rFonts w:ascii="Arial" w:hAnsi="Arial" w:cs="Arial"/>
          <w:sz w:val="22"/>
          <w:szCs w:val="22"/>
        </w:rPr>
        <w:t xml:space="preserve"> has not been studied in children.</w:t>
      </w:r>
    </w:p>
    <w:p w:rsidR="005F3ACF" w:rsidRPr="00F65D5C" w:rsidRDefault="005F3ACF" w:rsidP="00A30798">
      <w:pPr>
        <w:rPr>
          <w:rFonts w:ascii="Arial" w:hAnsi="Arial" w:cs="Arial"/>
          <w:sz w:val="22"/>
          <w:szCs w:val="22"/>
        </w:rPr>
      </w:pPr>
    </w:p>
    <w:p w:rsidR="00E41544" w:rsidRPr="00F65D5C" w:rsidRDefault="00E41544" w:rsidP="00A30798">
      <w:pPr>
        <w:rPr>
          <w:rFonts w:ascii="Arial" w:hAnsi="Arial" w:cs="Arial"/>
          <w:sz w:val="22"/>
          <w:szCs w:val="22"/>
        </w:rPr>
      </w:pPr>
      <w:r w:rsidRPr="00F65D5C">
        <w:rPr>
          <w:rFonts w:ascii="Arial" w:hAnsi="Arial" w:cs="Arial"/>
          <w:sz w:val="22"/>
          <w:szCs w:val="22"/>
        </w:rPr>
        <w:t xml:space="preserve">Due to low systemic exposure </w:t>
      </w:r>
      <w:r w:rsidR="004665CD" w:rsidRPr="00F65D5C">
        <w:rPr>
          <w:rFonts w:ascii="Arial" w:hAnsi="Arial" w:cs="Arial"/>
          <w:sz w:val="22"/>
          <w:szCs w:val="22"/>
        </w:rPr>
        <w:t xml:space="preserve">following </w:t>
      </w:r>
      <w:r w:rsidRPr="00F65D5C">
        <w:rPr>
          <w:rFonts w:ascii="Arial" w:hAnsi="Arial" w:cs="Arial"/>
          <w:sz w:val="22"/>
          <w:szCs w:val="22"/>
        </w:rPr>
        <w:t xml:space="preserve">g topical application in adults and paediatric patients 2 years of age and older, dosage adjustments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are unnecessary in these patients when co-administered with CYP3A4 inhibitors. </w:t>
      </w:r>
    </w:p>
    <w:p w:rsidR="00E41544" w:rsidRPr="00F65D5C" w:rsidRDefault="00E41544" w:rsidP="00A30798">
      <w:pPr>
        <w:rPr>
          <w:rFonts w:ascii="Arial" w:hAnsi="Arial" w:cs="Arial"/>
          <w:sz w:val="22"/>
          <w:szCs w:val="22"/>
        </w:rPr>
      </w:pPr>
      <w:r w:rsidRPr="00F65D5C">
        <w:rPr>
          <w:rFonts w:ascii="Arial" w:hAnsi="Arial" w:cs="Arial"/>
          <w:sz w:val="22"/>
          <w:szCs w:val="22"/>
        </w:rPr>
        <w:t>For ch</w:t>
      </w:r>
      <w:r w:rsidR="000C4EC2">
        <w:rPr>
          <w:rFonts w:ascii="Arial" w:hAnsi="Arial" w:cs="Arial"/>
          <w:sz w:val="22"/>
          <w:szCs w:val="22"/>
        </w:rPr>
        <w:t>ildren less than 2 years of age</w:t>
      </w:r>
      <w:r w:rsidRPr="00F65D5C">
        <w:rPr>
          <w:rFonts w:ascii="Arial" w:hAnsi="Arial" w:cs="Arial"/>
          <w:sz w:val="22"/>
          <w:szCs w:val="22"/>
        </w:rPr>
        <w:t xml:space="preserve"> </w:t>
      </w:r>
      <w:r w:rsidR="000C4EC2">
        <w:rPr>
          <w:rFonts w:ascii="Arial" w:hAnsi="Arial" w:cs="Arial"/>
          <w:sz w:val="22"/>
          <w:szCs w:val="22"/>
        </w:rPr>
        <w:t>(</w:t>
      </w:r>
      <w:r w:rsidRPr="00F65D5C">
        <w:rPr>
          <w:rFonts w:ascii="Arial" w:hAnsi="Arial" w:cs="Arial"/>
          <w:sz w:val="22"/>
          <w:szCs w:val="22"/>
        </w:rPr>
        <w:t xml:space="preserve">see </w:t>
      </w:r>
      <w:r w:rsidRPr="00A64BC3">
        <w:rPr>
          <w:rFonts w:ascii="Arial" w:hAnsi="Arial" w:cs="Arial"/>
          <w:i/>
          <w:sz w:val="22"/>
          <w:szCs w:val="22"/>
        </w:rPr>
        <w:t>Interactions</w:t>
      </w:r>
      <w:r w:rsidR="000C4EC2">
        <w:rPr>
          <w:rFonts w:ascii="Arial" w:hAnsi="Arial" w:cs="Arial"/>
          <w:i/>
          <w:sz w:val="22"/>
          <w:szCs w:val="22"/>
        </w:rPr>
        <w:t>)</w:t>
      </w:r>
      <w:r w:rsidRPr="00F65D5C">
        <w:rPr>
          <w:rFonts w:ascii="Arial" w:hAnsi="Arial" w:cs="Arial"/>
          <w:sz w:val="22"/>
          <w:szCs w:val="22"/>
        </w:rPr>
        <w:t xml:space="preserve">. </w:t>
      </w:r>
    </w:p>
    <w:p w:rsidR="00E41544" w:rsidRPr="00F65D5C" w:rsidRDefault="00E41544" w:rsidP="00A30798">
      <w:pPr>
        <w:jc w:val="both"/>
        <w:rPr>
          <w:rFonts w:ascii="Arial" w:hAnsi="Arial" w:cs="Arial"/>
          <w:sz w:val="22"/>
          <w:szCs w:val="22"/>
        </w:rPr>
      </w:pPr>
    </w:p>
    <w:p w:rsidR="00D06FFC" w:rsidRPr="00F65D5C" w:rsidRDefault="00D06FFC" w:rsidP="00A30798">
      <w:pPr>
        <w:jc w:val="both"/>
        <w:rPr>
          <w:rFonts w:ascii="Arial" w:hAnsi="Arial" w:cs="Arial"/>
          <w:b/>
          <w:i/>
          <w:sz w:val="22"/>
          <w:szCs w:val="22"/>
        </w:rPr>
      </w:pPr>
      <w:r w:rsidRPr="00F65D5C">
        <w:rPr>
          <w:rFonts w:ascii="Arial" w:hAnsi="Arial" w:cs="Arial"/>
          <w:b/>
          <w:i/>
          <w:sz w:val="22"/>
          <w:szCs w:val="22"/>
        </w:rPr>
        <w:t>Distribution</w:t>
      </w:r>
    </w:p>
    <w:p w:rsidR="00E41544" w:rsidRPr="00F65D5C" w:rsidRDefault="00E41544" w:rsidP="00A30798">
      <w:pPr>
        <w:jc w:val="both"/>
        <w:rPr>
          <w:rFonts w:ascii="Arial" w:hAnsi="Arial" w:cs="Arial"/>
          <w:b/>
          <w:i/>
          <w:sz w:val="22"/>
          <w:szCs w:val="22"/>
        </w:rPr>
      </w:pPr>
    </w:p>
    <w:p w:rsidR="00E41544" w:rsidRDefault="00E41544" w:rsidP="00A30798">
      <w:pPr>
        <w:rPr>
          <w:rFonts w:ascii="Arial" w:hAnsi="Arial" w:cs="Arial"/>
          <w:sz w:val="22"/>
          <w:szCs w:val="22"/>
        </w:rPr>
      </w:pPr>
      <w:r w:rsidRPr="00F65D5C">
        <w:rPr>
          <w:rFonts w:ascii="Arial" w:hAnsi="Arial" w:cs="Arial"/>
          <w:sz w:val="22"/>
          <w:szCs w:val="22"/>
        </w:rPr>
        <w:t xml:space="preserve">Tissue distribution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has not been investigated in humans.  </w:t>
      </w:r>
    </w:p>
    <w:p w:rsidR="0039536E" w:rsidRPr="00F65D5C" w:rsidRDefault="0039536E" w:rsidP="00A30798">
      <w:pPr>
        <w:rPr>
          <w:rFonts w:ascii="Arial" w:hAnsi="Arial" w:cs="Arial"/>
          <w:sz w:val="22"/>
          <w:szCs w:val="22"/>
        </w:rPr>
      </w:pPr>
    </w:p>
    <w:p w:rsidR="00E41544" w:rsidRPr="00F65D5C" w:rsidRDefault="00E41544" w:rsidP="00A30798">
      <w:pPr>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is approximately 94% bound to human plasma proteins. </w:t>
      </w:r>
    </w:p>
    <w:p w:rsidR="00E8070F" w:rsidRPr="00F65D5C" w:rsidRDefault="00E8070F" w:rsidP="00A30798">
      <w:pPr>
        <w:jc w:val="both"/>
        <w:rPr>
          <w:rFonts w:ascii="Arial" w:hAnsi="Arial" w:cs="Arial"/>
          <w:sz w:val="22"/>
          <w:szCs w:val="22"/>
        </w:rPr>
      </w:pPr>
    </w:p>
    <w:p w:rsidR="00D06FFC" w:rsidRPr="00F65D5C" w:rsidRDefault="00D06FFC" w:rsidP="00A30798">
      <w:pPr>
        <w:jc w:val="both"/>
        <w:rPr>
          <w:rFonts w:ascii="Arial" w:hAnsi="Arial" w:cs="Arial"/>
          <w:b/>
          <w:i/>
          <w:sz w:val="22"/>
          <w:szCs w:val="22"/>
        </w:rPr>
      </w:pPr>
      <w:r w:rsidRPr="00F65D5C">
        <w:rPr>
          <w:rFonts w:ascii="Arial" w:hAnsi="Arial" w:cs="Arial"/>
          <w:b/>
          <w:i/>
          <w:sz w:val="22"/>
          <w:szCs w:val="22"/>
        </w:rPr>
        <w:t>Metabolism</w:t>
      </w:r>
    </w:p>
    <w:p w:rsidR="00E41544" w:rsidRPr="00F65D5C" w:rsidRDefault="00E41544" w:rsidP="00A30798">
      <w:pPr>
        <w:jc w:val="both"/>
        <w:rPr>
          <w:rFonts w:ascii="Arial" w:hAnsi="Arial" w:cs="Arial"/>
          <w:b/>
          <w:i/>
          <w:sz w:val="22"/>
          <w:szCs w:val="22"/>
        </w:rPr>
      </w:pPr>
    </w:p>
    <w:p w:rsidR="00E41544" w:rsidRDefault="00E41544" w:rsidP="00A30798">
      <w:pPr>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metabolism in humans was investigated using non-quantitative methodologies only.  Two minor mono-oxygenated metabolites were detected in plasma of healthy subjects.  Metabolites found in urine included two N-</w:t>
      </w:r>
      <w:proofErr w:type="spellStart"/>
      <w:r w:rsidRPr="00F65D5C">
        <w:rPr>
          <w:rFonts w:ascii="Arial" w:hAnsi="Arial" w:cs="Arial"/>
          <w:sz w:val="22"/>
          <w:szCs w:val="22"/>
        </w:rPr>
        <w:t>demethylated</w:t>
      </w:r>
      <w:proofErr w:type="spellEnd"/>
      <w:r w:rsidRPr="00F65D5C">
        <w:rPr>
          <w:rFonts w:ascii="Arial" w:hAnsi="Arial" w:cs="Arial"/>
          <w:sz w:val="22"/>
          <w:szCs w:val="22"/>
        </w:rPr>
        <w:t xml:space="preserve"> metabolites and numerous products of mono-oxygenation as well as further oxidation products. </w:t>
      </w:r>
    </w:p>
    <w:p w:rsidR="005F3ACF" w:rsidRPr="00F65D5C" w:rsidRDefault="005F3ACF" w:rsidP="00A30798">
      <w:pPr>
        <w:rPr>
          <w:rFonts w:ascii="Arial" w:hAnsi="Arial" w:cs="Arial"/>
          <w:sz w:val="22"/>
          <w:szCs w:val="22"/>
        </w:rPr>
      </w:pPr>
    </w:p>
    <w:p w:rsidR="00E41544" w:rsidRPr="00F65D5C" w:rsidRDefault="00E41544" w:rsidP="00A30798">
      <w:pPr>
        <w:rPr>
          <w:rFonts w:ascii="Arial" w:hAnsi="Arial" w:cs="Arial"/>
          <w:sz w:val="22"/>
          <w:szCs w:val="22"/>
        </w:rPr>
      </w:pPr>
      <w:r w:rsidRPr="00F65D5C">
        <w:rPr>
          <w:rFonts w:ascii="Arial" w:hAnsi="Arial" w:cs="Arial"/>
          <w:sz w:val="22"/>
          <w:szCs w:val="22"/>
        </w:rPr>
        <w:t xml:space="preserve">In </w:t>
      </w:r>
      <w:proofErr w:type="spellStart"/>
      <w:r w:rsidRPr="00F65D5C">
        <w:rPr>
          <w:rFonts w:ascii="Arial" w:hAnsi="Arial" w:cs="Arial"/>
          <w:i/>
          <w:sz w:val="22"/>
          <w:szCs w:val="22"/>
        </w:rPr>
        <w:t>in</w:t>
      </w:r>
      <w:proofErr w:type="spellEnd"/>
      <w:r w:rsidRPr="00F65D5C">
        <w:rPr>
          <w:rFonts w:ascii="Arial" w:hAnsi="Arial" w:cs="Arial"/>
          <w:i/>
          <w:sz w:val="22"/>
          <w:szCs w:val="22"/>
        </w:rPr>
        <w:t xml:space="preserve"> vitro</w:t>
      </w:r>
      <w:r w:rsidRPr="00F65D5C">
        <w:rPr>
          <w:rFonts w:ascii="Arial" w:hAnsi="Arial" w:cs="Arial"/>
          <w:sz w:val="22"/>
          <w:szCs w:val="22"/>
        </w:rPr>
        <w:t xml:space="preserve"> human </w:t>
      </w:r>
      <w:proofErr w:type="spellStart"/>
      <w:r w:rsidRPr="00F65D5C">
        <w:rPr>
          <w:rFonts w:ascii="Arial" w:hAnsi="Arial" w:cs="Arial"/>
          <w:sz w:val="22"/>
          <w:szCs w:val="22"/>
        </w:rPr>
        <w:t>hepatocyte</w:t>
      </w:r>
      <w:proofErr w:type="spellEnd"/>
      <w:r w:rsidRPr="00F65D5C">
        <w:rPr>
          <w:rFonts w:ascii="Arial" w:hAnsi="Arial" w:cs="Arial"/>
          <w:sz w:val="22"/>
          <w:szCs w:val="22"/>
        </w:rPr>
        <w:t xml:space="preserve"> studies, the main routes of metabolism were mono-oxygenation and </w:t>
      </w:r>
      <w:proofErr w:type="spellStart"/>
      <w:r w:rsidRPr="00F65D5C">
        <w:rPr>
          <w:rFonts w:ascii="Arial" w:hAnsi="Arial" w:cs="Arial"/>
          <w:sz w:val="22"/>
          <w:szCs w:val="22"/>
        </w:rPr>
        <w:t>di</w:t>
      </w:r>
      <w:proofErr w:type="spellEnd"/>
      <w:r w:rsidRPr="00F65D5C">
        <w:rPr>
          <w:rFonts w:ascii="Arial" w:hAnsi="Arial" w:cs="Arial"/>
          <w:sz w:val="22"/>
          <w:szCs w:val="22"/>
        </w:rPr>
        <w:t xml:space="preserve">-oxygenation. The major enzyme responsible for metabolism of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in human liver </w:t>
      </w:r>
      <w:proofErr w:type="spellStart"/>
      <w:r w:rsidRPr="00F65D5C">
        <w:rPr>
          <w:rFonts w:ascii="Arial" w:hAnsi="Arial" w:cs="Arial"/>
          <w:sz w:val="22"/>
          <w:szCs w:val="22"/>
        </w:rPr>
        <w:t>microsomes</w:t>
      </w:r>
      <w:proofErr w:type="spellEnd"/>
      <w:r w:rsidRPr="00F65D5C">
        <w:rPr>
          <w:rFonts w:ascii="Arial" w:hAnsi="Arial" w:cs="Arial"/>
          <w:sz w:val="22"/>
          <w:szCs w:val="22"/>
        </w:rPr>
        <w:t xml:space="preserve"> is CYP3A4. In freshly excised human skin, very low amounts of three mono-oxygenated metabolites were generated. </w:t>
      </w:r>
    </w:p>
    <w:p w:rsidR="00E8070F" w:rsidRPr="00F65D5C" w:rsidRDefault="00E8070F" w:rsidP="00A30798">
      <w:pPr>
        <w:jc w:val="both"/>
        <w:rPr>
          <w:rFonts w:ascii="Arial" w:hAnsi="Arial" w:cs="Arial"/>
          <w:sz w:val="22"/>
          <w:szCs w:val="22"/>
        </w:rPr>
      </w:pPr>
    </w:p>
    <w:p w:rsidR="00D06FFC" w:rsidRPr="00F65D5C" w:rsidRDefault="00E81E59" w:rsidP="00A30798">
      <w:pPr>
        <w:jc w:val="both"/>
        <w:rPr>
          <w:rFonts w:ascii="Arial" w:hAnsi="Arial" w:cs="Arial"/>
          <w:b/>
          <w:i/>
          <w:sz w:val="22"/>
          <w:szCs w:val="22"/>
        </w:rPr>
      </w:pPr>
      <w:r w:rsidRPr="00F65D5C">
        <w:rPr>
          <w:rFonts w:ascii="Arial" w:hAnsi="Arial" w:cs="Arial"/>
          <w:b/>
          <w:i/>
          <w:sz w:val="22"/>
          <w:szCs w:val="22"/>
        </w:rPr>
        <w:t>Excretion</w:t>
      </w:r>
    </w:p>
    <w:p w:rsidR="00E41544" w:rsidRPr="00F65D5C" w:rsidRDefault="00E41544" w:rsidP="00A30798">
      <w:pPr>
        <w:jc w:val="both"/>
        <w:rPr>
          <w:rFonts w:ascii="Arial" w:hAnsi="Arial" w:cs="Arial"/>
          <w:b/>
          <w:i/>
          <w:sz w:val="22"/>
          <w:szCs w:val="22"/>
        </w:rPr>
      </w:pPr>
    </w:p>
    <w:p w:rsidR="00E41544" w:rsidRPr="00F65D5C" w:rsidRDefault="00E41544" w:rsidP="00A30798">
      <w:pPr>
        <w:rPr>
          <w:rFonts w:ascii="Arial" w:hAnsi="Arial" w:cs="Arial"/>
          <w:sz w:val="22"/>
          <w:szCs w:val="22"/>
        </w:rPr>
      </w:pP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e</w:t>
      </w:r>
      <w:r w:rsidR="00A40B4D" w:rsidRPr="00F65D5C">
        <w:rPr>
          <w:rFonts w:ascii="Arial" w:hAnsi="Arial" w:cs="Arial"/>
          <w:sz w:val="22"/>
          <w:szCs w:val="22"/>
        </w:rPr>
        <w:t>xcretion</w:t>
      </w:r>
      <w:r w:rsidRPr="00F65D5C">
        <w:rPr>
          <w:rFonts w:ascii="Arial" w:hAnsi="Arial" w:cs="Arial"/>
          <w:sz w:val="22"/>
          <w:szCs w:val="22"/>
        </w:rPr>
        <w:t xml:space="preserve"> in humans has not been investigated. </w:t>
      </w:r>
    </w:p>
    <w:p w:rsidR="00E41544" w:rsidRPr="00F65D5C" w:rsidRDefault="00E41544" w:rsidP="00A30798">
      <w:pPr>
        <w:pStyle w:val="NoNumHead4"/>
        <w:spacing w:before="0" w:after="0"/>
        <w:rPr>
          <w:rFonts w:cs="Arial"/>
          <w:szCs w:val="22"/>
        </w:rPr>
      </w:pPr>
    </w:p>
    <w:p w:rsidR="0077380F" w:rsidRPr="00F65D5C" w:rsidRDefault="0077380F" w:rsidP="00A30798">
      <w:pPr>
        <w:jc w:val="both"/>
        <w:rPr>
          <w:rFonts w:ascii="Arial" w:hAnsi="Arial" w:cs="Arial"/>
          <w:b/>
          <w:sz w:val="22"/>
          <w:szCs w:val="22"/>
        </w:rPr>
      </w:pPr>
      <w:r w:rsidRPr="00F65D5C">
        <w:rPr>
          <w:rFonts w:ascii="Arial" w:hAnsi="Arial" w:cs="Arial"/>
          <w:b/>
          <w:sz w:val="22"/>
          <w:szCs w:val="22"/>
        </w:rPr>
        <w:t>CLINICAL TRIALS</w:t>
      </w:r>
    </w:p>
    <w:p w:rsidR="006B44C7" w:rsidRPr="00F65D5C" w:rsidRDefault="006B44C7" w:rsidP="00A30798">
      <w:pPr>
        <w:jc w:val="both"/>
        <w:rPr>
          <w:rFonts w:ascii="Arial" w:hAnsi="Arial" w:cs="Arial"/>
          <w:b/>
          <w:sz w:val="22"/>
          <w:szCs w:val="22"/>
        </w:rPr>
      </w:pPr>
    </w:p>
    <w:p w:rsidR="0039536E" w:rsidRPr="00F65D5C" w:rsidRDefault="0039536E" w:rsidP="0039536E">
      <w:pPr>
        <w:pStyle w:val="BridgeheadGDS"/>
        <w:rPr>
          <w:color w:val="auto"/>
        </w:rPr>
      </w:pPr>
      <w:r w:rsidRPr="00F65D5C">
        <w:rPr>
          <w:color w:val="auto"/>
        </w:rPr>
        <w:t>Impetigo</w:t>
      </w:r>
    </w:p>
    <w:p w:rsidR="0039536E" w:rsidRPr="00F65D5C" w:rsidRDefault="0039536E" w:rsidP="0039536E">
      <w:pPr>
        <w:pStyle w:val="BridgeheadGDS"/>
        <w:rPr>
          <w:color w:val="auto"/>
        </w:rPr>
      </w:pPr>
    </w:p>
    <w:p w:rsidR="0039536E" w:rsidRPr="00F65D5C" w:rsidRDefault="0039536E" w:rsidP="0039536E">
      <w:pPr>
        <w:rPr>
          <w:rFonts w:ascii="Arial" w:hAnsi="Arial" w:cs="Arial"/>
          <w:sz w:val="22"/>
          <w:szCs w:val="22"/>
        </w:rPr>
      </w:pPr>
      <w:r w:rsidRPr="00F65D5C">
        <w:rPr>
          <w:rFonts w:ascii="Arial" w:hAnsi="Arial" w:cs="Arial"/>
          <w:sz w:val="22"/>
          <w:szCs w:val="22"/>
        </w:rPr>
        <w:t xml:space="preserve">The efficacy of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ointment (applied twice daily for five days) for the treatment of primary impetigo (with lesions not larger than 100cm</w:t>
      </w:r>
      <w:r w:rsidRPr="00F65D5C">
        <w:rPr>
          <w:rFonts w:ascii="Arial" w:hAnsi="Arial" w:cs="Arial"/>
          <w:sz w:val="22"/>
          <w:szCs w:val="22"/>
          <w:vertAlign w:val="superscript"/>
        </w:rPr>
        <w:t>2</w:t>
      </w:r>
      <w:r w:rsidRPr="00F65D5C">
        <w:rPr>
          <w:rFonts w:ascii="Arial" w:hAnsi="Arial" w:cs="Arial"/>
          <w:sz w:val="22"/>
          <w:szCs w:val="22"/>
        </w:rPr>
        <w:t xml:space="preserve"> in total area) was evaluated in two clinical trials. Study number TOC103469 was a randomised (2:1), double blind clinical trial compared to topical placebo ointment; Study number TOC100224 was a randomised, (2:1) observer blind clinical trial compared to topical sodium </w:t>
      </w:r>
      <w:proofErr w:type="spellStart"/>
      <w:r w:rsidRPr="00F65D5C">
        <w:rPr>
          <w:rFonts w:ascii="Arial" w:hAnsi="Arial" w:cs="Arial"/>
          <w:sz w:val="22"/>
          <w:szCs w:val="22"/>
        </w:rPr>
        <w:t>fusidate</w:t>
      </w:r>
      <w:proofErr w:type="spellEnd"/>
      <w:r w:rsidRPr="00F65D5C">
        <w:rPr>
          <w:rFonts w:ascii="Arial" w:hAnsi="Arial" w:cs="Arial"/>
          <w:sz w:val="22"/>
          <w:szCs w:val="22"/>
        </w:rPr>
        <w:t xml:space="preserve"> ointment, 2%. For both clinical trials, the primary endpoint was clinical response at end of therapy (2 days post-treatment). A total of 727 patients were enrolled in these studies. </w:t>
      </w:r>
    </w:p>
    <w:p w:rsidR="0039536E" w:rsidRPr="00F65D5C" w:rsidRDefault="0039536E" w:rsidP="0039536E">
      <w:pPr>
        <w:rPr>
          <w:rFonts w:ascii="Arial" w:hAnsi="Arial" w:cs="Arial"/>
          <w:sz w:val="22"/>
          <w:szCs w:val="22"/>
        </w:rPr>
      </w:pPr>
      <w:r w:rsidRPr="00F65D5C">
        <w:rPr>
          <w:rFonts w:ascii="Arial" w:hAnsi="Arial" w:cs="Arial"/>
          <w:sz w:val="22"/>
          <w:szCs w:val="22"/>
        </w:rPr>
        <w:t xml:space="preserve">In Study 103469, clinical efficacy rates in the primary population (intent to treat population - ITT) were 85.6%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52.1% for placebo (95% CI 20.5%, 46.5% for treatment difference)); the microbiological success rate was 91.2%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50.9% for placebo. This study demonstrated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to be superior to placebo ointment. </w:t>
      </w:r>
    </w:p>
    <w:p w:rsidR="0039536E" w:rsidRPr="00F65D5C" w:rsidRDefault="0039536E" w:rsidP="0039536E">
      <w:pPr>
        <w:rPr>
          <w:rFonts w:ascii="Arial" w:hAnsi="Arial" w:cs="Arial"/>
          <w:sz w:val="22"/>
          <w:szCs w:val="22"/>
        </w:rPr>
      </w:pPr>
      <w:r w:rsidRPr="00F65D5C">
        <w:rPr>
          <w:rFonts w:ascii="Arial" w:hAnsi="Arial" w:cs="Arial"/>
          <w:sz w:val="22"/>
          <w:szCs w:val="22"/>
        </w:rPr>
        <w:t xml:space="preserve"> </w:t>
      </w:r>
    </w:p>
    <w:p w:rsidR="0039536E" w:rsidRPr="00F65D5C" w:rsidRDefault="0039536E" w:rsidP="0039536E">
      <w:pPr>
        <w:rPr>
          <w:rFonts w:ascii="Arial" w:hAnsi="Arial" w:cs="Arial"/>
          <w:sz w:val="22"/>
          <w:szCs w:val="22"/>
        </w:rPr>
      </w:pPr>
      <w:r w:rsidRPr="00F65D5C">
        <w:rPr>
          <w:rFonts w:ascii="Arial" w:hAnsi="Arial" w:cs="Arial"/>
          <w:sz w:val="22"/>
          <w:szCs w:val="22"/>
        </w:rPr>
        <w:t>In study TOC</w:t>
      </w:r>
      <w:r w:rsidRPr="00553D66">
        <w:rPr>
          <w:rFonts w:ascii="Arial" w:hAnsi="Arial" w:cs="Arial"/>
          <w:sz w:val="22"/>
          <w:szCs w:val="22"/>
        </w:rPr>
        <w:t>10</w:t>
      </w:r>
      <w:r w:rsidR="002F25C5" w:rsidRPr="00553D66">
        <w:rPr>
          <w:rFonts w:ascii="Arial" w:hAnsi="Arial" w:cs="Arial"/>
          <w:sz w:val="22"/>
          <w:szCs w:val="22"/>
        </w:rPr>
        <w:t>0224</w:t>
      </w:r>
      <w:r w:rsidRPr="00F65D5C">
        <w:rPr>
          <w:rFonts w:ascii="Arial" w:hAnsi="Arial" w:cs="Arial"/>
          <w:sz w:val="22"/>
          <w:szCs w:val="22"/>
        </w:rPr>
        <w:t xml:space="preserve">, clinical efficacy rates in the primary population (per protocol population – PPP) were 99.1%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94.0% for sodium </w:t>
      </w:r>
      <w:proofErr w:type="spellStart"/>
      <w:r w:rsidRPr="00F65D5C">
        <w:rPr>
          <w:rFonts w:ascii="Arial" w:hAnsi="Arial" w:cs="Arial"/>
          <w:sz w:val="22"/>
          <w:szCs w:val="22"/>
        </w:rPr>
        <w:t>fusidate</w:t>
      </w:r>
      <w:proofErr w:type="spellEnd"/>
      <w:r w:rsidRPr="00F65D5C">
        <w:rPr>
          <w:rFonts w:ascii="Arial" w:hAnsi="Arial" w:cs="Arial"/>
          <w:sz w:val="22"/>
          <w:szCs w:val="22"/>
        </w:rPr>
        <w:t xml:space="preserve"> ointment (95% CI 1.1%, 9.0% for treatment difference)); the microbiological success rate was 98.3%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93.9% for sodium </w:t>
      </w:r>
      <w:proofErr w:type="spellStart"/>
      <w:r w:rsidRPr="00F65D5C">
        <w:rPr>
          <w:rFonts w:ascii="Arial" w:hAnsi="Arial" w:cs="Arial"/>
          <w:sz w:val="22"/>
          <w:szCs w:val="22"/>
        </w:rPr>
        <w:t>fusidate</w:t>
      </w:r>
      <w:proofErr w:type="spellEnd"/>
      <w:r w:rsidRPr="00F65D5C">
        <w:rPr>
          <w:rFonts w:ascii="Arial" w:hAnsi="Arial" w:cs="Arial"/>
          <w:sz w:val="22"/>
          <w:szCs w:val="22"/>
        </w:rPr>
        <w:t xml:space="preserve"> ointment. In this study,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demonstrated non-inferiority to sodium </w:t>
      </w:r>
      <w:proofErr w:type="spellStart"/>
      <w:r w:rsidRPr="00F65D5C">
        <w:rPr>
          <w:rFonts w:ascii="Arial" w:hAnsi="Arial" w:cs="Arial"/>
          <w:sz w:val="22"/>
          <w:szCs w:val="22"/>
        </w:rPr>
        <w:t>fusidate</w:t>
      </w:r>
      <w:proofErr w:type="spellEnd"/>
      <w:r w:rsidRPr="00F65D5C">
        <w:rPr>
          <w:rFonts w:ascii="Arial" w:hAnsi="Arial" w:cs="Arial"/>
          <w:sz w:val="22"/>
          <w:szCs w:val="22"/>
        </w:rPr>
        <w:t>.</w:t>
      </w:r>
      <w:r w:rsidRPr="00F65D5C">
        <w:rPr>
          <w:rFonts w:ascii="Arial" w:hAnsi="Arial" w:cs="Arial"/>
          <w:strike/>
          <w:sz w:val="22"/>
          <w:szCs w:val="22"/>
        </w:rPr>
        <w:t xml:space="preserve"> </w:t>
      </w:r>
    </w:p>
    <w:p w:rsidR="0039536E" w:rsidRDefault="0039536E" w:rsidP="00E81DC5">
      <w:pPr>
        <w:pStyle w:val="BridgeheadGDS"/>
        <w:rPr>
          <w:color w:val="auto"/>
        </w:rPr>
      </w:pPr>
    </w:p>
    <w:p w:rsidR="006B44C7" w:rsidRPr="00F65D5C" w:rsidRDefault="006B44C7" w:rsidP="00E81DC5">
      <w:pPr>
        <w:pStyle w:val="BridgeheadGDS"/>
        <w:rPr>
          <w:color w:val="auto"/>
        </w:rPr>
      </w:pPr>
      <w:r w:rsidRPr="00F65D5C">
        <w:rPr>
          <w:color w:val="auto"/>
        </w:rPr>
        <w:t>Secondarily infected traumatic lesions</w:t>
      </w:r>
    </w:p>
    <w:p w:rsidR="00A30798" w:rsidRPr="00F65D5C" w:rsidRDefault="00A30798" w:rsidP="00E81DC5">
      <w:pPr>
        <w:pStyle w:val="BridgeheadGDS"/>
        <w:rPr>
          <w:color w:val="auto"/>
        </w:rPr>
      </w:pPr>
    </w:p>
    <w:p w:rsidR="006B44C7" w:rsidRDefault="006B44C7" w:rsidP="00A30798">
      <w:pPr>
        <w:rPr>
          <w:rFonts w:ascii="Arial" w:hAnsi="Arial" w:cs="Arial"/>
          <w:sz w:val="22"/>
          <w:szCs w:val="22"/>
        </w:rPr>
      </w:pPr>
      <w:r w:rsidRPr="00F65D5C">
        <w:rPr>
          <w:rFonts w:ascii="Arial" w:hAnsi="Arial" w:cs="Arial"/>
          <w:sz w:val="22"/>
          <w:szCs w:val="22"/>
        </w:rPr>
        <w:t xml:space="preserve">The efficacy of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1% ointment (applied twice daily for five days) for the treatment of secondarily infected traumatic skin lesions (e.g. lacerations, sutured wounds and abrasions not more than 10cm in length or 100cm</w:t>
      </w:r>
      <w:r w:rsidRPr="0039536E">
        <w:rPr>
          <w:rFonts w:ascii="Arial" w:hAnsi="Arial" w:cs="Arial"/>
          <w:sz w:val="22"/>
          <w:szCs w:val="22"/>
          <w:vertAlign w:val="superscript"/>
        </w:rPr>
        <w:t>2</w:t>
      </w:r>
      <w:r w:rsidRPr="00F65D5C">
        <w:rPr>
          <w:rFonts w:ascii="Arial" w:hAnsi="Arial" w:cs="Arial"/>
          <w:sz w:val="22"/>
          <w:szCs w:val="22"/>
        </w:rPr>
        <w:t xml:space="preserve"> in total area) was compared to that of oral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(500mg twice daily for 10 days for adults and adolescents, and 12.5mg/kg twice daily for paediatric patients less than 13 years of age) in two randomized (2:1), double-blind, double-dummy clinical trials. A total of 1904 patients were enrolled in these two studies. The primary endpoint was clinical response in the per protocol population at 7-9 days post-treatment. In the first study (Study number 030A), clinical efficacy was 88.7%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91.9% for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(95% CI -7.4%, 0.9% for treatment difference). In the second study (Study</w:t>
      </w:r>
      <w:r w:rsidR="00554B8B" w:rsidRPr="00F65D5C">
        <w:rPr>
          <w:rFonts w:ascii="Arial" w:hAnsi="Arial" w:cs="Arial"/>
          <w:sz w:val="22"/>
          <w:szCs w:val="22"/>
        </w:rPr>
        <w:t xml:space="preserve"> number 030B),</w:t>
      </w:r>
      <w:r w:rsidRPr="00F65D5C">
        <w:rPr>
          <w:rFonts w:ascii="Arial" w:hAnsi="Arial" w:cs="Arial"/>
          <w:sz w:val="22"/>
          <w:szCs w:val="22"/>
        </w:rPr>
        <w:t xml:space="preserve"> clinical efficacy was 90.4%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92.0% for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(95% CI -5.8, 2.6% for treatment difference). Microbiological success rate at follow-up in the per-protocol populations was 87.1%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89.4% for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in the first study and 91.7%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91.1% for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in the second study. In these studies,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demonstrated non-inferiority to oral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w:t>
      </w:r>
    </w:p>
    <w:p w:rsidR="00666079" w:rsidRDefault="00666079" w:rsidP="00A30798">
      <w:pPr>
        <w:rPr>
          <w:rFonts w:ascii="Arial" w:hAnsi="Arial" w:cs="Arial"/>
          <w:sz w:val="22"/>
          <w:szCs w:val="22"/>
        </w:rPr>
      </w:pPr>
    </w:p>
    <w:p w:rsidR="00666079" w:rsidRPr="00666079" w:rsidRDefault="00666079" w:rsidP="00666079">
      <w:pPr>
        <w:rPr>
          <w:rFonts w:ascii="Arial" w:hAnsi="Arial" w:cs="Arial"/>
          <w:sz w:val="22"/>
          <w:szCs w:val="22"/>
        </w:rPr>
      </w:pPr>
      <w:r w:rsidRPr="00666079">
        <w:rPr>
          <w:rFonts w:ascii="Arial" w:hAnsi="Arial" w:cs="Arial"/>
          <w:sz w:val="22"/>
          <w:szCs w:val="22"/>
        </w:rPr>
        <w:lastRenderedPageBreak/>
        <w:t xml:space="preserve">A further study (TOC110977) was conducted in subjects with SITL using a placebo control. A total of 508 subjects were enrolled in this study. The study was a randomized, double-blind, placebo-controlled, superiority study in subjects </w:t>
      </w:r>
      <w:r w:rsidRPr="00666079">
        <w:rPr>
          <w:rFonts w:ascii="Arial" w:hAnsi="Arial" w:cs="Arial"/>
          <w:sz w:val="22"/>
          <w:szCs w:val="22"/>
        </w:rPr>
        <w:sym w:font="Symbol" w:char="F0B3"/>
      </w:r>
      <w:r w:rsidRPr="00666079">
        <w:rPr>
          <w:rFonts w:ascii="Arial" w:hAnsi="Arial" w:cs="Arial"/>
          <w:sz w:val="22"/>
          <w:szCs w:val="22"/>
        </w:rPr>
        <w:t xml:space="preserve">2 months of age with SITL. </w:t>
      </w:r>
    </w:p>
    <w:p w:rsidR="00666079" w:rsidRPr="00666079" w:rsidRDefault="00666079" w:rsidP="00894252">
      <w:pPr>
        <w:pStyle w:val="listindentbull"/>
        <w:numPr>
          <w:ilvl w:val="0"/>
          <w:numId w:val="0"/>
        </w:numPr>
        <w:rPr>
          <w:rFonts w:ascii="Arial" w:eastAsia="Batang" w:hAnsi="Arial" w:cs="Arial"/>
          <w:sz w:val="22"/>
          <w:szCs w:val="22"/>
        </w:rPr>
      </w:pPr>
      <w:r w:rsidRPr="00666079">
        <w:rPr>
          <w:rFonts w:ascii="Arial" w:hAnsi="Arial" w:cs="Arial"/>
          <w:sz w:val="22"/>
          <w:szCs w:val="22"/>
        </w:rPr>
        <w:t xml:space="preserve">The study failed to meet the primary endpoint which was the clinical response (success or failure) at follow-up (day 12 to 14). </w:t>
      </w:r>
      <w:r w:rsidRPr="00666079">
        <w:rPr>
          <w:rFonts w:ascii="Arial" w:eastAsia="Batang" w:hAnsi="Arial" w:cs="Arial"/>
          <w:sz w:val="22"/>
          <w:szCs w:val="22"/>
        </w:rPr>
        <w:t>The difference in the clinical success</w:t>
      </w:r>
      <w:r>
        <w:rPr>
          <w:rFonts w:ascii="Arial" w:eastAsia="Batang" w:hAnsi="Arial" w:cs="Arial"/>
          <w:sz w:val="22"/>
          <w:szCs w:val="22"/>
        </w:rPr>
        <w:t xml:space="preserve"> rates (8.4%) at the follow-up </w:t>
      </w:r>
      <w:r w:rsidRPr="00666079">
        <w:rPr>
          <w:rFonts w:ascii="Arial" w:eastAsia="Batang" w:hAnsi="Arial" w:cs="Arial"/>
          <w:sz w:val="22"/>
          <w:szCs w:val="22"/>
        </w:rPr>
        <w:t xml:space="preserve">visit between subjects treated with </w:t>
      </w:r>
      <w:proofErr w:type="spellStart"/>
      <w:r w:rsidRPr="00666079">
        <w:rPr>
          <w:rFonts w:ascii="Arial" w:eastAsia="Batang" w:hAnsi="Arial" w:cs="Arial"/>
          <w:sz w:val="22"/>
          <w:szCs w:val="22"/>
        </w:rPr>
        <w:t>retapamulin</w:t>
      </w:r>
      <w:proofErr w:type="spellEnd"/>
      <w:r w:rsidRPr="00666079">
        <w:rPr>
          <w:rFonts w:ascii="Arial" w:eastAsia="Batang" w:hAnsi="Arial" w:cs="Arial"/>
          <w:sz w:val="22"/>
          <w:szCs w:val="22"/>
        </w:rPr>
        <w:t xml:space="preserve"> (74.8%) and placebo (66.4%) was not statistically significant (ITTC Primary Efficacy Population, 95% CI -1.6, 18.4).  </w:t>
      </w:r>
    </w:p>
    <w:p w:rsidR="00894252" w:rsidRDefault="00894252" w:rsidP="00894252">
      <w:pPr>
        <w:pStyle w:val="listindentbull"/>
        <w:numPr>
          <w:ilvl w:val="0"/>
          <w:numId w:val="0"/>
        </w:numPr>
        <w:rPr>
          <w:rFonts w:ascii="Arial" w:hAnsi="Arial" w:cs="Arial"/>
          <w:sz w:val="22"/>
          <w:szCs w:val="22"/>
        </w:rPr>
      </w:pPr>
      <w:r>
        <w:rPr>
          <w:rFonts w:ascii="Arial" w:eastAsia="Batang" w:hAnsi="Arial" w:cs="Arial"/>
          <w:sz w:val="22"/>
          <w:szCs w:val="22"/>
        </w:rPr>
        <w:t>Using logistic regression analysis to adjust for</w:t>
      </w:r>
      <w:r w:rsidR="00F47D2A">
        <w:rPr>
          <w:rFonts w:ascii="Arial" w:eastAsia="Batang" w:hAnsi="Arial" w:cs="Arial"/>
          <w:sz w:val="22"/>
          <w:szCs w:val="22"/>
        </w:rPr>
        <w:t xml:space="preserve"> the differences in</w:t>
      </w:r>
      <w:r>
        <w:rPr>
          <w:rFonts w:ascii="Arial" w:eastAsia="Batang" w:hAnsi="Arial" w:cs="Arial"/>
          <w:sz w:val="22"/>
          <w:szCs w:val="22"/>
        </w:rPr>
        <w:t xml:space="preserve"> b</w:t>
      </w:r>
      <w:r w:rsidRPr="00666079">
        <w:rPr>
          <w:rFonts w:ascii="Arial" w:hAnsi="Arial" w:cs="Arial"/>
          <w:sz w:val="22"/>
          <w:szCs w:val="22"/>
        </w:rPr>
        <w:t xml:space="preserve">aseline wound </w:t>
      </w:r>
      <w:r w:rsidRPr="00894252">
        <w:rPr>
          <w:rFonts w:ascii="Arial" w:hAnsi="Arial" w:cs="Arial"/>
          <w:sz w:val="22"/>
          <w:szCs w:val="22"/>
        </w:rPr>
        <w:t>characteristics</w:t>
      </w:r>
      <w:r>
        <w:rPr>
          <w:rFonts w:ascii="Arial" w:hAnsi="Arial" w:cs="Arial"/>
          <w:sz w:val="22"/>
          <w:szCs w:val="22"/>
        </w:rPr>
        <w:t>,</w:t>
      </w:r>
      <w:r w:rsidRPr="00894252">
        <w:rPr>
          <w:rFonts w:ascii="Arial" w:hAnsi="Arial" w:cs="Arial"/>
          <w:sz w:val="22"/>
          <w:szCs w:val="22"/>
        </w:rPr>
        <w:t xml:space="preserve"> for the primary endpoint, the </w:t>
      </w:r>
      <w:proofErr w:type="spellStart"/>
      <w:r w:rsidRPr="00894252">
        <w:rPr>
          <w:rFonts w:ascii="Arial" w:hAnsi="Arial" w:cs="Arial"/>
          <w:sz w:val="22"/>
          <w:szCs w:val="22"/>
        </w:rPr>
        <w:t>retapamulin</w:t>
      </w:r>
      <w:proofErr w:type="spellEnd"/>
      <w:r w:rsidRPr="00894252">
        <w:rPr>
          <w:rFonts w:ascii="Arial" w:hAnsi="Arial" w:cs="Arial"/>
          <w:sz w:val="22"/>
          <w:szCs w:val="22"/>
        </w:rPr>
        <w:t xml:space="preserve"> treatment was found to be superior to placebo (p=0.0336) with an odds ratio estimate of 1.73 and 95% CI of (1.04, 2.87).</w:t>
      </w:r>
    </w:p>
    <w:p w:rsidR="001840B9" w:rsidRPr="001840B9" w:rsidRDefault="001840B9" w:rsidP="00894252">
      <w:pPr>
        <w:pStyle w:val="listindentbull"/>
        <w:numPr>
          <w:ilvl w:val="0"/>
          <w:numId w:val="0"/>
        </w:numPr>
        <w:rPr>
          <w:rFonts w:ascii="Arial" w:hAnsi="Arial" w:cs="Arial"/>
          <w:sz w:val="22"/>
          <w:szCs w:val="22"/>
        </w:rPr>
      </w:pPr>
      <w:r w:rsidRPr="001840B9">
        <w:rPr>
          <w:rFonts w:ascii="Arial" w:eastAsia="Batang" w:hAnsi="Arial" w:cs="Arial"/>
          <w:sz w:val="22"/>
          <w:szCs w:val="22"/>
        </w:rPr>
        <w:t xml:space="preserve">The clinical response in </w:t>
      </w:r>
      <w:proofErr w:type="spellStart"/>
      <w:r w:rsidRPr="001840B9">
        <w:rPr>
          <w:rFonts w:ascii="Arial" w:eastAsia="Batang" w:hAnsi="Arial" w:cs="Arial"/>
          <w:sz w:val="22"/>
          <w:szCs w:val="22"/>
        </w:rPr>
        <w:t>bacteriologically</w:t>
      </w:r>
      <w:proofErr w:type="spellEnd"/>
      <w:r w:rsidRPr="001840B9">
        <w:rPr>
          <w:rFonts w:ascii="Arial" w:eastAsia="Batang" w:hAnsi="Arial" w:cs="Arial"/>
          <w:sz w:val="22"/>
          <w:szCs w:val="22"/>
        </w:rPr>
        <w:t xml:space="preserve"> confirmed subjects (ITTB population) was a secondary efficacy endpoint. </w:t>
      </w:r>
      <w:proofErr w:type="spellStart"/>
      <w:r w:rsidRPr="001840B9">
        <w:rPr>
          <w:rFonts w:ascii="Arial" w:eastAsia="Batang" w:hAnsi="Arial" w:cs="Arial"/>
          <w:sz w:val="22"/>
          <w:szCs w:val="22"/>
        </w:rPr>
        <w:t>Retapamulin</w:t>
      </w:r>
      <w:proofErr w:type="spellEnd"/>
      <w:r w:rsidRPr="001840B9">
        <w:rPr>
          <w:rFonts w:ascii="Arial" w:eastAsia="Batang" w:hAnsi="Arial" w:cs="Arial"/>
          <w:sz w:val="22"/>
          <w:szCs w:val="22"/>
        </w:rPr>
        <w:t xml:space="preserve"> was statistically superior to placebo in the ITTB population (76.4% versus 64.3%)</w:t>
      </w:r>
      <w:r>
        <w:rPr>
          <w:rFonts w:ascii="Arial" w:eastAsia="Batang" w:hAnsi="Arial" w:cs="Arial"/>
          <w:sz w:val="22"/>
          <w:szCs w:val="22"/>
        </w:rPr>
        <w:t>.</w:t>
      </w:r>
    </w:p>
    <w:p w:rsidR="006B44C7" w:rsidRPr="00F65D5C" w:rsidRDefault="006B44C7" w:rsidP="00A30798">
      <w:pPr>
        <w:rPr>
          <w:rFonts w:ascii="Arial" w:hAnsi="Arial" w:cs="Arial"/>
          <w:sz w:val="22"/>
          <w:szCs w:val="22"/>
        </w:rPr>
      </w:pPr>
    </w:p>
    <w:p w:rsidR="006B44C7" w:rsidRPr="00F65D5C" w:rsidRDefault="006B44C7" w:rsidP="00E81DC5">
      <w:pPr>
        <w:pStyle w:val="BridgeheadGDS"/>
        <w:rPr>
          <w:color w:val="auto"/>
        </w:rPr>
      </w:pPr>
      <w:r w:rsidRPr="00F65D5C">
        <w:rPr>
          <w:color w:val="auto"/>
        </w:rPr>
        <w:t xml:space="preserve">Secondarily infected </w:t>
      </w:r>
      <w:proofErr w:type="spellStart"/>
      <w:r w:rsidRPr="00F65D5C">
        <w:rPr>
          <w:color w:val="auto"/>
        </w:rPr>
        <w:t>dermatoses</w:t>
      </w:r>
      <w:proofErr w:type="spellEnd"/>
    </w:p>
    <w:p w:rsidR="00A30798" w:rsidRPr="00F65D5C" w:rsidRDefault="00A30798" w:rsidP="00E81DC5">
      <w:pPr>
        <w:pStyle w:val="BridgeheadGDS"/>
        <w:rPr>
          <w:color w:val="auto"/>
        </w:rPr>
      </w:pPr>
    </w:p>
    <w:p w:rsidR="006B44C7" w:rsidRPr="00F65D5C" w:rsidRDefault="006B44C7" w:rsidP="00A30798">
      <w:pPr>
        <w:rPr>
          <w:rFonts w:ascii="Arial" w:hAnsi="Arial" w:cs="Arial"/>
          <w:sz w:val="22"/>
          <w:szCs w:val="22"/>
        </w:rPr>
      </w:pPr>
      <w:r w:rsidRPr="00F65D5C">
        <w:rPr>
          <w:rFonts w:ascii="Arial" w:hAnsi="Arial" w:cs="Arial"/>
          <w:sz w:val="22"/>
          <w:szCs w:val="22"/>
        </w:rPr>
        <w:t xml:space="preserve">The efficacy of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ointment, 1% (applied twice daily for five days) for the treatment of secondarily-infected </w:t>
      </w:r>
      <w:proofErr w:type="spellStart"/>
      <w:r w:rsidRPr="00F65D5C">
        <w:rPr>
          <w:rFonts w:ascii="Arial" w:hAnsi="Arial" w:cs="Arial"/>
          <w:sz w:val="22"/>
          <w:szCs w:val="22"/>
        </w:rPr>
        <w:t>dermatoses</w:t>
      </w:r>
      <w:proofErr w:type="spellEnd"/>
      <w:r w:rsidRPr="00F65D5C">
        <w:rPr>
          <w:rFonts w:ascii="Arial" w:hAnsi="Arial" w:cs="Arial"/>
          <w:sz w:val="22"/>
          <w:szCs w:val="22"/>
        </w:rPr>
        <w:t xml:space="preserve"> (e.g. atopic dermatitis, psoriasis, and allergic contact dermatitis with lesions not larger than 100cm</w:t>
      </w:r>
      <w:r w:rsidRPr="00F65D5C">
        <w:rPr>
          <w:rFonts w:ascii="Arial" w:hAnsi="Arial" w:cs="Arial"/>
          <w:sz w:val="22"/>
          <w:szCs w:val="22"/>
          <w:vertAlign w:val="superscript"/>
        </w:rPr>
        <w:t>2</w:t>
      </w:r>
      <w:r w:rsidRPr="00F65D5C">
        <w:rPr>
          <w:rFonts w:ascii="Arial" w:hAnsi="Arial" w:cs="Arial"/>
          <w:sz w:val="22"/>
          <w:szCs w:val="22"/>
        </w:rPr>
        <w:t xml:space="preserve">) was compared to that of oral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(500mg twice daily for 10 days for adults and adolescents, and 12.5mg/kg twice daily for paediatric patients less than 13 years of age) in a randomized (2:1), double-blind, double-dummy clinical trial (Study number 032). A total of 546 patients were enrolled in this study. Clinical efficacy rates at follow-up in the per-protocol populations were 85.9%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89.7% for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(95% CI -9.9%, 2.3% for treatment difference).  Microbiological success rate at follow-up in the per-protocol populations was 85.0% for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and 90.8% for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In this study, topical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demonstrated non-inferiority to oral </w:t>
      </w:r>
      <w:proofErr w:type="spellStart"/>
      <w:r w:rsidRPr="00F65D5C">
        <w:rPr>
          <w:rFonts w:ascii="Arial" w:hAnsi="Arial" w:cs="Arial"/>
          <w:sz w:val="22"/>
          <w:szCs w:val="22"/>
        </w:rPr>
        <w:t>cephalexin</w:t>
      </w:r>
      <w:proofErr w:type="spellEnd"/>
      <w:r w:rsidRPr="00F65D5C">
        <w:rPr>
          <w:rFonts w:ascii="Arial" w:hAnsi="Arial" w:cs="Arial"/>
          <w:sz w:val="22"/>
          <w:szCs w:val="22"/>
        </w:rPr>
        <w:t>.</w:t>
      </w:r>
    </w:p>
    <w:p w:rsidR="006B44C7" w:rsidRPr="00F65D5C" w:rsidRDefault="006B44C7" w:rsidP="00A30798">
      <w:pPr>
        <w:rPr>
          <w:rFonts w:ascii="Arial" w:hAnsi="Arial" w:cs="Arial"/>
          <w:sz w:val="22"/>
          <w:szCs w:val="22"/>
        </w:rPr>
      </w:pPr>
    </w:p>
    <w:p w:rsidR="006B44C7" w:rsidRPr="00F65D5C" w:rsidRDefault="006B44C7" w:rsidP="00E81DC5">
      <w:pPr>
        <w:pStyle w:val="BridgeheadGDS"/>
        <w:rPr>
          <w:color w:val="auto"/>
        </w:rPr>
      </w:pPr>
      <w:proofErr w:type="spellStart"/>
      <w:r w:rsidRPr="00F65D5C">
        <w:rPr>
          <w:color w:val="auto"/>
        </w:rPr>
        <w:t>Methicillin</w:t>
      </w:r>
      <w:proofErr w:type="spellEnd"/>
      <w:r w:rsidRPr="00F65D5C">
        <w:rPr>
          <w:color w:val="auto"/>
        </w:rPr>
        <w:t xml:space="preserve">-resistant Staphylococcus </w:t>
      </w:r>
      <w:proofErr w:type="spellStart"/>
      <w:r w:rsidRPr="00F65D5C">
        <w:rPr>
          <w:color w:val="auto"/>
        </w:rPr>
        <w:t>aureus</w:t>
      </w:r>
      <w:proofErr w:type="spellEnd"/>
    </w:p>
    <w:p w:rsidR="00A30798" w:rsidRPr="00F65D5C" w:rsidRDefault="00A30798" w:rsidP="00E81DC5">
      <w:pPr>
        <w:pStyle w:val="BridgeheadGDS"/>
        <w:rPr>
          <w:color w:val="auto"/>
        </w:rPr>
      </w:pPr>
    </w:p>
    <w:p w:rsidR="006B44C7" w:rsidRDefault="006B44C7" w:rsidP="00A30798">
      <w:pPr>
        <w:rPr>
          <w:rFonts w:ascii="Arial" w:hAnsi="Arial" w:cs="Arial"/>
          <w:sz w:val="22"/>
          <w:szCs w:val="22"/>
        </w:rPr>
      </w:pPr>
      <w:r w:rsidRPr="00F65D5C">
        <w:rPr>
          <w:rFonts w:ascii="Arial" w:hAnsi="Arial" w:cs="Arial"/>
          <w:sz w:val="22"/>
          <w:szCs w:val="22"/>
        </w:rPr>
        <w:t xml:space="preserve">Clinical experience in the treatment of </w:t>
      </w:r>
      <w:proofErr w:type="spellStart"/>
      <w:r w:rsidRPr="00F65D5C">
        <w:rPr>
          <w:rFonts w:ascii="Arial" w:hAnsi="Arial" w:cs="Arial"/>
          <w:sz w:val="22"/>
          <w:szCs w:val="22"/>
        </w:rPr>
        <w:t>methicillin</w:t>
      </w:r>
      <w:proofErr w:type="spellEnd"/>
      <w:r w:rsidRPr="00F65D5C">
        <w:rPr>
          <w:rFonts w:ascii="Arial" w:hAnsi="Arial" w:cs="Arial"/>
          <w:sz w:val="22"/>
          <w:szCs w:val="22"/>
        </w:rPr>
        <w:t xml:space="preserve">-resistant </w:t>
      </w:r>
      <w:r w:rsidRPr="00F65D5C">
        <w:rPr>
          <w:rFonts w:ascii="Arial" w:hAnsi="Arial" w:cs="Arial"/>
          <w:i/>
          <w:sz w:val="22"/>
          <w:szCs w:val="22"/>
        </w:rPr>
        <w:t xml:space="preserve">Staphylococcus </w:t>
      </w:r>
      <w:proofErr w:type="spellStart"/>
      <w:r w:rsidRPr="00F65D5C">
        <w:rPr>
          <w:rFonts w:ascii="Arial" w:hAnsi="Arial" w:cs="Arial"/>
          <w:i/>
          <w:sz w:val="22"/>
          <w:szCs w:val="22"/>
        </w:rPr>
        <w:t>aureus</w:t>
      </w:r>
      <w:proofErr w:type="spellEnd"/>
      <w:r w:rsidRPr="00F65D5C">
        <w:rPr>
          <w:rFonts w:ascii="Arial" w:hAnsi="Arial" w:cs="Arial"/>
          <w:sz w:val="22"/>
          <w:szCs w:val="22"/>
        </w:rPr>
        <w:t xml:space="preserve"> (MRSA) infection is limited. In studies of secondarily infected traumatic lesions, lower clinical efficacy was demonstrated with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than with oral </w:t>
      </w:r>
      <w:proofErr w:type="spellStart"/>
      <w:r w:rsidRPr="00F65D5C">
        <w:rPr>
          <w:rFonts w:ascii="Arial" w:hAnsi="Arial" w:cs="Arial"/>
          <w:sz w:val="22"/>
          <w:szCs w:val="22"/>
        </w:rPr>
        <w:t>cephalexin</w:t>
      </w:r>
      <w:proofErr w:type="spellEnd"/>
      <w:r w:rsidRPr="00F65D5C">
        <w:rPr>
          <w:rFonts w:ascii="Arial" w:hAnsi="Arial" w:cs="Arial"/>
          <w:sz w:val="22"/>
          <w:szCs w:val="22"/>
        </w:rPr>
        <w:t xml:space="preserve"> against some MRSA strains.</w:t>
      </w:r>
    </w:p>
    <w:p w:rsidR="00666079" w:rsidRDefault="00666079" w:rsidP="00A30798">
      <w:pPr>
        <w:rPr>
          <w:rFonts w:ascii="Arial" w:hAnsi="Arial" w:cs="Arial"/>
          <w:sz w:val="22"/>
          <w:szCs w:val="22"/>
        </w:rPr>
      </w:pPr>
    </w:p>
    <w:p w:rsidR="00666079" w:rsidRPr="00553D66" w:rsidRDefault="00666079" w:rsidP="00666079">
      <w:pPr>
        <w:rPr>
          <w:rFonts w:ascii="Arial" w:hAnsi="Arial" w:cs="Arial"/>
          <w:sz w:val="22"/>
          <w:szCs w:val="22"/>
        </w:rPr>
      </w:pPr>
      <w:r w:rsidRPr="00666079">
        <w:rPr>
          <w:rFonts w:ascii="Arial" w:hAnsi="Arial" w:cs="Arial"/>
          <w:sz w:val="22"/>
          <w:szCs w:val="22"/>
        </w:rPr>
        <w:t xml:space="preserve">A study was conducted in subjects with SITL </w:t>
      </w:r>
      <w:r w:rsidR="00F47D2A">
        <w:rPr>
          <w:rFonts w:ascii="Arial" w:hAnsi="Arial" w:cs="Arial"/>
          <w:sz w:val="22"/>
          <w:szCs w:val="22"/>
        </w:rPr>
        <w:t xml:space="preserve">or </w:t>
      </w:r>
      <w:r w:rsidRPr="00666079">
        <w:rPr>
          <w:rFonts w:ascii="Arial" w:hAnsi="Arial" w:cs="Arial"/>
          <w:sz w:val="22"/>
          <w:szCs w:val="22"/>
        </w:rPr>
        <w:t xml:space="preserve">impetigo to evaluate the efficacy and safety of </w:t>
      </w:r>
      <w:proofErr w:type="spellStart"/>
      <w:r w:rsidRPr="00666079">
        <w:rPr>
          <w:rFonts w:ascii="Arial" w:hAnsi="Arial" w:cs="Arial"/>
          <w:sz w:val="22"/>
          <w:szCs w:val="22"/>
        </w:rPr>
        <w:t>retapamulin</w:t>
      </w:r>
      <w:proofErr w:type="spellEnd"/>
      <w:r w:rsidRPr="00666079">
        <w:rPr>
          <w:rFonts w:ascii="Arial" w:hAnsi="Arial" w:cs="Arial"/>
          <w:sz w:val="22"/>
          <w:szCs w:val="22"/>
        </w:rPr>
        <w:t xml:space="preserve"> </w:t>
      </w:r>
      <w:r w:rsidRPr="00553D66">
        <w:rPr>
          <w:rFonts w:ascii="Arial" w:hAnsi="Arial" w:cs="Arial"/>
          <w:sz w:val="22"/>
          <w:szCs w:val="22"/>
        </w:rPr>
        <w:t xml:space="preserve">versus </w:t>
      </w:r>
      <w:proofErr w:type="spellStart"/>
      <w:r w:rsidR="002F25C5" w:rsidRPr="00553D66">
        <w:rPr>
          <w:rFonts w:ascii="Arial" w:hAnsi="Arial" w:cs="Arial"/>
          <w:sz w:val="22"/>
          <w:szCs w:val="22"/>
        </w:rPr>
        <w:t>linezolid</w:t>
      </w:r>
      <w:proofErr w:type="spellEnd"/>
      <w:r w:rsidR="002F25C5" w:rsidRPr="00553D66">
        <w:rPr>
          <w:rFonts w:ascii="Arial" w:hAnsi="Arial" w:cs="Arial"/>
          <w:sz w:val="22"/>
          <w:szCs w:val="22"/>
        </w:rPr>
        <w:t xml:space="preserve"> </w:t>
      </w:r>
      <w:r w:rsidRPr="00553D66">
        <w:rPr>
          <w:rFonts w:ascii="Arial" w:hAnsi="Arial" w:cs="Arial"/>
          <w:sz w:val="22"/>
          <w:szCs w:val="22"/>
        </w:rPr>
        <w:t>in subjects with MRSA (Study TOC110978). A total of 410 subject</w:t>
      </w:r>
      <w:r w:rsidR="008915BB" w:rsidRPr="00553D66">
        <w:rPr>
          <w:rFonts w:ascii="Arial" w:hAnsi="Arial" w:cs="Arial"/>
          <w:sz w:val="22"/>
          <w:szCs w:val="22"/>
        </w:rPr>
        <w:t>s</w:t>
      </w:r>
      <w:r w:rsidRPr="00553D66">
        <w:rPr>
          <w:rFonts w:ascii="Arial" w:hAnsi="Arial" w:cs="Arial"/>
          <w:sz w:val="22"/>
          <w:szCs w:val="22"/>
        </w:rPr>
        <w:t xml:space="preserve"> were enrolled in this study. The study was a randomized, double-blind, double-dummy study of </w:t>
      </w:r>
      <w:proofErr w:type="spellStart"/>
      <w:r w:rsidRPr="00553D66">
        <w:rPr>
          <w:rFonts w:ascii="Arial" w:hAnsi="Arial" w:cs="Arial"/>
          <w:sz w:val="22"/>
          <w:szCs w:val="22"/>
        </w:rPr>
        <w:t>retapamulin</w:t>
      </w:r>
      <w:proofErr w:type="spellEnd"/>
      <w:r w:rsidRPr="00553D66">
        <w:rPr>
          <w:rFonts w:ascii="Arial" w:hAnsi="Arial" w:cs="Arial"/>
          <w:sz w:val="22"/>
          <w:szCs w:val="22"/>
        </w:rPr>
        <w:t xml:space="preserve"> ointment versus oral </w:t>
      </w:r>
      <w:proofErr w:type="spellStart"/>
      <w:r w:rsidRPr="00553D66">
        <w:rPr>
          <w:rFonts w:ascii="Arial" w:hAnsi="Arial" w:cs="Arial"/>
          <w:sz w:val="22"/>
          <w:szCs w:val="22"/>
        </w:rPr>
        <w:t>linezolid</w:t>
      </w:r>
      <w:proofErr w:type="spellEnd"/>
      <w:r w:rsidRPr="00553D66">
        <w:rPr>
          <w:rFonts w:ascii="Arial" w:hAnsi="Arial" w:cs="Arial"/>
          <w:sz w:val="22"/>
          <w:szCs w:val="22"/>
        </w:rPr>
        <w:t xml:space="preserve"> in subjects </w:t>
      </w:r>
      <w:r w:rsidRPr="00553D66">
        <w:rPr>
          <w:rFonts w:ascii="Arial" w:hAnsi="Arial" w:cs="Arial"/>
          <w:sz w:val="22"/>
          <w:szCs w:val="22"/>
        </w:rPr>
        <w:sym w:font="Symbol" w:char="F0B3"/>
      </w:r>
      <w:r w:rsidRPr="00553D66">
        <w:rPr>
          <w:rFonts w:ascii="Arial" w:hAnsi="Arial" w:cs="Arial"/>
          <w:sz w:val="22"/>
          <w:szCs w:val="22"/>
        </w:rPr>
        <w:t>2 months of age with SITL or impetigo due</w:t>
      </w:r>
      <w:r w:rsidR="00F47D2A" w:rsidRPr="00553D66">
        <w:rPr>
          <w:rFonts w:ascii="Arial" w:hAnsi="Arial" w:cs="Arial"/>
          <w:sz w:val="22"/>
          <w:szCs w:val="22"/>
        </w:rPr>
        <w:t xml:space="preserve"> to</w:t>
      </w:r>
      <w:r w:rsidRPr="00553D66">
        <w:rPr>
          <w:rFonts w:ascii="Arial" w:hAnsi="Arial" w:cs="Arial"/>
          <w:sz w:val="22"/>
          <w:szCs w:val="22"/>
        </w:rPr>
        <w:t xml:space="preserve"> MRSA. The primary endpoint was the clinical response (success or failure) at follow-up (day 12-14 </w:t>
      </w:r>
      <w:r w:rsidR="00F47D2A" w:rsidRPr="00553D66">
        <w:rPr>
          <w:rFonts w:ascii="Arial" w:hAnsi="Arial" w:cs="Arial"/>
          <w:sz w:val="22"/>
          <w:szCs w:val="22"/>
        </w:rPr>
        <w:t xml:space="preserve">for </w:t>
      </w:r>
      <w:proofErr w:type="spellStart"/>
      <w:r w:rsidR="00F47D2A" w:rsidRPr="00553D66">
        <w:rPr>
          <w:rFonts w:ascii="Arial" w:hAnsi="Arial" w:cs="Arial"/>
          <w:sz w:val="22"/>
          <w:szCs w:val="22"/>
        </w:rPr>
        <w:t>retapamulin</w:t>
      </w:r>
      <w:proofErr w:type="spellEnd"/>
      <w:r w:rsidR="00F47D2A" w:rsidRPr="00553D66">
        <w:rPr>
          <w:rFonts w:ascii="Arial" w:hAnsi="Arial" w:cs="Arial"/>
          <w:sz w:val="22"/>
          <w:szCs w:val="22"/>
        </w:rPr>
        <w:t xml:space="preserve"> </w:t>
      </w:r>
      <w:r w:rsidRPr="00553D66">
        <w:rPr>
          <w:rFonts w:ascii="Arial" w:hAnsi="Arial" w:cs="Arial"/>
          <w:sz w:val="22"/>
          <w:szCs w:val="22"/>
        </w:rPr>
        <w:t xml:space="preserve">and day 17-19 </w:t>
      </w:r>
      <w:r w:rsidR="00F47D2A" w:rsidRPr="00553D66">
        <w:rPr>
          <w:rFonts w:ascii="Arial" w:hAnsi="Arial" w:cs="Arial"/>
          <w:sz w:val="22"/>
          <w:szCs w:val="22"/>
        </w:rPr>
        <w:t xml:space="preserve">for </w:t>
      </w:r>
      <w:proofErr w:type="spellStart"/>
      <w:r w:rsidR="00F47D2A" w:rsidRPr="00553D66">
        <w:rPr>
          <w:rFonts w:ascii="Arial" w:hAnsi="Arial" w:cs="Arial"/>
          <w:sz w:val="22"/>
          <w:szCs w:val="22"/>
        </w:rPr>
        <w:t>linezolid</w:t>
      </w:r>
      <w:proofErr w:type="spellEnd"/>
      <w:r w:rsidRPr="00553D66">
        <w:rPr>
          <w:rFonts w:ascii="Arial" w:hAnsi="Arial" w:cs="Arial"/>
          <w:sz w:val="22"/>
          <w:szCs w:val="22"/>
        </w:rPr>
        <w:t xml:space="preserve">) in the per-protocol MRSA (PPMRSA) population.  </w:t>
      </w:r>
    </w:p>
    <w:p w:rsidR="00666079" w:rsidRPr="00666079" w:rsidRDefault="00666079" w:rsidP="00666079">
      <w:pPr>
        <w:rPr>
          <w:rFonts w:ascii="Arial" w:hAnsi="Arial" w:cs="Arial"/>
          <w:sz w:val="22"/>
          <w:szCs w:val="22"/>
        </w:rPr>
      </w:pPr>
      <w:proofErr w:type="spellStart"/>
      <w:r w:rsidRPr="00553D66">
        <w:rPr>
          <w:rFonts w:ascii="Arial" w:hAnsi="Arial" w:cs="Arial"/>
          <w:sz w:val="22"/>
          <w:szCs w:val="22"/>
        </w:rPr>
        <w:t>Retapamulin</w:t>
      </w:r>
      <w:proofErr w:type="spellEnd"/>
      <w:r w:rsidRPr="00553D66">
        <w:rPr>
          <w:rFonts w:ascii="Arial" w:hAnsi="Arial" w:cs="Arial"/>
          <w:sz w:val="22"/>
          <w:szCs w:val="22"/>
        </w:rPr>
        <w:t xml:space="preserve"> had a significantly lower </w:t>
      </w:r>
      <w:r w:rsidR="00F47D2A" w:rsidRPr="00553D66">
        <w:rPr>
          <w:rFonts w:ascii="Arial" w:hAnsi="Arial" w:cs="Arial"/>
          <w:sz w:val="22"/>
          <w:szCs w:val="22"/>
        </w:rPr>
        <w:t xml:space="preserve">clinical success </w:t>
      </w:r>
      <w:r w:rsidRPr="00553D66">
        <w:rPr>
          <w:rFonts w:ascii="Arial" w:hAnsi="Arial" w:cs="Arial"/>
          <w:sz w:val="22"/>
          <w:szCs w:val="22"/>
        </w:rPr>
        <w:t xml:space="preserve">rate than </w:t>
      </w:r>
      <w:proofErr w:type="spellStart"/>
      <w:r w:rsidRPr="00553D66">
        <w:rPr>
          <w:rFonts w:ascii="Arial" w:hAnsi="Arial" w:cs="Arial"/>
          <w:sz w:val="22"/>
          <w:szCs w:val="22"/>
        </w:rPr>
        <w:t>linezolid</w:t>
      </w:r>
      <w:proofErr w:type="spellEnd"/>
      <w:r w:rsidRPr="00553D66">
        <w:rPr>
          <w:rFonts w:ascii="Arial" w:hAnsi="Arial" w:cs="Arial"/>
          <w:sz w:val="22"/>
          <w:szCs w:val="22"/>
        </w:rPr>
        <w:t xml:space="preserve"> in this study when response is defined as clinical success only. Clinical success at follow-up in the PPMRSA group was 63.9% (95% CI: 51.9, 76.0) in the </w:t>
      </w:r>
      <w:proofErr w:type="spellStart"/>
      <w:r w:rsidRPr="00553D66">
        <w:rPr>
          <w:rFonts w:ascii="Arial" w:hAnsi="Arial" w:cs="Arial"/>
          <w:sz w:val="22"/>
          <w:szCs w:val="22"/>
        </w:rPr>
        <w:t>retapamulin</w:t>
      </w:r>
      <w:proofErr w:type="spellEnd"/>
      <w:r w:rsidRPr="00553D66">
        <w:rPr>
          <w:rFonts w:ascii="Arial" w:hAnsi="Arial" w:cs="Arial"/>
          <w:sz w:val="22"/>
          <w:szCs w:val="22"/>
        </w:rPr>
        <w:t xml:space="preserve"> group and 90.6%</w:t>
      </w:r>
      <w:r w:rsidRPr="00666079">
        <w:rPr>
          <w:rFonts w:ascii="Arial" w:hAnsi="Arial" w:cs="Arial"/>
          <w:sz w:val="22"/>
          <w:szCs w:val="22"/>
        </w:rPr>
        <w:t xml:space="preserve"> (95% CI: 80.5, 100.7) in the </w:t>
      </w:r>
      <w:proofErr w:type="spellStart"/>
      <w:r w:rsidRPr="00666079">
        <w:rPr>
          <w:rFonts w:ascii="Arial" w:hAnsi="Arial" w:cs="Arial"/>
          <w:sz w:val="22"/>
          <w:szCs w:val="22"/>
        </w:rPr>
        <w:t>linezolid</w:t>
      </w:r>
      <w:proofErr w:type="spellEnd"/>
      <w:r w:rsidRPr="00666079">
        <w:rPr>
          <w:rFonts w:ascii="Arial" w:hAnsi="Arial" w:cs="Arial"/>
          <w:sz w:val="22"/>
          <w:szCs w:val="22"/>
        </w:rPr>
        <w:t xml:space="preserve"> group.</w:t>
      </w:r>
    </w:p>
    <w:p w:rsidR="00666079" w:rsidRPr="00F65D5C" w:rsidRDefault="00666079" w:rsidP="00A30798">
      <w:pPr>
        <w:rPr>
          <w:rFonts w:ascii="Arial" w:hAnsi="Arial" w:cs="Arial"/>
          <w:sz w:val="22"/>
          <w:szCs w:val="22"/>
        </w:rPr>
      </w:pPr>
    </w:p>
    <w:p w:rsidR="006B44C7" w:rsidRPr="00F65D5C" w:rsidRDefault="006B44C7" w:rsidP="00554B8B">
      <w:pPr>
        <w:pStyle w:val="BridgeheadGDS"/>
        <w:rPr>
          <w:color w:val="auto"/>
        </w:rPr>
      </w:pPr>
      <w:r w:rsidRPr="00F65D5C">
        <w:rPr>
          <w:color w:val="auto"/>
        </w:rPr>
        <w:t>Paediatric patients</w:t>
      </w:r>
    </w:p>
    <w:p w:rsidR="00A30798" w:rsidRPr="00F65D5C" w:rsidRDefault="00A30798" w:rsidP="00A30798">
      <w:pPr>
        <w:rPr>
          <w:lang w:val="en-GB" w:eastAsia="en-US"/>
        </w:rPr>
      </w:pPr>
    </w:p>
    <w:p w:rsidR="006B44C7" w:rsidRPr="00F65D5C" w:rsidRDefault="002F25C5" w:rsidP="00A30798">
      <w:pPr>
        <w:rPr>
          <w:rFonts w:ascii="Arial" w:hAnsi="Arial" w:cs="Arial"/>
          <w:sz w:val="22"/>
          <w:szCs w:val="22"/>
        </w:rPr>
      </w:pPr>
      <w:r>
        <w:rPr>
          <w:rFonts w:ascii="Arial" w:hAnsi="Arial" w:cs="Arial"/>
          <w:sz w:val="22"/>
          <w:szCs w:val="22"/>
        </w:rPr>
        <w:t>1141</w:t>
      </w:r>
      <w:r w:rsidR="006B44C7" w:rsidRPr="00F65D5C">
        <w:rPr>
          <w:rFonts w:ascii="Arial" w:hAnsi="Arial" w:cs="Arial"/>
          <w:sz w:val="22"/>
          <w:szCs w:val="22"/>
        </w:rPr>
        <w:t xml:space="preserve"> patients aged </w:t>
      </w:r>
      <w:r>
        <w:rPr>
          <w:rFonts w:ascii="Arial" w:hAnsi="Arial" w:cs="Arial"/>
          <w:sz w:val="22"/>
          <w:szCs w:val="22"/>
        </w:rPr>
        <w:t>less than 18 years</w:t>
      </w:r>
      <w:r w:rsidR="006B44C7" w:rsidRPr="00F65D5C">
        <w:rPr>
          <w:rFonts w:ascii="Arial" w:hAnsi="Arial" w:cs="Arial"/>
          <w:sz w:val="22"/>
          <w:szCs w:val="22"/>
        </w:rPr>
        <w:t xml:space="preserve">, </w:t>
      </w:r>
      <w:r>
        <w:rPr>
          <w:rFonts w:ascii="Arial" w:hAnsi="Arial" w:cs="Arial"/>
          <w:sz w:val="22"/>
          <w:szCs w:val="22"/>
        </w:rPr>
        <w:t>740</w:t>
      </w:r>
      <w:r w:rsidRPr="00F65D5C">
        <w:rPr>
          <w:rFonts w:ascii="Arial" w:hAnsi="Arial" w:cs="Arial"/>
          <w:sz w:val="22"/>
          <w:szCs w:val="22"/>
        </w:rPr>
        <w:t xml:space="preserve"> </w:t>
      </w:r>
      <w:r w:rsidR="006B44C7" w:rsidRPr="00F65D5C">
        <w:rPr>
          <w:rFonts w:ascii="Arial" w:hAnsi="Arial" w:cs="Arial"/>
          <w:sz w:val="22"/>
          <w:szCs w:val="22"/>
        </w:rPr>
        <w:t xml:space="preserve">of whom received at least one dose of </w:t>
      </w:r>
      <w:proofErr w:type="spellStart"/>
      <w:r w:rsidR="006B44C7" w:rsidRPr="00F65D5C">
        <w:rPr>
          <w:rFonts w:ascii="Arial" w:hAnsi="Arial" w:cs="Arial"/>
          <w:sz w:val="22"/>
          <w:szCs w:val="22"/>
        </w:rPr>
        <w:t>retapamulin</w:t>
      </w:r>
      <w:proofErr w:type="spellEnd"/>
      <w:r w:rsidR="006B44C7" w:rsidRPr="00F65D5C">
        <w:rPr>
          <w:rFonts w:ascii="Arial" w:hAnsi="Arial" w:cs="Arial"/>
          <w:sz w:val="22"/>
          <w:szCs w:val="22"/>
        </w:rPr>
        <w:t xml:space="preserve"> ointment were included in </w:t>
      </w:r>
      <w:r w:rsidR="00CA19C9" w:rsidRPr="00CA19C9">
        <w:rPr>
          <w:rFonts w:ascii="Arial" w:hAnsi="Arial" w:cs="Arial"/>
          <w:sz w:val="22"/>
          <w:szCs w:val="22"/>
        </w:rPr>
        <w:t>the</w:t>
      </w:r>
      <w:r w:rsidR="00CA19C9">
        <w:rPr>
          <w:rFonts w:ascii="Arial" w:hAnsi="Arial" w:cs="Arial"/>
          <w:sz w:val="22"/>
          <w:szCs w:val="22"/>
        </w:rPr>
        <w:t xml:space="preserve"> </w:t>
      </w:r>
      <w:r>
        <w:rPr>
          <w:rFonts w:ascii="Arial" w:hAnsi="Arial" w:cs="Arial"/>
          <w:sz w:val="22"/>
          <w:szCs w:val="22"/>
        </w:rPr>
        <w:t>phase III</w:t>
      </w:r>
      <w:r w:rsidR="00CF290C">
        <w:rPr>
          <w:rFonts w:ascii="Arial" w:hAnsi="Arial" w:cs="Arial"/>
          <w:sz w:val="22"/>
          <w:szCs w:val="22"/>
        </w:rPr>
        <w:t xml:space="preserve"> </w:t>
      </w:r>
      <w:r w:rsidR="006B44C7" w:rsidRPr="0039536E">
        <w:rPr>
          <w:rFonts w:ascii="Arial" w:hAnsi="Arial" w:cs="Arial"/>
          <w:sz w:val="22"/>
          <w:szCs w:val="22"/>
        </w:rPr>
        <w:t>clinical</w:t>
      </w:r>
      <w:r w:rsidR="006B44C7" w:rsidRPr="00F65D5C">
        <w:rPr>
          <w:rFonts w:ascii="Arial" w:hAnsi="Arial" w:cs="Arial"/>
          <w:sz w:val="22"/>
          <w:szCs w:val="22"/>
        </w:rPr>
        <w:t xml:space="preserve"> studies for secondarily infected </w:t>
      </w:r>
      <w:proofErr w:type="spellStart"/>
      <w:r w:rsidR="006B44C7" w:rsidRPr="00F65D5C">
        <w:rPr>
          <w:rFonts w:ascii="Arial" w:hAnsi="Arial" w:cs="Arial"/>
          <w:sz w:val="22"/>
          <w:szCs w:val="22"/>
        </w:rPr>
        <w:lastRenderedPageBreak/>
        <w:t>dermatoses</w:t>
      </w:r>
      <w:proofErr w:type="spellEnd"/>
      <w:r w:rsidR="006B44C7" w:rsidRPr="00F65D5C">
        <w:rPr>
          <w:rFonts w:ascii="Arial" w:hAnsi="Arial" w:cs="Arial"/>
          <w:sz w:val="22"/>
          <w:szCs w:val="22"/>
        </w:rPr>
        <w:t>, secondarily infected traumatic lesions and primary impetigo</w:t>
      </w:r>
      <w:r w:rsidR="001840B9">
        <w:rPr>
          <w:rFonts w:ascii="Arial" w:hAnsi="Arial" w:cs="Arial"/>
          <w:sz w:val="22"/>
          <w:szCs w:val="22"/>
        </w:rPr>
        <w:t xml:space="preserve"> (ITTC population)</w:t>
      </w:r>
      <w:r w:rsidR="006B44C7" w:rsidRPr="00F65D5C">
        <w:rPr>
          <w:rFonts w:ascii="Arial" w:hAnsi="Arial" w:cs="Arial"/>
          <w:sz w:val="22"/>
          <w:szCs w:val="22"/>
        </w:rPr>
        <w:t>. There was no difference in efficacy between adult and paediatric patients</w:t>
      </w:r>
      <w:r w:rsidR="00547A7D">
        <w:rPr>
          <w:rFonts w:ascii="Arial" w:hAnsi="Arial" w:cs="Arial"/>
          <w:sz w:val="22"/>
          <w:szCs w:val="22"/>
        </w:rPr>
        <w:t>.</w:t>
      </w:r>
    </w:p>
    <w:p w:rsidR="006B44C7" w:rsidRPr="00F65D5C" w:rsidRDefault="006B44C7" w:rsidP="00A30798">
      <w:pPr>
        <w:jc w:val="both"/>
        <w:rPr>
          <w:rFonts w:ascii="Arial" w:hAnsi="Arial" w:cs="Arial"/>
          <w:b/>
          <w:sz w:val="22"/>
          <w:szCs w:val="22"/>
        </w:rPr>
      </w:pPr>
    </w:p>
    <w:p w:rsidR="008B4A39" w:rsidRDefault="0077380F">
      <w:pPr>
        <w:keepNext/>
        <w:keepLines/>
        <w:jc w:val="both"/>
        <w:rPr>
          <w:rFonts w:ascii="Arial" w:hAnsi="Arial" w:cs="Arial"/>
          <w:b/>
          <w:sz w:val="22"/>
          <w:szCs w:val="22"/>
        </w:rPr>
      </w:pPr>
      <w:r w:rsidRPr="00F65D5C">
        <w:rPr>
          <w:rFonts w:ascii="Arial" w:hAnsi="Arial" w:cs="Arial"/>
          <w:b/>
          <w:sz w:val="22"/>
          <w:szCs w:val="22"/>
        </w:rPr>
        <w:t>INDICATIONS</w:t>
      </w:r>
    </w:p>
    <w:p w:rsidR="008B4A39" w:rsidRDefault="008B4A39">
      <w:pPr>
        <w:keepNext/>
        <w:keepLines/>
        <w:jc w:val="both"/>
        <w:rPr>
          <w:rFonts w:ascii="Arial" w:hAnsi="Arial" w:cs="Arial"/>
          <w:b/>
          <w:sz w:val="22"/>
          <w:szCs w:val="22"/>
        </w:rPr>
      </w:pPr>
    </w:p>
    <w:p w:rsidR="008B4A39" w:rsidRDefault="008508D9">
      <w:pPr>
        <w:keepNext/>
        <w:keepLines/>
        <w:rPr>
          <w:rFonts w:ascii="Arial" w:hAnsi="Arial" w:cs="Arial"/>
          <w:sz w:val="22"/>
          <w:szCs w:val="22"/>
        </w:rPr>
      </w:pPr>
      <w:proofErr w:type="spellStart"/>
      <w:r w:rsidRPr="008508D9">
        <w:rPr>
          <w:rFonts w:ascii="Arial" w:hAnsi="Arial" w:cs="Arial"/>
          <w:sz w:val="22"/>
          <w:szCs w:val="22"/>
        </w:rPr>
        <w:t>Altargo</w:t>
      </w:r>
      <w:proofErr w:type="spellEnd"/>
      <w:r w:rsidRPr="008508D9">
        <w:rPr>
          <w:rFonts w:ascii="Arial" w:hAnsi="Arial" w:cs="Arial"/>
          <w:sz w:val="22"/>
          <w:szCs w:val="22"/>
        </w:rPr>
        <w:t xml:space="preserve"> is indicated for the short term treatment of superficial skin infections (including impetigo, infected small lacerations, abrasions, sutured wounds, and secondarily infected </w:t>
      </w:r>
      <w:proofErr w:type="spellStart"/>
      <w:r w:rsidRPr="008508D9">
        <w:rPr>
          <w:rFonts w:ascii="Arial" w:hAnsi="Arial" w:cs="Arial"/>
          <w:sz w:val="22"/>
          <w:szCs w:val="22"/>
        </w:rPr>
        <w:t>dermatoses</w:t>
      </w:r>
      <w:proofErr w:type="spellEnd"/>
      <w:r w:rsidRPr="008508D9">
        <w:rPr>
          <w:rFonts w:ascii="Arial" w:hAnsi="Arial" w:cs="Arial"/>
          <w:sz w:val="22"/>
          <w:szCs w:val="22"/>
        </w:rPr>
        <w:t xml:space="preserve">) in adults, adolescents, </w:t>
      </w:r>
      <w:r w:rsidR="00C21757" w:rsidRPr="008508D9">
        <w:rPr>
          <w:rFonts w:ascii="Arial" w:hAnsi="Arial" w:cs="Arial"/>
          <w:sz w:val="22"/>
          <w:szCs w:val="22"/>
        </w:rPr>
        <w:t xml:space="preserve">children </w:t>
      </w:r>
      <w:r w:rsidR="00C21757">
        <w:rPr>
          <w:rFonts w:ascii="Arial" w:hAnsi="Arial" w:cs="Arial"/>
          <w:sz w:val="22"/>
          <w:szCs w:val="22"/>
        </w:rPr>
        <w:t xml:space="preserve">and </w:t>
      </w:r>
      <w:r w:rsidRPr="008508D9">
        <w:rPr>
          <w:rFonts w:ascii="Arial" w:hAnsi="Arial" w:cs="Arial"/>
          <w:sz w:val="22"/>
          <w:szCs w:val="22"/>
        </w:rPr>
        <w:t xml:space="preserve">infants aged from 9 months, in the absence of abscess formation and infections due to MRSA. </w:t>
      </w:r>
    </w:p>
    <w:p w:rsidR="008B4A39" w:rsidRDefault="008B4A39">
      <w:pPr>
        <w:keepNext/>
        <w:keepLines/>
        <w:rPr>
          <w:rFonts w:ascii="Arial" w:hAnsi="Arial" w:cs="Arial"/>
          <w:sz w:val="22"/>
          <w:szCs w:val="22"/>
        </w:rPr>
      </w:pPr>
    </w:p>
    <w:p w:rsidR="008B4A39" w:rsidRDefault="006B44C7">
      <w:pPr>
        <w:keepNext/>
        <w:keepLines/>
        <w:rPr>
          <w:rFonts w:ascii="Arial" w:hAnsi="Arial" w:cs="Arial"/>
          <w:sz w:val="22"/>
          <w:szCs w:val="22"/>
        </w:rPr>
      </w:pPr>
      <w:r w:rsidRPr="00CA19C9">
        <w:rPr>
          <w:rFonts w:ascii="Arial" w:hAnsi="Arial" w:cs="Arial"/>
          <w:sz w:val="22"/>
          <w:szCs w:val="22"/>
        </w:rPr>
        <w:t xml:space="preserve">The </w:t>
      </w:r>
      <w:r w:rsidRPr="00CA19C9">
        <w:rPr>
          <w:rFonts w:ascii="Arial" w:hAnsi="Arial" w:cs="Arial"/>
          <w:i/>
          <w:sz w:val="22"/>
          <w:szCs w:val="22"/>
        </w:rPr>
        <w:t>in vitro</w:t>
      </w:r>
      <w:r w:rsidRPr="00CA19C9">
        <w:rPr>
          <w:rFonts w:ascii="Arial" w:hAnsi="Arial" w:cs="Arial"/>
          <w:sz w:val="22"/>
          <w:szCs w:val="22"/>
        </w:rPr>
        <w:t xml:space="preserve"> susceptibility to antibiotics varies geographically and with time; the local situation must always be considered when selecting antibiotic therapy.</w:t>
      </w:r>
    </w:p>
    <w:p w:rsidR="006B44C7" w:rsidRPr="00F65D5C" w:rsidRDefault="006B44C7" w:rsidP="00A30798">
      <w:pPr>
        <w:jc w:val="both"/>
        <w:rPr>
          <w:rFonts w:ascii="Arial" w:hAnsi="Arial" w:cs="Arial"/>
          <w:b/>
          <w:sz w:val="22"/>
          <w:szCs w:val="22"/>
        </w:rPr>
      </w:pPr>
    </w:p>
    <w:p w:rsidR="0077380F" w:rsidRPr="00F65D5C" w:rsidRDefault="0077380F" w:rsidP="00A30798">
      <w:pPr>
        <w:jc w:val="both"/>
        <w:rPr>
          <w:rFonts w:ascii="Arial" w:hAnsi="Arial" w:cs="Arial"/>
          <w:b/>
          <w:sz w:val="22"/>
          <w:szCs w:val="22"/>
        </w:rPr>
      </w:pPr>
      <w:r w:rsidRPr="00F65D5C">
        <w:rPr>
          <w:rFonts w:ascii="Arial" w:hAnsi="Arial" w:cs="Arial"/>
          <w:b/>
          <w:sz w:val="22"/>
          <w:szCs w:val="22"/>
        </w:rPr>
        <w:t>CONTRAINDICATIONS</w:t>
      </w:r>
    </w:p>
    <w:p w:rsidR="00A30798" w:rsidRPr="00F65D5C" w:rsidRDefault="00A30798" w:rsidP="00A30798">
      <w:pPr>
        <w:jc w:val="both"/>
        <w:rPr>
          <w:rFonts w:ascii="Arial" w:hAnsi="Arial" w:cs="Arial"/>
          <w:b/>
          <w:sz w:val="22"/>
          <w:szCs w:val="22"/>
        </w:rPr>
      </w:pPr>
    </w:p>
    <w:p w:rsidR="006B44C7" w:rsidRPr="009E72DE" w:rsidRDefault="006B44C7" w:rsidP="00A30798">
      <w:pPr>
        <w:pStyle w:val="listbullnospace"/>
        <w:numPr>
          <w:ilvl w:val="0"/>
          <w:numId w:val="0"/>
        </w:numPr>
        <w:rPr>
          <w:rFonts w:ascii="Arial" w:hAnsi="Arial" w:cs="Arial"/>
          <w:sz w:val="22"/>
          <w:szCs w:val="22"/>
          <w:lang w:val="en-AU" w:eastAsia="en-AU"/>
        </w:rPr>
      </w:pP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ointment is contraindicated in patients with a known or suspected hypersensitivity to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or any component of the ointment.</w:t>
      </w:r>
    </w:p>
    <w:p w:rsidR="006B44C7" w:rsidRPr="00F65D5C" w:rsidRDefault="006B44C7" w:rsidP="00A30798">
      <w:pPr>
        <w:jc w:val="both"/>
        <w:rPr>
          <w:rFonts w:ascii="Arial" w:hAnsi="Arial" w:cs="Arial"/>
          <w:b/>
          <w:sz w:val="22"/>
          <w:szCs w:val="22"/>
        </w:rPr>
      </w:pPr>
    </w:p>
    <w:p w:rsidR="0077380F" w:rsidRPr="00F65D5C" w:rsidRDefault="0077380F" w:rsidP="00A30798">
      <w:pPr>
        <w:jc w:val="both"/>
        <w:rPr>
          <w:rFonts w:ascii="Arial" w:hAnsi="Arial" w:cs="Arial"/>
          <w:b/>
          <w:sz w:val="22"/>
          <w:szCs w:val="22"/>
        </w:rPr>
      </w:pPr>
      <w:r w:rsidRPr="00F65D5C">
        <w:rPr>
          <w:rFonts w:ascii="Arial" w:hAnsi="Arial" w:cs="Arial"/>
          <w:b/>
          <w:sz w:val="22"/>
          <w:szCs w:val="22"/>
        </w:rPr>
        <w:t>PRECAUTIONS</w:t>
      </w:r>
    </w:p>
    <w:p w:rsidR="00A30798" w:rsidRPr="00F65D5C" w:rsidRDefault="00A30798" w:rsidP="00A30798">
      <w:pPr>
        <w:jc w:val="both"/>
        <w:rPr>
          <w:rFonts w:ascii="Arial" w:hAnsi="Arial" w:cs="Arial"/>
          <w:b/>
          <w:sz w:val="22"/>
          <w:szCs w:val="22"/>
        </w:rPr>
      </w:pPr>
    </w:p>
    <w:p w:rsidR="00A92757" w:rsidRDefault="00A92757" w:rsidP="009E72DE">
      <w:pPr>
        <w:pStyle w:val="listbullnospace"/>
        <w:numPr>
          <w:ilvl w:val="0"/>
          <w:numId w:val="0"/>
        </w:numPr>
        <w:rPr>
          <w:rFonts w:ascii="Arial" w:hAnsi="Arial" w:cs="Arial"/>
          <w:sz w:val="22"/>
          <w:szCs w:val="22"/>
          <w:lang w:val="en-AU" w:eastAsia="en-AU"/>
        </w:rPr>
      </w:pPr>
      <w:r>
        <w:rPr>
          <w:rFonts w:ascii="Arial" w:hAnsi="Arial" w:cs="Arial"/>
          <w:sz w:val="22"/>
          <w:szCs w:val="22"/>
          <w:lang w:val="en-AU" w:eastAsia="en-AU"/>
        </w:rPr>
        <w:t>Patients should be frequently assessed for non-responsiveness or progression of infection.  If this occurs, change to a systemic antimicrobial agent may be necessary.</w:t>
      </w:r>
    </w:p>
    <w:p w:rsidR="00A92757" w:rsidRDefault="00A92757" w:rsidP="009E72DE">
      <w:pPr>
        <w:pStyle w:val="listbullnospace"/>
        <w:numPr>
          <w:ilvl w:val="0"/>
          <w:numId w:val="0"/>
        </w:numPr>
        <w:rPr>
          <w:rFonts w:ascii="Arial" w:hAnsi="Arial" w:cs="Arial"/>
          <w:sz w:val="22"/>
          <w:szCs w:val="22"/>
          <w:lang w:val="en-AU" w:eastAsia="en-AU"/>
        </w:rPr>
      </w:pPr>
    </w:p>
    <w:p w:rsidR="00A92757" w:rsidRDefault="00587052" w:rsidP="009E72DE">
      <w:pPr>
        <w:pStyle w:val="listbullnospace"/>
        <w:numPr>
          <w:ilvl w:val="0"/>
          <w:numId w:val="0"/>
        </w:numPr>
        <w:rPr>
          <w:rFonts w:ascii="Arial" w:hAnsi="Arial" w:cs="Arial"/>
          <w:sz w:val="22"/>
          <w:szCs w:val="22"/>
          <w:lang w:val="en-AU" w:eastAsia="en-AU"/>
        </w:rPr>
      </w:pPr>
      <w:proofErr w:type="spellStart"/>
      <w:r>
        <w:rPr>
          <w:rFonts w:ascii="Arial" w:hAnsi="Arial" w:cs="Arial"/>
          <w:sz w:val="22"/>
          <w:szCs w:val="22"/>
          <w:lang w:val="en-AU" w:eastAsia="en-AU"/>
        </w:rPr>
        <w:t>Retapamulin</w:t>
      </w:r>
      <w:proofErr w:type="spellEnd"/>
      <w:r>
        <w:rPr>
          <w:rFonts w:ascii="Arial" w:hAnsi="Arial" w:cs="Arial"/>
          <w:sz w:val="22"/>
          <w:szCs w:val="22"/>
          <w:lang w:val="en-AU" w:eastAsia="en-AU"/>
        </w:rPr>
        <w:t xml:space="preserve"> may be </w:t>
      </w:r>
      <w:r w:rsidR="00A92757">
        <w:rPr>
          <w:rFonts w:ascii="Arial" w:hAnsi="Arial" w:cs="Arial"/>
          <w:sz w:val="22"/>
          <w:szCs w:val="22"/>
          <w:lang w:val="en-AU" w:eastAsia="en-AU"/>
        </w:rPr>
        <w:t>less effective th</w:t>
      </w:r>
      <w:r>
        <w:rPr>
          <w:rFonts w:ascii="Arial" w:hAnsi="Arial" w:cs="Arial"/>
          <w:sz w:val="22"/>
          <w:szCs w:val="22"/>
          <w:lang w:val="en-AU" w:eastAsia="en-AU"/>
        </w:rPr>
        <w:t>a</w:t>
      </w:r>
      <w:r w:rsidR="00A92757">
        <w:rPr>
          <w:rFonts w:ascii="Arial" w:hAnsi="Arial" w:cs="Arial"/>
          <w:sz w:val="22"/>
          <w:szCs w:val="22"/>
          <w:lang w:val="en-AU" w:eastAsia="en-AU"/>
        </w:rPr>
        <w:t xml:space="preserve">n </w:t>
      </w:r>
      <w:r w:rsidR="00F1333D">
        <w:rPr>
          <w:rFonts w:ascii="Arial" w:hAnsi="Arial" w:cs="Arial"/>
          <w:sz w:val="22"/>
          <w:szCs w:val="22"/>
          <w:lang w:val="en-AU" w:eastAsia="en-AU"/>
        </w:rPr>
        <w:t xml:space="preserve">an </w:t>
      </w:r>
      <w:r w:rsidR="00A92757">
        <w:rPr>
          <w:rFonts w:ascii="Arial" w:hAnsi="Arial" w:cs="Arial"/>
          <w:sz w:val="22"/>
          <w:szCs w:val="22"/>
          <w:lang w:val="en-AU" w:eastAsia="en-AU"/>
        </w:rPr>
        <w:t xml:space="preserve">appropriate oral agent for the treatment of </w:t>
      </w:r>
      <w:r w:rsidR="004428E4">
        <w:rPr>
          <w:rFonts w:ascii="Arial" w:hAnsi="Arial" w:cs="Arial"/>
          <w:sz w:val="22"/>
          <w:szCs w:val="22"/>
          <w:lang w:val="en-AU" w:eastAsia="en-AU"/>
        </w:rPr>
        <w:t>superficial skin infections</w:t>
      </w:r>
      <w:r w:rsidR="00A92757">
        <w:rPr>
          <w:rFonts w:ascii="Arial" w:hAnsi="Arial" w:cs="Arial"/>
          <w:sz w:val="22"/>
          <w:szCs w:val="22"/>
          <w:lang w:val="en-AU" w:eastAsia="en-AU"/>
        </w:rPr>
        <w:t xml:space="preserve"> caused by MRSA.</w:t>
      </w:r>
    </w:p>
    <w:p w:rsidR="003A5260" w:rsidRDefault="003A5260" w:rsidP="009E72DE">
      <w:pPr>
        <w:pStyle w:val="listbullnospace"/>
        <w:numPr>
          <w:ilvl w:val="0"/>
          <w:numId w:val="0"/>
        </w:numPr>
        <w:rPr>
          <w:rFonts w:ascii="Arial" w:hAnsi="Arial" w:cs="Arial"/>
          <w:sz w:val="22"/>
          <w:szCs w:val="22"/>
          <w:lang w:val="en-AU" w:eastAsia="en-AU"/>
        </w:rPr>
      </w:pPr>
    </w:p>
    <w:p w:rsidR="00587052" w:rsidRPr="003A5260" w:rsidRDefault="003A5260" w:rsidP="009E72DE">
      <w:pPr>
        <w:pStyle w:val="listbullnospace"/>
        <w:numPr>
          <w:ilvl w:val="0"/>
          <w:numId w:val="0"/>
        </w:numPr>
        <w:rPr>
          <w:rFonts w:ascii="Arial" w:hAnsi="Arial" w:cs="Arial"/>
          <w:sz w:val="22"/>
          <w:szCs w:val="22"/>
          <w:lang w:val="en-AU" w:eastAsia="en-AU"/>
        </w:rPr>
      </w:pPr>
      <w:proofErr w:type="spellStart"/>
      <w:r w:rsidRPr="003A5260">
        <w:rPr>
          <w:rFonts w:ascii="Arial" w:hAnsi="Arial" w:cs="Arial"/>
          <w:sz w:val="22"/>
          <w:szCs w:val="22"/>
          <w:lang w:val="en-AU" w:eastAsia="en-AU"/>
        </w:rPr>
        <w:t>Retapamulin</w:t>
      </w:r>
      <w:proofErr w:type="spellEnd"/>
      <w:r w:rsidRPr="003A5260">
        <w:rPr>
          <w:rFonts w:ascii="Arial" w:hAnsi="Arial" w:cs="Arial"/>
          <w:sz w:val="22"/>
          <w:szCs w:val="22"/>
          <w:lang w:val="en-AU" w:eastAsia="en-AU"/>
        </w:rPr>
        <w:t xml:space="preserve"> should not be used to treat abscesses</w:t>
      </w:r>
      <w:r>
        <w:rPr>
          <w:rFonts w:ascii="Arial" w:hAnsi="Arial" w:cs="Arial"/>
          <w:sz w:val="22"/>
          <w:szCs w:val="22"/>
          <w:lang w:val="en-AU" w:eastAsia="en-AU"/>
        </w:rPr>
        <w:t>.</w:t>
      </w:r>
    </w:p>
    <w:p w:rsidR="00A92757" w:rsidRDefault="00A92757" w:rsidP="009E72DE">
      <w:pPr>
        <w:pStyle w:val="listbullnospace"/>
        <w:numPr>
          <w:ilvl w:val="0"/>
          <w:numId w:val="0"/>
        </w:numPr>
        <w:rPr>
          <w:rFonts w:ascii="Arial" w:hAnsi="Arial" w:cs="Arial"/>
          <w:sz w:val="22"/>
          <w:szCs w:val="22"/>
          <w:lang w:val="en-AU" w:eastAsia="en-AU"/>
        </w:rPr>
      </w:pPr>
    </w:p>
    <w:p w:rsidR="00453BA1" w:rsidRPr="009E72DE" w:rsidRDefault="00453BA1"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In the event of a sensitisation or severe local irritation from the use of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ointment, treatment should be discontinued, the ointment wiped off, and appropriate alternative therapy for the infection instituted.</w:t>
      </w:r>
    </w:p>
    <w:p w:rsidR="00453BA1" w:rsidRPr="009E72DE" w:rsidRDefault="00453BA1" w:rsidP="009E72DE">
      <w:pPr>
        <w:pStyle w:val="listbullnospace"/>
        <w:numPr>
          <w:ilvl w:val="0"/>
          <w:numId w:val="0"/>
        </w:numPr>
        <w:rPr>
          <w:rFonts w:ascii="Arial" w:hAnsi="Arial" w:cs="Arial"/>
          <w:sz w:val="22"/>
          <w:szCs w:val="22"/>
          <w:lang w:val="en-AU" w:eastAsia="en-AU"/>
        </w:rPr>
      </w:pPr>
    </w:p>
    <w:p w:rsidR="00453BA1" w:rsidRPr="009E72DE" w:rsidRDefault="00453BA1"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Do not use in the eyes.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has not been evaluated for ophthalmic use.</w:t>
      </w:r>
    </w:p>
    <w:p w:rsidR="00453BA1" w:rsidRPr="009E72DE" w:rsidRDefault="00453BA1" w:rsidP="009E72DE">
      <w:pPr>
        <w:pStyle w:val="listbullnospace"/>
        <w:numPr>
          <w:ilvl w:val="0"/>
          <w:numId w:val="0"/>
        </w:numPr>
        <w:rPr>
          <w:rFonts w:ascii="Arial" w:hAnsi="Arial" w:cs="Arial"/>
          <w:sz w:val="22"/>
          <w:szCs w:val="22"/>
          <w:lang w:val="en-AU" w:eastAsia="en-AU"/>
        </w:rPr>
      </w:pPr>
    </w:p>
    <w:p w:rsidR="00453BA1" w:rsidRPr="009E72DE" w:rsidRDefault="00453BA1"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Do not use on mucous membranes. The safety and efficacy of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on mucosal surfaces have not been established. </w:t>
      </w:r>
      <w:proofErr w:type="spellStart"/>
      <w:r w:rsidRPr="009E72DE">
        <w:rPr>
          <w:rFonts w:ascii="Arial" w:hAnsi="Arial" w:cs="Arial"/>
          <w:sz w:val="22"/>
          <w:szCs w:val="22"/>
          <w:lang w:val="en-AU" w:eastAsia="en-AU"/>
        </w:rPr>
        <w:t>Epistaxis</w:t>
      </w:r>
      <w:proofErr w:type="spellEnd"/>
      <w:r w:rsidRPr="009E72DE">
        <w:rPr>
          <w:rFonts w:ascii="Arial" w:hAnsi="Arial" w:cs="Arial"/>
          <w:sz w:val="22"/>
          <w:szCs w:val="22"/>
          <w:lang w:val="en-AU" w:eastAsia="en-AU"/>
        </w:rPr>
        <w:t xml:space="preserve"> has been reported with use of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on nasal mucosa.  </w:t>
      </w:r>
    </w:p>
    <w:p w:rsidR="00453BA1" w:rsidRPr="009E72DE" w:rsidRDefault="00453BA1" w:rsidP="009E72DE">
      <w:pPr>
        <w:pStyle w:val="listbullnospace"/>
        <w:numPr>
          <w:ilvl w:val="0"/>
          <w:numId w:val="0"/>
        </w:numPr>
        <w:rPr>
          <w:rFonts w:ascii="Arial" w:hAnsi="Arial" w:cs="Arial"/>
          <w:sz w:val="22"/>
          <w:szCs w:val="22"/>
          <w:lang w:val="en-AU" w:eastAsia="en-AU"/>
        </w:rPr>
      </w:pPr>
    </w:p>
    <w:p w:rsidR="00453BA1" w:rsidRPr="009E72DE" w:rsidRDefault="00453BA1"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Do not ingest</w:t>
      </w:r>
      <w:r w:rsidR="00554B8B" w:rsidRPr="009E72DE">
        <w:rPr>
          <w:rFonts w:ascii="Arial" w:hAnsi="Arial" w:cs="Arial"/>
          <w:sz w:val="22"/>
          <w:szCs w:val="22"/>
          <w:lang w:val="en-AU" w:eastAsia="en-AU"/>
        </w:rPr>
        <w:t>.</w:t>
      </w:r>
    </w:p>
    <w:p w:rsidR="00453BA1" w:rsidRPr="009E72DE" w:rsidRDefault="00453BA1" w:rsidP="009E72DE">
      <w:pPr>
        <w:pStyle w:val="listbullnospace"/>
        <w:numPr>
          <w:ilvl w:val="0"/>
          <w:numId w:val="0"/>
        </w:numPr>
        <w:rPr>
          <w:rFonts w:ascii="Arial" w:hAnsi="Arial" w:cs="Arial"/>
          <w:sz w:val="22"/>
          <w:szCs w:val="22"/>
          <w:lang w:val="en-AU" w:eastAsia="en-AU"/>
        </w:rPr>
      </w:pPr>
    </w:p>
    <w:p w:rsidR="00453BA1" w:rsidRPr="009E72DE" w:rsidRDefault="00453BA1"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As with other antibacterial agents, prolonged use may result in overgrowth of non-susceptible microorganisms, including fungi. </w:t>
      </w:r>
    </w:p>
    <w:p w:rsidR="00453BA1" w:rsidRPr="00F65D5C" w:rsidRDefault="00453BA1" w:rsidP="00A30798">
      <w:pPr>
        <w:jc w:val="both"/>
        <w:rPr>
          <w:rFonts w:ascii="Arial" w:hAnsi="Arial" w:cs="Arial"/>
          <w:b/>
          <w:sz w:val="22"/>
          <w:szCs w:val="22"/>
        </w:rPr>
      </w:pPr>
    </w:p>
    <w:p w:rsidR="00C63332" w:rsidRPr="00F65D5C" w:rsidRDefault="00242B97" w:rsidP="00A30798">
      <w:pPr>
        <w:jc w:val="both"/>
        <w:rPr>
          <w:rFonts w:ascii="Arial" w:hAnsi="Arial" w:cs="Arial"/>
          <w:b/>
          <w:sz w:val="22"/>
          <w:szCs w:val="22"/>
        </w:rPr>
      </w:pPr>
      <w:r w:rsidRPr="00F65D5C">
        <w:rPr>
          <w:rFonts w:ascii="Arial" w:hAnsi="Arial" w:cs="Arial"/>
          <w:b/>
          <w:sz w:val="22"/>
          <w:szCs w:val="22"/>
        </w:rPr>
        <w:t xml:space="preserve">Effects on </w:t>
      </w:r>
      <w:r w:rsidR="00C63332" w:rsidRPr="00F65D5C">
        <w:rPr>
          <w:rFonts w:ascii="Arial" w:hAnsi="Arial" w:cs="Arial"/>
          <w:b/>
          <w:sz w:val="22"/>
          <w:szCs w:val="22"/>
        </w:rPr>
        <w:t>Fertility:</w:t>
      </w:r>
    </w:p>
    <w:p w:rsidR="00251077" w:rsidRPr="00F65D5C" w:rsidRDefault="00251077" w:rsidP="00A30798">
      <w:pPr>
        <w:rPr>
          <w:rStyle w:val="CSIchar"/>
          <w:rFonts w:ascii="Arial" w:hAnsi="Arial" w:cs="Arial"/>
          <w:sz w:val="22"/>
          <w:szCs w:val="22"/>
        </w:rPr>
      </w:pPr>
    </w:p>
    <w:p w:rsidR="00251077" w:rsidRPr="009E72DE" w:rsidRDefault="0025107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No treatment-related effects on male or female fertility have been shown in animal studies</w:t>
      </w:r>
      <w:r w:rsidR="00C81A45" w:rsidRPr="009E72DE">
        <w:rPr>
          <w:rFonts w:ascii="Arial" w:hAnsi="Arial" w:cs="Arial"/>
          <w:sz w:val="22"/>
          <w:szCs w:val="22"/>
          <w:lang w:val="en-AU" w:eastAsia="en-AU"/>
        </w:rPr>
        <w:t>.</w:t>
      </w:r>
    </w:p>
    <w:p w:rsidR="00AB7CB7" w:rsidRPr="009E72DE" w:rsidRDefault="00AB7CB7" w:rsidP="009E72DE">
      <w:pPr>
        <w:pStyle w:val="listbullnospace"/>
        <w:numPr>
          <w:ilvl w:val="0"/>
          <w:numId w:val="0"/>
        </w:numPr>
        <w:rPr>
          <w:rFonts w:ascii="Arial" w:hAnsi="Arial" w:cs="Arial"/>
          <w:sz w:val="22"/>
          <w:szCs w:val="22"/>
          <w:lang w:val="en-AU" w:eastAsia="en-AU"/>
        </w:rPr>
      </w:pPr>
    </w:p>
    <w:p w:rsidR="00AB7CB7" w:rsidRPr="009E72DE" w:rsidRDefault="00AB7CB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No evidence of impaired fertility was found in male or female rats given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50, 150, or 450 mg/kg/day orally.</w:t>
      </w:r>
    </w:p>
    <w:p w:rsidR="00E8070F" w:rsidRPr="00F65D5C" w:rsidRDefault="00E8070F" w:rsidP="00A30798">
      <w:pPr>
        <w:jc w:val="both"/>
        <w:rPr>
          <w:rFonts w:ascii="Arial" w:hAnsi="Arial" w:cs="Arial"/>
          <w:sz w:val="22"/>
          <w:szCs w:val="22"/>
        </w:rPr>
      </w:pPr>
    </w:p>
    <w:p w:rsidR="00C63332" w:rsidRPr="00F65D5C" w:rsidRDefault="00242B97" w:rsidP="00A30798">
      <w:pPr>
        <w:jc w:val="both"/>
        <w:rPr>
          <w:rFonts w:ascii="Arial" w:hAnsi="Arial" w:cs="Arial"/>
          <w:b/>
          <w:sz w:val="22"/>
          <w:szCs w:val="22"/>
        </w:rPr>
      </w:pPr>
      <w:r w:rsidRPr="00F65D5C">
        <w:rPr>
          <w:rFonts w:ascii="Arial" w:hAnsi="Arial" w:cs="Arial"/>
          <w:b/>
          <w:sz w:val="22"/>
          <w:szCs w:val="22"/>
        </w:rPr>
        <w:t xml:space="preserve">Use in </w:t>
      </w:r>
      <w:r w:rsidR="00C63332" w:rsidRPr="00F65D5C">
        <w:rPr>
          <w:rFonts w:ascii="Arial" w:hAnsi="Arial" w:cs="Arial"/>
          <w:b/>
          <w:sz w:val="22"/>
          <w:szCs w:val="22"/>
        </w:rPr>
        <w:t>Pregnancy</w:t>
      </w:r>
      <w:r w:rsidRPr="00F65D5C">
        <w:rPr>
          <w:rFonts w:ascii="Arial" w:hAnsi="Arial" w:cs="Arial"/>
          <w:b/>
          <w:sz w:val="22"/>
          <w:szCs w:val="22"/>
        </w:rPr>
        <w:t xml:space="preserve"> (Category</w:t>
      </w:r>
      <w:r w:rsidR="004F640B" w:rsidRPr="00F65D5C">
        <w:rPr>
          <w:rFonts w:ascii="Arial" w:hAnsi="Arial" w:cs="Arial"/>
          <w:b/>
          <w:sz w:val="22"/>
          <w:szCs w:val="22"/>
        </w:rPr>
        <w:t xml:space="preserve"> </w:t>
      </w:r>
      <w:r w:rsidR="005D721E">
        <w:rPr>
          <w:rFonts w:ascii="Arial" w:hAnsi="Arial" w:cs="Arial"/>
          <w:b/>
          <w:sz w:val="22"/>
          <w:szCs w:val="22"/>
        </w:rPr>
        <w:t>B3</w:t>
      </w:r>
      <w:r w:rsidRPr="00F65D5C">
        <w:rPr>
          <w:rFonts w:ascii="Arial" w:hAnsi="Arial" w:cs="Arial"/>
          <w:b/>
          <w:sz w:val="22"/>
          <w:szCs w:val="22"/>
        </w:rPr>
        <w:t>)</w:t>
      </w:r>
      <w:r w:rsidR="00C63332" w:rsidRPr="00F65D5C">
        <w:rPr>
          <w:rFonts w:ascii="Arial" w:hAnsi="Arial" w:cs="Arial"/>
          <w:b/>
          <w:sz w:val="22"/>
          <w:szCs w:val="22"/>
        </w:rPr>
        <w:t>:</w:t>
      </w:r>
    </w:p>
    <w:p w:rsidR="00251077" w:rsidRPr="00F65D5C" w:rsidRDefault="00251077" w:rsidP="00A30798">
      <w:pPr>
        <w:rPr>
          <w:rStyle w:val="CSIchar"/>
          <w:rFonts w:ascii="Arial" w:hAnsi="Arial" w:cs="Arial"/>
          <w:sz w:val="22"/>
          <w:szCs w:val="22"/>
        </w:rPr>
      </w:pPr>
    </w:p>
    <w:p w:rsidR="00251077" w:rsidRPr="009E72DE" w:rsidRDefault="0025107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There is no adequate experience with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in human pregnancy. </w:t>
      </w:r>
    </w:p>
    <w:p w:rsidR="00640E1D" w:rsidRPr="009E72DE" w:rsidRDefault="00640E1D" w:rsidP="009E72DE">
      <w:pPr>
        <w:pStyle w:val="listbullnospace"/>
        <w:numPr>
          <w:ilvl w:val="0"/>
          <w:numId w:val="0"/>
        </w:numPr>
        <w:rPr>
          <w:rFonts w:ascii="Arial" w:hAnsi="Arial" w:cs="Arial"/>
          <w:sz w:val="22"/>
          <w:szCs w:val="22"/>
          <w:lang w:val="en-AU" w:eastAsia="en-AU"/>
        </w:rPr>
      </w:pPr>
    </w:p>
    <w:p w:rsidR="00C81A45" w:rsidRDefault="0025107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Animal studies have shown minor effects on foetal growth </w:t>
      </w:r>
      <w:r w:rsidR="00A92757">
        <w:rPr>
          <w:rFonts w:ascii="Arial" w:hAnsi="Arial" w:cs="Arial"/>
          <w:sz w:val="22"/>
          <w:szCs w:val="22"/>
          <w:lang w:val="en-AU" w:eastAsia="en-AU"/>
        </w:rPr>
        <w:t xml:space="preserve">and incomplete ossification </w:t>
      </w:r>
      <w:r w:rsidRPr="009E72DE">
        <w:rPr>
          <w:rFonts w:ascii="Arial" w:hAnsi="Arial" w:cs="Arial"/>
          <w:sz w:val="22"/>
          <w:szCs w:val="22"/>
          <w:lang w:val="en-AU" w:eastAsia="en-AU"/>
        </w:rPr>
        <w:t>after oral administration, and have not been evaluated with respect to effects on postnatal development</w:t>
      </w:r>
      <w:r w:rsidR="00C81A45" w:rsidRPr="009E72DE">
        <w:rPr>
          <w:rFonts w:ascii="Arial" w:hAnsi="Arial" w:cs="Arial"/>
          <w:sz w:val="22"/>
          <w:szCs w:val="22"/>
          <w:lang w:val="en-AU" w:eastAsia="en-AU"/>
        </w:rPr>
        <w:t>.</w:t>
      </w:r>
    </w:p>
    <w:p w:rsidR="00251077" w:rsidRPr="009E72DE" w:rsidRDefault="00251077" w:rsidP="009E72DE">
      <w:pPr>
        <w:pStyle w:val="listbullnospace"/>
        <w:numPr>
          <w:ilvl w:val="0"/>
          <w:numId w:val="0"/>
        </w:numPr>
        <w:rPr>
          <w:rFonts w:ascii="Arial" w:hAnsi="Arial" w:cs="Arial"/>
          <w:sz w:val="22"/>
          <w:szCs w:val="22"/>
          <w:lang w:val="en-AU" w:eastAsia="en-AU"/>
        </w:rPr>
      </w:pPr>
    </w:p>
    <w:p w:rsidR="00F1333D" w:rsidRDefault="00251077" w:rsidP="00F1333D">
      <w:pPr>
        <w:pStyle w:val="listbullnospace"/>
        <w:numPr>
          <w:ilvl w:val="0"/>
          <w:numId w:val="0"/>
        </w:numPr>
        <w:rPr>
          <w:rFonts w:ascii="Arial" w:hAnsi="Arial" w:cs="Arial"/>
          <w:sz w:val="22"/>
          <w:szCs w:val="22"/>
          <w:lang w:val="en-AU" w:eastAsia="en-AU"/>
        </w:rPr>
      </w:pP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ointment should only be used in pregnancy when the potential benefits outweigh the potential risks associated with treatment. </w:t>
      </w:r>
    </w:p>
    <w:p w:rsidR="00F1333D" w:rsidRPr="00A4054E" w:rsidRDefault="00F1333D" w:rsidP="00F1333D">
      <w:pPr>
        <w:pStyle w:val="listbullnospace"/>
        <w:numPr>
          <w:ilvl w:val="0"/>
          <w:numId w:val="0"/>
        </w:numPr>
        <w:rPr>
          <w:rFonts w:ascii="Arial" w:hAnsi="Arial" w:cs="Arial"/>
          <w:sz w:val="22"/>
          <w:szCs w:val="22"/>
          <w:lang w:val="en-AU" w:eastAsia="en-AU"/>
        </w:rPr>
      </w:pPr>
      <w:r w:rsidRPr="00A4054E">
        <w:rPr>
          <w:rFonts w:ascii="Arial" w:hAnsi="Arial" w:cs="Arial"/>
          <w:sz w:val="22"/>
          <w:szCs w:val="22"/>
          <w:lang w:val="en-AU" w:eastAsia="en-AU"/>
        </w:rPr>
        <w:t xml:space="preserve">Effects on embryo-foetal development were assessed in pregnant rats given 50, 150, or 450 mg/kg/day by oral </w:t>
      </w:r>
      <w:proofErr w:type="spellStart"/>
      <w:r w:rsidRPr="00A4054E">
        <w:rPr>
          <w:rFonts w:ascii="Arial" w:hAnsi="Arial" w:cs="Arial"/>
          <w:sz w:val="22"/>
          <w:szCs w:val="22"/>
          <w:lang w:val="en-AU" w:eastAsia="en-AU"/>
        </w:rPr>
        <w:t>gavage</w:t>
      </w:r>
      <w:proofErr w:type="spellEnd"/>
      <w:r w:rsidRPr="00A4054E">
        <w:rPr>
          <w:rFonts w:ascii="Arial" w:hAnsi="Arial" w:cs="Arial"/>
          <w:sz w:val="22"/>
          <w:szCs w:val="22"/>
          <w:lang w:val="en-AU" w:eastAsia="en-AU"/>
        </w:rPr>
        <w:t xml:space="preserve"> on days 6 to 17 </w:t>
      </w:r>
      <w:proofErr w:type="spellStart"/>
      <w:r w:rsidRPr="00A4054E">
        <w:rPr>
          <w:rFonts w:ascii="Arial" w:hAnsi="Arial" w:cs="Arial"/>
          <w:sz w:val="22"/>
          <w:szCs w:val="22"/>
          <w:lang w:val="en-AU" w:eastAsia="en-AU"/>
        </w:rPr>
        <w:t>postcoitus</w:t>
      </w:r>
      <w:proofErr w:type="spellEnd"/>
      <w:r w:rsidRPr="00A4054E">
        <w:rPr>
          <w:rFonts w:ascii="Arial" w:hAnsi="Arial" w:cs="Arial"/>
          <w:sz w:val="22"/>
          <w:szCs w:val="22"/>
          <w:lang w:val="en-AU" w:eastAsia="en-AU"/>
        </w:rPr>
        <w:t xml:space="preserve">. Maternal toxicity (decreased body weight gain and food consumption) and developmental toxicity (decreased foetal body weight and delayed skeletal ossification) were evident at doses </w:t>
      </w:r>
      <w:r w:rsidR="00C634A7" w:rsidRPr="00A4054E">
        <w:rPr>
          <w:rFonts w:ascii="Arial" w:hAnsi="Arial" w:cs="Arial"/>
          <w:sz w:val="22"/>
          <w:szCs w:val="22"/>
          <w:lang w:val="en-AU" w:eastAsia="en-AU"/>
        </w:rPr>
        <w:fldChar w:fldCharType="begin"/>
      </w:r>
      <w:r w:rsidRPr="00A4054E">
        <w:rPr>
          <w:rFonts w:ascii="Arial" w:hAnsi="Arial" w:cs="Arial"/>
          <w:sz w:val="22"/>
          <w:szCs w:val="22"/>
          <w:lang w:val="en-AU" w:eastAsia="en-AU"/>
        </w:rPr>
        <w:instrText>SYMBOL 8805\u</w:instrText>
      </w:r>
      <w:r w:rsidR="00C634A7" w:rsidRPr="00A4054E">
        <w:rPr>
          <w:rFonts w:ascii="Arial" w:hAnsi="Arial" w:cs="Arial"/>
          <w:sz w:val="22"/>
          <w:szCs w:val="22"/>
          <w:lang w:val="en-AU" w:eastAsia="en-AU"/>
        </w:rPr>
        <w:fldChar w:fldCharType="end"/>
      </w:r>
      <w:r>
        <w:rPr>
          <w:rFonts w:ascii="Arial" w:hAnsi="Arial" w:cs="Arial"/>
          <w:sz w:val="22"/>
          <w:szCs w:val="22"/>
          <w:lang w:val="en-AU" w:eastAsia="en-AU"/>
        </w:rPr>
        <w:t xml:space="preserve">150 mg/kg/day </w:t>
      </w:r>
      <w:r w:rsidRPr="00C82F51">
        <w:rPr>
          <w:rFonts w:ascii="Arial" w:hAnsi="Arial" w:cs="Arial"/>
          <w:sz w:val="22"/>
          <w:szCs w:val="22"/>
          <w:lang w:val="en-AU" w:eastAsia="en-AU"/>
        </w:rPr>
        <w:t xml:space="preserve">(yielding dose ratios on </w:t>
      </w:r>
      <w:proofErr w:type="gramStart"/>
      <w:r w:rsidRPr="00C82F51">
        <w:rPr>
          <w:rFonts w:ascii="Arial" w:hAnsi="Arial" w:cs="Arial"/>
          <w:sz w:val="22"/>
          <w:szCs w:val="22"/>
          <w:lang w:val="en-AU" w:eastAsia="en-AU"/>
        </w:rPr>
        <w:t>a</w:t>
      </w:r>
      <w:proofErr w:type="gramEnd"/>
      <w:r w:rsidRPr="00C82F51">
        <w:rPr>
          <w:rFonts w:ascii="Arial" w:hAnsi="Arial" w:cs="Arial"/>
          <w:sz w:val="22"/>
          <w:szCs w:val="22"/>
          <w:lang w:val="en-AU" w:eastAsia="en-AU"/>
        </w:rPr>
        <w:t xml:space="preserve"> mg/m</w:t>
      </w:r>
      <w:r w:rsidRPr="00C82F51">
        <w:rPr>
          <w:rFonts w:ascii="Arial" w:hAnsi="Arial" w:cs="Arial"/>
          <w:sz w:val="22"/>
          <w:szCs w:val="22"/>
          <w:vertAlign w:val="superscript"/>
          <w:lang w:val="en-AU" w:eastAsia="en-AU"/>
        </w:rPr>
        <w:t>2</w:t>
      </w:r>
      <w:r w:rsidRPr="00C82F51">
        <w:rPr>
          <w:rFonts w:ascii="Arial" w:hAnsi="Arial" w:cs="Arial"/>
          <w:sz w:val="22"/>
          <w:szCs w:val="22"/>
          <w:lang w:val="en-AU" w:eastAsia="en-AU"/>
        </w:rPr>
        <w:t xml:space="preserve"> basis </w:t>
      </w:r>
      <w:r w:rsidR="00C634A7" w:rsidRPr="00C82F51">
        <w:rPr>
          <w:rFonts w:ascii="Arial" w:hAnsi="Arial" w:cs="Arial"/>
          <w:sz w:val="22"/>
          <w:szCs w:val="22"/>
          <w:lang w:val="en-AU" w:eastAsia="en-AU"/>
        </w:rPr>
        <w:fldChar w:fldCharType="begin"/>
      </w:r>
      <w:r w:rsidRPr="00C82F51">
        <w:rPr>
          <w:rFonts w:ascii="Arial" w:hAnsi="Arial" w:cs="Arial"/>
          <w:sz w:val="22"/>
          <w:szCs w:val="22"/>
          <w:lang w:val="en-AU" w:eastAsia="en-AU"/>
        </w:rPr>
        <w:instrText>SYMBOL 8805\u</w:instrText>
      </w:r>
      <w:r w:rsidR="00C634A7" w:rsidRPr="00C82F51">
        <w:rPr>
          <w:rFonts w:ascii="Arial" w:hAnsi="Arial" w:cs="Arial"/>
          <w:sz w:val="22"/>
          <w:szCs w:val="22"/>
          <w:lang w:val="en-AU" w:eastAsia="en-AU"/>
        </w:rPr>
        <w:fldChar w:fldCharType="end"/>
      </w:r>
      <w:r w:rsidRPr="00C82F51">
        <w:rPr>
          <w:rFonts w:ascii="Arial" w:hAnsi="Arial" w:cs="Arial"/>
          <w:sz w:val="22"/>
          <w:szCs w:val="22"/>
          <w:lang w:val="en-AU" w:eastAsia="en-AU"/>
        </w:rPr>
        <w:t>136- times the estimated clinical dose).</w:t>
      </w:r>
      <w:r w:rsidRPr="00A4054E">
        <w:rPr>
          <w:rFonts w:ascii="Arial" w:hAnsi="Arial" w:cs="Arial"/>
          <w:sz w:val="22"/>
          <w:szCs w:val="22"/>
          <w:lang w:val="en-AU" w:eastAsia="en-AU"/>
        </w:rPr>
        <w:t xml:space="preserve"> There were no treatment-related malformations observed in foetal rats.</w:t>
      </w:r>
    </w:p>
    <w:p w:rsidR="00F1333D" w:rsidRPr="00A4054E" w:rsidRDefault="00F1333D" w:rsidP="00F1333D">
      <w:pPr>
        <w:pStyle w:val="listbullnospace"/>
        <w:numPr>
          <w:ilvl w:val="0"/>
          <w:numId w:val="0"/>
        </w:numPr>
        <w:rPr>
          <w:rFonts w:ascii="Arial" w:hAnsi="Arial" w:cs="Arial"/>
          <w:sz w:val="22"/>
          <w:szCs w:val="22"/>
          <w:lang w:val="en-AU" w:eastAsia="en-AU"/>
        </w:rPr>
      </w:pPr>
    </w:p>
    <w:p w:rsidR="00F1333D" w:rsidRPr="009E72DE" w:rsidRDefault="00F1333D" w:rsidP="00F1333D">
      <w:pPr>
        <w:pStyle w:val="listbullnospace"/>
        <w:numPr>
          <w:ilvl w:val="0"/>
          <w:numId w:val="0"/>
        </w:numPr>
        <w:rPr>
          <w:rFonts w:ascii="Arial" w:hAnsi="Arial" w:cs="Arial"/>
          <w:sz w:val="22"/>
          <w:szCs w:val="22"/>
          <w:lang w:val="en-AU" w:eastAsia="en-AU"/>
        </w:rPr>
      </w:pPr>
      <w:proofErr w:type="spellStart"/>
      <w:r w:rsidRPr="00A4054E">
        <w:rPr>
          <w:rFonts w:ascii="Arial" w:hAnsi="Arial" w:cs="Arial"/>
          <w:sz w:val="22"/>
          <w:szCs w:val="22"/>
          <w:lang w:val="en-AU" w:eastAsia="en-AU"/>
        </w:rPr>
        <w:t>Retapamulin</w:t>
      </w:r>
      <w:proofErr w:type="spellEnd"/>
      <w:r w:rsidRPr="00A4054E">
        <w:rPr>
          <w:rFonts w:ascii="Arial" w:hAnsi="Arial" w:cs="Arial"/>
          <w:sz w:val="22"/>
          <w:szCs w:val="22"/>
          <w:lang w:val="en-AU" w:eastAsia="en-AU"/>
        </w:rPr>
        <w:t xml:space="preserve"> was given as a continuous intravenous infusion to pregnant rabbits at dosages of 2.4, 7.2 or 24 mg/kg/day from day 7 to 19 of gestation. Maternal toxicity (reduced body weight gain, food consumption and abortions) was demonstrated at dosages </w:t>
      </w:r>
      <w:r w:rsidR="00C634A7" w:rsidRPr="00A4054E">
        <w:rPr>
          <w:rFonts w:ascii="Arial" w:hAnsi="Arial" w:cs="Arial"/>
          <w:sz w:val="22"/>
          <w:szCs w:val="22"/>
          <w:lang w:val="en-AU" w:eastAsia="en-AU"/>
        </w:rPr>
        <w:fldChar w:fldCharType="begin"/>
      </w:r>
      <w:r w:rsidRPr="00A4054E">
        <w:rPr>
          <w:rFonts w:ascii="Arial" w:hAnsi="Arial" w:cs="Arial"/>
          <w:sz w:val="22"/>
          <w:szCs w:val="22"/>
          <w:lang w:val="en-AU" w:eastAsia="en-AU"/>
        </w:rPr>
        <w:instrText>SYMBOL 8805\u</w:instrText>
      </w:r>
      <w:r w:rsidR="00C634A7" w:rsidRPr="00A4054E">
        <w:rPr>
          <w:rFonts w:ascii="Arial" w:hAnsi="Arial" w:cs="Arial"/>
          <w:sz w:val="22"/>
          <w:szCs w:val="22"/>
          <w:lang w:val="en-AU" w:eastAsia="en-AU"/>
        </w:rPr>
        <w:fldChar w:fldCharType="end"/>
      </w:r>
      <w:r w:rsidRPr="00A4054E">
        <w:rPr>
          <w:rFonts w:ascii="Arial" w:hAnsi="Arial" w:cs="Arial"/>
          <w:sz w:val="22"/>
          <w:szCs w:val="22"/>
          <w:lang w:val="en-AU" w:eastAsia="en-AU"/>
        </w:rPr>
        <w:t xml:space="preserve">7.2 mg/kg/day (8-fold higher than the estimated human systemic exposure (AUC; </w:t>
      </w:r>
      <w:proofErr w:type="gramStart"/>
      <w:r w:rsidRPr="00A4054E">
        <w:rPr>
          <w:rFonts w:ascii="Arial" w:hAnsi="Arial" w:cs="Arial"/>
          <w:sz w:val="22"/>
          <w:szCs w:val="22"/>
          <w:lang w:val="en-AU" w:eastAsia="en-AU"/>
        </w:rPr>
        <w:t xml:space="preserve">238 </w:t>
      </w:r>
      <w:proofErr w:type="spellStart"/>
      <w:r w:rsidRPr="00A4054E">
        <w:rPr>
          <w:rFonts w:ascii="Arial" w:hAnsi="Arial" w:cs="Arial"/>
          <w:sz w:val="22"/>
          <w:szCs w:val="22"/>
          <w:lang w:val="en-AU" w:eastAsia="en-AU"/>
        </w:rPr>
        <w:t>ng.h</w:t>
      </w:r>
      <w:proofErr w:type="spellEnd"/>
      <w:r w:rsidRPr="00A4054E">
        <w:rPr>
          <w:rFonts w:ascii="Arial" w:hAnsi="Arial" w:cs="Arial"/>
          <w:sz w:val="22"/>
          <w:szCs w:val="22"/>
          <w:lang w:val="en-AU" w:eastAsia="en-AU"/>
        </w:rPr>
        <w:t>/ml</w:t>
      </w:r>
      <w:proofErr w:type="gramEnd"/>
      <w:r w:rsidRPr="00A4054E">
        <w:rPr>
          <w:rFonts w:ascii="Arial" w:hAnsi="Arial" w:cs="Arial"/>
          <w:sz w:val="22"/>
          <w:szCs w:val="22"/>
          <w:lang w:val="en-AU" w:eastAsia="en-AU"/>
        </w:rPr>
        <w:t>). There was no treatment-related effect on embryo-foetal development.</w:t>
      </w:r>
    </w:p>
    <w:p w:rsidR="00F1333D" w:rsidRPr="009E72DE" w:rsidRDefault="00F1333D" w:rsidP="009E72DE">
      <w:pPr>
        <w:pStyle w:val="listbullnospace"/>
        <w:numPr>
          <w:ilvl w:val="0"/>
          <w:numId w:val="0"/>
        </w:numPr>
        <w:rPr>
          <w:rFonts w:ascii="Arial" w:hAnsi="Arial" w:cs="Arial"/>
          <w:sz w:val="22"/>
          <w:szCs w:val="22"/>
          <w:lang w:val="en-AU" w:eastAsia="en-AU"/>
        </w:rPr>
      </w:pPr>
    </w:p>
    <w:p w:rsidR="00E8070F" w:rsidRPr="00F65D5C" w:rsidRDefault="00E8070F" w:rsidP="00A30798">
      <w:pPr>
        <w:jc w:val="both"/>
        <w:rPr>
          <w:rFonts w:ascii="Arial" w:hAnsi="Arial" w:cs="Arial"/>
          <w:sz w:val="22"/>
          <w:szCs w:val="22"/>
        </w:rPr>
      </w:pPr>
    </w:p>
    <w:p w:rsidR="00C63332" w:rsidRPr="00F65D5C" w:rsidRDefault="00242B97" w:rsidP="00A30798">
      <w:pPr>
        <w:jc w:val="both"/>
        <w:rPr>
          <w:rFonts w:ascii="Arial" w:hAnsi="Arial" w:cs="Arial"/>
          <w:b/>
          <w:sz w:val="22"/>
          <w:szCs w:val="22"/>
        </w:rPr>
      </w:pPr>
      <w:r w:rsidRPr="00F65D5C">
        <w:rPr>
          <w:rFonts w:ascii="Arial" w:hAnsi="Arial" w:cs="Arial"/>
          <w:b/>
          <w:sz w:val="22"/>
          <w:szCs w:val="22"/>
        </w:rPr>
        <w:t xml:space="preserve">Use in </w:t>
      </w:r>
      <w:r w:rsidR="00C63332" w:rsidRPr="00F65D5C">
        <w:rPr>
          <w:rFonts w:ascii="Arial" w:hAnsi="Arial" w:cs="Arial"/>
          <w:b/>
          <w:sz w:val="22"/>
          <w:szCs w:val="22"/>
        </w:rPr>
        <w:t>Lactation:</w:t>
      </w:r>
    </w:p>
    <w:p w:rsidR="00A30798" w:rsidRPr="00F65D5C" w:rsidRDefault="00A30798" w:rsidP="00A30798">
      <w:pPr>
        <w:rPr>
          <w:rStyle w:val="CSIchar"/>
          <w:rFonts w:ascii="Arial" w:hAnsi="Arial" w:cs="Arial"/>
          <w:sz w:val="22"/>
          <w:szCs w:val="22"/>
        </w:rPr>
      </w:pPr>
    </w:p>
    <w:p w:rsidR="00251077" w:rsidRPr="009E72DE" w:rsidRDefault="0025107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The safe use of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during lactation has not been established.</w:t>
      </w:r>
    </w:p>
    <w:p w:rsidR="00251077" w:rsidRPr="00F65D5C" w:rsidRDefault="00251077" w:rsidP="00A30798">
      <w:pPr>
        <w:jc w:val="both"/>
        <w:rPr>
          <w:rFonts w:ascii="Arial" w:hAnsi="Arial" w:cs="Arial"/>
          <w:sz w:val="22"/>
          <w:szCs w:val="22"/>
        </w:rPr>
      </w:pPr>
    </w:p>
    <w:p w:rsidR="00242B97" w:rsidRPr="00F65D5C" w:rsidRDefault="00242B97" w:rsidP="00A30798">
      <w:pPr>
        <w:jc w:val="both"/>
        <w:rPr>
          <w:rFonts w:ascii="Arial" w:hAnsi="Arial" w:cs="Arial"/>
          <w:b/>
          <w:sz w:val="22"/>
          <w:szCs w:val="22"/>
        </w:rPr>
      </w:pPr>
      <w:r w:rsidRPr="00F65D5C">
        <w:rPr>
          <w:rFonts w:ascii="Arial" w:hAnsi="Arial" w:cs="Arial"/>
          <w:b/>
          <w:sz w:val="22"/>
          <w:szCs w:val="22"/>
        </w:rPr>
        <w:t>Paediatric Use:</w:t>
      </w:r>
    </w:p>
    <w:p w:rsidR="00242B97" w:rsidRPr="00F65D5C" w:rsidRDefault="00242B97" w:rsidP="00A30798">
      <w:pPr>
        <w:jc w:val="both"/>
        <w:rPr>
          <w:rFonts w:ascii="Arial" w:hAnsi="Arial" w:cs="Arial"/>
          <w:sz w:val="22"/>
          <w:szCs w:val="22"/>
        </w:rPr>
      </w:pPr>
    </w:p>
    <w:p w:rsidR="00251077" w:rsidRPr="009E72DE" w:rsidRDefault="0025107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 xml:space="preserve">The safety and efficacy of </w:t>
      </w: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ointment has not been established in paediatric patients less than nine months of age.</w:t>
      </w:r>
    </w:p>
    <w:p w:rsidR="00E8070F" w:rsidRPr="00F65D5C" w:rsidRDefault="00E8070F" w:rsidP="00A30798">
      <w:pPr>
        <w:jc w:val="both"/>
        <w:rPr>
          <w:rFonts w:ascii="Arial" w:hAnsi="Arial" w:cs="Arial"/>
          <w:sz w:val="22"/>
          <w:szCs w:val="22"/>
        </w:rPr>
      </w:pPr>
    </w:p>
    <w:p w:rsidR="00242B97" w:rsidRPr="00F65D5C" w:rsidRDefault="00242B97" w:rsidP="00A30798">
      <w:pPr>
        <w:jc w:val="both"/>
        <w:rPr>
          <w:rFonts w:ascii="Arial" w:hAnsi="Arial" w:cs="Arial"/>
          <w:b/>
          <w:sz w:val="22"/>
          <w:szCs w:val="22"/>
        </w:rPr>
      </w:pPr>
      <w:r w:rsidRPr="00F65D5C">
        <w:rPr>
          <w:rFonts w:ascii="Arial" w:hAnsi="Arial" w:cs="Arial"/>
          <w:b/>
          <w:sz w:val="22"/>
          <w:szCs w:val="22"/>
        </w:rPr>
        <w:t xml:space="preserve">Use in </w:t>
      </w:r>
      <w:r w:rsidR="00A93928" w:rsidRPr="00F65D5C">
        <w:rPr>
          <w:rFonts w:ascii="Arial" w:hAnsi="Arial" w:cs="Arial"/>
          <w:b/>
          <w:sz w:val="22"/>
          <w:szCs w:val="22"/>
        </w:rPr>
        <w:t xml:space="preserve">the </w:t>
      </w:r>
      <w:r w:rsidRPr="00F65D5C">
        <w:rPr>
          <w:rFonts w:ascii="Arial" w:hAnsi="Arial" w:cs="Arial"/>
          <w:b/>
          <w:sz w:val="22"/>
          <w:szCs w:val="22"/>
        </w:rPr>
        <w:t>Elderly:</w:t>
      </w:r>
    </w:p>
    <w:p w:rsidR="00A30798" w:rsidRPr="00F65D5C" w:rsidRDefault="00A30798" w:rsidP="00A30798">
      <w:pPr>
        <w:rPr>
          <w:rStyle w:val="CSIchar"/>
          <w:rFonts w:ascii="Arial" w:hAnsi="Arial" w:cs="Arial"/>
          <w:sz w:val="22"/>
          <w:szCs w:val="22"/>
        </w:rPr>
      </w:pPr>
    </w:p>
    <w:p w:rsidR="00251077" w:rsidRPr="009E72DE" w:rsidRDefault="00251077"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No dosage adjustment necessary.</w:t>
      </w:r>
    </w:p>
    <w:p w:rsidR="00E8070F" w:rsidRPr="00F65D5C" w:rsidRDefault="00E8070F" w:rsidP="00A30798">
      <w:pPr>
        <w:jc w:val="both"/>
        <w:rPr>
          <w:rFonts w:ascii="Arial" w:hAnsi="Arial" w:cs="Arial"/>
          <w:sz w:val="22"/>
          <w:szCs w:val="22"/>
        </w:rPr>
      </w:pPr>
    </w:p>
    <w:p w:rsidR="00242B97" w:rsidRDefault="00242B97" w:rsidP="00A30798">
      <w:pPr>
        <w:jc w:val="both"/>
        <w:rPr>
          <w:rFonts w:ascii="Arial" w:hAnsi="Arial" w:cs="Arial"/>
          <w:b/>
          <w:sz w:val="22"/>
          <w:szCs w:val="22"/>
        </w:rPr>
      </w:pPr>
      <w:r w:rsidRPr="00F65D5C">
        <w:rPr>
          <w:rFonts w:ascii="Arial" w:hAnsi="Arial" w:cs="Arial"/>
          <w:b/>
          <w:sz w:val="22"/>
          <w:szCs w:val="22"/>
        </w:rPr>
        <w:t>Carcinogenicity:</w:t>
      </w:r>
    </w:p>
    <w:p w:rsidR="00000AD2" w:rsidRPr="00F65D5C" w:rsidRDefault="00000AD2" w:rsidP="00A30798">
      <w:pPr>
        <w:jc w:val="both"/>
        <w:rPr>
          <w:rFonts w:ascii="Arial" w:hAnsi="Arial" w:cs="Arial"/>
          <w:b/>
          <w:sz w:val="22"/>
          <w:szCs w:val="22"/>
        </w:rPr>
      </w:pPr>
    </w:p>
    <w:p w:rsidR="00251077" w:rsidRPr="009E72DE" w:rsidRDefault="00A30798" w:rsidP="009E72DE">
      <w:pPr>
        <w:pStyle w:val="listbullnospace"/>
        <w:numPr>
          <w:ilvl w:val="0"/>
          <w:numId w:val="0"/>
        </w:numPr>
        <w:rPr>
          <w:rFonts w:ascii="Arial" w:hAnsi="Arial" w:cs="Arial"/>
          <w:sz w:val="22"/>
          <w:szCs w:val="22"/>
          <w:lang w:val="en-AU" w:eastAsia="en-AU"/>
        </w:rPr>
      </w:pPr>
      <w:r w:rsidRPr="009E72DE">
        <w:rPr>
          <w:rFonts w:ascii="Arial" w:hAnsi="Arial" w:cs="Arial"/>
          <w:sz w:val="22"/>
          <w:szCs w:val="22"/>
          <w:lang w:val="en-AU" w:eastAsia="en-AU"/>
        </w:rPr>
        <w:t>L</w:t>
      </w:r>
      <w:r w:rsidR="00251077" w:rsidRPr="009E72DE">
        <w:rPr>
          <w:rFonts w:ascii="Arial" w:hAnsi="Arial" w:cs="Arial"/>
          <w:sz w:val="22"/>
          <w:szCs w:val="22"/>
          <w:lang w:val="en-AU" w:eastAsia="en-AU"/>
        </w:rPr>
        <w:t xml:space="preserve">ong-term studies in animals to evaluate carcinogenic potential have not been conducted with </w:t>
      </w:r>
      <w:proofErr w:type="spellStart"/>
      <w:r w:rsidR="00251077" w:rsidRPr="009E72DE">
        <w:rPr>
          <w:rFonts w:ascii="Arial" w:hAnsi="Arial" w:cs="Arial"/>
          <w:sz w:val="22"/>
          <w:szCs w:val="22"/>
          <w:lang w:val="en-AU" w:eastAsia="en-AU"/>
        </w:rPr>
        <w:t>retapamulin</w:t>
      </w:r>
      <w:proofErr w:type="spellEnd"/>
      <w:r w:rsidR="00251077" w:rsidRPr="009E72DE">
        <w:rPr>
          <w:rFonts w:ascii="Arial" w:hAnsi="Arial" w:cs="Arial"/>
          <w:sz w:val="22"/>
          <w:szCs w:val="22"/>
          <w:lang w:val="en-AU" w:eastAsia="en-AU"/>
        </w:rPr>
        <w:t>.</w:t>
      </w:r>
    </w:p>
    <w:p w:rsidR="00000AD2" w:rsidRDefault="00000AD2" w:rsidP="00A30798">
      <w:pPr>
        <w:rPr>
          <w:rStyle w:val="CSIchar"/>
          <w:rFonts w:ascii="Arial" w:hAnsi="Arial" w:cs="Arial"/>
          <w:sz w:val="22"/>
          <w:szCs w:val="22"/>
        </w:rPr>
      </w:pPr>
    </w:p>
    <w:p w:rsidR="00000AD2" w:rsidRPr="00F65D5C" w:rsidRDefault="00000AD2" w:rsidP="00000AD2">
      <w:pPr>
        <w:jc w:val="both"/>
        <w:rPr>
          <w:rFonts w:ascii="Arial" w:hAnsi="Arial" w:cs="Arial"/>
          <w:b/>
          <w:sz w:val="22"/>
          <w:szCs w:val="22"/>
        </w:rPr>
      </w:pPr>
      <w:proofErr w:type="spellStart"/>
      <w:r w:rsidRPr="00F65D5C">
        <w:rPr>
          <w:rFonts w:ascii="Arial" w:hAnsi="Arial" w:cs="Arial"/>
          <w:b/>
          <w:sz w:val="22"/>
          <w:szCs w:val="22"/>
        </w:rPr>
        <w:t>Genotoxicity</w:t>
      </w:r>
      <w:proofErr w:type="spellEnd"/>
      <w:r w:rsidRPr="00F65D5C">
        <w:rPr>
          <w:rFonts w:ascii="Arial" w:hAnsi="Arial" w:cs="Arial"/>
          <w:b/>
          <w:sz w:val="22"/>
          <w:szCs w:val="22"/>
        </w:rPr>
        <w:t>:</w:t>
      </w:r>
    </w:p>
    <w:p w:rsidR="00000AD2" w:rsidRPr="00F65D5C" w:rsidRDefault="00000AD2" w:rsidP="00A30798">
      <w:pPr>
        <w:rPr>
          <w:rStyle w:val="CSIchar"/>
          <w:rFonts w:ascii="Arial" w:hAnsi="Arial" w:cs="Arial"/>
          <w:sz w:val="22"/>
          <w:szCs w:val="22"/>
        </w:rPr>
      </w:pPr>
    </w:p>
    <w:p w:rsidR="00000AD2" w:rsidRPr="009E72DE" w:rsidRDefault="00000AD2" w:rsidP="009E72DE">
      <w:pPr>
        <w:pStyle w:val="listbullnospace"/>
        <w:numPr>
          <w:ilvl w:val="0"/>
          <w:numId w:val="0"/>
        </w:numPr>
        <w:rPr>
          <w:rFonts w:ascii="Arial" w:hAnsi="Arial" w:cs="Arial"/>
          <w:sz w:val="22"/>
          <w:szCs w:val="22"/>
          <w:lang w:val="en-AU" w:eastAsia="en-AU"/>
        </w:rPr>
      </w:pPr>
      <w:proofErr w:type="spellStart"/>
      <w:r w:rsidRPr="009E72DE">
        <w:rPr>
          <w:rFonts w:ascii="Arial" w:hAnsi="Arial" w:cs="Arial"/>
          <w:sz w:val="22"/>
          <w:szCs w:val="22"/>
          <w:lang w:val="en-AU" w:eastAsia="en-AU"/>
        </w:rPr>
        <w:t>Retapamulin</w:t>
      </w:r>
      <w:proofErr w:type="spellEnd"/>
      <w:r w:rsidRPr="009E72DE">
        <w:rPr>
          <w:rFonts w:ascii="Arial" w:hAnsi="Arial" w:cs="Arial"/>
          <w:sz w:val="22"/>
          <w:szCs w:val="22"/>
          <w:lang w:val="en-AU" w:eastAsia="en-AU"/>
        </w:rPr>
        <w:t xml:space="preserve"> showed no </w:t>
      </w:r>
      <w:proofErr w:type="spellStart"/>
      <w:r w:rsidRPr="009E72DE">
        <w:rPr>
          <w:rFonts w:ascii="Arial" w:hAnsi="Arial" w:cs="Arial"/>
          <w:sz w:val="22"/>
          <w:szCs w:val="22"/>
          <w:lang w:val="en-AU" w:eastAsia="en-AU"/>
        </w:rPr>
        <w:t>genotoxicity</w:t>
      </w:r>
      <w:proofErr w:type="spellEnd"/>
      <w:r w:rsidRPr="009E72DE">
        <w:rPr>
          <w:rFonts w:ascii="Arial" w:hAnsi="Arial" w:cs="Arial"/>
          <w:sz w:val="22"/>
          <w:szCs w:val="22"/>
          <w:lang w:val="en-AU" w:eastAsia="en-AU"/>
        </w:rPr>
        <w:t xml:space="preserve"> when evaluated </w:t>
      </w:r>
      <w:r w:rsidR="004B0301" w:rsidRPr="004B0301">
        <w:rPr>
          <w:rFonts w:ascii="Arial" w:hAnsi="Arial" w:cs="Arial"/>
          <w:i/>
          <w:sz w:val="22"/>
          <w:szCs w:val="22"/>
          <w:lang w:val="en-AU" w:eastAsia="en-AU"/>
        </w:rPr>
        <w:t>in vitro</w:t>
      </w:r>
      <w:r w:rsidRPr="009E72DE">
        <w:rPr>
          <w:rFonts w:ascii="Arial" w:hAnsi="Arial" w:cs="Arial"/>
          <w:sz w:val="22"/>
          <w:szCs w:val="22"/>
          <w:lang w:val="en-AU" w:eastAsia="en-AU"/>
        </w:rPr>
        <w:t xml:space="preserve"> for gene mutation and/or chromosomal effects in the mouse lymphoma cell assay, in cultured human peripheral blood lymphocytes, or when evaluated in vivo for chromosomal effects in a rat micronucleus test.</w:t>
      </w:r>
    </w:p>
    <w:p w:rsidR="002B4220" w:rsidRPr="00F65D5C" w:rsidRDefault="002B4220" w:rsidP="00A30798">
      <w:pPr>
        <w:jc w:val="both"/>
        <w:rPr>
          <w:rFonts w:ascii="Arial" w:hAnsi="Arial" w:cs="Arial"/>
          <w:sz w:val="22"/>
          <w:szCs w:val="22"/>
        </w:rPr>
      </w:pPr>
    </w:p>
    <w:p w:rsidR="00920D67" w:rsidRDefault="00920D67" w:rsidP="00A30798">
      <w:pPr>
        <w:rPr>
          <w:rFonts w:ascii="Arial" w:hAnsi="Arial" w:cs="Arial"/>
          <w:b/>
          <w:sz w:val="22"/>
          <w:szCs w:val="22"/>
        </w:rPr>
      </w:pPr>
      <w:r w:rsidRPr="00F65D5C">
        <w:rPr>
          <w:rFonts w:ascii="Arial" w:hAnsi="Arial" w:cs="Arial"/>
          <w:b/>
          <w:sz w:val="22"/>
          <w:szCs w:val="22"/>
        </w:rPr>
        <w:t>Ability to perform tasks that require judgement, motor or cognitive skills:</w:t>
      </w:r>
    </w:p>
    <w:p w:rsidR="0039536E" w:rsidRPr="00F65D5C" w:rsidRDefault="0039536E" w:rsidP="00A30798">
      <w:pPr>
        <w:rPr>
          <w:rFonts w:ascii="Arial" w:hAnsi="Arial" w:cs="Arial"/>
          <w:b/>
          <w:sz w:val="22"/>
          <w:szCs w:val="22"/>
        </w:rPr>
      </w:pPr>
    </w:p>
    <w:p w:rsidR="00920D67" w:rsidRPr="00F65D5C" w:rsidRDefault="00920D67" w:rsidP="00A30798">
      <w:pPr>
        <w:rPr>
          <w:rFonts w:ascii="Arial" w:hAnsi="Arial" w:cs="Arial"/>
          <w:sz w:val="22"/>
          <w:szCs w:val="22"/>
        </w:rPr>
      </w:pPr>
      <w:r w:rsidRPr="00F65D5C">
        <w:rPr>
          <w:rFonts w:ascii="Arial" w:hAnsi="Arial" w:cs="Arial"/>
          <w:sz w:val="22"/>
          <w:szCs w:val="22"/>
        </w:rPr>
        <w:t>No detrimental effects on such activities are predicted from the pharmacology or adverse reaction profile of this medicinal product.</w:t>
      </w:r>
    </w:p>
    <w:p w:rsidR="00920D67" w:rsidRPr="00F65D5C" w:rsidRDefault="00920D67" w:rsidP="00A30798">
      <w:pPr>
        <w:jc w:val="both"/>
        <w:rPr>
          <w:rFonts w:ascii="Arial" w:hAnsi="Arial" w:cs="Arial"/>
          <w:b/>
          <w:sz w:val="22"/>
          <w:szCs w:val="22"/>
        </w:rPr>
      </w:pPr>
    </w:p>
    <w:p w:rsidR="00E50499" w:rsidRDefault="00E50499">
      <w:pPr>
        <w:rPr>
          <w:rFonts w:ascii="Arial" w:hAnsi="Arial" w:cs="Arial"/>
          <w:b/>
          <w:sz w:val="22"/>
          <w:szCs w:val="22"/>
        </w:rPr>
      </w:pPr>
      <w:r>
        <w:rPr>
          <w:rFonts w:ascii="Arial" w:hAnsi="Arial" w:cs="Arial"/>
          <w:b/>
          <w:sz w:val="22"/>
          <w:szCs w:val="22"/>
        </w:rPr>
        <w:br w:type="page"/>
      </w:r>
    </w:p>
    <w:p w:rsidR="00E81E59" w:rsidRPr="00F65D5C" w:rsidRDefault="00E81E59" w:rsidP="00A30798">
      <w:pPr>
        <w:jc w:val="both"/>
        <w:rPr>
          <w:rFonts w:ascii="Arial" w:hAnsi="Arial" w:cs="Arial"/>
          <w:b/>
          <w:sz w:val="22"/>
          <w:szCs w:val="22"/>
        </w:rPr>
      </w:pPr>
      <w:r w:rsidRPr="00F65D5C">
        <w:rPr>
          <w:rFonts w:ascii="Arial" w:hAnsi="Arial" w:cs="Arial"/>
          <w:b/>
          <w:sz w:val="22"/>
          <w:szCs w:val="22"/>
        </w:rPr>
        <w:lastRenderedPageBreak/>
        <w:t xml:space="preserve">INTERACTIONS WITH </w:t>
      </w:r>
      <w:r w:rsidR="004F640B" w:rsidRPr="00F65D5C">
        <w:rPr>
          <w:rFonts w:ascii="Arial" w:hAnsi="Arial" w:cs="Arial"/>
          <w:b/>
          <w:sz w:val="22"/>
          <w:szCs w:val="22"/>
        </w:rPr>
        <w:t>OTHER MEDICINES</w:t>
      </w:r>
    </w:p>
    <w:p w:rsidR="004F640B" w:rsidRPr="00F65D5C" w:rsidRDefault="004F640B" w:rsidP="00A30798">
      <w:pPr>
        <w:jc w:val="both"/>
        <w:rPr>
          <w:rFonts w:ascii="Arial" w:hAnsi="Arial" w:cs="Arial"/>
          <w:sz w:val="22"/>
          <w:szCs w:val="22"/>
        </w:rPr>
      </w:pPr>
    </w:p>
    <w:p w:rsidR="009C6C54" w:rsidRPr="00A4054E" w:rsidRDefault="009C6C54" w:rsidP="00A30798">
      <w:pPr>
        <w:rPr>
          <w:rFonts w:ascii="Arial" w:hAnsi="Arial" w:cs="Arial"/>
          <w:sz w:val="22"/>
          <w:szCs w:val="22"/>
        </w:rPr>
      </w:pPr>
      <w:r w:rsidRPr="00A4054E">
        <w:rPr>
          <w:rFonts w:ascii="Arial" w:hAnsi="Arial" w:cs="Arial"/>
          <w:sz w:val="22"/>
          <w:szCs w:val="22"/>
        </w:rPr>
        <w:t xml:space="preserve">No clinically significant drug interactions are known in adults (see </w:t>
      </w:r>
      <w:r w:rsidRPr="00101AF0">
        <w:rPr>
          <w:rFonts w:ascii="Arial" w:hAnsi="Arial" w:cs="Arial"/>
          <w:i/>
          <w:sz w:val="22"/>
          <w:szCs w:val="22"/>
        </w:rPr>
        <w:t>Pharmacokinetics</w:t>
      </w:r>
      <w:r w:rsidRPr="00A4054E">
        <w:rPr>
          <w:rFonts w:ascii="Arial" w:hAnsi="Arial" w:cs="Arial"/>
          <w:sz w:val="22"/>
          <w:szCs w:val="22"/>
        </w:rPr>
        <w:t>).</w:t>
      </w:r>
    </w:p>
    <w:p w:rsidR="009C6C54" w:rsidRPr="00F65D5C" w:rsidRDefault="009C6C54" w:rsidP="00A30798">
      <w:pPr>
        <w:rPr>
          <w:rStyle w:val="CSIchar"/>
          <w:rFonts w:ascii="Arial" w:hAnsi="Arial" w:cs="Arial"/>
          <w:sz w:val="22"/>
          <w:szCs w:val="22"/>
        </w:rPr>
      </w:pPr>
    </w:p>
    <w:p w:rsidR="009C6C54" w:rsidRPr="00F65D5C" w:rsidRDefault="009C6C54" w:rsidP="00A30798">
      <w:pPr>
        <w:rPr>
          <w:rStyle w:val="CSIchar"/>
          <w:rFonts w:ascii="Arial" w:hAnsi="Arial" w:cs="Arial"/>
          <w:sz w:val="22"/>
          <w:szCs w:val="22"/>
        </w:rPr>
      </w:pPr>
      <w:r w:rsidRPr="00A4054E">
        <w:rPr>
          <w:rFonts w:ascii="Arial" w:hAnsi="Arial" w:cs="Arial"/>
          <w:sz w:val="22"/>
          <w:szCs w:val="22"/>
        </w:rPr>
        <w:t xml:space="preserve">No drug interaction studies have been conducted in children. In children under two years of age, increased systemic exposure to </w:t>
      </w:r>
      <w:proofErr w:type="spellStart"/>
      <w:r w:rsidRPr="00A4054E">
        <w:rPr>
          <w:rFonts w:ascii="Arial" w:hAnsi="Arial" w:cs="Arial"/>
          <w:sz w:val="22"/>
          <w:szCs w:val="22"/>
        </w:rPr>
        <w:t>retapamulin</w:t>
      </w:r>
      <w:proofErr w:type="spellEnd"/>
      <w:r w:rsidRPr="00A4054E">
        <w:rPr>
          <w:rFonts w:ascii="Arial" w:hAnsi="Arial" w:cs="Arial"/>
          <w:sz w:val="22"/>
          <w:szCs w:val="22"/>
        </w:rPr>
        <w:t xml:space="preserve"> has been observed. As CYP3A4 inhibitors may further increase systemic exposure to </w:t>
      </w:r>
      <w:proofErr w:type="spellStart"/>
      <w:r w:rsidRPr="00A4054E">
        <w:rPr>
          <w:rFonts w:ascii="Arial" w:hAnsi="Arial" w:cs="Arial"/>
          <w:sz w:val="22"/>
          <w:szCs w:val="22"/>
        </w:rPr>
        <w:t>retapamulin</w:t>
      </w:r>
      <w:proofErr w:type="spellEnd"/>
      <w:r w:rsidRPr="00A4054E">
        <w:rPr>
          <w:rFonts w:ascii="Arial" w:hAnsi="Arial" w:cs="Arial"/>
          <w:sz w:val="22"/>
          <w:szCs w:val="22"/>
        </w:rPr>
        <w:t xml:space="preserve">, caution should be exercised if CYP3A4 inhibitor(s) are used concomitantly with </w:t>
      </w:r>
      <w:proofErr w:type="spellStart"/>
      <w:r w:rsidRPr="00A4054E">
        <w:rPr>
          <w:rFonts w:ascii="Arial" w:hAnsi="Arial" w:cs="Arial"/>
          <w:sz w:val="22"/>
          <w:szCs w:val="22"/>
        </w:rPr>
        <w:t>retapamulin</w:t>
      </w:r>
      <w:proofErr w:type="spellEnd"/>
      <w:r w:rsidRPr="00A4054E">
        <w:rPr>
          <w:rFonts w:ascii="Arial" w:hAnsi="Arial" w:cs="Arial"/>
          <w:sz w:val="22"/>
          <w:szCs w:val="22"/>
        </w:rPr>
        <w:t xml:space="preserve"> in young children. </w:t>
      </w:r>
      <w:r w:rsidR="00AB7CB7" w:rsidRPr="00A4054E">
        <w:rPr>
          <w:rFonts w:ascii="Arial" w:hAnsi="Arial" w:cs="Arial"/>
          <w:sz w:val="22"/>
          <w:szCs w:val="22"/>
        </w:rPr>
        <w:t>(</w:t>
      </w:r>
      <w:proofErr w:type="gramStart"/>
      <w:r w:rsidR="00AB7CB7" w:rsidRPr="00AB7CB7">
        <w:rPr>
          <w:rFonts w:ascii="Arial" w:hAnsi="Arial" w:cs="Arial"/>
          <w:sz w:val="22"/>
          <w:szCs w:val="22"/>
        </w:rPr>
        <w:t>see</w:t>
      </w:r>
      <w:proofErr w:type="gramEnd"/>
      <w:r w:rsidR="00AB7CB7" w:rsidRPr="00AB7CB7">
        <w:rPr>
          <w:rFonts w:ascii="Arial" w:hAnsi="Arial" w:cs="Arial"/>
          <w:sz w:val="22"/>
          <w:szCs w:val="22"/>
        </w:rPr>
        <w:t xml:space="preserve"> </w:t>
      </w:r>
      <w:r w:rsidR="00AB7CB7" w:rsidRPr="00A64BC3">
        <w:rPr>
          <w:rFonts w:ascii="Arial" w:hAnsi="Arial" w:cs="Arial"/>
          <w:i/>
          <w:sz w:val="22"/>
          <w:szCs w:val="22"/>
        </w:rPr>
        <w:t>Pharmacokinetics</w:t>
      </w:r>
      <w:r w:rsidR="00AB7CB7" w:rsidRPr="00AB7CB7">
        <w:rPr>
          <w:rFonts w:ascii="Arial" w:hAnsi="Arial" w:cs="Arial"/>
          <w:sz w:val="22"/>
          <w:szCs w:val="22"/>
        </w:rPr>
        <w:t>)</w:t>
      </w:r>
    </w:p>
    <w:p w:rsidR="009C6C54" w:rsidRPr="00F65D5C" w:rsidRDefault="009C6C54" w:rsidP="00A30798">
      <w:pPr>
        <w:rPr>
          <w:rStyle w:val="CSIchar"/>
          <w:rFonts w:ascii="Arial" w:hAnsi="Arial" w:cs="Arial"/>
          <w:sz w:val="22"/>
          <w:szCs w:val="22"/>
        </w:rPr>
      </w:pPr>
    </w:p>
    <w:p w:rsidR="009C6C54" w:rsidRPr="00A4054E" w:rsidRDefault="009C6C54" w:rsidP="00A30798">
      <w:pPr>
        <w:rPr>
          <w:rFonts w:ascii="Arial" w:hAnsi="Arial" w:cs="Arial"/>
          <w:sz w:val="22"/>
          <w:szCs w:val="22"/>
        </w:rPr>
      </w:pPr>
      <w:r w:rsidRPr="00A4054E">
        <w:rPr>
          <w:rFonts w:ascii="Arial" w:hAnsi="Arial" w:cs="Arial"/>
          <w:sz w:val="22"/>
          <w:szCs w:val="22"/>
        </w:rPr>
        <w:t xml:space="preserve">The effect of concurrent application of </w:t>
      </w:r>
      <w:proofErr w:type="spellStart"/>
      <w:r w:rsidRPr="00A4054E">
        <w:rPr>
          <w:rFonts w:ascii="Arial" w:hAnsi="Arial" w:cs="Arial"/>
          <w:sz w:val="22"/>
          <w:szCs w:val="22"/>
        </w:rPr>
        <w:t>retapamulin</w:t>
      </w:r>
      <w:proofErr w:type="spellEnd"/>
      <w:r w:rsidRPr="00A4054E">
        <w:rPr>
          <w:rFonts w:ascii="Arial" w:hAnsi="Arial" w:cs="Arial"/>
          <w:sz w:val="22"/>
          <w:szCs w:val="22"/>
        </w:rPr>
        <w:t xml:space="preserve"> and other topical products to the same area of skin has not been studied, and is not recommended.</w:t>
      </w:r>
    </w:p>
    <w:p w:rsidR="009C6C54" w:rsidRPr="00453BA1" w:rsidRDefault="009C6C54" w:rsidP="00A30798">
      <w:pPr>
        <w:jc w:val="both"/>
        <w:rPr>
          <w:rFonts w:ascii="Arial" w:hAnsi="Arial" w:cs="Arial"/>
          <w:color w:val="0000FF"/>
          <w:sz w:val="22"/>
          <w:szCs w:val="22"/>
        </w:rPr>
      </w:pPr>
    </w:p>
    <w:p w:rsidR="00E8070F" w:rsidRPr="00453BA1" w:rsidRDefault="00E8070F" w:rsidP="00A30798">
      <w:pPr>
        <w:jc w:val="both"/>
        <w:rPr>
          <w:rFonts w:ascii="Arial" w:hAnsi="Arial" w:cs="Arial"/>
          <w:b/>
          <w:sz w:val="22"/>
          <w:szCs w:val="22"/>
        </w:rPr>
      </w:pPr>
    </w:p>
    <w:p w:rsidR="0077380F" w:rsidRPr="00453BA1" w:rsidRDefault="0077380F" w:rsidP="00A30798">
      <w:pPr>
        <w:jc w:val="both"/>
        <w:rPr>
          <w:rFonts w:ascii="Arial" w:hAnsi="Arial" w:cs="Arial"/>
          <w:b/>
          <w:sz w:val="22"/>
          <w:szCs w:val="22"/>
        </w:rPr>
      </w:pPr>
      <w:r w:rsidRPr="00481BE9">
        <w:rPr>
          <w:rFonts w:ascii="Arial" w:hAnsi="Arial" w:cs="Arial"/>
          <w:b/>
          <w:sz w:val="22"/>
          <w:szCs w:val="22"/>
        </w:rPr>
        <w:t>AD</w:t>
      </w:r>
      <w:smartTag w:uri="schemas-GSKSiteLocations-com/fourthcoffee" w:element="flavor">
        <w:r w:rsidRPr="00481BE9">
          <w:rPr>
            <w:rFonts w:ascii="Arial" w:hAnsi="Arial" w:cs="Arial"/>
            <w:b/>
            <w:sz w:val="22"/>
            <w:szCs w:val="22"/>
          </w:rPr>
          <w:t>VER</w:t>
        </w:r>
      </w:smartTag>
      <w:r w:rsidRPr="00481BE9">
        <w:rPr>
          <w:rFonts w:ascii="Arial" w:hAnsi="Arial" w:cs="Arial"/>
          <w:b/>
          <w:sz w:val="22"/>
          <w:szCs w:val="22"/>
        </w:rPr>
        <w:t>SE EFFECTS</w:t>
      </w:r>
    </w:p>
    <w:p w:rsidR="00406F2D" w:rsidRDefault="00406F2D" w:rsidP="00406F2D">
      <w:pPr>
        <w:rPr>
          <w:rFonts w:ascii="Arial" w:hAnsi="Arial"/>
          <w:b/>
          <w:color w:val="FF0000"/>
          <w:sz w:val="22"/>
          <w:lang w:val="en-GB" w:eastAsia="en-US"/>
        </w:rPr>
      </w:pPr>
    </w:p>
    <w:p w:rsidR="00406F2D" w:rsidRPr="00553D66" w:rsidRDefault="00406F2D" w:rsidP="00FE4EC8">
      <w:pPr>
        <w:pStyle w:val="captiontable"/>
        <w:ind w:left="0" w:firstLine="0"/>
        <w:rPr>
          <w:lang w:val="en-US"/>
        </w:rPr>
      </w:pPr>
      <w:r>
        <w:rPr>
          <w:lang w:val="en-US"/>
        </w:rPr>
        <w:t xml:space="preserve">Most </w:t>
      </w:r>
      <w:r w:rsidRPr="00553D66">
        <w:rPr>
          <w:lang w:val="en-US"/>
        </w:rPr>
        <w:t xml:space="preserve">Frequently Reported Adverse Events in Subjects with SITL/SID or Impetigo </w:t>
      </w:r>
      <w:r w:rsidR="00C0082A" w:rsidRPr="00553D66">
        <w:rPr>
          <w:lang w:val="en-US"/>
        </w:rPr>
        <w:t xml:space="preserve">from the </w:t>
      </w:r>
      <w:r w:rsidR="00D114C4" w:rsidRPr="00553D66">
        <w:rPr>
          <w:lang w:val="en-US"/>
        </w:rPr>
        <w:t xml:space="preserve">phase III </w:t>
      </w:r>
      <w:r w:rsidR="00C0082A" w:rsidRPr="00553D66">
        <w:rPr>
          <w:lang w:val="en-US"/>
        </w:rPr>
        <w:t>studies</w:t>
      </w:r>
      <w:r w:rsidR="00D114C4" w:rsidRPr="00553D66">
        <w:rPr>
          <w:lang w:val="en-US"/>
        </w:rPr>
        <w:t xml:space="preserve"> (%)</w:t>
      </w:r>
    </w:p>
    <w:tbl>
      <w:tblPr>
        <w:tblW w:w="0" w:type="auto"/>
        <w:tblLook w:val="04A0"/>
      </w:tblPr>
      <w:tblGrid>
        <w:gridCol w:w="1998"/>
        <w:gridCol w:w="1245"/>
        <w:gridCol w:w="1253"/>
        <w:gridCol w:w="1244"/>
        <w:gridCol w:w="1240"/>
        <w:gridCol w:w="1241"/>
      </w:tblGrid>
      <w:tr w:rsidR="00406F2D" w:rsidRPr="00553D66" w:rsidTr="00947A0A">
        <w:tc>
          <w:tcPr>
            <w:tcW w:w="1998" w:type="dxa"/>
            <w:tcBorders>
              <w:top w:val="single" w:sz="4" w:space="0" w:color="auto"/>
              <w:bottom w:val="single" w:sz="4" w:space="0" w:color="auto"/>
            </w:tcBorders>
          </w:tcPr>
          <w:p w:rsidR="00406F2D" w:rsidRPr="00553D66" w:rsidRDefault="00406F2D" w:rsidP="00406F2D">
            <w:pPr>
              <w:pStyle w:val="tabletextNS"/>
              <w:keepNext/>
              <w:rPr>
                <w:b/>
                <w:sz w:val="20"/>
                <w:lang w:val="en-US"/>
              </w:rPr>
            </w:pPr>
            <w:r w:rsidRPr="00553D66">
              <w:rPr>
                <w:b/>
                <w:sz w:val="20"/>
                <w:lang w:val="en-US"/>
              </w:rPr>
              <w:t>Preferred Term</w:t>
            </w:r>
          </w:p>
        </w:tc>
        <w:tc>
          <w:tcPr>
            <w:tcW w:w="1245" w:type="dxa"/>
            <w:tcBorders>
              <w:top w:val="single" w:sz="4" w:space="0" w:color="auto"/>
              <w:bottom w:val="single" w:sz="4" w:space="0" w:color="auto"/>
            </w:tcBorders>
          </w:tcPr>
          <w:p w:rsidR="00406F2D" w:rsidRPr="00553D66" w:rsidRDefault="00406F2D" w:rsidP="00406F2D">
            <w:pPr>
              <w:pStyle w:val="tabletextNS"/>
              <w:keepNext/>
              <w:jc w:val="center"/>
              <w:rPr>
                <w:b/>
                <w:sz w:val="20"/>
                <w:lang w:val="en-US"/>
              </w:rPr>
            </w:pPr>
            <w:proofErr w:type="spellStart"/>
            <w:r w:rsidRPr="00553D66">
              <w:rPr>
                <w:b/>
                <w:sz w:val="20"/>
                <w:lang w:val="en-US"/>
              </w:rPr>
              <w:t>Retapamulin</w:t>
            </w:r>
            <w:proofErr w:type="spellEnd"/>
          </w:p>
        </w:tc>
        <w:tc>
          <w:tcPr>
            <w:tcW w:w="1253" w:type="dxa"/>
            <w:tcBorders>
              <w:top w:val="single" w:sz="4" w:space="0" w:color="auto"/>
              <w:bottom w:val="single" w:sz="4" w:space="0" w:color="auto"/>
            </w:tcBorders>
          </w:tcPr>
          <w:p w:rsidR="00406F2D" w:rsidRPr="00553D66" w:rsidRDefault="00406F2D" w:rsidP="00406F2D">
            <w:pPr>
              <w:pStyle w:val="tabletextNS"/>
              <w:keepNext/>
              <w:jc w:val="center"/>
              <w:rPr>
                <w:b/>
                <w:sz w:val="20"/>
                <w:lang w:val="en-US"/>
              </w:rPr>
            </w:pPr>
            <w:proofErr w:type="spellStart"/>
            <w:r w:rsidRPr="00553D66">
              <w:rPr>
                <w:b/>
                <w:sz w:val="20"/>
                <w:lang w:val="en-US"/>
              </w:rPr>
              <w:t>Linezolid</w:t>
            </w:r>
            <w:proofErr w:type="spellEnd"/>
          </w:p>
        </w:tc>
        <w:tc>
          <w:tcPr>
            <w:tcW w:w="1244" w:type="dxa"/>
            <w:tcBorders>
              <w:top w:val="single" w:sz="4" w:space="0" w:color="auto"/>
              <w:bottom w:val="single" w:sz="4" w:space="0" w:color="auto"/>
            </w:tcBorders>
          </w:tcPr>
          <w:p w:rsidR="00406F2D" w:rsidRPr="00553D66" w:rsidRDefault="00406F2D" w:rsidP="00406F2D">
            <w:pPr>
              <w:pStyle w:val="tabletextNS"/>
              <w:keepNext/>
              <w:jc w:val="center"/>
              <w:rPr>
                <w:b/>
                <w:sz w:val="20"/>
                <w:lang w:val="en-US"/>
              </w:rPr>
            </w:pPr>
            <w:proofErr w:type="spellStart"/>
            <w:r w:rsidRPr="00553D66">
              <w:rPr>
                <w:b/>
                <w:sz w:val="20"/>
                <w:lang w:val="en-US"/>
              </w:rPr>
              <w:t>Cephalexin</w:t>
            </w:r>
            <w:proofErr w:type="spellEnd"/>
          </w:p>
        </w:tc>
        <w:tc>
          <w:tcPr>
            <w:tcW w:w="1240" w:type="dxa"/>
            <w:tcBorders>
              <w:top w:val="single" w:sz="4" w:space="0" w:color="auto"/>
              <w:bottom w:val="single" w:sz="4" w:space="0" w:color="auto"/>
            </w:tcBorders>
          </w:tcPr>
          <w:p w:rsidR="00406F2D" w:rsidRPr="00553D66" w:rsidRDefault="00406F2D" w:rsidP="00406F2D">
            <w:pPr>
              <w:pStyle w:val="tabletextNS"/>
              <w:keepNext/>
              <w:jc w:val="center"/>
              <w:rPr>
                <w:b/>
                <w:sz w:val="20"/>
                <w:lang w:val="en-US"/>
              </w:rPr>
            </w:pPr>
            <w:proofErr w:type="spellStart"/>
            <w:r w:rsidRPr="00553D66">
              <w:rPr>
                <w:b/>
                <w:sz w:val="20"/>
                <w:lang w:val="en-US"/>
              </w:rPr>
              <w:t>Fusidic</w:t>
            </w:r>
            <w:proofErr w:type="spellEnd"/>
            <w:r w:rsidRPr="00553D66">
              <w:rPr>
                <w:b/>
                <w:sz w:val="20"/>
                <w:lang w:val="en-US"/>
              </w:rPr>
              <w:t xml:space="preserve"> Acid</w:t>
            </w:r>
          </w:p>
        </w:tc>
        <w:tc>
          <w:tcPr>
            <w:tcW w:w="1241" w:type="dxa"/>
            <w:tcBorders>
              <w:top w:val="single" w:sz="4" w:space="0" w:color="auto"/>
              <w:bottom w:val="single" w:sz="4" w:space="0" w:color="auto"/>
            </w:tcBorders>
          </w:tcPr>
          <w:p w:rsidR="00406F2D" w:rsidRPr="00553D66" w:rsidRDefault="00406F2D" w:rsidP="00406F2D">
            <w:pPr>
              <w:pStyle w:val="tabletextNS"/>
              <w:keepNext/>
              <w:jc w:val="center"/>
              <w:rPr>
                <w:b/>
                <w:sz w:val="20"/>
                <w:lang w:val="en-US"/>
              </w:rPr>
            </w:pPr>
            <w:r w:rsidRPr="00553D66">
              <w:rPr>
                <w:b/>
                <w:sz w:val="20"/>
                <w:lang w:val="en-US"/>
              </w:rPr>
              <w:t>Placebo</w:t>
            </w:r>
          </w:p>
        </w:tc>
      </w:tr>
      <w:tr w:rsidR="00C0082A" w:rsidRPr="00553D66" w:rsidTr="00947A0A">
        <w:tc>
          <w:tcPr>
            <w:tcW w:w="1998" w:type="dxa"/>
            <w:tcBorders>
              <w:top w:val="single" w:sz="4" w:space="0" w:color="auto"/>
            </w:tcBorders>
          </w:tcPr>
          <w:p w:rsidR="00C0082A" w:rsidRPr="00553D66" w:rsidRDefault="00C0082A" w:rsidP="00C0082A">
            <w:pPr>
              <w:pStyle w:val="tabletextNS"/>
              <w:keepNext/>
              <w:rPr>
                <w:i/>
                <w:sz w:val="20"/>
                <w:lang w:val="en-US"/>
              </w:rPr>
            </w:pPr>
            <w:r w:rsidRPr="00553D66">
              <w:rPr>
                <w:i/>
                <w:sz w:val="20"/>
                <w:lang w:val="en-US"/>
              </w:rPr>
              <w:t>Impetigo</w:t>
            </w:r>
          </w:p>
        </w:tc>
        <w:tc>
          <w:tcPr>
            <w:tcW w:w="1245" w:type="dxa"/>
            <w:tcBorders>
              <w:top w:val="single" w:sz="4" w:space="0" w:color="auto"/>
            </w:tcBorders>
          </w:tcPr>
          <w:p w:rsidR="00C0082A" w:rsidRPr="00553D66" w:rsidRDefault="00C0082A" w:rsidP="00C0082A">
            <w:pPr>
              <w:pStyle w:val="tabletextNS"/>
              <w:keepNext/>
              <w:jc w:val="center"/>
              <w:rPr>
                <w:i/>
                <w:sz w:val="20"/>
                <w:lang w:val="en-US"/>
              </w:rPr>
            </w:pPr>
            <w:r w:rsidRPr="00553D66">
              <w:rPr>
                <w:i/>
                <w:sz w:val="20"/>
                <w:lang w:val="en-US"/>
              </w:rPr>
              <w:t>(N=563)</w:t>
            </w:r>
          </w:p>
        </w:tc>
        <w:tc>
          <w:tcPr>
            <w:tcW w:w="1253" w:type="dxa"/>
            <w:tcBorders>
              <w:top w:val="single" w:sz="4" w:space="0" w:color="auto"/>
            </w:tcBorders>
          </w:tcPr>
          <w:p w:rsidR="00C0082A" w:rsidRPr="00553D66" w:rsidRDefault="00C0082A" w:rsidP="00C0082A">
            <w:pPr>
              <w:pStyle w:val="tabletextNS"/>
              <w:keepNext/>
              <w:jc w:val="center"/>
              <w:rPr>
                <w:i/>
                <w:sz w:val="20"/>
                <w:lang w:val="en-US"/>
              </w:rPr>
            </w:pPr>
            <w:r w:rsidRPr="00553D66">
              <w:rPr>
                <w:i/>
                <w:sz w:val="20"/>
                <w:lang w:val="en-US"/>
              </w:rPr>
              <w:t>(N=46)</w:t>
            </w:r>
          </w:p>
        </w:tc>
        <w:tc>
          <w:tcPr>
            <w:tcW w:w="1244" w:type="dxa"/>
            <w:tcBorders>
              <w:top w:val="single" w:sz="4" w:space="0" w:color="auto"/>
            </w:tcBorders>
          </w:tcPr>
          <w:p w:rsidR="00C0082A" w:rsidRPr="00553D66" w:rsidRDefault="00C0082A" w:rsidP="00C0082A">
            <w:pPr>
              <w:pStyle w:val="tabletextNS"/>
              <w:keepNext/>
              <w:jc w:val="center"/>
              <w:rPr>
                <w:i/>
                <w:sz w:val="20"/>
                <w:lang w:val="en-US"/>
              </w:rPr>
            </w:pPr>
            <w:r w:rsidRPr="00553D66">
              <w:rPr>
                <w:i/>
                <w:sz w:val="20"/>
                <w:lang w:val="en-US"/>
              </w:rPr>
              <w:t>(N=0)</w:t>
            </w:r>
          </w:p>
        </w:tc>
        <w:tc>
          <w:tcPr>
            <w:tcW w:w="1240" w:type="dxa"/>
            <w:tcBorders>
              <w:top w:val="single" w:sz="4" w:space="0" w:color="auto"/>
            </w:tcBorders>
          </w:tcPr>
          <w:p w:rsidR="00C0082A" w:rsidRPr="00553D66" w:rsidRDefault="00C0082A" w:rsidP="00C0082A">
            <w:pPr>
              <w:pStyle w:val="tabletextNS"/>
              <w:keepNext/>
              <w:jc w:val="center"/>
              <w:rPr>
                <w:i/>
                <w:sz w:val="20"/>
                <w:lang w:val="en-US"/>
              </w:rPr>
            </w:pPr>
            <w:r w:rsidRPr="00553D66">
              <w:rPr>
                <w:i/>
                <w:sz w:val="20"/>
                <w:lang w:val="en-US"/>
              </w:rPr>
              <w:t>(N=172)</w:t>
            </w:r>
          </w:p>
        </w:tc>
        <w:tc>
          <w:tcPr>
            <w:tcW w:w="1241" w:type="dxa"/>
            <w:tcBorders>
              <w:top w:val="single" w:sz="4" w:space="0" w:color="auto"/>
            </w:tcBorders>
          </w:tcPr>
          <w:p w:rsidR="00C0082A" w:rsidRPr="00553D66" w:rsidRDefault="00C0082A" w:rsidP="00C0082A">
            <w:pPr>
              <w:pStyle w:val="tabletextNS"/>
              <w:keepNext/>
              <w:jc w:val="center"/>
              <w:rPr>
                <w:i/>
                <w:sz w:val="20"/>
                <w:lang w:val="en-US"/>
              </w:rPr>
            </w:pPr>
            <w:r w:rsidRPr="00553D66">
              <w:rPr>
                <w:i/>
                <w:sz w:val="20"/>
                <w:lang w:val="en-US"/>
              </w:rPr>
              <w:t>(N=71)</w:t>
            </w:r>
          </w:p>
        </w:tc>
      </w:tr>
      <w:tr w:rsidR="00C0082A" w:rsidRPr="00553D66" w:rsidTr="00C0082A">
        <w:tc>
          <w:tcPr>
            <w:tcW w:w="1998" w:type="dxa"/>
          </w:tcPr>
          <w:p w:rsidR="00C0082A" w:rsidRPr="00553D66" w:rsidRDefault="00C0082A" w:rsidP="00C0082A">
            <w:pPr>
              <w:pStyle w:val="tabletextNS"/>
              <w:keepNext/>
              <w:rPr>
                <w:sz w:val="20"/>
                <w:lang w:val="en-US"/>
              </w:rPr>
            </w:pPr>
            <w:r w:rsidRPr="00553D66">
              <w:rPr>
                <w:sz w:val="20"/>
                <w:lang w:val="en-US"/>
              </w:rPr>
              <w:t>Any event</w:t>
            </w:r>
          </w:p>
        </w:tc>
        <w:tc>
          <w:tcPr>
            <w:tcW w:w="1245" w:type="dxa"/>
          </w:tcPr>
          <w:p w:rsidR="00C0082A" w:rsidRPr="00553D66" w:rsidRDefault="00C0082A" w:rsidP="00C0082A">
            <w:pPr>
              <w:pStyle w:val="tabletextNS"/>
              <w:keepNext/>
              <w:jc w:val="center"/>
              <w:rPr>
                <w:sz w:val="20"/>
                <w:lang w:val="en-US"/>
              </w:rPr>
            </w:pPr>
            <w:r w:rsidRPr="00553D66">
              <w:rPr>
                <w:sz w:val="20"/>
                <w:lang w:val="en-US"/>
              </w:rPr>
              <w:t>21.14</w:t>
            </w:r>
          </w:p>
        </w:tc>
        <w:tc>
          <w:tcPr>
            <w:tcW w:w="1253" w:type="dxa"/>
          </w:tcPr>
          <w:p w:rsidR="00C0082A" w:rsidRPr="00553D66" w:rsidRDefault="00C0082A" w:rsidP="00C0082A">
            <w:pPr>
              <w:pStyle w:val="tabletextNS"/>
              <w:keepNext/>
              <w:jc w:val="center"/>
              <w:rPr>
                <w:sz w:val="20"/>
                <w:lang w:val="en-US"/>
              </w:rPr>
            </w:pPr>
            <w:r w:rsidRPr="00553D66">
              <w:rPr>
                <w:sz w:val="20"/>
                <w:lang w:val="en-US"/>
              </w:rPr>
              <w:t>23.91</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14.35</w:t>
            </w:r>
          </w:p>
        </w:tc>
        <w:tc>
          <w:tcPr>
            <w:tcW w:w="1241" w:type="dxa"/>
          </w:tcPr>
          <w:p w:rsidR="00C0082A" w:rsidRPr="00553D66" w:rsidRDefault="00C0082A" w:rsidP="00C0082A">
            <w:pPr>
              <w:pStyle w:val="tabletextNS"/>
              <w:keepNext/>
              <w:jc w:val="center"/>
              <w:rPr>
                <w:sz w:val="20"/>
                <w:lang w:val="en-US"/>
              </w:rPr>
            </w:pPr>
            <w:r w:rsidRPr="00553D66">
              <w:rPr>
                <w:sz w:val="20"/>
                <w:lang w:val="en-US"/>
              </w:rPr>
              <w:t>25.35</w:t>
            </w:r>
          </w:p>
        </w:tc>
      </w:tr>
      <w:tr w:rsidR="00C0082A" w:rsidRPr="00553D66" w:rsidTr="00C0082A">
        <w:tc>
          <w:tcPr>
            <w:tcW w:w="1998" w:type="dxa"/>
          </w:tcPr>
          <w:p w:rsidR="00C0082A" w:rsidRPr="00553D66" w:rsidRDefault="00C0082A" w:rsidP="00C0082A">
            <w:pPr>
              <w:pStyle w:val="tabletextNS"/>
              <w:keepNext/>
              <w:rPr>
                <w:sz w:val="20"/>
                <w:lang w:val="en-US"/>
              </w:rPr>
            </w:pPr>
            <w:r w:rsidRPr="00553D66">
              <w:rPr>
                <w:sz w:val="20"/>
                <w:lang w:val="en-US"/>
              </w:rPr>
              <w:t xml:space="preserve">Application site </w:t>
            </w:r>
            <w:proofErr w:type="spellStart"/>
            <w:r w:rsidRPr="00553D66">
              <w:rPr>
                <w:sz w:val="20"/>
                <w:lang w:val="en-US"/>
              </w:rPr>
              <w:t>pruritus</w:t>
            </w:r>
            <w:proofErr w:type="spellEnd"/>
          </w:p>
        </w:tc>
        <w:tc>
          <w:tcPr>
            <w:tcW w:w="1245" w:type="dxa"/>
          </w:tcPr>
          <w:p w:rsidR="00C0082A" w:rsidRPr="00553D66" w:rsidRDefault="00C0082A" w:rsidP="00C0082A">
            <w:pPr>
              <w:pStyle w:val="tabletextNS"/>
              <w:keepNext/>
              <w:jc w:val="center"/>
              <w:rPr>
                <w:sz w:val="20"/>
                <w:lang w:val="en-US"/>
              </w:rPr>
            </w:pPr>
            <w:r w:rsidRPr="00553D66">
              <w:rPr>
                <w:sz w:val="20"/>
                <w:lang w:val="en-US"/>
              </w:rPr>
              <w:t>2.66</w:t>
            </w:r>
          </w:p>
        </w:tc>
        <w:tc>
          <w:tcPr>
            <w:tcW w:w="1253" w:type="dxa"/>
          </w:tcPr>
          <w:p w:rsidR="00C0082A" w:rsidRPr="00553D66" w:rsidRDefault="00C0082A" w:rsidP="00C0082A">
            <w:pPr>
              <w:pStyle w:val="tabletextNS"/>
              <w:keepNext/>
              <w:jc w:val="center"/>
              <w:rPr>
                <w:sz w:val="20"/>
                <w:lang w:val="en-US"/>
              </w:rPr>
            </w:pPr>
            <w:r w:rsidRPr="00553D66">
              <w:rPr>
                <w:sz w:val="20"/>
                <w:lang w:val="en-US"/>
              </w:rPr>
              <w:t>0</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0</w:t>
            </w:r>
          </w:p>
        </w:tc>
        <w:tc>
          <w:tcPr>
            <w:tcW w:w="1241" w:type="dxa"/>
          </w:tcPr>
          <w:p w:rsidR="00C0082A" w:rsidRPr="00553D66" w:rsidRDefault="00C0082A" w:rsidP="00C0082A">
            <w:pPr>
              <w:pStyle w:val="tabletextNS"/>
              <w:keepNext/>
              <w:jc w:val="center"/>
              <w:rPr>
                <w:sz w:val="20"/>
                <w:lang w:val="en-US"/>
              </w:rPr>
            </w:pPr>
            <w:r w:rsidRPr="00553D66">
              <w:rPr>
                <w:sz w:val="20"/>
                <w:lang w:val="en-US"/>
              </w:rPr>
              <w:t>1.41</w:t>
            </w:r>
          </w:p>
        </w:tc>
      </w:tr>
      <w:tr w:rsidR="00C0082A" w:rsidRPr="00553D66" w:rsidTr="00C0082A">
        <w:tc>
          <w:tcPr>
            <w:tcW w:w="1998" w:type="dxa"/>
          </w:tcPr>
          <w:p w:rsidR="00C0082A" w:rsidRPr="00553D66" w:rsidRDefault="00C0082A" w:rsidP="00C0082A">
            <w:pPr>
              <w:pStyle w:val="tabletextNS"/>
              <w:keepNext/>
              <w:rPr>
                <w:sz w:val="20"/>
                <w:lang w:val="en-US"/>
              </w:rPr>
            </w:pPr>
            <w:r w:rsidRPr="00553D66">
              <w:rPr>
                <w:sz w:val="20"/>
                <w:lang w:val="en-US"/>
              </w:rPr>
              <w:t>Headache</w:t>
            </w:r>
          </w:p>
        </w:tc>
        <w:tc>
          <w:tcPr>
            <w:tcW w:w="1245" w:type="dxa"/>
          </w:tcPr>
          <w:p w:rsidR="00C0082A" w:rsidRPr="00553D66" w:rsidRDefault="00C0082A" w:rsidP="00C0082A">
            <w:pPr>
              <w:pStyle w:val="tabletextNS"/>
              <w:keepNext/>
              <w:jc w:val="center"/>
              <w:rPr>
                <w:sz w:val="20"/>
                <w:lang w:val="en-US"/>
              </w:rPr>
            </w:pPr>
            <w:r w:rsidRPr="00553D66">
              <w:rPr>
                <w:sz w:val="20"/>
                <w:lang w:val="en-US"/>
              </w:rPr>
              <w:t>1.95</w:t>
            </w:r>
          </w:p>
        </w:tc>
        <w:tc>
          <w:tcPr>
            <w:tcW w:w="1253" w:type="dxa"/>
          </w:tcPr>
          <w:p w:rsidR="00C0082A" w:rsidRPr="00553D66" w:rsidRDefault="00C0082A" w:rsidP="00C0082A">
            <w:pPr>
              <w:pStyle w:val="tabletextNS"/>
              <w:keepNext/>
              <w:jc w:val="center"/>
              <w:rPr>
                <w:sz w:val="20"/>
                <w:lang w:val="en-US"/>
              </w:rPr>
            </w:pPr>
            <w:r w:rsidRPr="00553D66">
              <w:rPr>
                <w:sz w:val="20"/>
                <w:lang w:val="en-US"/>
              </w:rPr>
              <w:t>2.17</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0</w:t>
            </w:r>
          </w:p>
        </w:tc>
        <w:tc>
          <w:tcPr>
            <w:tcW w:w="1241" w:type="dxa"/>
          </w:tcPr>
          <w:p w:rsidR="00C0082A" w:rsidRPr="00553D66" w:rsidRDefault="00C0082A" w:rsidP="00C0082A">
            <w:pPr>
              <w:pStyle w:val="tabletextNS"/>
              <w:keepNext/>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C0082A">
            <w:pPr>
              <w:pStyle w:val="tabletextNS"/>
              <w:keepNext/>
              <w:rPr>
                <w:sz w:val="20"/>
                <w:lang w:val="en-US"/>
              </w:rPr>
            </w:pPr>
            <w:r w:rsidRPr="00553D66">
              <w:rPr>
                <w:sz w:val="20"/>
                <w:lang w:val="en-US"/>
              </w:rPr>
              <w:t>Application site pain</w:t>
            </w:r>
          </w:p>
        </w:tc>
        <w:tc>
          <w:tcPr>
            <w:tcW w:w="1245" w:type="dxa"/>
          </w:tcPr>
          <w:p w:rsidR="00C0082A" w:rsidRPr="00553D66" w:rsidRDefault="00C0082A" w:rsidP="00C0082A">
            <w:pPr>
              <w:pStyle w:val="tabletextNS"/>
              <w:keepNext/>
              <w:jc w:val="center"/>
              <w:rPr>
                <w:sz w:val="20"/>
                <w:lang w:val="en-US"/>
              </w:rPr>
            </w:pPr>
            <w:r w:rsidRPr="00553D66">
              <w:rPr>
                <w:sz w:val="20"/>
                <w:lang w:val="en-US"/>
              </w:rPr>
              <w:t>1.78</w:t>
            </w:r>
          </w:p>
        </w:tc>
        <w:tc>
          <w:tcPr>
            <w:tcW w:w="1253" w:type="dxa"/>
          </w:tcPr>
          <w:p w:rsidR="00C0082A" w:rsidRPr="00553D66" w:rsidRDefault="00C0082A" w:rsidP="00C0082A">
            <w:pPr>
              <w:pStyle w:val="tabletextNS"/>
              <w:keepNext/>
              <w:jc w:val="center"/>
              <w:rPr>
                <w:sz w:val="20"/>
                <w:lang w:val="en-US"/>
              </w:rPr>
            </w:pPr>
            <w:r w:rsidRPr="00553D66">
              <w:rPr>
                <w:sz w:val="20"/>
                <w:lang w:val="en-US"/>
              </w:rPr>
              <w:t>0</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0</w:t>
            </w:r>
          </w:p>
        </w:tc>
        <w:tc>
          <w:tcPr>
            <w:tcW w:w="1241" w:type="dxa"/>
          </w:tcPr>
          <w:p w:rsidR="00C0082A" w:rsidRPr="00553D66" w:rsidRDefault="00C0082A" w:rsidP="00C0082A">
            <w:pPr>
              <w:pStyle w:val="tabletextNS"/>
              <w:keepNext/>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C0082A">
            <w:pPr>
              <w:pStyle w:val="tabletextNS"/>
              <w:keepNext/>
              <w:rPr>
                <w:sz w:val="20"/>
                <w:lang w:val="en-US"/>
              </w:rPr>
            </w:pPr>
            <w:r w:rsidRPr="00553D66">
              <w:rPr>
                <w:sz w:val="20"/>
                <w:lang w:val="en-US"/>
              </w:rPr>
              <w:t>Pyrexia</w:t>
            </w:r>
          </w:p>
        </w:tc>
        <w:tc>
          <w:tcPr>
            <w:tcW w:w="1245" w:type="dxa"/>
          </w:tcPr>
          <w:p w:rsidR="00C0082A" w:rsidRPr="00553D66" w:rsidRDefault="00C0082A" w:rsidP="00C0082A">
            <w:pPr>
              <w:pStyle w:val="tabletextNS"/>
              <w:keepNext/>
              <w:jc w:val="center"/>
              <w:rPr>
                <w:sz w:val="20"/>
                <w:lang w:val="en-US"/>
              </w:rPr>
            </w:pPr>
            <w:r w:rsidRPr="00553D66">
              <w:rPr>
                <w:sz w:val="20"/>
                <w:lang w:val="en-US"/>
              </w:rPr>
              <w:t>1.07</w:t>
            </w:r>
          </w:p>
        </w:tc>
        <w:tc>
          <w:tcPr>
            <w:tcW w:w="1253" w:type="dxa"/>
          </w:tcPr>
          <w:p w:rsidR="00C0082A" w:rsidRPr="00553D66" w:rsidRDefault="00C0082A" w:rsidP="00C0082A">
            <w:pPr>
              <w:pStyle w:val="tabletextNS"/>
              <w:keepNext/>
              <w:jc w:val="center"/>
              <w:rPr>
                <w:sz w:val="20"/>
                <w:lang w:val="en-US"/>
              </w:rPr>
            </w:pPr>
            <w:r w:rsidRPr="00553D66">
              <w:rPr>
                <w:sz w:val="20"/>
                <w:lang w:val="en-US"/>
              </w:rPr>
              <w:t>0</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0</w:t>
            </w:r>
          </w:p>
        </w:tc>
        <w:tc>
          <w:tcPr>
            <w:tcW w:w="1241" w:type="dxa"/>
          </w:tcPr>
          <w:p w:rsidR="00C0082A" w:rsidRPr="00553D66" w:rsidRDefault="00C0082A" w:rsidP="00C0082A">
            <w:pPr>
              <w:pStyle w:val="tabletextNS"/>
              <w:keepNext/>
              <w:jc w:val="center"/>
              <w:rPr>
                <w:sz w:val="20"/>
                <w:lang w:val="en-US"/>
              </w:rPr>
            </w:pPr>
            <w:r w:rsidRPr="00553D66">
              <w:rPr>
                <w:sz w:val="20"/>
                <w:lang w:val="en-US"/>
              </w:rPr>
              <w:t>1.41</w:t>
            </w:r>
          </w:p>
        </w:tc>
      </w:tr>
      <w:tr w:rsidR="00C0082A" w:rsidRPr="00553D66" w:rsidTr="00C0082A">
        <w:tc>
          <w:tcPr>
            <w:tcW w:w="1998" w:type="dxa"/>
          </w:tcPr>
          <w:p w:rsidR="00C0082A" w:rsidRPr="00553D66" w:rsidRDefault="00C0082A" w:rsidP="00C0082A">
            <w:pPr>
              <w:pStyle w:val="tabletextNS"/>
              <w:keepNext/>
              <w:rPr>
                <w:sz w:val="20"/>
                <w:lang w:val="en-US"/>
              </w:rPr>
            </w:pPr>
            <w:proofErr w:type="spellStart"/>
            <w:r w:rsidRPr="00553D66">
              <w:rPr>
                <w:sz w:val="20"/>
                <w:lang w:val="en-US"/>
              </w:rPr>
              <w:t>Diarrhoea</w:t>
            </w:r>
            <w:proofErr w:type="spellEnd"/>
          </w:p>
        </w:tc>
        <w:tc>
          <w:tcPr>
            <w:tcW w:w="1245" w:type="dxa"/>
          </w:tcPr>
          <w:p w:rsidR="00C0082A" w:rsidRPr="00553D66" w:rsidRDefault="00C0082A" w:rsidP="00C0082A">
            <w:pPr>
              <w:pStyle w:val="tabletextNS"/>
              <w:keepNext/>
              <w:jc w:val="center"/>
              <w:rPr>
                <w:sz w:val="20"/>
                <w:lang w:val="en-US"/>
              </w:rPr>
            </w:pPr>
            <w:r w:rsidRPr="00553D66">
              <w:rPr>
                <w:sz w:val="20"/>
                <w:lang w:val="en-US"/>
              </w:rPr>
              <w:t>0.789</w:t>
            </w:r>
          </w:p>
        </w:tc>
        <w:tc>
          <w:tcPr>
            <w:tcW w:w="1253" w:type="dxa"/>
          </w:tcPr>
          <w:p w:rsidR="00C0082A" w:rsidRPr="00553D66" w:rsidRDefault="00C0082A" w:rsidP="00C0082A">
            <w:pPr>
              <w:pStyle w:val="tabletextNS"/>
              <w:keepNext/>
              <w:jc w:val="center"/>
              <w:rPr>
                <w:sz w:val="20"/>
                <w:lang w:val="en-US"/>
              </w:rPr>
            </w:pPr>
            <w:r w:rsidRPr="00553D66">
              <w:rPr>
                <w:sz w:val="20"/>
                <w:lang w:val="en-US"/>
              </w:rPr>
              <w:t>6.52</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1.16</w:t>
            </w:r>
          </w:p>
        </w:tc>
        <w:tc>
          <w:tcPr>
            <w:tcW w:w="1241" w:type="dxa"/>
          </w:tcPr>
          <w:p w:rsidR="00C0082A" w:rsidRPr="00553D66" w:rsidRDefault="00C0082A" w:rsidP="00C0082A">
            <w:pPr>
              <w:pStyle w:val="tabletextNS"/>
              <w:keepNext/>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C0082A">
            <w:pPr>
              <w:pStyle w:val="tabletextNS"/>
              <w:keepNext/>
              <w:rPr>
                <w:sz w:val="20"/>
                <w:lang w:val="en-US"/>
              </w:rPr>
            </w:pPr>
            <w:r w:rsidRPr="00553D66">
              <w:rPr>
                <w:sz w:val="20"/>
                <w:lang w:val="en-US"/>
              </w:rPr>
              <w:t>Impetigo</w:t>
            </w:r>
          </w:p>
        </w:tc>
        <w:tc>
          <w:tcPr>
            <w:tcW w:w="1245" w:type="dxa"/>
          </w:tcPr>
          <w:p w:rsidR="00C0082A" w:rsidRPr="00553D66" w:rsidRDefault="00C0082A" w:rsidP="00C0082A">
            <w:pPr>
              <w:pStyle w:val="tabletextNS"/>
              <w:keepNext/>
              <w:jc w:val="center"/>
              <w:rPr>
                <w:sz w:val="20"/>
                <w:lang w:val="en-US"/>
              </w:rPr>
            </w:pPr>
            <w:r w:rsidRPr="00553D66">
              <w:rPr>
                <w:sz w:val="20"/>
                <w:lang w:val="en-US"/>
              </w:rPr>
              <w:t>0.53</w:t>
            </w:r>
          </w:p>
        </w:tc>
        <w:tc>
          <w:tcPr>
            <w:tcW w:w="1253" w:type="dxa"/>
          </w:tcPr>
          <w:p w:rsidR="00C0082A" w:rsidRPr="00553D66" w:rsidRDefault="00C0082A" w:rsidP="00C0082A">
            <w:pPr>
              <w:pStyle w:val="tabletextNS"/>
              <w:keepNext/>
              <w:jc w:val="center"/>
              <w:rPr>
                <w:sz w:val="20"/>
                <w:lang w:val="en-US"/>
              </w:rPr>
            </w:pPr>
            <w:r w:rsidRPr="00553D66">
              <w:rPr>
                <w:sz w:val="20"/>
                <w:lang w:val="en-US"/>
              </w:rPr>
              <w:t>0</w:t>
            </w:r>
          </w:p>
        </w:tc>
        <w:tc>
          <w:tcPr>
            <w:tcW w:w="1244" w:type="dxa"/>
          </w:tcPr>
          <w:p w:rsidR="00C0082A" w:rsidRPr="00553D66" w:rsidRDefault="00D114C4" w:rsidP="00C0082A">
            <w:pPr>
              <w:pStyle w:val="tabletextNS"/>
              <w:keepNext/>
              <w:jc w:val="center"/>
              <w:rPr>
                <w:sz w:val="20"/>
                <w:lang w:val="en-US"/>
              </w:rPr>
            </w:pPr>
            <w:r w:rsidRPr="00553D66">
              <w:rPr>
                <w:sz w:val="20"/>
                <w:lang w:val="en-US"/>
              </w:rPr>
              <w:t>-</w:t>
            </w:r>
          </w:p>
        </w:tc>
        <w:tc>
          <w:tcPr>
            <w:tcW w:w="1240" w:type="dxa"/>
          </w:tcPr>
          <w:p w:rsidR="00C0082A" w:rsidRPr="00553D66" w:rsidRDefault="00C0082A" w:rsidP="00C0082A">
            <w:pPr>
              <w:pStyle w:val="tabletextNS"/>
              <w:keepNext/>
              <w:jc w:val="center"/>
              <w:rPr>
                <w:sz w:val="20"/>
                <w:lang w:val="en-US"/>
              </w:rPr>
            </w:pPr>
            <w:r w:rsidRPr="00553D66">
              <w:rPr>
                <w:sz w:val="20"/>
                <w:lang w:val="en-US"/>
              </w:rPr>
              <w:t>0</w:t>
            </w:r>
          </w:p>
        </w:tc>
        <w:tc>
          <w:tcPr>
            <w:tcW w:w="1241" w:type="dxa"/>
          </w:tcPr>
          <w:p w:rsidR="00C0082A" w:rsidRPr="00553D66" w:rsidRDefault="00C0082A" w:rsidP="00C0082A">
            <w:pPr>
              <w:pStyle w:val="tabletextNS"/>
              <w:keepNext/>
              <w:jc w:val="center"/>
              <w:rPr>
                <w:sz w:val="20"/>
                <w:lang w:val="en-US"/>
              </w:rPr>
            </w:pPr>
            <w:r w:rsidRPr="00553D66">
              <w:rPr>
                <w:sz w:val="20"/>
                <w:lang w:val="en-US"/>
              </w:rPr>
              <w:t>2.82</w:t>
            </w:r>
          </w:p>
        </w:tc>
      </w:tr>
      <w:tr w:rsidR="00C0082A" w:rsidRPr="00553D66" w:rsidTr="00C0082A">
        <w:tc>
          <w:tcPr>
            <w:tcW w:w="1998" w:type="dxa"/>
          </w:tcPr>
          <w:p w:rsidR="00C0082A" w:rsidRPr="00553D66" w:rsidRDefault="00C0082A" w:rsidP="00C0082A">
            <w:pPr>
              <w:pStyle w:val="tabletextNS"/>
              <w:rPr>
                <w:sz w:val="20"/>
                <w:lang w:val="en-US"/>
              </w:rPr>
            </w:pPr>
            <w:r w:rsidRPr="00553D66">
              <w:rPr>
                <w:sz w:val="20"/>
                <w:lang w:val="en-US"/>
              </w:rPr>
              <w:t>Excoriation</w:t>
            </w:r>
          </w:p>
        </w:tc>
        <w:tc>
          <w:tcPr>
            <w:tcW w:w="1245" w:type="dxa"/>
          </w:tcPr>
          <w:p w:rsidR="00C0082A" w:rsidRPr="00553D66" w:rsidRDefault="00C0082A" w:rsidP="00C0082A">
            <w:pPr>
              <w:pStyle w:val="tabletextNS"/>
              <w:jc w:val="center"/>
              <w:rPr>
                <w:sz w:val="20"/>
                <w:lang w:val="en-US"/>
              </w:rPr>
            </w:pPr>
            <w:r w:rsidRPr="00553D66">
              <w:rPr>
                <w:sz w:val="20"/>
                <w:lang w:val="en-US"/>
              </w:rPr>
              <w:t>0.36</w:t>
            </w:r>
          </w:p>
        </w:tc>
        <w:tc>
          <w:tcPr>
            <w:tcW w:w="1253" w:type="dxa"/>
          </w:tcPr>
          <w:p w:rsidR="00C0082A" w:rsidRPr="00553D66" w:rsidRDefault="00C0082A" w:rsidP="00C0082A">
            <w:pPr>
              <w:pStyle w:val="tabletextNS"/>
              <w:jc w:val="center"/>
              <w:rPr>
                <w:sz w:val="20"/>
                <w:lang w:val="en-US"/>
              </w:rPr>
            </w:pPr>
            <w:r w:rsidRPr="00553D66">
              <w:rPr>
                <w:sz w:val="20"/>
                <w:lang w:val="en-US"/>
              </w:rPr>
              <w:t>0</w:t>
            </w:r>
          </w:p>
        </w:tc>
        <w:tc>
          <w:tcPr>
            <w:tcW w:w="1244" w:type="dxa"/>
          </w:tcPr>
          <w:p w:rsidR="00C0082A" w:rsidRPr="00553D66" w:rsidRDefault="00D114C4" w:rsidP="00C0082A">
            <w:pPr>
              <w:pStyle w:val="tabletextNS"/>
              <w:jc w:val="center"/>
              <w:rPr>
                <w:sz w:val="20"/>
                <w:lang w:val="en-US"/>
              </w:rPr>
            </w:pPr>
            <w:r w:rsidRPr="00553D66">
              <w:rPr>
                <w:sz w:val="20"/>
                <w:lang w:val="en-US"/>
              </w:rPr>
              <w:t>-</w:t>
            </w:r>
          </w:p>
        </w:tc>
        <w:tc>
          <w:tcPr>
            <w:tcW w:w="1240" w:type="dxa"/>
          </w:tcPr>
          <w:p w:rsidR="00C0082A" w:rsidRPr="00553D66" w:rsidRDefault="00C0082A" w:rsidP="00C0082A">
            <w:pPr>
              <w:pStyle w:val="tabletextNS"/>
              <w:jc w:val="center"/>
              <w:rPr>
                <w:sz w:val="20"/>
                <w:lang w:val="en-US"/>
              </w:rPr>
            </w:pPr>
            <w:r w:rsidRPr="00553D66">
              <w:rPr>
                <w:sz w:val="20"/>
                <w:lang w:val="en-US"/>
              </w:rPr>
              <w:t>2.33</w:t>
            </w:r>
          </w:p>
        </w:tc>
        <w:tc>
          <w:tcPr>
            <w:tcW w:w="1241" w:type="dxa"/>
          </w:tcPr>
          <w:p w:rsidR="00C0082A" w:rsidRPr="00553D66" w:rsidRDefault="00C0082A" w:rsidP="00C0082A">
            <w:pPr>
              <w:pStyle w:val="tabletextNS"/>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C0082A">
            <w:pPr>
              <w:pStyle w:val="tabletextNS"/>
              <w:rPr>
                <w:sz w:val="20"/>
                <w:lang w:val="en-US"/>
              </w:rPr>
            </w:pPr>
            <w:r w:rsidRPr="00553D66">
              <w:rPr>
                <w:sz w:val="20"/>
                <w:lang w:val="en-US"/>
              </w:rPr>
              <w:t>Nausea</w:t>
            </w:r>
          </w:p>
        </w:tc>
        <w:tc>
          <w:tcPr>
            <w:tcW w:w="1245" w:type="dxa"/>
          </w:tcPr>
          <w:p w:rsidR="00C0082A" w:rsidRPr="00553D66" w:rsidRDefault="00C0082A" w:rsidP="00C0082A">
            <w:pPr>
              <w:pStyle w:val="tabletextNS"/>
              <w:jc w:val="center"/>
              <w:rPr>
                <w:sz w:val="20"/>
                <w:lang w:val="en-US"/>
              </w:rPr>
            </w:pPr>
            <w:r w:rsidRPr="00553D66">
              <w:rPr>
                <w:sz w:val="20"/>
                <w:lang w:val="en-US"/>
              </w:rPr>
              <w:t>0.18</w:t>
            </w:r>
          </w:p>
        </w:tc>
        <w:tc>
          <w:tcPr>
            <w:tcW w:w="1253" w:type="dxa"/>
          </w:tcPr>
          <w:p w:rsidR="00C0082A" w:rsidRPr="00553D66" w:rsidRDefault="00C0082A" w:rsidP="00C0082A">
            <w:pPr>
              <w:pStyle w:val="tabletextNS"/>
              <w:jc w:val="center"/>
              <w:rPr>
                <w:sz w:val="20"/>
                <w:lang w:val="en-US"/>
              </w:rPr>
            </w:pPr>
            <w:r w:rsidRPr="00553D66">
              <w:rPr>
                <w:sz w:val="20"/>
                <w:lang w:val="en-US"/>
              </w:rPr>
              <w:t>4.35</w:t>
            </w:r>
          </w:p>
        </w:tc>
        <w:tc>
          <w:tcPr>
            <w:tcW w:w="1244" w:type="dxa"/>
          </w:tcPr>
          <w:p w:rsidR="00C0082A" w:rsidRPr="00553D66" w:rsidRDefault="00D114C4" w:rsidP="00C0082A">
            <w:pPr>
              <w:pStyle w:val="tabletextNS"/>
              <w:jc w:val="center"/>
              <w:rPr>
                <w:sz w:val="20"/>
                <w:lang w:val="en-US"/>
              </w:rPr>
            </w:pPr>
            <w:r w:rsidRPr="00553D66">
              <w:rPr>
                <w:sz w:val="20"/>
                <w:lang w:val="en-US"/>
              </w:rPr>
              <w:t>-</w:t>
            </w:r>
          </w:p>
        </w:tc>
        <w:tc>
          <w:tcPr>
            <w:tcW w:w="1240" w:type="dxa"/>
          </w:tcPr>
          <w:p w:rsidR="00C0082A" w:rsidRPr="00553D66" w:rsidRDefault="00C0082A" w:rsidP="00C0082A">
            <w:pPr>
              <w:pStyle w:val="tabletextNS"/>
              <w:jc w:val="center"/>
              <w:rPr>
                <w:sz w:val="20"/>
                <w:lang w:val="en-US"/>
              </w:rPr>
            </w:pPr>
            <w:r w:rsidRPr="00553D66">
              <w:rPr>
                <w:sz w:val="20"/>
                <w:lang w:val="en-US"/>
              </w:rPr>
              <w:t>0</w:t>
            </w:r>
          </w:p>
        </w:tc>
        <w:tc>
          <w:tcPr>
            <w:tcW w:w="1241" w:type="dxa"/>
          </w:tcPr>
          <w:p w:rsidR="00C0082A" w:rsidRPr="00553D66" w:rsidRDefault="00C0082A" w:rsidP="00C0082A">
            <w:pPr>
              <w:pStyle w:val="tabletextNS"/>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C0082A">
            <w:pPr>
              <w:pStyle w:val="tabletextNS"/>
              <w:rPr>
                <w:sz w:val="20"/>
                <w:lang w:val="en-US"/>
              </w:rPr>
            </w:pPr>
            <w:r w:rsidRPr="00553D66">
              <w:rPr>
                <w:sz w:val="20"/>
                <w:lang w:val="en-US"/>
              </w:rPr>
              <w:t>Arthropod bite</w:t>
            </w:r>
          </w:p>
        </w:tc>
        <w:tc>
          <w:tcPr>
            <w:tcW w:w="1245" w:type="dxa"/>
          </w:tcPr>
          <w:p w:rsidR="00C0082A" w:rsidRPr="00553D66" w:rsidRDefault="00C0082A" w:rsidP="00C0082A">
            <w:pPr>
              <w:pStyle w:val="tabletextNS"/>
              <w:jc w:val="center"/>
              <w:rPr>
                <w:sz w:val="20"/>
                <w:lang w:val="en-US"/>
              </w:rPr>
            </w:pPr>
            <w:r w:rsidRPr="00553D66">
              <w:rPr>
                <w:sz w:val="20"/>
                <w:lang w:val="en-US"/>
              </w:rPr>
              <w:t>0</w:t>
            </w:r>
          </w:p>
        </w:tc>
        <w:tc>
          <w:tcPr>
            <w:tcW w:w="1253" w:type="dxa"/>
          </w:tcPr>
          <w:p w:rsidR="00C0082A" w:rsidRPr="00553D66" w:rsidRDefault="00C0082A" w:rsidP="00C0082A">
            <w:pPr>
              <w:pStyle w:val="tabletextNS"/>
              <w:jc w:val="center"/>
              <w:rPr>
                <w:sz w:val="20"/>
                <w:lang w:val="en-US"/>
              </w:rPr>
            </w:pPr>
            <w:r w:rsidRPr="00553D66">
              <w:rPr>
                <w:sz w:val="20"/>
                <w:lang w:val="en-US"/>
              </w:rPr>
              <w:t>0</w:t>
            </w:r>
          </w:p>
        </w:tc>
        <w:tc>
          <w:tcPr>
            <w:tcW w:w="1244" w:type="dxa"/>
          </w:tcPr>
          <w:p w:rsidR="00C0082A" w:rsidRPr="00553D66" w:rsidRDefault="00D114C4" w:rsidP="00C0082A">
            <w:pPr>
              <w:pStyle w:val="tabletextNS"/>
              <w:jc w:val="center"/>
              <w:rPr>
                <w:sz w:val="20"/>
                <w:lang w:val="en-US"/>
              </w:rPr>
            </w:pPr>
            <w:r w:rsidRPr="00553D66">
              <w:rPr>
                <w:sz w:val="20"/>
                <w:lang w:val="en-US"/>
              </w:rPr>
              <w:t>-</w:t>
            </w:r>
          </w:p>
        </w:tc>
        <w:tc>
          <w:tcPr>
            <w:tcW w:w="1240" w:type="dxa"/>
          </w:tcPr>
          <w:p w:rsidR="00C0082A" w:rsidRPr="00553D66" w:rsidRDefault="00C0082A" w:rsidP="00C0082A">
            <w:pPr>
              <w:pStyle w:val="tabletextNS"/>
              <w:jc w:val="center"/>
              <w:rPr>
                <w:sz w:val="20"/>
                <w:lang w:val="en-US"/>
              </w:rPr>
            </w:pPr>
            <w:r w:rsidRPr="00553D66">
              <w:rPr>
                <w:sz w:val="20"/>
                <w:lang w:val="en-US"/>
              </w:rPr>
              <w:t>1.16</w:t>
            </w:r>
          </w:p>
        </w:tc>
        <w:tc>
          <w:tcPr>
            <w:tcW w:w="1241" w:type="dxa"/>
          </w:tcPr>
          <w:p w:rsidR="00C0082A" w:rsidRPr="00553D66" w:rsidRDefault="00C0082A" w:rsidP="00C0082A">
            <w:pPr>
              <w:pStyle w:val="tabletextNS"/>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C0082A">
            <w:pPr>
              <w:pStyle w:val="tabletextNS"/>
              <w:rPr>
                <w:sz w:val="20"/>
                <w:lang w:val="en-US"/>
              </w:rPr>
            </w:pPr>
            <w:proofErr w:type="spellStart"/>
            <w:r w:rsidRPr="00553D66">
              <w:rPr>
                <w:sz w:val="20"/>
                <w:lang w:val="en-US"/>
              </w:rPr>
              <w:t>Xerosis</w:t>
            </w:r>
            <w:proofErr w:type="spellEnd"/>
          </w:p>
        </w:tc>
        <w:tc>
          <w:tcPr>
            <w:tcW w:w="1245" w:type="dxa"/>
          </w:tcPr>
          <w:p w:rsidR="00C0082A" w:rsidRPr="00553D66" w:rsidRDefault="00C0082A" w:rsidP="00C0082A">
            <w:pPr>
              <w:pStyle w:val="tabletextNS"/>
              <w:jc w:val="center"/>
              <w:rPr>
                <w:sz w:val="20"/>
                <w:lang w:val="en-US"/>
              </w:rPr>
            </w:pPr>
            <w:r w:rsidRPr="00553D66">
              <w:rPr>
                <w:sz w:val="20"/>
                <w:lang w:val="en-US"/>
              </w:rPr>
              <w:t>0</w:t>
            </w:r>
          </w:p>
        </w:tc>
        <w:tc>
          <w:tcPr>
            <w:tcW w:w="1253" w:type="dxa"/>
          </w:tcPr>
          <w:p w:rsidR="00C0082A" w:rsidRPr="00553D66" w:rsidRDefault="00C0082A" w:rsidP="00C0082A">
            <w:pPr>
              <w:pStyle w:val="tabletextNS"/>
              <w:jc w:val="center"/>
              <w:rPr>
                <w:sz w:val="20"/>
                <w:lang w:val="en-US"/>
              </w:rPr>
            </w:pPr>
            <w:r w:rsidRPr="00553D66">
              <w:rPr>
                <w:sz w:val="20"/>
                <w:lang w:val="en-US"/>
              </w:rPr>
              <w:t>0</w:t>
            </w:r>
          </w:p>
        </w:tc>
        <w:tc>
          <w:tcPr>
            <w:tcW w:w="1244" w:type="dxa"/>
          </w:tcPr>
          <w:p w:rsidR="00C0082A" w:rsidRPr="00553D66" w:rsidRDefault="00D114C4" w:rsidP="00C0082A">
            <w:pPr>
              <w:pStyle w:val="tabletextNS"/>
              <w:jc w:val="center"/>
              <w:rPr>
                <w:sz w:val="20"/>
                <w:lang w:val="en-US"/>
              </w:rPr>
            </w:pPr>
            <w:r w:rsidRPr="00553D66">
              <w:rPr>
                <w:sz w:val="20"/>
                <w:lang w:val="en-US"/>
              </w:rPr>
              <w:t>-</w:t>
            </w:r>
          </w:p>
        </w:tc>
        <w:tc>
          <w:tcPr>
            <w:tcW w:w="1240" w:type="dxa"/>
          </w:tcPr>
          <w:p w:rsidR="00C0082A" w:rsidRPr="00553D66" w:rsidRDefault="00C0082A" w:rsidP="00C0082A">
            <w:pPr>
              <w:pStyle w:val="tabletextNS"/>
              <w:jc w:val="center"/>
              <w:rPr>
                <w:sz w:val="20"/>
                <w:lang w:val="en-US"/>
              </w:rPr>
            </w:pPr>
            <w:r w:rsidRPr="00553D66">
              <w:rPr>
                <w:sz w:val="20"/>
                <w:lang w:val="en-US"/>
              </w:rPr>
              <w:t>0</w:t>
            </w:r>
          </w:p>
        </w:tc>
        <w:tc>
          <w:tcPr>
            <w:tcW w:w="1241" w:type="dxa"/>
          </w:tcPr>
          <w:p w:rsidR="00C0082A" w:rsidRPr="00553D66" w:rsidRDefault="00C0082A" w:rsidP="00C0082A">
            <w:pPr>
              <w:pStyle w:val="tabletextNS"/>
              <w:jc w:val="center"/>
              <w:rPr>
                <w:sz w:val="20"/>
                <w:lang w:val="en-US"/>
              </w:rPr>
            </w:pPr>
            <w:r w:rsidRPr="00553D66">
              <w:rPr>
                <w:sz w:val="20"/>
                <w:lang w:val="en-US"/>
              </w:rPr>
              <w:t>2.82</w:t>
            </w:r>
          </w:p>
        </w:tc>
      </w:tr>
      <w:tr w:rsidR="00C0082A" w:rsidRPr="00553D66" w:rsidTr="00C0082A">
        <w:tc>
          <w:tcPr>
            <w:tcW w:w="1998" w:type="dxa"/>
          </w:tcPr>
          <w:p w:rsidR="00C0082A" w:rsidRPr="00553D66" w:rsidRDefault="00C0082A" w:rsidP="00C0082A">
            <w:pPr>
              <w:pStyle w:val="tabletextNS"/>
              <w:rPr>
                <w:sz w:val="20"/>
                <w:lang w:val="en-US"/>
              </w:rPr>
            </w:pPr>
            <w:r w:rsidRPr="00553D66">
              <w:rPr>
                <w:sz w:val="20"/>
                <w:lang w:val="en-US"/>
              </w:rPr>
              <w:t>Urinary tract infection</w:t>
            </w:r>
          </w:p>
        </w:tc>
        <w:tc>
          <w:tcPr>
            <w:tcW w:w="1245" w:type="dxa"/>
          </w:tcPr>
          <w:p w:rsidR="00C0082A" w:rsidRPr="00553D66" w:rsidRDefault="00C0082A" w:rsidP="00C0082A">
            <w:pPr>
              <w:pStyle w:val="tabletextNS"/>
              <w:jc w:val="center"/>
              <w:rPr>
                <w:sz w:val="20"/>
                <w:lang w:val="en-US"/>
              </w:rPr>
            </w:pPr>
            <w:r w:rsidRPr="00553D66">
              <w:rPr>
                <w:sz w:val="20"/>
                <w:lang w:val="en-US"/>
              </w:rPr>
              <w:t>0</w:t>
            </w:r>
          </w:p>
        </w:tc>
        <w:tc>
          <w:tcPr>
            <w:tcW w:w="1253" w:type="dxa"/>
          </w:tcPr>
          <w:p w:rsidR="00C0082A" w:rsidRPr="00553D66" w:rsidRDefault="00C0082A" w:rsidP="00C0082A">
            <w:pPr>
              <w:pStyle w:val="tabletextNS"/>
              <w:jc w:val="center"/>
              <w:rPr>
                <w:sz w:val="20"/>
                <w:lang w:val="en-US"/>
              </w:rPr>
            </w:pPr>
            <w:r w:rsidRPr="00553D66">
              <w:rPr>
                <w:sz w:val="20"/>
                <w:lang w:val="en-US"/>
              </w:rPr>
              <w:t>0</w:t>
            </w:r>
          </w:p>
        </w:tc>
        <w:tc>
          <w:tcPr>
            <w:tcW w:w="1244" w:type="dxa"/>
          </w:tcPr>
          <w:p w:rsidR="00C0082A" w:rsidRPr="00553D66" w:rsidRDefault="00D114C4" w:rsidP="00C0082A">
            <w:pPr>
              <w:pStyle w:val="tabletextNS"/>
              <w:jc w:val="center"/>
              <w:rPr>
                <w:sz w:val="20"/>
                <w:lang w:val="en-US"/>
              </w:rPr>
            </w:pPr>
            <w:r w:rsidRPr="00553D66">
              <w:rPr>
                <w:sz w:val="20"/>
                <w:lang w:val="en-US"/>
              </w:rPr>
              <w:t>-</w:t>
            </w:r>
          </w:p>
        </w:tc>
        <w:tc>
          <w:tcPr>
            <w:tcW w:w="1240" w:type="dxa"/>
          </w:tcPr>
          <w:p w:rsidR="00C0082A" w:rsidRPr="00553D66" w:rsidRDefault="00C0082A" w:rsidP="00C0082A">
            <w:pPr>
              <w:pStyle w:val="tabletextNS"/>
              <w:jc w:val="center"/>
              <w:rPr>
                <w:sz w:val="20"/>
                <w:lang w:val="en-US"/>
              </w:rPr>
            </w:pPr>
            <w:r w:rsidRPr="00553D66">
              <w:rPr>
                <w:sz w:val="20"/>
                <w:lang w:val="en-US"/>
              </w:rPr>
              <w:t>2.33</w:t>
            </w:r>
          </w:p>
        </w:tc>
        <w:tc>
          <w:tcPr>
            <w:tcW w:w="1241" w:type="dxa"/>
          </w:tcPr>
          <w:p w:rsidR="00C0082A" w:rsidRPr="00553D66" w:rsidRDefault="00C0082A" w:rsidP="00C0082A">
            <w:pPr>
              <w:pStyle w:val="tabletextNS"/>
              <w:jc w:val="center"/>
              <w:rPr>
                <w:sz w:val="20"/>
                <w:lang w:val="en-US"/>
              </w:rPr>
            </w:pPr>
            <w:r w:rsidRPr="00553D66">
              <w:rPr>
                <w:sz w:val="20"/>
                <w:lang w:val="en-US"/>
              </w:rPr>
              <w:t>0</w:t>
            </w:r>
          </w:p>
        </w:tc>
      </w:tr>
      <w:tr w:rsidR="00C0082A" w:rsidRPr="00553D66" w:rsidTr="00C0082A">
        <w:tc>
          <w:tcPr>
            <w:tcW w:w="1998" w:type="dxa"/>
          </w:tcPr>
          <w:p w:rsidR="00C0082A" w:rsidRPr="00553D66" w:rsidRDefault="00C0082A" w:rsidP="00406F2D">
            <w:pPr>
              <w:pStyle w:val="tabletextNS"/>
              <w:keepNext/>
              <w:rPr>
                <w:i/>
                <w:sz w:val="20"/>
                <w:lang w:val="en-US"/>
              </w:rPr>
            </w:pPr>
          </w:p>
        </w:tc>
        <w:tc>
          <w:tcPr>
            <w:tcW w:w="1245" w:type="dxa"/>
          </w:tcPr>
          <w:p w:rsidR="00C0082A" w:rsidRPr="00553D66" w:rsidRDefault="00C0082A" w:rsidP="00406F2D">
            <w:pPr>
              <w:pStyle w:val="tabletextNS"/>
              <w:keepNext/>
              <w:jc w:val="center"/>
              <w:rPr>
                <w:i/>
                <w:sz w:val="20"/>
                <w:lang w:val="en-US"/>
              </w:rPr>
            </w:pPr>
          </w:p>
        </w:tc>
        <w:tc>
          <w:tcPr>
            <w:tcW w:w="1253" w:type="dxa"/>
          </w:tcPr>
          <w:p w:rsidR="00C0082A" w:rsidRPr="00553D66" w:rsidRDefault="00C0082A" w:rsidP="00406F2D">
            <w:pPr>
              <w:pStyle w:val="tabletextNS"/>
              <w:keepNext/>
              <w:jc w:val="center"/>
              <w:rPr>
                <w:i/>
                <w:sz w:val="20"/>
                <w:lang w:val="en-US"/>
              </w:rPr>
            </w:pPr>
          </w:p>
        </w:tc>
        <w:tc>
          <w:tcPr>
            <w:tcW w:w="1244" w:type="dxa"/>
          </w:tcPr>
          <w:p w:rsidR="00C0082A" w:rsidRPr="00553D66" w:rsidRDefault="00C0082A" w:rsidP="00406F2D">
            <w:pPr>
              <w:pStyle w:val="tabletextNS"/>
              <w:keepNext/>
              <w:jc w:val="center"/>
              <w:rPr>
                <w:i/>
                <w:sz w:val="20"/>
                <w:lang w:val="en-US"/>
              </w:rPr>
            </w:pPr>
          </w:p>
        </w:tc>
        <w:tc>
          <w:tcPr>
            <w:tcW w:w="1240" w:type="dxa"/>
          </w:tcPr>
          <w:p w:rsidR="00C0082A" w:rsidRPr="00553D66" w:rsidRDefault="00C0082A" w:rsidP="00406F2D">
            <w:pPr>
              <w:pStyle w:val="tabletextNS"/>
              <w:keepNext/>
              <w:jc w:val="center"/>
              <w:rPr>
                <w:i/>
                <w:sz w:val="20"/>
                <w:lang w:val="en-US"/>
              </w:rPr>
            </w:pPr>
          </w:p>
        </w:tc>
        <w:tc>
          <w:tcPr>
            <w:tcW w:w="1241" w:type="dxa"/>
          </w:tcPr>
          <w:p w:rsidR="00C0082A" w:rsidRPr="00553D66" w:rsidRDefault="00C0082A" w:rsidP="00406F2D">
            <w:pPr>
              <w:pStyle w:val="tabletextNS"/>
              <w:keepNext/>
              <w:jc w:val="center"/>
              <w:rPr>
                <w:i/>
                <w:sz w:val="20"/>
                <w:lang w:val="en-US"/>
              </w:rPr>
            </w:pPr>
          </w:p>
        </w:tc>
      </w:tr>
      <w:tr w:rsidR="00406F2D" w:rsidRPr="00553D66" w:rsidTr="00C0082A">
        <w:tc>
          <w:tcPr>
            <w:tcW w:w="1998" w:type="dxa"/>
          </w:tcPr>
          <w:p w:rsidR="00406F2D" w:rsidRPr="00553D66" w:rsidRDefault="00406F2D" w:rsidP="00406F2D">
            <w:pPr>
              <w:pStyle w:val="tabletextNS"/>
              <w:keepNext/>
              <w:rPr>
                <w:i/>
                <w:sz w:val="20"/>
                <w:lang w:val="en-US"/>
              </w:rPr>
            </w:pPr>
            <w:r w:rsidRPr="00553D66">
              <w:rPr>
                <w:i/>
                <w:sz w:val="20"/>
                <w:lang w:val="en-US"/>
              </w:rPr>
              <w:t>SITL/SID</w:t>
            </w:r>
          </w:p>
        </w:tc>
        <w:tc>
          <w:tcPr>
            <w:tcW w:w="1245" w:type="dxa"/>
          </w:tcPr>
          <w:p w:rsidR="00406F2D" w:rsidRPr="00553D66" w:rsidRDefault="00406F2D" w:rsidP="00406F2D">
            <w:pPr>
              <w:pStyle w:val="tabletextNS"/>
              <w:keepNext/>
              <w:jc w:val="center"/>
              <w:rPr>
                <w:i/>
                <w:sz w:val="20"/>
                <w:lang w:val="en-US"/>
              </w:rPr>
            </w:pPr>
            <w:r w:rsidRPr="00553D66">
              <w:rPr>
                <w:i/>
                <w:sz w:val="20"/>
                <w:lang w:val="en-US"/>
              </w:rPr>
              <w:t>(N=2161)</w:t>
            </w:r>
          </w:p>
        </w:tc>
        <w:tc>
          <w:tcPr>
            <w:tcW w:w="1253" w:type="dxa"/>
          </w:tcPr>
          <w:p w:rsidR="00406F2D" w:rsidRPr="00553D66" w:rsidRDefault="00406F2D" w:rsidP="00406F2D">
            <w:pPr>
              <w:pStyle w:val="tabletextNS"/>
              <w:keepNext/>
              <w:jc w:val="center"/>
              <w:rPr>
                <w:i/>
                <w:sz w:val="20"/>
                <w:lang w:val="en-US"/>
              </w:rPr>
            </w:pPr>
            <w:r w:rsidRPr="00553D66">
              <w:rPr>
                <w:i/>
                <w:sz w:val="20"/>
                <w:lang w:val="en-US"/>
              </w:rPr>
              <w:t>(N=91)</w:t>
            </w:r>
          </w:p>
        </w:tc>
        <w:tc>
          <w:tcPr>
            <w:tcW w:w="1244" w:type="dxa"/>
          </w:tcPr>
          <w:p w:rsidR="00406F2D" w:rsidRPr="00553D66" w:rsidRDefault="00406F2D" w:rsidP="00406F2D">
            <w:pPr>
              <w:pStyle w:val="tabletextNS"/>
              <w:keepNext/>
              <w:jc w:val="center"/>
              <w:rPr>
                <w:i/>
                <w:sz w:val="20"/>
                <w:lang w:val="en-US"/>
              </w:rPr>
            </w:pPr>
            <w:r w:rsidRPr="00553D66">
              <w:rPr>
                <w:i/>
                <w:sz w:val="20"/>
                <w:lang w:val="en-US"/>
              </w:rPr>
              <w:t>(N=819)</w:t>
            </w:r>
          </w:p>
        </w:tc>
        <w:tc>
          <w:tcPr>
            <w:tcW w:w="1240" w:type="dxa"/>
          </w:tcPr>
          <w:p w:rsidR="00406F2D" w:rsidRPr="00553D66" w:rsidRDefault="00406F2D" w:rsidP="00406F2D">
            <w:pPr>
              <w:pStyle w:val="tabletextNS"/>
              <w:keepNext/>
              <w:jc w:val="center"/>
              <w:rPr>
                <w:i/>
                <w:sz w:val="20"/>
                <w:lang w:val="en-US"/>
              </w:rPr>
            </w:pPr>
            <w:r w:rsidRPr="00553D66">
              <w:rPr>
                <w:i/>
                <w:sz w:val="20"/>
                <w:lang w:val="en-US"/>
              </w:rPr>
              <w:t>(N=0)</w:t>
            </w:r>
          </w:p>
        </w:tc>
        <w:tc>
          <w:tcPr>
            <w:tcW w:w="1241" w:type="dxa"/>
          </w:tcPr>
          <w:p w:rsidR="00406F2D" w:rsidRPr="00553D66" w:rsidRDefault="00406F2D" w:rsidP="00406F2D">
            <w:pPr>
              <w:pStyle w:val="tabletextNS"/>
              <w:keepNext/>
              <w:jc w:val="center"/>
              <w:rPr>
                <w:i/>
                <w:sz w:val="20"/>
                <w:lang w:val="en-US"/>
              </w:rPr>
            </w:pPr>
            <w:r w:rsidRPr="00553D66">
              <w:rPr>
                <w:i/>
                <w:sz w:val="20"/>
                <w:lang w:val="en-US"/>
              </w:rPr>
              <w:t>(N=165)</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Any event</w:t>
            </w:r>
          </w:p>
        </w:tc>
        <w:tc>
          <w:tcPr>
            <w:tcW w:w="1245" w:type="dxa"/>
          </w:tcPr>
          <w:p w:rsidR="00406F2D" w:rsidRPr="00553D66" w:rsidRDefault="00406F2D" w:rsidP="00406F2D">
            <w:pPr>
              <w:pStyle w:val="tabletextNS"/>
              <w:keepNext/>
              <w:jc w:val="center"/>
              <w:rPr>
                <w:sz w:val="20"/>
                <w:lang w:val="en-US"/>
              </w:rPr>
            </w:pPr>
            <w:r w:rsidRPr="00553D66">
              <w:rPr>
                <w:sz w:val="20"/>
                <w:lang w:val="en-US"/>
              </w:rPr>
              <w:t>19.81</w:t>
            </w:r>
          </w:p>
        </w:tc>
        <w:tc>
          <w:tcPr>
            <w:tcW w:w="1253" w:type="dxa"/>
          </w:tcPr>
          <w:p w:rsidR="00406F2D" w:rsidRPr="00553D66" w:rsidRDefault="00406F2D" w:rsidP="00FE4EC8">
            <w:pPr>
              <w:pStyle w:val="tabletextNS"/>
              <w:keepNext/>
              <w:jc w:val="center"/>
              <w:rPr>
                <w:sz w:val="20"/>
                <w:lang w:val="en-US"/>
              </w:rPr>
            </w:pPr>
            <w:r w:rsidRPr="00553D66">
              <w:rPr>
                <w:sz w:val="20"/>
                <w:lang w:val="en-US"/>
              </w:rPr>
              <w:t>34.07</w:t>
            </w:r>
          </w:p>
        </w:tc>
        <w:tc>
          <w:tcPr>
            <w:tcW w:w="1244" w:type="dxa"/>
          </w:tcPr>
          <w:p w:rsidR="00406F2D" w:rsidRPr="00553D66" w:rsidRDefault="00406F2D" w:rsidP="00FE4EC8">
            <w:pPr>
              <w:pStyle w:val="tabletextNS"/>
              <w:keepNext/>
              <w:jc w:val="center"/>
              <w:rPr>
                <w:sz w:val="20"/>
                <w:lang w:val="en-US"/>
              </w:rPr>
            </w:pPr>
            <w:r w:rsidRPr="00553D66">
              <w:rPr>
                <w:sz w:val="20"/>
                <w:lang w:val="en-US"/>
              </w:rPr>
              <w:t>25.03</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4.85</w:t>
            </w:r>
          </w:p>
        </w:tc>
      </w:tr>
      <w:tr w:rsidR="00406F2D" w:rsidRPr="00553D66" w:rsidTr="00C0082A">
        <w:tc>
          <w:tcPr>
            <w:tcW w:w="1998" w:type="dxa"/>
          </w:tcPr>
          <w:p w:rsidR="00406F2D" w:rsidRPr="00553D66" w:rsidRDefault="00406F2D" w:rsidP="00406F2D">
            <w:pPr>
              <w:pStyle w:val="tabletextNS"/>
              <w:keepNext/>
              <w:rPr>
                <w:sz w:val="20"/>
                <w:lang w:val="en-US"/>
              </w:rPr>
            </w:pPr>
            <w:proofErr w:type="spellStart"/>
            <w:r w:rsidRPr="00553D66">
              <w:rPr>
                <w:sz w:val="20"/>
                <w:lang w:val="en-US"/>
              </w:rPr>
              <w:t>Diarrhoea</w:t>
            </w:r>
            <w:proofErr w:type="spellEnd"/>
          </w:p>
        </w:tc>
        <w:tc>
          <w:tcPr>
            <w:tcW w:w="1245" w:type="dxa"/>
          </w:tcPr>
          <w:p w:rsidR="00406F2D" w:rsidRPr="00553D66" w:rsidRDefault="00406F2D" w:rsidP="00FE4EC8">
            <w:pPr>
              <w:pStyle w:val="tabletextNS"/>
              <w:keepNext/>
              <w:jc w:val="center"/>
              <w:rPr>
                <w:sz w:val="20"/>
                <w:lang w:val="en-US"/>
              </w:rPr>
            </w:pPr>
            <w:r w:rsidRPr="00553D66">
              <w:rPr>
                <w:sz w:val="20"/>
                <w:lang w:val="en-US"/>
              </w:rPr>
              <w:t>1.57</w:t>
            </w:r>
          </w:p>
        </w:tc>
        <w:tc>
          <w:tcPr>
            <w:tcW w:w="1253" w:type="dxa"/>
          </w:tcPr>
          <w:p w:rsidR="00406F2D" w:rsidRPr="00553D66" w:rsidRDefault="00406F2D" w:rsidP="00406F2D">
            <w:pPr>
              <w:pStyle w:val="tabletextNS"/>
              <w:keepNext/>
              <w:jc w:val="center"/>
              <w:rPr>
                <w:sz w:val="20"/>
                <w:lang w:val="en-US"/>
              </w:rPr>
            </w:pPr>
            <w:r w:rsidRPr="00553D66">
              <w:rPr>
                <w:sz w:val="20"/>
                <w:lang w:val="en-US"/>
              </w:rPr>
              <w:t>14.29</w:t>
            </w:r>
          </w:p>
        </w:tc>
        <w:tc>
          <w:tcPr>
            <w:tcW w:w="1244" w:type="dxa"/>
          </w:tcPr>
          <w:p w:rsidR="00406F2D" w:rsidRPr="00553D66" w:rsidRDefault="00406F2D" w:rsidP="00FE4EC8">
            <w:pPr>
              <w:pStyle w:val="tabletextNS"/>
              <w:keepNext/>
              <w:jc w:val="center"/>
              <w:rPr>
                <w:sz w:val="20"/>
                <w:lang w:val="en-US"/>
              </w:rPr>
            </w:pPr>
            <w:r w:rsidRPr="00553D66">
              <w:rPr>
                <w:sz w:val="20"/>
                <w:lang w:val="en-US"/>
              </w:rPr>
              <w:t>2.69</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0</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Application site pain</w:t>
            </w:r>
          </w:p>
        </w:tc>
        <w:tc>
          <w:tcPr>
            <w:tcW w:w="1245" w:type="dxa"/>
          </w:tcPr>
          <w:p w:rsidR="00406F2D" w:rsidRPr="00553D66" w:rsidRDefault="00406F2D" w:rsidP="00406F2D">
            <w:pPr>
              <w:pStyle w:val="tabletextNS"/>
              <w:keepNext/>
              <w:jc w:val="center"/>
              <w:rPr>
                <w:sz w:val="20"/>
                <w:lang w:val="en-US"/>
              </w:rPr>
            </w:pPr>
            <w:r w:rsidRPr="00553D66">
              <w:rPr>
                <w:sz w:val="20"/>
                <w:lang w:val="en-US"/>
              </w:rPr>
              <w:t>1.48</w:t>
            </w:r>
          </w:p>
        </w:tc>
        <w:tc>
          <w:tcPr>
            <w:tcW w:w="1253" w:type="dxa"/>
          </w:tcPr>
          <w:p w:rsidR="00406F2D" w:rsidRPr="00553D66" w:rsidRDefault="00406F2D" w:rsidP="00406F2D">
            <w:pPr>
              <w:pStyle w:val="tabletextNS"/>
              <w:keepNext/>
              <w:jc w:val="center"/>
              <w:rPr>
                <w:sz w:val="20"/>
                <w:lang w:val="en-US"/>
              </w:rPr>
            </w:pPr>
            <w:r w:rsidRPr="00553D66">
              <w:rPr>
                <w:sz w:val="20"/>
                <w:lang w:val="en-US"/>
              </w:rPr>
              <w:t>0</w:t>
            </w:r>
          </w:p>
        </w:tc>
        <w:tc>
          <w:tcPr>
            <w:tcW w:w="1244" w:type="dxa"/>
          </w:tcPr>
          <w:p w:rsidR="00406F2D" w:rsidRPr="00553D66" w:rsidRDefault="00406F2D" w:rsidP="00406F2D">
            <w:pPr>
              <w:pStyle w:val="tabletextNS"/>
              <w:keepNext/>
              <w:jc w:val="center"/>
              <w:rPr>
                <w:sz w:val="20"/>
                <w:lang w:val="en-US"/>
              </w:rPr>
            </w:pPr>
            <w:r w:rsidRPr="00553D66">
              <w:rPr>
                <w:sz w:val="20"/>
                <w:lang w:val="en-US"/>
              </w:rPr>
              <w:t>0.49</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0</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Headache</w:t>
            </w:r>
          </w:p>
        </w:tc>
        <w:tc>
          <w:tcPr>
            <w:tcW w:w="1245" w:type="dxa"/>
          </w:tcPr>
          <w:p w:rsidR="00406F2D" w:rsidRPr="00553D66" w:rsidRDefault="00406F2D" w:rsidP="00406F2D">
            <w:pPr>
              <w:pStyle w:val="tabletextNS"/>
              <w:keepNext/>
              <w:jc w:val="center"/>
              <w:rPr>
                <w:sz w:val="20"/>
                <w:lang w:val="en-US"/>
              </w:rPr>
            </w:pPr>
            <w:r w:rsidRPr="00553D66">
              <w:rPr>
                <w:sz w:val="20"/>
                <w:lang w:val="en-US"/>
              </w:rPr>
              <w:t>1.39</w:t>
            </w:r>
          </w:p>
        </w:tc>
        <w:tc>
          <w:tcPr>
            <w:tcW w:w="1253" w:type="dxa"/>
          </w:tcPr>
          <w:p w:rsidR="00406F2D" w:rsidRPr="00553D66" w:rsidRDefault="00406F2D" w:rsidP="00406F2D">
            <w:pPr>
              <w:pStyle w:val="tabletextNS"/>
              <w:keepNext/>
              <w:jc w:val="center"/>
              <w:rPr>
                <w:sz w:val="20"/>
                <w:lang w:val="en-US"/>
              </w:rPr>
            </w:pPr>
            <w:r w:rsidRPr="00553D66">
              <w:rPr>
                <w:sz w:val="20"/>
                <w:lang w:val="en-US"/>
              </w:rPr>
              <w:t>5.49</w:t>
            </w:r>
          </w:p>
        </w:tc>
        <w:tc>
          <w:tcPr>
            <w:tcW w:w="1244" w:type="dxa"/>
          </w:tcPr>
          <w:p w:rsidR="00406F2D" w:rsidRPr="00553D66" w:rsidRDefault="00406F2D" w:rsidP="00406F2D">
            <w:pPr>
              <w:pStyle w:val="tabletextNS"/>
              <w:keepNext/>
              <w:jc w:val="center"/>
              <w:rPr>
                <w:sz w:val="20"/>
                <w:lang w:val="en-US"/>
              </w:rPr>
            </w:pPr>
            <w:r w:rsidRPr="00553D66">
              <w:rPr>
                <w:sz w:val="20"/>
                <w:lang w:val="en-US"/>
              </w:rPr>
              <w:t>1.95</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0</w:t>
            </w:r>
          </w:p>
        </w:tc>
      </w:tr>
      <w:tr w:rsidR="00406F2D" w:rsidRPr="00553D66" w:rsidTr="00C0082A">
        <w:tc>
          <w:tcPr>
            <w:tcW w:w="1998" w:type="dxa"/>
          </w:tcPr>
          <w:p w:rsidR="00406F2D" w:rsidRPr="00553D66" w:rsidRDefault="00406F2D" w:rsidP="00406F2D">
            <w:pPr>
              <w:pStyle w:val="tabletextNS"/>
              <w:keepNext/>
              <w:rPr>
                <w:sz w:val="20"/>
                <w:lang w:val="en-US"/>
              </w:rPr>
            </w:pPr>
            <w:proofErr w:type="spellStart"/>
            <w:r w:rsidRPr="00553D66">
              <w:rPr>
                <w:sz w:val="20"/>
                <w:lang w:val="en-US"/>
              </w:rPr>
              <w:t>Nasopharyngitis</w:t>
            </w:r>
            <w:proofErr w:type="spellEnd"/>
          </w:p>
        </w:tc>
        <w:tc>
          <w:tcPr>
            <w:tcW w:w="1245" w:type="dxa"/>
          </w:tcPr>
          <w:p w:rsidR="00406F2D" w:rsidRPr="00553D66" w:rsidRDefault="00406F2D" w:rsidP="00406F2D">
            <w:pPr>
              <w:pStyle w:val="tabletextNS"/>
              <w:keepNext/>
              <w:jc w:val="center"/>
              <w:rPr>
                <w:sz w:val="20"/>
                <w:lang w:val="en-US"/>
              </w:rPr>
            </w:pPr>
            <w:r w:rsidRPr="00553D66">
              <w:rPr>
                <w:sz w:val="20"/>
                <w:lang w:val="en-US"/>
              </w:rPr>
              <w:t>1.30</w:t>
            </w:r>
          </w:p>
        </w:tc>
        <w:tc>
          <w:tcPr>
            <w:tcW w:w="1253" w:type="dxa"/>
          </w:tcPr>
          <w:p w:rsidR="00406F2D" w:rsidRPr="00553D66" w:rsidRDefault="00406F2D" w:rsidP="00406F2D">
            <w:pPr>
              <w:pStyle w:val="tabletextNS"/>
              <w:keepNext/>
              <w:jc w:val="center"/>
              <w:rPr>
                <w:sz w:val="20"/>
                <w:lang w:val="en-US"/>
              </w:rPr>
            </w:pPr>
            <w:r w:rsidRPr="00553D66">
              <w:rPr>
                <w:sz w:val="20"/>
                <w:lang w:val="en-US"/>
              </w:rPr>
              <w:t>0</w:t>
            </w:r>
          </w:p>
        </w:tc>
        <w:tc>
          <w:tcPr>
            <w:tcW w:w="1244" w:type="dxa"/>
          </w:tcPr>
          <w:p w:rsidR="00406F2D" w:rsidRPr="00553D66" w:rsidRDefault="00406F2D" w:rsidP="00406F2D">
            <w:pPr>
              <w:pStyle w:val="tabletextNS"/>
              <w:keepNext/>
              <w:jc w:val="center"/>
              <w:rPr>
                <w:sz w:val="20"/>
                <w:lang w:val="en-US"/>
              </w:rPr>
            </w:pPr>
            <w:r w:rsidRPr="00553D66">
              <w:rPr>
                <w:sz w:val="20"/>
                <w:lang w:val="en-US"/>
              </w:rPr>
              <w:t>0.85</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0</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Nausea</w:t>
            </w:r>
          </w:p>
        </w:tc>
        <w:tc>
          <w:tcPr>
            <w:tcW w:w="1245" w:type="dxa"/>
          </w:tcPr>
          <w:p w:rsidR="00406F2D" w:rsidRPr="00553D66" w:rsidRDefault="00406F2D" w:rsidP="00406F2D">
            <w:pPr>
              <w:pStyle w:val="tabletextNS"/>
              <w:keepNext/>
              <w:jc w:val="center"/>
              <w:rPr>
                <w:sz w:val="20"/>
                <w:lang w:val="en-US"/>
              </w:rPr>
            </w:pPr>
            <w:r w:rsidRPr="00553D66">
              <w:rPr>
                <w:sz w:val="20"/>
                <w:lang w:val="en-US"/>
              </w:rPr>
              <w:t>1.11</w:t>
            </w:r>
          </w:p>
        </w:tc>
        <w:tc>
          <w:tcPr>
            <w:tcW w:w="1253" w:type="dxa"/>
          </w:tcPr>
          <w:p w:rsidR="00406F2D" w:rsidRPr="00553D66" w:rsidRDefault="00406F2D" w:rsidP="00406F2D">
            <w:pPr>
              <w:pStyle w:val="tabletextNS"/>
              <w:keepNext/>
              <w:jc w:val="center"/>
              <w:rPr>
                <w:sz w:val="20"/>
                <w:lang w:val="en-US"/>
              </w:rPr>
            </w:pPr>
            <w:r w:rsidRPr="00553D66">
              <w:rPr>
                <w:sz w:val="20"/>
                <w:lang w:val="en-US"/>
              </w:rPr>
              <w:t>8.79</w:t>
            </w:r>
          </w:p>
        </w:tc>
        <w:tc>
          <w:tcPr>
            <w:tcW w:w="1244" w:type="dxa"/>
          </w:tcPr>
          <w:p w:rsidR="00406F2D" w:rsidRPr="00553D66" w:rsidRDefault="00406F2D" w:rsidP="00406F2D">
            <w:pPr>
              <w:pStyle w:val="tabletextNS"/>
              <w:keepNext/>
              <w:jc w:val="center"/>
              <w:rPr>
                <w:sz w:val="20"/>
                <w:lang w:val="en-US"/>
              </w:rPr>
            </w:pPr>
            <w:r w:rsidRPr="00553D66">
              <w:rPr>
                <w:sz w:val="20"/>
                <w:lang w:val="en-US"/>
              </w:rPr>
              <w:t>1.83</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FE4EC8">
            <w:pPr>
              <w:pStyle w:val="tabletextNS"/>
              <w:keepNext/>
              <w:jc w:val="center"/>
              <w:rPr>
                <w:sz w:val="20"/>
                <w:lang w:val="en-US"/>
              </w:rPr>
            </w:pPr>
            <w:r w:rsidRPr="00553D66">
              <w:rPr>
                <w:sz w:val="20"/>
                <w:lang w:val="en-US"/>
              </w:rPr>
              <w:t>0.61</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Pyrexia</w:t>
            </w:r>
          </w:p>
        </w:tc>
        <w:tc>
          <w:tcPr>
            <w:tcW w:w="1245" w:type="dxa"/>
          </w:tcPr>
          <w:p w:rsidR="00406F2D" w:rsidRPr="00553D66" w:rsidRDefault="00406F2D" w:rsidP="00406F2D">
            <w:pPr>
              <w:pStyle w:val="tabletextNS"/>
              <w:keepNext/>
              <w:jc w:val="center"/>
              <w:rPr>
                <w:sz w:val="20"/>
                <w:lang w:val="en-US"/>
              </w:rPr>
            </w:pPr>
            <w:r w:rsidRPr="00553D66">
              <w:rPr>
                <w:sz w:val="20"/>
                <w:lang w:val="en-US"/>
              </w:rPr>
              <w:t>0.42</w:t>
            </w:r>
          </w:p>
        </w:tc>
        <w:tc>
          <w:tcPr>
            <w:tcW w:w="1253" w:type="dxa"/>
          </w:tcPr>
          <w:p w:rsidR="00406F2D" w:rsidRPr="00553D66" w:rsidRDefault="00406F2D" w:rsidP="00406F2D">
            <w:pPr>
              <w:pStyle w:val="tabletextNS"/>
              <w:keepNext/>
              <w:jc w:val="center"/>
              <w:rPr>
                <w:sz w:val="20"/>
                <w:lang w:val="en-US"/>
              </w:rPr>
            </w:pPr>
            <w:r w:rsidRPr="00553D66">
              <w:rPr>
                <w:sz w:val="20"/>
                <w:lang w:val="en-US"/>
              </w:rPr>
              <w:t>1.10</w:t>
            </w:r>
          </w:p>
        </w:tc>
        <w:tc>
          <w:tcPr>
            <w:tcW w:w="1244" w:type="dxa"/>
          </w:tcPr>
          <w:p w:rsidR="00406F2D" w:rsidRPr="00553D66" w:rsidRDefault="00406F2D" w:rsidP="00406F2D">
            <w:pPr>
              <w:pStyle w:val="tabletextNS"/>
              <w:keepNext/>
              <w:jc w:val="center"/>
              <w:rPr>
                <w:sz w:val="20"/>
                <w:lang w:val="en-US"/>
              </w:rPr>
            </w:pPr>
            <w:r w:rsidRPr="00553D66">
              <w:rPr>
                <w:sz w:val="20"/>
                <w:lang w:val="en-US"/>
              </w:rPr>
              <w:t>0.37</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1.82</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Abdominal discomfort</w:t>
            </w:r>
          </w:p>
        </w:tc>
        <w:tc>
          <w:tcPr>
            <w:tcW w:w="1245" w:type="dxa"/>
          </w:tcPr>
          <w:p w:rsidR="00406F2D" w:rsidRPr="00553D66" w:rsidRDefault="00406F2D" w:rsidP="00406F2D">
            <w:pPr>
              <w:pStyle w:val="tabletextNS"/>
              <w:keepNext/>
              <w:jc w:val="center"/>
              <w:rPr>
                <w:sz w:val="20"/>
                <w:lang w:val="en-US"/>
              </w:rPr>
            </w:pPr>
            <w:r w:rsidRPr="00553D66">
              <w:rPr>
                <w:sz w:val="20"/>
                <w:lang w:val="en-US"/>
              </w:rPr>
              <w:t>0.28</w:t>
            </w:r>
          </w:p>
        </w:tc>
        <w:tc>
          <w:tcPr>
            <w:tcW w:w="1253" w:type="dxa"/>
          </w:tcPr>
          <w:p w:rsidR="00406F2D" w:rsidRPr="00553D66" w:rsidRDefault="00406F2D" w:rsidP="00406F2D">
            <w:pPr>
              <w:pStyle w:val="tabletextNS"/>
              <w:keepNext/>
              <w:jc w:val="center"/>
              <w:rPr>
                <w:sz w:val="20"/>
                <w:lang w:val="en-US"/>
              </w:rPr>
            </w:pPr>
            <w:r w:rsidRPr="00553D66">
              <w:rPr>
                <w:sz w:val="20"/>
                <w:lang w:val="en-US"/>
              </w:rPr>
              <w:t>2.20</w:t>
            </w:r>
          </w:p>
        </w:tc>
        <w:tc>
          <w:tcPr>
            <w:tcW w:w="1244" w:type="dxa"/>
          </w:tcPr>
          <w:p w:rsidR="00406F2D" w:rsidRPr="00553D66" w:rsidRDefault="00406F2D" w:rsidP="00406F2D">
            <w:pPr>
              <w:pStyle w:val="tabletextNS"/>
              <w:keepNext/>
              <w:jc w:val="center"/>
              <w:rPr>
                <w:sz w:val="20"/>
                <w:lang w:val="en-US"/>
              </w:rPr>
            </w:pPr>
            <w:r w:rsidRPr="00553D66">
              <w:rPr>
                <w:sz w:val="20"/>
                <w:lang w:val="en-US"/>
              </w:rPr>
              <w:t>0.37</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0</w:t>
            </w:r>
          </w:p>
        </w:tc>
      </w:tr>
      <w:tr w:rsidR="00406F2D" w:rsidRPr="00553D66" w:rsidTr="00C0082A">
        <w:tc>
          <w:tcPr>
            <w:tcW w:w="1998" w:type="dxa"/>
          </w:tcPr>
          <w:p w:rsidR="00406F2D" w:rsidRPr="00553D66" w:rsidRDefault="00406F2D" w:rsidP="00406F2D">
            <w:pPr>
              <w:pStyle w:val="tabletextNS"/>
              <w:keepNext/>
              <w:rPr>
                <w:sz w:val="20"/>
                <w:lang w:val="en-US"/>
              </w:rPr>
            </w:pPr>
            <w:r w:rsidRPr="00553D66">
              <w:rPr>
                <w:sz w:val="20"/>
                <w:lang w:val="en-US"/>
              </w:rPr>
              <w:t>Abdominal distension</w:t>
            </w:r>
          </w:p>
        </w:tc>
        <w:tc>
          <w:tcPr>
            <w:tcW w:w="1245" w:type="dxa"/>
          </w:tcPr>
          <w:p w:rsidR="00406F2D" w:rsidRPr="00553D66" w:rsidRDefault="00406F2D" w:rsidP="00406F2D">
            <w:pPr>
              <w:pStyle w:val="tabletextNS"/>
              <w:keepNext/>
              <w:jc w:val="center"/>
              <w:rPr>
                <w:sz w:val="20"/>
                <w:lang w:val="en-US"/>
              </w:rPr>
            </w:pPr>
            <w:r w:rsidRPr="00553D66">
              <w:rPr>
                <w:sz w:val="20"/>
                <w:lang w:val="en-US"/>
              </w:rPr>
              <w:t>0</w:t>
            </w:r>
          </w:p>
        </w:tc>
        <w:tc>
          <w:tcPr>
            <w:tcW w:w="1253" w:type="dxa"/>
          </w:tcPr>
          <w:p w:rsidR="00406F2D" w:rsidRPr="00553D66" w:rsidRDefault="00406F2D" w:rsidP="00406F2D">
            <w:pPr>
              <w:pStyle w:val="tabletextNS"/>
              <w:keepNext/>
              <w:jc w:val="center"/>
              <w:rPr>
                <w:sz w:val="20"/>
                <w:lang w:val="en-US"/>
              </w:rPr>
            </w:pPr>
            <w:r w:rsidRPr="00553D66">
              <w:rPr>
                <w:sz w:val="20"/>
                <w:lang w:val="en-US"/>
              </w:rPr>
              <w:t>2.20</w:t>
            </w:r>
          </w:p>
        </w:tc>
        <w:tc>
          <w:tcPr>
            <w:tcW w:w="1244" w:type="dxa"/>
          </w:tcPr>
          <w:p w:rsidR="00406F2D" w:rsidRPr="00553D66" w:rsidRDefault="00406F2D" w:rsidP="00406F2D">
            <w:pPr>
              <w:pStyle w:val="tabletextNS"/>
              <w:keepNext/>
              <w:jc w:val="center"/>
              <w:rPr>
                <w:sz w:val="20"/>
                <w:lang w:val="en-US"/>
              </w:rPr>
            </w:pPr>
            <w:r w:rsidRPr="00553D66">
              <w:rPr>
                <w:sz w:val="20"/>
                <w:lang w:val="en-US"/>
              </w:rPr>
              <w:t>0.12</w:t>
            </w:r>
          </w:p>
        </w:tc>
        <w:tc>
          <w:tcPr>
            <w:tcW w:w="1240" w:type="dxa"/>
          </w:tcPr>
          <w:p w:rsidR="00406F2D" w:rsidRPr="00553D66" w:rsidRDefault="00D114C4" w:rsidP="00406F2D">
            <w:pPr>
              <w:pStyle w:val="tabletextNS"/>
              <w:keepNext/>
              <w:jc w:val="center"/>
              <w:rPr>
                <w:sz w:val="20"/>
                <w:lang w:val="en-US"/>
              </w:rPr>
            </w:pPr>
            <w:r w:rsidRPr="00553D66">
              <w:rPr>
                <w:sz w:val="20"/>
                <w:lang w:val="en-US"/>
              </w:rPr>
              <w:t>-</w:t>
            </w:r>
          </w:p>
        </w:tc>
        <w:tc>
          <w:tcPr>
            <w:tcW w:w="1241" w:type="dxa"/>
          </w:tcPr>
          <w:p w:rsidR="00406F2D" w:rsidRPr="00553D66" w:rsidRDefault="00406F2D" w:rsidP="00406F2D">
            <w:pPr>
              <w:pStyle w:val="tabletextNS"/>
              <w:keepNext/>
              <w:jc w:val="center"/>
              <w:rPr>
                <w:sz w:val="20"/>
                <w:lang w:val="en-US"/>
              </w:rPr>
            </w:pPr>
            <w:r w:rsidRPr="00553D66">
              <w:rPr>
                <w:sz w:val="20"/>
                <w:lang w:val="en-US"/>
              </w:rPr>
              <w:t>0</w:t>
            </w:r>
          </w:p>
        </w:tc>
      </w:tr>
      <w:tr w:rsidR="00406F2D" w:rsidRPr="00553D66" w:rsidTr="00C0082A">
        <w:tc>
          <w:tcPr>
            <w:tcW w:w="1998" w:type="dxa"/>
          </w:tcPr>
          <w:p w:rsidR="00406F2D" w:rsidRPr="00553D66" w:rsidRDefault="00406F2D" w:rsidP="00406F2D">
            <w:pPr>
              <w:pStyle w:val="tabletextNS"/>
              <w:keepNext/>
              <w:rPr>
                <w:sz w:val="20"/>
                <w:lang w:val="en-US"/>
              </w:rPr>
            </w:pPr>
          </w:p>
        </w:tc>
        <w:tc>
          <w:tcPr>
            <w:tcW w:w="1245" w:type="dxa"/>
          </w:tcPr>
          <w:p w:rsidR="00406F2D" w:rsidRPr="00553D66" w:rsidRDefault="00406F2D" w:rsidP="00406F2D">
            <w:pPr>
              <w:pStyle w:val="tabletextNS"/>
              <w:keepNext/>
              <w:jc w:val="center"/>
              <w:rPr>
                <w:sz w:val="20"/>
                <w:lang w:val="en-US"/>
              </w:rPr>
            </w:pPr>
          </w:p>
        </w:tc>
        <w:tc>
          <w:tcPr>
            <w:tcW w:w="1253" w:type="dxa"/>
          </w:tcPr>
          <w:p w:rsidR="00406F2D" w:rsidRPr="00553D66" w:rsidRDefault="00406F2D" w:rsidP="00406F2D">
            <w:pPr>
              <w:pStyle w:val="tabletextNS"/>
              <w:keepNext/>
              <w:jc w:val="center"/>
              <w:rPr>
                <w:sz w:val="20"/>
                <w:lang w:val="en-US"/>
              </w:rPr>
            </w:pPr>
          </w:p>
        </w:tc>
        <w:tc>
          <w:tcPr>
            <w:tcW w:w="1244" w:type="dxa"/>
          </w:tcPr>
          <w:p w:rsidR="00406F2D" w:rsidRPr="00553D66" w:rsidRDefault="00406F2D" w:rsidP="00406F2D">
            <w:pPr>
              <w:pStyle w:val="tabletextNS"/>
              <w:keepNext/>
              <w:jc w:val="center"/>
              <w:rPr>
                <w:sz w:val="20"/>
                <w:lang w:val="en-US"/>
              </w:rPr>
            </w:pPr>
          </w:p>
        </w:tc>
        <w:tc>
          <w:tcPr>
            <w:tcW w:w="1240" w:type="dxa"/>
          </w:tcPr>
          <w:p w:rsidR="00406F2D" w:rsidRPr="00553D66" w:rsidRDefault="00406F2D" w:rsidP="00406F2D">
            <w:pPr>
              <w:pStyle w:val="tabletextNS"/>
              <w:keepNext/>
              <w:jc w:val="center"/>
              <w:rPr>
                <w:sz w:val="20"/>
                <w:lang w:val="en-US"/>
              </w:rPr>
            </w:pPr>
          </w:p>
        </w:tc>
        <w:tc>
          <w:tcPr>
            <w:tcW w:w="1241" w:type="dxa"/>
          </w:tcPr>
          <w:p w:rsidR="00406F2D" w:rsidRPr="00553D66" w:rsidRDefault="00406F2D" w:rsidP="00406F2D">
            <w:pPr>
              <w:pStyle w:val="tabletextNS"/>
              <w:keepNext/>
              <w:jc w:val="center"/>
              <w:rPr>
                <w:sz w:val="20"/>
                <w:lang w:val="en-US"/>
              </w:rPr>
            </w:pPr>
          </w:p>
        </w:tc>
      </w:tr>
    </w:tbl>
    <w:p w:rsidR="00406F2D" w:rsidRPr="00553D66" w:rsidRDefault="00406F2D" w:rsidP="00406F2D">
      <w:pPr>
        <w:rPr>
          <w:b/>
          <w:lang w:val="en-GB" w:eastAsia="en-US"/>
        </w:rPr>
      </w:pPr>
    </w:p>
    <w:p w:rsidR="00481BE9" w:rsidRPr="00553D66" w:rsidRDefault="00481BE9" w:rsidP="00481BE9">
      <w:pPr>
        <w:ind w:left="720"/>
        <w:rPr>
          <w:color w:val="FF0000"/>
        </w:rPr>
      </w:pPr>
    </w:p>
    <w:p w:rsidR="00406F2D" w:rsidRPr="00553D66" w:rsidRDefault="00406F2D" w:rsidP="00947A0A">
      <w:pPr>
        <w:pStyle w:val="captiontable"/>
        <w:ind w:left="0" w:firstLine="0"/>
        <w:rPr>
          <w:lang w:val="en-US"/>
        </w:rPr>
      </w:pPr>
      <w:r w:rsidRPr="00553D66">
        <w:rPr>
          <w:lang w:val="en-US"/>
        </w:rPr>
        <w:lastRenderedPageBreak/>
        <w:t>Most Frequently Reported Drug-</w:t>
      </w:r>
      <w:r w:rsidR="001677A8">
        <w:rPr>
          <w:lang w:val="en-US"/>
        </w:rPr>
        <w:t>R</w:t>
      </w:r>
      <w:r w:rsidRPr="00553D66">
        <w:rPr>
          <w:lang w:val="en-US"/>
        </w:rPr>
        <w:t>elated Adverse Events in Decreasing Frequency</w:t>
      </w:r>
      <w:r w:rsidR="00947A0A" w:rsidRPr="00553D66">
        <w:rPr>
          <w:lang w:val="en-US"/>
        </w:rPr>
        <w:t xml:space="preserve"> from the </w:t>
      </w:r>
      <w:r w:rsidR="00D114C4" w:rsidRPr="00553D66">
        <w:rPr>
          <w:lang w:val="en-US"/>
        </w:rPr>
        <w:t>phase III</w:t>
      </w:r>
      <w:r w:rsidR="00947A0A" w:rsidRPr="00553D66">
        <w:rPr>
          <w:lang w:val="en-US"/>
        </w:rPr>
        <w:t xml:space="preserve"> studies</w:t>
      </w:r>
      <w:r w:rsidRPr="00553D66">
        <w:rPr>
          <w:lang w:val="en-US"/>
        </w:rPr>
        <w:t xml:space="preserve"> </w:t>
      </w:r>
      <w:r w:rsidR="00D114C4" w:rsidRPr="00553D66">
        <w:rPr>
          <w:lang w:val="en-US"/>
        </w:rPr>
        <w:t>(%)</w:t>
      </w:r>
      <w:r w:rsidR="00BC7880" w:rsidRPr="00553D66">
        <w:rPr>
          <w:lang w:val="en-US"/>
        </w:rPr>
        <w:t>*</w:t>
      </w:r>
    </w:p>
    <w:tbl>
      <w:tblPr>
        <w:tblW w:w="8637" w:type="dxa"/>
        <w:tblCellMar>
          <w:left w:w="29" w:type="dxa"/>
          <w:right w:w="29" w:type="dxa"/>
        </w:tblCellMar>
        <w:tblLook w:val="04A0"/>
      </w:tblPr>
      <w:tblGrid>
        <w:gridCol w:w="1964"/>
        <w:gridCol w:w="1296"/>
        <w:gridCol w:w="1314"/>
        <w:gridCol w:w="1341"/>
        <w:gridCol w:w="1278"/>
        <w:gridCol w:w="1444"/>
      </w:tblGrid>
      <w:tr w:rsidR="00406F2D" w:rsidRPr="00553D66" w:rsidTr="00406F2D">
        <w:tc>
          <w:tcPr>
            <w:tcW w:w="1964" w:type="dxa"/>
            <w:tcBorders>
              <w:top w:val="single" w:sz="4" w:space="0" w:color="auto"/>
            </w:tcBorders>
          </w:tcPr>
          <w:p w:rsidR="00406F2D" w:rsidRPr="00553D66" w:rsidRDefault="00406F2D" w:rsidP="00A63E72">
            <w:pPr>
              <w:pStyle w:val="tabletextNS"/>
              <w:keepNext/>
              <w:tabs>
                <w:tab w:val="right" w:pos="1906"/>
              </w:tabs>
              <w:spacing w:before="20" w:after="20"/>
              <w:rPr>
                <w:b/>
                <w:sz w:val="20"/>
                <w:lang w:val="en-US"/>
              </w:rPr>
            </w:pPr>
            <w:r w:rsidRPr="00553D66">
              <w:rPr>
                <w:b/>
                <w:sz w:val="20"/>
                <w:lang w:val="en-US"/>
              </w:rPr>
              <w:t xml:space="preserve"> </w:t>
            </w:r>
            <w:r w:rsidR="00A63E72">
              <w:rPr>
                <w:b/>
                <w:sz w:val="20"/>
                <w:lang w:val="en-US"/>
              </w:rPr>
              <w:tab/>
            </w:r>
          </w:p>
        </w:tc>
        <w:tc>
          <w:tcPr>
            <w:tcW w:w="1296" w:type="dxa"/>
            <w:tcBorders>
              <w:top w:val="single" w:sz="4" w:space="0" w:color="auto"/>
            </w:tcBorders>
          </w:tcPr>
          <w:p w:rsidR="00406F2D" w:rsidRPr="00553D66" w:rsidRDefault="00406F2D" w:rsidP="00406F2D">
            <w:pPr>
              <w:pStyle w:val="tabletextNS"/>
              <w:keepNext/>
              <w:spacing w:before="20" w:after="20"/>
              <w:jc w:val="center"/>
              <w:rPr>
                <w:b/>
                <w:sz w:val="20"/>
                <w:lang w:val="en-US"/>
              </w:rPr>
            </w:pPr>
            <w:proofErr w:type="spellStart"/>
            <w:r w:rsidRPr="00553D66">
              <w:rPr>
                <w:b/>
                <w:sz w:val="20"/>
                <w:lang w:val="en-US"/>
              </w:rPr>
              <w:t>Retapamulin</w:t>
            </w:r>
            <w:proofErr w:type="spellEnd"/>
          </w:p>
        </w:tc>
        <w:tc>
          <w:tcPr>
            <w:tcW w:w="1314" w:type="dxa"/>
            <w:tcBorders>
              <w:top w:val="single" w:sz="4" w:space="0" w:color="auto"/>
            </w:tcBorders>
          </w:tcPr>
          <w:p w:rsidR="00406F2D" w:rsidRPr="00553D66" w:rsidRDefault="00406F2D" w:rsidP="00406F2D">
            <w:pPr>
              <w:pStyle w:val="tabletextNS"/>
              <w:keepNext/>
              <w:spacing w:before="20" w:after="20"/>
              <w:jc w:val="center"/>
              <w:rPr>
                <w:b/>
                <w:sz w:val="20"/>
                <w:lang w:val="en-US"/>
              </w:rPr>
            </w:pPr>
            <w:proofErr w:type="spellStart"/>
            <w:r w:rsidRPr="00553D66">
              <w:rPr>
                <w:b/>
                <w:sz w:val="20"/>
                <w:lang w:val="en-US"/>
              </w:rPr>
              <w:t>Linezolid</w:t>
            </w:r>
            <w:proofErr w:type="spellEnd"/>
          </w:p>
        </w:tc>
        <w:tc>
          <w:tcPr>
            <w:tcW w:w="1341" w:type="dxa"/>
            <w:tcBorders>
              <w:top w:val="single" w:sz="4" w:space="0" w:color="auto"/>
            </w:tcBorders>
          </w:tcPr>
          <w:p w:rsidR="00406F2D" w:rsidRPr="00553D66" w:rsidRDefault="00406F2D" w:rsidP="00406F2D">
            <w:pPr>
              <w:pStyle w:val="tabletextNS"/>
              <w:keepNext/>
              <w:spacing w:before="20" w:after="20"/>
              <w:jc w:val="center"/>
              <w:rPr>
                <w:b/>
                <w:sz w:val="20"/>
                <w:lang w:val="en-US"/>
              </w:rPr>
            </w:pPr>
            <w:proofErr w:type="spellStart"/>
            <w:r w:rsidRPr="00553D66">
              <w:rPr>
                <w:b/>
                <w:sz w:val="20"/>
                <w:lang w:val="en-US"/>
              </w:rPr>
              <w:t>Cephalexin</w:t>
            </w:r>
            <w:proofErr w:type="spellEnd"/>
          </w:p>
        </w:tc>
        <w:tc>
          <w:tcPr>
            <w:tcW w:w="1278" w:type="dxa"/>
            <w:tcBorders>
              <w:top w:val="single" w:sz="4" w:space="0" w:color="auto"/>
            </w:tcBorders>
          </w:tcPr>
          <w:p w:rsidR="00406F2D" w:rsidRPr="00553D66" w:rsidRDefault="00406F2D" w:rsidP="00406F2D">
            <w:pPr>
              <w:pStyle w:val="tabletextNS"/>
              <w:keepNext/>
              <w:spacing w:before="20" w:after="20"/>
              <w:jc w:val="center"/>
              <w:rPr>
                <w:b/>
                <w:sz w:val="20"/>
                <w:lang w:val="en-US"/>
              </w:rPr>
            </w:pPr>
            <w:proofErr w:type="spellStart"/>
            <w:r w:rsidRPr="00553D66">
              <w:rPr>
                <w:b/>
                <w:sz w:val="20"/>
                <w:lang w:val="en-US"/>
              </w:rPr>
              <w:t>Fusidic</w:t>
            </w:r>
            <w:proofErr w:type="spellEnd"/>
            <w:r w:rsidRPr="00553D66">
              <w:rPr>
                <w:b/>
                <w:sz w:val="20"/>
                <w:lang w:val="en-US"/>
              </w:rPr>
              <w:t xml:space="preserve"> Acid</w:t>
            </w:r>
          </w:p>
        </w:tc>
        <w:tc>
          <w:tcPr>
            <w:tcW w:w="1444" w:type="dxa"/>
            <w:tcBorders>
              <w:top w:val="single" w:sz="4" w:space="0" w:color="auto"/>
            </w:tcBorders>
          </w:tcPr>
          <w:p w:rsidR="00406F2D" w:rsidRPr="00553D66" w:rsidRDefault="00406F2D" w:rsidP="00406F2D">
            <w:pPr>
              <w:pStyle w:val="tabletextNS"/>
              <w:keepNext/>
              <w:spacing w:before="20" w:after="20"/>
              <w:jc w:val="center"/>
              <w:rPr>
                <w:b/>
                <w:sz w:val="20"/>
                <w:lang w:val="en-US"/>
              </w:rPr>
            </w:pPr>
            <w:r w:rsidRPr="00553D66">
              <w:rPr>
                <w:b/>
                <w:sz w:val="20"/>
                <w:lang w:val="en-US"/>
              </w:rPr>
              <w:t>Placebo</w:t>
            </w:r>
          </w:p>
        </w:tc>
      </w:tr>
      <w:tr w:rsidR="00406F2D" w:rsidRPr="00553D66" w:rsidTr="00406F2D">
        <w:tc>
          <w:tcPr>
            <w:tcW w:w="1964" w:type="dxa"/>
            <w:tcBorders>
              <w:bottom w:val="single" w:sz="4" w:space="0" w:color="auto"/>
            </w:tcBorders>
          </w:tcPr>
          <w:p w:rsidR="00406F2D" w:rsidRPr="00553D66" w:rsidRDefault="00406F2D" w:rsidP="00406F2D">
            <w:pPr>
              <w:pStyle w:val="tabletextNS"/>
              <w:keepNext/>
              <w:spacing w:before="20" w:after="20"/>
              <w:rPr>
                <w:b/>
                <w:sz w:val="20"/>
                <w:lang w:val="en-US"/>
              </w:rPr>
            </w:pPr>
            <w:r w:rsidRPr="00553D66">
              <w:rPr>
                <w:b/>
                <w:sz w:val="20"/>
                <w:lang w:val="en-US"/>
              </w:rPr>
              <w:t xml:space="preserve"> Preferred Term </w:t>
            </w:r>
          </w:p>
        </w:tc>
        <w:tc>
          <w:tcPr>
            <w:tcW w:w="1296" w:type="dxa"/>
            <w:tcBorders>
              <w:bottom w:val="single" w:sz="4" w:space="0" w:color="auto"/>
            </w:tcBorders>
          </w:tcPr>
          <w:p w:rsidR="00406F2D" w:rsidRPr="00553D66" w:rsidRDefault="00406F2D" w:rsidP="00406F2D">
            <w:pPr>
              <w:pStyle w:val="tabletextNS"/>
              <w:keepNext/>
              <w:spacing w:before="20" w:after="20"/>
              <w:jc w:val="center"/>
              <w:rPr>
                <w:b/>
                <w:sz w:val="20"/>
                <w:lang w:val="en-US"/>
              </w:rPr>
            </w:pPr>
            <w:r w:rsidRPr="00553D66">
              <w:rPr>
                <w:b/>
                <w:sz w:val="20"/>
                <w:lang w:val="en-US"/>
              </w:rPr>
              <w:t>(N=2724)</w:t>
            </w:r>
          </w:p>
        </w:tc>
        <w:tc>
          <w:tcPr>
            <w:tcW w:w="1314" w:type="dxa"/>
            <w:tcBorders>
              <w:bottom w:val="single" w:sz="4" w:space="0" w:color="auto"/>
            </w:tcBorders>
          </w:tcPr>
          <w:p w:rsidR="00406F2D" w:rsidRPr="00553D66" w:rsidRDefault="00406F2D" w:rsidP="00406F2D">
            <w:pPr>
              <w:pStyle w:val="tabletextNS"/>
              <w:keepNext/>
              <w:spacing w:before="20" w:after="20"/>
              <w:jc w:val="center"/>
              <w:rPr>
                <w:b/>
                <w:sz w:val="20"/>
                <w:lang w:val="en-US"/>
              </w:rPr>
            </w:pPr>
            <w:r w:rsidRPr="00553D66">
              <w:rPr>
                <w:b/>
                <w:sz w:val="20"/>
                <w:lang w:val="en-US"/>
              </w:rPr>
              <w:t>(N=137)</w:t>
            </w:r>
          </w:p>
        </w:tc>
        <w:tc>
          <w:tcPr>
            <w:tcW w:w="1341" w:type="dxa"/>
            <w:tcBorders>
              <w:bottom w:val="single" w:sz="4" w:space="0" w:color="auto"/>
            </w:tcBorders>
          </w:tcPr>
          <w:p w:rsidR="00406F2D" w:rsidRPr="00553D66" w:rsidRDefault="00406F2D" w:rsidP="00406F2D">
            <w:pPr>
              <w:pStyle w:val="tabletextNS"/>
              <w:keepNext/>
              <w:spacing w:before="20" w:after="20"/>
              <w:jc w:val="center"/>
              <w:rPr>
                <w:b/>
                <w:sz w:val="20"/>
                <w:lang w:val="en-US"/>
              </w:rPr>
            </w:pPr>
            <w:r w:rsidRPr="00553D66">
              <w:rPr>
                <w:b/>
                <w:sz w:val="20"/>
                <w:lang w:val="en-US"/>
              </w:rPr>
              <w:t>(N=819)</w:t>
            </w:r>
          </w:p>
        </w:tc>
        <w:tc>
          <w:tcPr>
            <w:tcW w:w="1278" w:type="dxa"/>
            <w:tcBorders>
              <w:bottom w:val="single" w:sz="4" w:space="0" w:color="auto"/>
            </w:tcBorders>
          </w:tcPr>
          <w:p w:rsidR="00406F2D" w:rsidRPr="00553D66" w:rsidRDefault="00406F2D" w:rsidP="00406F2D">
            <w:pPr>
              <w:pStyle w:val="tabletextNS"/>
              <w:keepNext/>
              <w:spacing w:before="20" w:after="20"/>
              <w:jc w:val="center"/>
              <w:rPr>
                <w:b/>
                <w:sz w:val="20"/>
                <w:lang w:val="en-US"/>
              </w:rPr>
            </w:pPr>
            <w:r w:rsidRPr="00553D66">
              <w:rPr>
                <w:b/>
                <w:sz w:val="20"/>
                <w:lang w:val="en-US"/>
              </w:rPr>
              <w:t>(N=172)</w:t>
            </w:r>
          </w:p>
        </w:tc>
        <w:tc>
          <w:tcPr>
            <w:tcW w:w="1444" w:type="dxa"/>
            <w:tcBorders>
              <w:bottom w:val="single" w:sz="4" w:space="0" w:color="auto"/>
            </w:tcBorders>
          </w:tcPr>
          <w:p w:rsidR="00406F2D" w:rsidRPr="00553D66" w:rsidRDefault="00406F2D" w:rsidP="00406F2D">
            <w:pPr>
              <w:pStyle w:val="tabletextNS"/>
              <w:keepNext/>
              <w:spacing w:before="20" w:after="20"/>
              <w:jc w:val="center"/>
              <w:rPr>
                <w:b/>
                <w:sz w:val="20"/>
                <w:lang w:val="en-US"/>
              </w:rPr>
            </w:pPr>
            <w:r w:rsidRPr="00553D66">
              <w:rPr>
                <w:b/>
                <w:sz w:val="20"/>
                <w:lang w:val="en-US"/>
              </w:rPr>
              <w:t>(N=236)</w:t>
            </w:r>
          </w:p>
        </w:tc>
      </w:tr>
      <w:tr w:rsidR="00406F2D" w:rsidRPr="00553D66" w:rsidTr="00406F2D">
        <w:tc>
          <w:tcPr>
            <w:tcW w:w="1964" w:type="dxa"/>
            <w:tcBorders>
              <w:top w:val="single" w:sz="4" w:space="0" w:color="auto"/>
            </w:tcBorders>
          </w:tcPr>
          <w:p w:rsidR="00406F2D" w:rsidRPr="00553D66" w:rsidRDefault="00406F2D" w:rsidP="00406F2D">
            <w:pPr>
              <w:pStyle w:val="tabletextNS"/>
              <w:keepNext/>
              <w:spacing w:before="20" w:after="20"/>
              <w:rPr>
                <w:sz w:val="20"/>
                <w:lang w:val="en-US"/>
              </w:rPr>
            </w:pPr>
            <w:r w:rsidRPr="00553D66">
              <w:rPr>
                <w:sz w:val="20"/>
                <w:lang w:val="en-US"/>
              </w:rPr>
              <w:t xml:space="preserve">Any event </w:t>
            </w:r>
          </w:p>
        </w:tc>
        <w:tc>
          <w:tcPr>
            <w:tcW w:w="1296" w:type="dxa"/>
            <w:tcBorders>
              <w:top w:val="single" w:sz="4" w:space="0" w:color="auto"/>
            </w:tcBorders>
          </w:tcPr>
          <w:p w:rsidR="00406F2D" w:rsidRPr="00553D66" w:rsidRDefault="00406F2D" w:rsidP="00406F2D">
            <w:pPr>
              <w:pStyle w:val="tabletextNS"/>
              <w:keepNext/>
              <w:spacing w:before="20" w:after="20"/>
              <w:jc w:val="center"/>
              <w:rPr>
                <w:sz w:val="20"/>
                <w:lang w:val="en-US"/>
              </w:rPr>
            </w:pPr>
            <w:r w:rsidRPr="00553D66">
              <w:rPr>
                <w:sz w:val="20"/>
                <w:lang w:val="en-US"/>
              </w:rPr>
              <w:t>5.36</w:t>
            </w:r>
          </w:p>
        </w:tc>
        <w:tc>
          <w:tcPr>
            <w:tcW w:w="1314" w:type="dxa"/>
            <w:tcBorders>
              <w:top w:val="single" w:sz="4" w:space="0" w:color="auto"/>
            </w:tcBorders>
          </w:tcPr>
          <w:p w:rsidR="00406F2D" w:rsidRPr="00553D66" w:rsidRDefault="00406F2D" w:rsidP="00947A0A">
            <w:pPr>
              <w:pStyle w:val="tabletextNS"/>
              <w:keepNext/>
              <w:spacing w:before="20" w:after="20"/>
              <w:jc w:val="center"/>
              <w:rPr>
                <w:sz w:val="20"/>
                <w:lang w:val="en-US"/>
              </w:rPr>
            </w:pPr>
            <w:r w:rsidRPr="00553D66">
              <w:rPr>
                <w:sz w:val="20"/>
                <w:lang w:val="en-US"/>
              </w:rPr>
              <w:t>18.25</w:t>
            </w:r>
          </w:p>
        </w:tc>
        <w:tc>
          <w:tcPr>
            <w:tcW w:w="1341" w:type="dxa"/>
            <w:tcBorders>
              <w:top w:val="single" w:sz="4" w:space="0" w:color="auto"/>
            </w:tcBorders>
          </w:tcPr>
          <w:p w:rsidR="00406F2D" w:rsidRPr="00553D66" w:rsidRDefault="00406F2D" w:rsidP="00406F2D">
            <w:pPr>
              <w:pStyle w:val="tabletextNS"/>
              <w:keepNext/>
              <w:spacing w:before="20" w:after="20"/>
              <w:jc w:val="center"/>
              <w:rPr>
                <w:sz w:val="20"/>
                <w:lang w:val="en-US"/>
              </w:rPr>
            </w:pPr>
            <w:r w:rsidRPr="00553D66">
              <w:rPr>
                <w:sz w:val="20"/>
                <w:lang w:val="en-US"/>
              </w:rPr>
              <w:t>6.59</w:t>
            </w:r>
          </w:p>
        </w:tc>
        <w:tc>
          <w:tcPr>
            <w:tcW w:w="1278" w:type="dxa"/>
            <w:tcBorders>
              <w:top w:val="single" w:sz="4" w:space="0" w:color="auto"/>
            </w:tcBorders>
          </w:tcPr>
          <w:p w:rsidR="00406F2D" w:rsidRPr="00553D66" w:rsidRDefault="00406F2D" w:rsidP="00406F2D">
            <w:pPr>
              <w:pStyle w:val="tabletextNS"/>
              <w:keepNext/>
              <w:spacing w:before="20" w:after="20"/>
              <w:jc w:val="center"/>
              <w:rPr>
                <w:sz w:val="20"/>
                <w:lang w:val="en-US"/>
              </w:rPr>
            </w:pPr>
            <w:r w:rsidRPr="00553D66">
              <w:rPr>
                <w:sz w:val="20"/>
                <w:lang w:val="en-US"/>
              </w:rPr>
              <w:t>0.58</w:t>
            </w:r>
          </w:p>
        </w:tc>
        <w:tc>
          <w:tcPr>
            <w:tcW w:w="1444" w:type="dxa"/>
            <w:tcBorders>
              <w:top w:val="single" w:sz="4" w:space="0" w:color="auto"/>
            </w:tcBorders>
          </w:tcPr>
          <w:p w:rsidR="00406F2D" w:rsidRPr="00553D66" w:rsidRDefault="00406F2D" w:rsidP="00406F2D">
            <w:pPr>
              <w:pStyle w:val="tabletextNS"/>
              <w:keepNext/>
              <w:spacing w:before="20" w:after="20"/>
              <w:jc w:val="center"/>
              <w:rPr>
                <w:sz w:val="20"/>
                <w:lang w:val="en-US"/>
              </w:rPr>
            </w:pPr>
            <w:r w:rsidRPr="00553D66">
              <w:rPr>
                <w:sz w:val="20"/>
                <w:lang w:val="en-US"/>
              </w:rPr>
              <w:t>0.85</w:t>
            </w:r>
          </w:p>
        </w:tc>
      </w:tr>
      <w:tr w:rsidR="00406F2D" w:rsidRPr="00553D66" w:rsidTr="00406F2D">
        <w:tc>
          <w:tcPr>
            <w:tcW w:w="1964" w:type="dxa"/>
          </w:tcPr>
          <w:p w:rsidR="00406F2D" w:rsidRPr="00553D66" w:rsidRDefault="00406F2D" w:rsidP="00406F2D">
            <w:pPr>
              <w:pStyle w:val="tabletextNS"/>
              <w:keepNext/>
              <w:spacing w:before="20" w:after="20"/>
              <w:rPr>
                <w:sz w:val="20"/>
                <w:lang w:val="en-US"/>
              </w:rPr>
            </w:pPr>
            <w:r w:rsidRPr="00553D66">
              <w:rPr>
                <w:sz w:val="20"/>
                <w:lang w:val="en-US"/>
              </w:rPr>
              <w:t xml:space="preserve"> </w:t>
            </w:r>
            <w:proofErr w:type="spellStart"/>
            <w:r w:rsidRPr="00553D66">
              <w:rPr>
                <w:sz w:val="20"/>
                <w:lang w:val="en-US"/>
              </w:rPr>
              <w:t>Diarrhoea</w:t>
            </w:r>
            <w:proofErr w:type="spellEnd"/>
          </w:p>
        </w:tc>
        <w:tc>
          <w:tcPr>
            <w:tcW w:w="1296" w:type="dxa"/>
          </w:tcPr>
          <w:p w:rsidR="00406F2D" w:rsidRPr="00553D66" w:rsidRDefault="00406F2D" w:rsidP="00406F2D">
            <w:pPr>
              <w:pStyle w:val="tabletextNS"/>
              <w:keepNext/>
              <w:spacing w:before="20" w:after="20"/>
              <w:jc w:val="center"/>
              <w:rPr>
                <w:sz w:val="20"/>
                <w:lang w:val="en-US"/>
              </w:rPr>
            </w:pPr>
            <w:r w:rsidRPr="00553D66">
              <w:rPr>
                <w:sz w:val="20"/>
                <w:lang w:val="en-US"/>
              </w:rPr>
              <w:t>0.88</w:t>
            </w:r>
          </w:p>
        </w:tc>
        <w:tc>
          <w:tcPr>
            <w:tcW w:w="1314" w:type="dxa"/>
          </w:tcPr>
          <w:p w:rsidR="00406F2D" w:rsidRPr="00553D66" w:rsidRDefault="00406F2D" w:rsidP="00947A0A">
            <w:pPr>
              <w:pStyle w:val="tabletextNS"/>
              <w:keepNext/>
              <w:spacing w:before="20" w:after="20"/>
              <w:jc w:val="center"/>
              <w:rPr>
                <w:sz w:val="20"/>
                <w:lang w:val="en-US"/>
              </w:rPr>
            </w:pPr>
            <w:r w:rsidRPr="00553D66">
              <w:rPr>
                <w:sz w:val="20"/>
                <w:lang w:val="en-US"/>
              </w:rPr>
              <w:t>8.03</w:t>
            </w:r>
          </w:p>
        </w:tc>
        <w:tc>
          <w:tcPr>
            <w:tcW w:w="1341" w:type="dxa"/>
          </w:tcPr>
          <w:p w:rsidR="00406F2D" w:rsidRPr="00553D66" w:rsidRDefault="00406F2D" w:rsidP="00406F2D">
            <w:pPr>
              <w:pStyle w:val="tabletextNS"/>
              <w:keepNext/>
              <w:spacing w:before="20" w:after="20"/>
              <w:jc w:val="center"/>
              <w:rPr>
                <w:sz w:val="20"/>
                <w:lang w:val="en-US"/>
              </w:rPr>
            </w:pPr>
            <w:r w:rsidRPr="00553D66">
              <w:rPr>
                <w:sz w:val="20"/>
                <w:lang w:val="en-US"/>
              </w:rPr>
              <w:t>1.71</w:t>
            </w:r>
          </w:p>
        </w:tc>
        <w:tc>
          <w:tcPr>
            <w:tcW w:w="1278"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c>
          <w:tcPr>
            <w:tcW w:w="1444"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r>
      <w:tr w:rsidR="00406F2D" w:rsidRPr="00553D66" w:rsidTr="00406F2D">
        <w:tc>
          <w:tcPr>
            <w:tcW w:w="1964" w:type="dxa"/>
          </w:tcPr>
          <w:p w:rsidR="00406F2D" w:rsidRPr="00553D66" w:rsidRDefault="00406F2D" w:rsidP="00406F2D">
            <w:pPr>
              <w:pStyle w:val="tabletextNS"/>
              <w:keepNext/>
              <w:spacing w:before="20" w:after="20"/>
              <w:rPr>
                <w:sz w:val="20"/>
                <w:lang w:val="en-US"/>
              </w:rPr>
            </w:pPr>
            <w:r w:rsidRPr="00553D66">
              <w:rPr>
                <w:sz w:val="20"/>
                <w:lang w:val="en-US"/>
              </w:rPr>
              <w:t>Application site pain</w:t>
            </w:r>
          </w:p>
        </w:tc>
        <w:tc>
          <w:tcPr>
            <w:tcW w:w="1296" w:type="dxa"/>
          </w:tcPr>
          <w:p w:rsidR="00406F2D" w:rsidRPr="00553D66" w:rsidRDefault="00406F2D" w:rsidP="00406F2D">
            <w:pPr>
              <w:pStyle w:val="tabletextNS"/>
              <w:keepNext/>
              <w:spacing w:before="20" w:after="20"/>
              <w:jc w:val="center"/>
              <w:rPr>
                <w:sz w:val="20"/>
                <w:lang w:val="en-US"/>
              </w:rPr>
            </w:pPr>
            <w:r w:rsidRPr="00553D66">
              <w:rPr>
                <w:sz w:val="20"/>
                <w:lang w:val="en-US"/>
              </w:rPr>
              <w:t>1.54</w:t>
            </w:r>
          </w:p>
        </w:tc>
        <w:tc>
          <w:tcPr>
            <w:tcW w:w="1314"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c>
          <w:tcPr>
            <w:tcW w:w="1341" w:type="dxa"/>
          </w:tcPr>
          <w:p w:rsidR="00406F2D" w:rsidRPr="00553D66" w:rsidRDefault="00947A0A" w:rsidP="00406F2D">
            <w:pPr>
              <w:pStyle w:val="tabletextNS"/>
              <w:keepNext/>
              <w:spacing w:before="20" w:after="20"/>
              <w:jc w:val="center"/>
              <w:rPr>
                <w:sz w:val="20"/>
                <w:lang w:val="en-US"/>
              </w:rPr>
            </w:pPr>
            <w:r w:rsidRPr="00553D66">
              <w:rPr>
                <w:sz w:val="20"/>
                <w:lang w:val="en-US"/>
              </w:rPr>
              <w:t>0.49</w:t>
            </w:r>
          </w:p>
        </w:tc>
        <w:tc>
          <w:tcPr>
            <w:tcW w:w="1278"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c>
          <w:tcPr>
            <w:tcW w:w="1444"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r>
      <w:tr w:rsidR="00406F2D" w:rsidRPr="00553D66" w:rsidTr="00406F2D">
        <w:tc>
          <w:tcPr>
            <w:tcW w:w="1964" w:type="dxa"/>
          </w:tcPr>
          <w:p w:rsidR="00406F2D" w:rsidRPr="00553D66" w:rsidRDefault="00406F2D" w:rsidP="00406F2D">
            <w:pPr>
              <w:pStyle w:val="tabletextNS"/>
              <w:keepNext/>
              <w:spacing w:before="20" w:after="20"/>
              <w:rPr>
                <w:sz w:val="20"/>
                <w:lang w:val="en-US"/>
              </w:rPr>
            </w:pPr>
            <w:r w:rsidRPr="00553D66">
              <w:rPr>
                <w:sz w:val="20"/>
                <w:lang w:val="en-US"/>
              </w:rPr>
              <w:t xml:space="preserve"> Nausea</w:t>
            </w:r>
          </w:p>
        </w:tc>
        <w:tc>
          <w:tcPr>
            <w:tcW w:w="1296" w:type="dxa"/>
          </w:tcPr>
          <w:p w:rsidR="00406F2D" w:rsidRPr="00553D66" w:rsidRDefault="00406F2D" w:rsidP="00406F2D">
            <w:pPr>
              <w:pStyle w:val="tabletextNS"/>
              <w:keepNext/>
              <w:spacing w:before="20" w:after="20"/>
              <w:jc w:val="center"/>
              <w:rPr>
                <w:sz w:val="20"/>
                <w:lang w:val="en-US"/>
              </w:rPr>
            </w:pPr>
            <w:r w:rsidRPr="00553D66">
              <w:rPr>
                <w:sz w:val="20"/>
                <w:lang w:val="en-US"/>
              </w:rPr>
              <w:t>0.59</w:t>
            </w:r>
          </w:p>
        </w:tc>
        <w:tc>
          <w:tcPr>
            <w:tcW w:w="1314" w:type="dxa"/>
          </w:tcPr>
          <w:p w:rsidR="00406F2D" w:rsidRPr="00553D66" w:rsidRDefault="00406F2D" w:rsidP="00947A0A">
            <w:pPr>
              <w:pStyle w:val="tabletextNS"/>
              <w:keepNext/>
              <w:spacing w:before="20" w:after="20"/>
              <w:jc w:val="center"/>
              <w:rPr>
                <w:sz w:val="20"/>
                <w:lang w:val="en-US"/>
              </w:rPr>
            </w:pPr>
            <w:r w:rsidRPr="00553D66">
              <w:rPr>
                <w:sz w:val="20"/>
                <w:lang w:val="en-US"/>
              </w:rPr>
              <w:t>5.84</w:t>
            </w:r>
          </w:p>
        </w:tc>
        <w:tc>
          <w:tcPr>
            <w:tcW w:w="1341" w:type="dxa"/>
          </w:tcPr>
          <w:p w:rsidR="00406F2D" w:rsidRPr="00553D66" w:rsidRDefault="00406F2D" w:rsidP="00406F2D">
            <w:pPr>
              <w:pStyle w:val="tabletextNS"/>
              <w:keepNext/>
              <w:spacing w:before="20" w:after="20"/>
              <w:jc w:val="center"/>
              <w:rPr>
                <w:sz w:val="20"/>
                <w:lang w:val="en-US"/>
              </w:rPr>
            </w:pPr>
            <w:r w:rsidRPr="00553D66">
              <w:rPr>
                <w:sz w:val="20"/>
                <w:lang w:val="en-US"/>
              </w:rPr>
              <w:t>1.22</w:t>
            </w:r>
          </w:p>
        </w:tc>
        <w:tc>
          <w:tcPr>
            <w:tcW w:w="1278"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c>
          <w:tcPr>
            <w:tcW w:w="1444"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r>
      <w:tr w:rsidR="00406F2D" w:rsidRPr="00553D66" w:rsidTr="00406F2D">
        <w:tc>
          <w:tcPr>
            <w:tcW w:w="1964" w:type="dxa"/>
          </w:tcPr>
          <w:p w:rsidR="00406F2D" w:rsidRPr="00553D66" w:rsidRDefault="00406F2D" w:rsidP="00406F2D">
            <w:pPr>
              <w:pStyle w:val="tabletextNS"/>
              <w:keepNext/>
              <w:spacing w:before="20" w:after="20"/>
              <w:rPr>
                <w:sz w:val="20"/>
                <w:lang w:val="en-US"/>
              </w:rPr>
            </w:pPr>
            <w:r w:rsidRPr="00553D66">
              <w:rPr>
                <w:sz w:val="20"/>
                <w:lang w:val="en-US"/>
              </w:rPr>
              <w:t xml:space="preserve">Application site </w:t>
            </w:r>
            <w:proofErr w:type="spellStart"/>
            <w:r w:rsidRPr="00553D66">
              <w:rPr>
                <w:sz w:val="20"/>
                <w:lang w:val="en-US"/>
              </w:rPr>
              <w:t>pruritus</w:t>
            </w:r>
            <w:proofErr w:type="spellEnd"/>
          </w:p>
        </w:tc>
        <w:tc>
          <w:tcPr>
            <w:tcW w:w="1296" w:type="dxa"/>
          </w:tcPr>
          <w:p w:rsidR="00406F2D" w:rsidRPr="00553D66" w:rsidRDefault="00406F2D" w:rsidP="00406F2D">
            <w:pPr>
              <w:pStyle w:val="tabletextNS"/>
              <w:keepNext/>
              <w:spacing w:before="20" w:after="20"/>
              <w:jc w:val="center"/>
              <w:rPr>
                <w:sz w:val="20"/>
                <w:lang w:val="en-US"/>
              </w:rPr>
            </w:pPr>
            <w:r w:rsidRPr="00553D66">
              <w:rPr>
                <w:sz w:val="20"/>
                <w:lang w:val="en-US"/>
              </w:rPr>
              <w:t>0.84</w:t>
            </w:r>
          </w:p>
        </w:tc>
        <w:tc>
          <w:tcPr>
            <w:tcW w:w="1314" w:type="dxa"/>
          </w:tcPr>
          <w:p w:rsidR="00406F2D" w:rsidRPr="00553D66" w:rsidRDefault="00406F2D" w:rsidP="00406F2D">
            <w:pPr>
              <w:pStyle w:val="tabletextNS"/>
              <w:keepNext/>
              <w:spacing w:before="20" w:after="20"/>
              <w:jc w:val="center"/>
              <w:rPr>
                <w:sz w:val="20"/>
                <w:lang w:val="en-US"/>
              </w:rPr>
            </w:pPr>
            <w:r w:rsidRPr="00553D66">
              <w:rPr>
                <w:sz w:val="20"/>
                <w:lang w:val="en-US"/>
              </w:rPr>
              <w:t>0.73</w:t>
            </w:r>
          </w:p>
        </w:tc>
        <w:tc>
          <w:tcPr>
            <w:tcW w:w="1341" w:type="dxa"/>
          </w:tcPr>
          <w:p w:rsidR="00406F2D" w:rsidRPr="00553D66" w:rsidRDefault="00406F2D" w:rsidP="00406F2D">
            <w:pPr>
              <w:pStyle w:val="tabletextNS"/>
              <w:keepNext/>
              <w:spacing w:before="20" w:after="20"/>
              <w:jc w:val="center"/>
              <w:rPr>
                <w:sz w:val="20"/>
                <w:lang w:val="en-US"/>
              </w:rPr>
            </w:pPr>
            <w:r w:rsidRPr="00553D66">
              <w:rPr>
                <w:sz w:val="20"/>
                <w:lang w:val="en-US"/>
              </w:rPr>
              <w:t>0.37</w:t>
            </w:r>
          </w:p>
        </w:tc>
        <w:tc>
          <w:tcPr>
            <w:tcW w:w="1278" w:type="dxa"/>
          </w:tcPr>
          <w:p w:rsidR="00406F2D" w:rsidRPr="00553D66" w:rsidRDefault="00406F2D" w:rsidP="00406F2D">
            <w:pPr>
              <w:pStyle w:val="tabletextNS"/>
              <w:keepNext/>
              <w:spacing w:before="20" w:after="20"/>
              <w:jc w:val="center"/>
              <w:rPr>
                <w:sz w:val="20"/>
                <w:lang w:val="en-US"/>
              </w:rPr>
            </w:pPr>
            <w:r w:rsidRPr="00553D66">
              <w:rPr>
                <w:sz w:val="20"/>
                <w:lang w:val="en-US"/>
              </w:rPr>
              <w:t>0</w:t>
            </w:r>
          </w:p>
        </w:tc>
        <w:tc>
          <w:tcPr>
            <w:tcW w:w="1444" w:type="dxa"/>
          </w:tcPr>
          <w:p w:rsidR="00406F2D" w:rsidRPr="00553D66" w:rsidRDefault="00406F2D" w:rsidP="00406F2D">
            <w:pPr>
              <w:pStyle w:val="tabletextNS"/>
              <w:keepNext/>
              <w:spacing w:before="20" w:after="20"/>
              <w:jc w:val="center"/>
              <w:rPr>
                <w:sz w:val="20"/>
                <w:lang w:val="en-US"/>
              </w:rPr>
            </w:pPr>
            <w:r w:rsidRPr="00553D66">
              <w:rPr>
                <w:sz w:val="20"/>
                <w:lang w:val="en-US"/>
              </w:rPr>
              <w:t>0.42</w:t>
            </w:r>
          </w:p>
        </w:tc>
      </w:tr>
      <w:tr w:rsidR="00406F2D" w:rsidRPr="00553D66" w:rsidTr="00406F2D">
        <w:tc>
          <w:tcPr>
            <w:tcW w:w="1964" w:type="dxa"/>
          </w:tcPr>
          <w:p w:rsidR="00406F2D" w:rsidRPr="00553D66" w:rsidRDefault="00406F2D" w:rsidP="00406F2D">
            <w:pPr>
              <w:pStyle w:val="tabletextNS"/>
              <w:spacing w:before="20" w:after="20"/>
              <w:rPr>
                <w:sz w:val="20"/>
                <w:lang w:val="en-US"/>
              </w:rPr>
            </w:pPr>
            <w:r w:rsidRPr="00553D66">
              <w:rPr>
                <w:sz w:val="20"/>
                <w:lang w:val="en-US"/>
              </w:rPr>
              <w:t>Headache</w:t>
            </w:r>
          </w:p>
        </w:tc>
        <w:tc>
          <w:tcPr>
            <w:tcW w:w="1296" w:type="dxa"/>
          </w:tcPr>
          <w:p w:rsidR="00406F2D" w:rsidRPr="00553D66" w:rsidRDefault="00406F2D" w:rsidP="00406F2D">
            <w:pPr>
              <w:pStyle w:val="tabletextNS"/>
              <w:spacing w:before="20" w:after="20"/>
              <w:jc w:val="center"/>
              <w:rPr>
                <w:sz w:val="20"/>
                <w:lang w:val="en-US"/>
              </w:rPr>
            </w:pPr>
            <w:r w:rsidRPr="00553D66">
              <w:rPr>
                <w:sz w:val="20"/>
                <w:lang w:val="en-US"/>
              </w:rPr>
              <w:t>0.26</w:t>
            </w:r>
          </w:p>
        </w:tc>
        <w:tc>
          <w:tcPr>
            <w:tcW w:w="1314" w:type="dxa"/>
          </w:tcPr>
          <w:p w:rsidR="00406F2D" w:rsidRPr="00553D66" w:rsidRDefault="00406F2D" w:rsidP="00406F2D">
            <w:pPr>
              <w:pStyle w:val="tabletextNS"/>
              <w:spacing w:before="20" w:after="20"/>
              <w:jc w:val="center"/>
              <w:rPr>
                <w:sz w:val="20"/>
                <w:lang w:val="en-US"/>
              </w:rPr>
            </w:pPr>
            <w:r w:rsidRPr="00553D66">
              <w:rPr>
                <w:sz w:val="20"/>
                <w:lang w:val="en-US"/>
              </w:rPr>
              <w:t>2.19</w:t>
            </w:r>
          </w:p>
        </w:tc>
        <w:tc>
          <w:tcPr>
            <w:tcW w:w="1341" w:type="dxa"/>
          </w:tcPr>
          <w:p w:rsidR="00406F2D" w:rsidRPr="00553D66" w:rsidRDefault="00406F2D" w:rsidP="00406F2D">
            <w:pPr>
              <w:pStyle w:val="tabletextNS"/>
              <w:spacing w:before="20" w:after="20"/>
              <w:jc w:val="center"/>
              <w:rPr>
                <w:sz w:val="20"/>
                <w:lang w:val="en-US"/>
              </w:rPr>
            </w:pPr>
            <w:r w:rsidRPr="00553D66">
              <w:rPr>
                <w:sz w:val="20"/>
                <w:lang w:val="en-US"/>
              </w:rPr>
              <w:t>0.24</w:t>
            </w:r>
          </w:p>
        </w:tc>
        <w:tc>
          <w:tcPr>
            <w:tcW w:w="1278" w:type="dxa"/>
          </w:tcPr>
          <w:p w:rsidR="00406F2D" w:rsidRPr="00553D66" w:rsidRDefault="00406F2D" w:rsidP="00406F2D">
            <w:pPr>
              <w:pStyle w:val="tabletextNS"/>
              <w:spacing w:before="20" w:after="20"/>
              <w:jc w:val="center"/>
              <w:rPr>
                <w:sz w:val="20"/>
                <w:lang w:val="en-US"/>
              </w:rPr>
            </w:pPr>
            <w:r w:rsidRPr="00553D66">
              <w:rPr>
                <w:sz w:val="20"/>
                <w:lang w:val="en-US"/>
              </w:rPr>
              <w:t>0</w:t>
            </w:r>
          </w:p>
        </w:tc>
        <w:tc>
          <w:tcPr>
            <w:tcW w:w="1444" w:type="dxa"/>
          </w:tcPr>
          <w:p w:rsidR="00406F2D" w:rsidRPr="00553D66" w:rsidRDefault="00406F2D" w:rsidP="00406F2D">
            <w:pPr>
              <w:pStyle w:val="tabletextNS"/>
              <w:spacing w:before="20" w:after="20"/>
              <w:jc w:val="center"/>
              <w:rPr>
                <w:sz w:val="20"/>
                <w:lang w:val="en-US"/>
              </w:rPr>
            </w:pPr>
            <w:r w:rsidRPr="00553D66">
              <w:rPr>
                <w:sz w:val="20"/>
                <w:lang w:val="en-US"/>
              </w:rPr>
              <w:t>0</w:t>
            </w:r>
          </w:p>
        </w:tc>
      </w:tr>
      <w:tr w:rsidR="00406F2D" w:rsidRPr="00553D66" w:rsidTr="00406F2D">
        <w:tc>
          <w:tcPr>
            <w:tcW w:w="1964" w:type="dxa"/>
          </w:tcPr>
          <w:p w:rsidR="00406F2D" w:rsidRPr="00553D66" w:rsidRDefault="00406F2D" w:rsidP="00406F2D">
            <w:pPr>
              <w:pStyle w:val="tabletextNS"/>
              <w:spacing w:before="20" w:after="20"/>
              <w:rPr>
                <w:sz w:val="20"/>
                <w:lang w:val="en-US"/>
              </w:rPr>
            </w:pPr>
            <w:r w:rsidRPr="00553D66">
              <w:rPr>
                <w:sz w:val="20"/>
                <w:lang w:val="en-US"/>
              </w:rPr>
              <w:t>Abdominal discomfort</w:t>
            </w:r>
          </w:p>
        </w:tc>
        <w:tc>
          <w:tcPr>
            <w:tcW w:w="1296" w:type="dxa"/>
          </w:tcPr>
          <w:p w:rsidR="00406F2D" w:rsidRPr="00553D66" w:rsidRDefault="00406F2D" w:rsidP="00406F2D">
            <w:pPr>
              <w:pStyle w:val="tabletextNS"/>
              <w:spacing w:before="20" w:after="20"/>
              <w:jc w:val="center"/>
              <w:rPr>
                <w:sz w:val="20"/>
                <w:lang w:val="en-US"/>
              </w:rPr>
            </w:pPr>
            <w:r w:rsidRPr="00553D66">
              <w:rPr>
                <w:sz w:val="20"/>
                <w:lang w:val="en-US"/>
              </w:rPr>
              <w:t>0.18</w:t>
            </w:r>
          </w:p>
        </w:tc>
        <w:tc>
          <w:tcPr>
            <w:tcW w:w="1314" w:type="dxa"/>
          </w:tcPr>
          <w:p w:rsidR="00406F2D" w:rsidRPr="00553D66" w:rsidRDefault="00406F2D" w:rsidP="00406F2D">
            <w:pPr>
              <w:pStyle w:val="tabletextNS"/>
              <w:spacing w:before="20" w:after="20"/>
              <w:jc w:val="center"/>
              <w:rPr>
                <w:sz w:val="20"/>
                <w:lang w:val="en-US"/>
              </w:rPr>
            </w:pPr>
            <w:r w:rsidRPr="00553D66">
              <w:rPr>
                <w:sz w:val="20"/>
                <w:lang w:val="en-US"/>
              </w:rPr>
              <w:t>1.46</w:t>
            </w:r>
          </w:p>
        </w:tc>
        <w:tc>
          <w:tcPr>
            <w:tcW w:w="1341" w:type="dxa"/>
          </w:tcPr>
          <w:p w:rsidR="00406F2D" w:rsidRPr="00553D66" w:rsidRDefault="00406F2D" w:rsidP="00406F2D">
            <w:pPr>
              <w:pStyle w:val="tabletextNS"/>
              <w:spacing w:before="20" w:after="20"/>
              <w:jc w:val="center"/>
              <w:rPr>
                <w:sz w:val="20"/>
                <w:lang w:val="en-US"/>
              </w:rPr>
            </w:pPr>
            <w:r w:rsidRPr="00553D66">
              <w:rPr>
                <w:sz w:val="20"/>
                <w:lang w:val="en-US"/>
              </w:rPr>
              <w:t>0</w:t>
            </w:r>
          </w:p>
        </w:tc>
        <w:tc>
          <w:tcPr>
            <w:tcW w:w="1278" w:type="dxa"/>
          </w:tcPr>
          <w:p w:rsidR="00406F2D" w:rsidRPr="00553D66" w:rsidRDefault="00406F2D" w:rsidP="00406F2D">
            <w:pPr>
              <w:pStyle w:val="tabletextNS"/>
              <w:spacing w:before="20" w:after="20"/>
              <w:jc w:val="center"/>
              <w:rPr>
                <w:sz w:val="20"/>
                <w:lang w:val="en-US"/>
              </w:rPr>
            </w:pPr>
            <w:r w:rsidRPr="00553D66">
              <w:rPr>
                <w:sz w:val="20"/>
                <w:lang w:val="en-US"/>
              </w:rPr>
              <w:t>0</w:t>
            </w:r>
          </w:p>
        </w:tc>
        <w:tc>
          <w:tcPr>
            <w:tcW w:w="1444" w:type="dxa"/>
          </w:tcPr>
          <w:p w:rsidR="00406F2D" w:rsidRPr="00553D66" w:rsidRDefault="00406F2D" w:rsidP="00406F2D">
            <w:pPr>
              <w:pStyle w:val="tabletextNS"/>
              <w:spacing w:before="20" w:after="20"/>
              <w:jc w:val="center"/>
              <w:rPr>
                <w:sz w:val="20"/>
                <w:lang w:val="en-US"/>
              </w:rPr>
            </w:pPr>
            <w:r w:rsidRPr="00553D66">
              <w:rPr>
                <w:sz w:val="20"/>
                <w:lang w:val="en-US"/>
              </w:rPr>
              <w:t>0</w:t>
            </w:r>
          </w:p>
        </w:tc>
      </w:tr>
      <w:tr w:rsidR="00406F2D" w:rsidRPr="00553D66" w:rsidTr="00406F2D">
        <w:tc>
          <w:tcPr>
            <w:tcW w:w="1964" w:type="dxa"/>
            <w:tcBorders>
              <w:bottom w:val="single" w:sz="4" w:space="0" w:color="auto"/>
            </w:tcBorders>
          </w:tcPr>
          <w:p w:rsidR="00406F2D" w:rsidRPr="00553D66" w:rsidRDefault="00406F2D" w:rsidP="00406F2D">
            <w:pPr>
              <w:pStyle w:val="tabletextNS"/>
              <w:spacing w:before="20" w:after="20"/>
              <w:rPr>
                <w:sz w:val="20"/>
                <w:lang w:val="en-US"/>
              </w:rPr>
            </w:pPr>
            <w:proofErr w:type="spellStart"/>
            <w:r w:rsidRPr="00553D66">
              <w:rPr>
                <w:sz w:val="20"/>
                <w:lang w:val="en-US"/>
              </w:rPr>
              <w:t>Dysgeusia</w:t>
            </w:r>
            <w:proofErr w:type="spellEnd"/>
          </w:p>
        </w:tc>
        <w:tc>
          <w:tcPr>
            <w:tcW w:w="1296" w:type="dxa"/>
            <w:tcBorders>
              <w:bottom w:val="single" w:sz="4" w:space="0" w:color="auto"/>
            </w:tcBorders>
          </w:tcPr>
          <w:p w:rsidR="00406F2D" w:rsidRPr="00553D66" w:rsidRDefault="00406F2D" w:rsidP="00406F2D">
            <w:pPr>
              <w:pStyle w:val="tabletextNS"/>
              <w:spacing w:before="20" w:after="20"/>
              <w:jc w:val="center"/>
              <w:rPr>
                <w:sz w:val="20"/>
                <w:lang w:val="en-US"/>
              </w:rPr>
            </w:pPr>
            <w:r w:rsidRPr="00553D66">
              <w:rPr>
                <w:sz w:val="20"/>
                <w:lang w:val="en-US"/>
              </w:rPr>
              <w:t>0</w:t>
            </w:r>
          </w:p>
        </w:tc>
        <w:tc>
          <w:tcPr>
            <w:tcW w:w="1314" w:type="dxa"/>
            <w:tcBorders>
              <w:bottom w:val="single" w:sz="4" w:space="0" w:color="auto"/>
            </w:tcBorders>
          </w:tcPr>
          <w:p w:rsidR="00406F2D" w:rsidRPr="00553D66" w:rsidRDefault="00406F2D" w:rsidP="00406F2D">
            <w:pPr>
              <w:pStyle w:val="tabletextNS"/>
              <w:spacing w:before="20" w:after="20"/>
              <w:jc w:val="center"/>
              <w:rPr>
                <w:sz w:val="20"/>
                <w:lang w:val="en-US"/>
              </w:rPr>
            </w:pPr>
            <w:r w:rsidRPr="00553D66">
              <w:rPr>
                <w:sz w:val="20"/>
                <w:lang w:val="en-US"/>
              </w:rPr>
              <w:t>1.46</w:t>
            </w:r>
          </w:p>
        </w:tc>
        <w:tc>
          <w:tcPr>
            <w:tcW w:w="1341" w:type="dxa"/>
            <w:tcBorders>
              <w:bottom w:val="single" w:sz="4" w:space="0" w:color="auto"/>
            </w:tcBorders>
          </w:tcPr>
          <w:p w:rsidR="00406F2D" w:rsidRPr="00553D66" w:rsidRDefault="00406F2D" w:rsidP="00406F2D">
            <w:pPr>
              <w:pStyle w:val="tabletextNS"/>
              <w:spacing w:before="20" w:after="20"/>
              <w:jc w:val="center"/>
              <w:rPr>
                <w:sz w:val="20"/>
                <w:lang w:val="en-US"/>
              </w:rPr>
            </w:pPr>
            <w:r w:rsidRPr="00553D66">
              <w:rPr>
                <w:sz w:val="20"/>
                <w:lang w:val="en-US"/>
              </w:rPr>
              <w:t>0</w:t>
            </w:r>
          </w:p>
        </w:tc>
        <w:tc>
          <w:tcPr>
            <w:tcW w:w="1278" w:type="dxa"/>
            <w:tcBorders>
              <w:bottom w:val="single" w:sz="4" w:space="0" w:color="auto"/>
            </w:tcBorders>
          </w:tcPr>
          <w:p w:rsidR="00406F2D" w:rsidRPr="00553D66" w:rsidRDefault="00406F2D" w:rsidP="00406F2D">
            <w:pPr>
              <w:pStyle w:val="tabletextNS"/>
              <w:spacing w:before="20" w:after="20"/>
              <w:jc w:val="center"/>
              <w:rPr>
                <w:sz w:val="20"/>
                <w:lang w:val="en-US"/>
              </w:rPr>
            </w:pPr>
            <w:r w:rsidRPr="00553D66">
              <w:rPr>
                <w:sz w:val="20"/>
                <w:lang w:val="en-US"/>
              </w:rPr>
              <w:t>0</w:t>
            </w:r>
          </w:p>
        </w:tc>
        <w:tc>
          <w:tcPr>
            <w:tcW w:w="1444" w:type="dxa"/>
            <w:tcBorders>
              <w:bottom w:val="single" w:sz="4" w:space="0" w:color="auto"/>
            </w:tcBorders>
          </w:tcPr>
          <w:p w:rsidR="00406F2D" w:rsidRPr="00553D66" w:rsidRDefault="00406F2D" w:rsidP="00406F2D">
            <w:pPr>
              <w:pStyle w:val="tabletextNS"/>
              <w:spacing w:before="20" w:after="20"/>
              <w:jc w:val="center"/>
              <w:rPr>
                <w:sz w:val="20"/>
                <w:lang w:val="en-US"/>
              </w:rPr>
            </w:pPr>
            <w:r w:rsidRPr="00553D66">
              <w:rPr>
                <w:sz w:val="20"/>
                <w:lang w:val="en-US"/>
              </w:rPr>
              <w:t>0</w:t>
            </w:r>
          </w:p>
        </w:tc>
      </w:tr>
    </w:tbl>
    <w:p w:rsidR="003C639F" w:rsidRPr="00A4054E" w:rsidRDefault="00BC7880" w:rsidP="003C639F">
      <w:pPr>
        <w:ind w:left="360"/>
        <w:rPr>
          <w:rFonts w:ascii="Arial" w:hAnsi="Arial" w:cs="Arial"/>
        </w:rPr>
      </w:pPr>
      <w:r w:rsidRPr="00553D66">
        <w:t xml:space="preserve">* </w:t>
      </w:r>
      <w:r w:rsidRPr="00553D66">
        <w:rPr>
          <w:rFonts w:ascii="Arial" w:hAnsi="Arial" w:cs="Arial"/>
          <w:sz w:val="18"/>
        </w:rPr>
        <w:t>Causality was determined by the investigator to be drug related</w:t>
      </w:r>
    </w:p>
    <w:p w:rsidR="00680223" w:rsidRPr="00453BA1" w:rsidRDefault="00680223" w:rsidP="00A30798">
      <w:pPr>
        <w:jc w:val="both"/>
        <w:rPr>
          <w:rFonts w:ascii="Arial" w:hAnsi="Arial" w:cs="Arial"/>
          <w:color w:val="0000FF"/>
          <w:sz w:val="22"/>
          <w:szCs w:val="22"/>
        </w:rPr>
      </w:pPr>
    </w:p>
    <w:p w:rsidR="008B4A39" w:rsidRDefault="00680223">
      <w:pPr>
        <w:keepNext/>
        <w:rPr>
          <w:rFonts w:ascii="Arial" w:hAnsi="Arial" w:cs="Arial"/>
          <w:sz w:val="22"/>
          <w:szCs w:val="22"/>
        </w:rPr>
      </w:pPr>
      <w:r w:rsidRPr="00F65D5C">
        <w:rPr>
          <w:rFonts w:ascii="Arial" w:hAnsi="Arial" w:cs="Arial"/>
          <w:sz w:val="22"/>
          <w:szCs w:val="22"/>
        </w:rPr>
        <w:t xml:space="preserve">Data from large clinical trials were used to determine the frequency of adverse reactions. </w:t>
      </w:r>
    </w:p>
    <w:p w:rsidR="008B4A39" w:rsidRDefault="00680223">
      <w:pPr>
        <w:keepNext/>
        <w:rPr>
          <w:rFonts w:ascii="Arial" w:hAnsi="Arial" w:cs="Arial"/>
          <w:sz w:val="22"/>
          <w:szCs w:val="22"/>
        </w:rPr>
      </w:pPr>
      <w:r w:rsidRPr="00F65D5C">
        <w:rPr>
          <w:rFonts w:ascii="Arial" w:hAnsi="Arial" w:cs="Arial"/>
          <w:sz w:val="22"/>
          <w:szCs w:val="22"/>
        </w:rPr>
        <w:t>The following convention has been used for the classification of frequency:</w:t>
      </w:r>
    </w:p>
    <w:p w:rsidR="008B4A39" w:rsidRDefault="008B4A39">
      <w:pPr>
        <w:keepNext/>
        <w:rPr>
          <w:rFonts w:ascii="Arial" w:hAnsi="Arial" w:cs="Arial"/>
          <w:sz w:val="22"/>
          <w:szCs w:val="22"/>
        </w:rPr>
      </w:pPr>
    </w:p>
    <w:tbl>
      <w:tblPr>
        <w:tblW w:w="0" w:type="auto"/>
        <w:tblInd w:w="108" w:type="dxa"/>
        <w:tblLayout w:type="fixed"/>
        <w:tblLook w:val="0000"/>
      </w:tblPr>
      <w:tblGrid>
        <w:gridCol w:w="920"/>
        <w:gridCol w:w="6999"/>
      </w:tblGrid>
      <w:tr w:rsidR="00680223" w:rsidRPr="00F65D5C" w:rsidTr="00680223">
        <w:trPr>
          <w:cantSplit/>
        </w:trPr>
        <w:tc>
          <w:tcPr>
            <w:tcW w:w="920" w:type="dxa"/>
            <w:shd w:val="clear" w:color="auto" w:fill="auto"/>
          </w:tcPr>
          <w:p w:rsidR="008B4A39" w:rsidRDefault="008B4A39">
            <w:pPr>
              <w:keepNext/>
              <w:rPr>
                <w:rFonts w:ascii="Arial" w:hAnsi="Arial" w:cs="Arial"/>
                <w:sz w:val="22"/>
                <w:szCs w:val="22"/>
              </w:rPr>
            </w:pPr>
          </w:p>
        </w:tc>
        <w:tc>
          <w:tcPr>
            <w:tcW w:w="6999" w:type="dxa"/>
            <w:shd w:val="clear" w:color="auto" w:fill="auto"/>
          </w:tcPr>
          <w:p w:rsidR="008B4A39" w:rsidRDefault="00680223">
            <w:pPr>
              <w:keepNext/>
              <w:rPr>
                <w:rFonts w:ascii="Arial" w:hAnsi="Arial" w:cs="Arial"/>
                <w:sz w:val="22"/>
                <w:szCs w:val="22"/>
              </w:rPr>
            </w:pPr>
            <w:r w:rsidRPr="00F65D5C">
              <w:rPr>
                <w:rFonts w:ascii="Arial" w:hAnsi="Arial" w:cs="Arial"/>
                <w:sz w:val="22"/>
                <w:szCs w:val="22"/>
              </w:rPr>
              <w:t xml:space="preserve">Very common </w:t>
            </w:r>
            <w:r w:rsidRPr="00F65D5C">
              <w:rPr>
                <w:rFonts w:ascii="Arial" w:hAnsi="Arial" w:cs="Arial"/>
                <w:sz w:val="22"/>
                <w:szCs w:val="22"/>
                <w:u w:val="single"/>
              </w:rPr>
              <w:t>&gt;</w:t>
            </w:r>
            <w:r w:rsidRPr="00F65D5C">
              <w:rPr>
                <w:rFonts w:ascii="Arial" w:hAnsi="Arial" w:cs="Arial"/>
                <w:sz w:val="22"/>
                <w:szCs w:val="22"/>
              </w:rPr>
              <w:t>1/10</w:t>
            </w:r>
          </w:p>
        </w:tc>
      </w:tr>
      <w:tr w:rsidR="00680223" w:rsidRPr="00F65D5C" w:rsidTr="00680223">
        <w:trPr>
          <w:cantSplit/>
        </w:trPr>
        <w:tc>
          <w:tcPr>
            <w:tcW w:w="920" w:type="dxa"/>
            <w:shd w:val="clear" w:color="auto" w:fill="auto"/>
          </w:tcPr>
          <w:p w:rsidR="008B4A39" w:rsidRDefault="008B4A39">
            <w:pPr>
              <w:keepNext/>
              <w:rPr>
                <w:rFonts w:ascii="Arial" w:hAnsi="Arial" w:cs="Arial"/>
                <w:sz w:val="22"/>
                <w:szCs w:val="22"/>
              </w:rPr>
            </w:pPr>
          </w:p>
        </w:tc>
        <w:tc>
          <w:tcPr>
            <w:tcW w:w="6999" w:type="dxa"/>
            <w:shd w:val="clear" w:color="auto" w:fill="auto"/>
          </w:tcPr>
          <w:p w:rsidR="008B4A39" w:rsidRDefault="00680223">
            <w:pPr>
              <w:keepNext/>
              <w:rPr>
                <w:rFonts w:ascii="Arial" w:hAnsi="Arial" w:cs="Arial"/>
                <w:sz w:val="22"/>
                <w:szCs w:val="22"/>
              </w:rPr>
            </w:pPr>
            <w:r w:rsidRPr="00F65D5C">
              <w:rPr>
                <w:rFonts w:ascii="Arial" w:hAnsi="Arial" w:cs="Arial"/>
                <w:sz w:val="22"/>
                <w:szCs w:val="22"/>
              </w:rPr>
              <w:t xml:space="preserve">Common </w:t>
            </w:r>
            <w:r w:rsidRPr="00F65D5C">
              <w:rPr>
                <w:rFonts w:ascii="Arial" w:hAnsi="Arial" w:cs="Arial"/>
                <w:sz w:val="22"/>
                <w:szCs w:val="22"/>
                <w:u w:val="single"/>
              </w:rPr>
              <w:t>&gt;</w:t>
            </w:r>
            <w:r w:rsidRPr="00F65D5C">
              <w:rPr>
                <w:rFonts w:ascii="Arial" w:hAnsi="Arial" w:cs="Arial"/>
                <w:sz w:val="22"/>
                <w:szCs w:val="22"/>
              </w:rPr>
              <w:t>1/100 and &lt;1/10</w:t>
            </w:r>
          </w:p>
        </w:tc>
      </w:tr>
      <w:tr w:rsidR="00680223" w:rsidRPr="00F65D5C" w:rsidTr="00680223">
        <w:trPr>
          <w:cantSplit/>
        </w:trPr>
        <w:tc>
          <w:tcPr>
            <w:tcW w:w="920" w:type="dxa"/>
            <w:shd w:val="clear" w:color="auto" w:fill="auto"/>
          </w:tcPr>
          <w:p w:rsidR="008B4A39" w:rsidRDefault="008B4A39">
            <w:pPr>
              <w:keepNext/>
              <w:rPr>
                <w:rFonts w:ascii="Arial" w:hAnsi="Arial" w:cs="Arial"/>
                <w:sz w:val="22"/>
                <w:szCs w:val="22"/>
              </w:rPr>
            </w:pPr>
          </w:p>
        </w:tc>
        <w:tc>
          <w:tcPr>
            <w:tcW w:w="6999" w:type="dxa"/>
            <w:shd w:val="clear" w:color="auto" w:fill="auto"/>
          </w:tcPr>
          <w:p w:rsidR="008B4A39" w:rsidRDefault="00680223">
            <w:pPr>
              <w:keepNext/>
              <w:rPr>
                <w:rFonts w:ascii="Arial" w:hAnsi="Arial" w:cs="Arial"/>
                <w:sz w:val="22"/>
                <w:szCs w:val="22"/>
              </w:rPr>
            </w:pPr>
            <w:r w:rsidRPr="00F65D5C">
              <w:rPr>
                <w:rFonts w:ascii="Arial" w:hAnsi="Arial" w:cs="Arial"/>
                <w:sz w:val="22"/>
                <w:szCs w:val="22"/>
              </w:rPr>
              <w:t xml:space="preserve">Uncommon </w:t>
            </w:r>
            <w:r w:rsidRPr="00F65D5C">
              <w:rPr>
                <w:rFonts w:ascii="Arial" w:hAnsi="Arial" w:cs="Arial"/>
                <w:sz w:val="22"/>
                <w:szCs w:val="22"/>
                <w:u w:val="single"/>
              </w:rPr>
              <w:t>&gt;</w:t>
            </w:r>
            <w:r w:rsidRPr="00F65D5C">
              <w:rPr>
                <w:rFonts w:ascii="Arial" w:hAnsi="Arial" w:cs="Arial"/>
                <w:sz w:val="22"/>
                <w:szCs w:val="22"/>
              </w:rPr>
              <w:t>1/1000 and &lt;1/100</w:t>
            </w:r>
          </w:p>
        </w:tc>
      </w:tr>
      <w:tr w:rsidR="00680223" w:rsidRPr="00F65D5C" w:rsidTr="00680223">
        <w:trPr>
          <w:cantSplit/>
        </w:trPr>
        <w:tc>
          <w:tcPr>
            <w:tcW w:w="920" w:type="dxa"/>
            <w:shd w:val="clear" w:color="auto" w:fill="auto"/>
          </w:tcPr>
          <w:p w:rsidR="008B4A39" w:rsidRDefault="008B4A39">
            <w:pPr>
              <w:keepNext/>
              <w:rPr>
                <w:rFonts w:ascii="Arial" w:hAnsi="Arial" w:cs="Arial"/>
                <w:sz w:val="22"/>
                <w:szCs w:val="22"/>
              </w:rPr>
            </w:pPr>
          </w:p>
        </w:tc>
        <w:tc>
          <w:tcPr>
            <w:tcW w:w="6999" w:type="dxa"/>
            <w:shd w:val="clear" w:color="auto" w:fill="auto"/>
          </w:tcPr>
          <w:p w:rsidR="008B4A39" w:rsidRDefault="00680223">
            <w:pPr>
              <w:keepNext/>
              <w:rPr>
                <w:rFonts w:ascii="Arial" w:hAnsi="Arial" w:cs="Arial"/>
                <w:sz w:val="22"/>
                <w:szCs w:val="22"/>
              </w:rPr>
            </w:pPr>
            <w:r w:rsidRPr="00F65D5C">
              <w:rPr>
                <w:rFonts w:ascii="Arial" w:hAnsi="Arial" w:cs="Arial"/>
                <w:sz w:val="22"/>
                <w:szCs w:val="22"/>
              </w:rPr>
              <w:t xml:space="preserve">Rare </w:t>
            </w:r>
            <w:r w:rsidRPr="00F65D5C">
              <w:rPr>
                <w:rFonts w:ascii="Arial" w:hAnsi="Arial" w:cs="Arial"/>
                <w:sz w:val="22"/>
                <w:szCs w:val="22"/>
                <w:u w:val="single"/>
              </w:rPr>
              <w:t>&gt;</w:t>
            </w:r>
            <w:r w:rsidRPr="00F65D5C">
              <w:rPr>
                <w:rFonts w:ascii="Arial" w:hAnsi="Arial" w:cs="Arial"/>
                <w:sz w:val="22"/>
                <w:szCs w:val="22"/>
              </w:rPr>
              <w:t>1/10,000 and &lt;1/1000</w:t>
            </w:r>
          </w:p>
        </w:tc>
      </w:tr>
      <w:tr w:rsidR="00680223" w:rsidRPr="00F65D5C" w:rsidTr="00680223">
        <w:trPr>
          <w:cantSplit/>
        </w:trPr>
        <w:tc>
          <w:tcPr>
            <w:tcW w:w="920" w:type="dxa"/>
            <w:shd w:val="clear" w:color="auto" w:fill="auto"/>
          </w:tcPr>
          <w:p w:rsidR="008B4A39" w:rsidRDefault="008B4A39">
            <w:pPr>
              <w:keepNext/>
              <w:rPr>
                <w:rFonts w:ascii="Arial" w:hAnsi="Arial" w:cs="Arial"/>
                <w:sz w:val="22"/>
                <w:szCs w:val="22"/>
              </w:rPr>
            </w:pPr>
          </w:p>
        </w:tc>
        <w:tc>
          <w:tcPr>
            <w:tcW w:w="6999" w:type="dxa"/>
            <w:shd w:val="clear" w:color="auto" w:fill="auto"/>
          </w:tcPr>
          <w:p w:rsidR="008B4A39" w:rsidRDefault="00680223">
            <w:pPr>
              <w:keepNext/>
              <w:rPr>
                <w:rFonts w:ascii="Arial" w:hAnsi="Arial" w:cs="Arial"/>
                <w:sz w:val="22"/>
                <w:szCs w:val="22"/>
              </w:rPr>
            </w:pPr>
            <w:r w:rsidRPr="00F65D5C">
              <w:rPr>
                <w:rFonts w:ascii="Arial" w:hAnsi="Arial" w:cs="Arial"/>
                <w:sz w:val="22"/>
                <w:szCs w:val="22"/>
              </w:rPr>
              <w:t xml:space="preserve">Very rare &lt;1/10,000.  </w:t>
            </w:r>
          </w:p>
        </w:tc>
      </w:tr>
    </w:tbl>
    <w:p w:rsidR="00E358C7" w:rsidRPr="00F65D5C" w:rsidRDefault="00E358C7" w:rsidP="003B6388">
      <w:pPr>
        <w:pStyle w:val="NoNumHead3"/>
      </w:pPr>
    </w:p>
    <w:p w:rsidR="00680223" w:rsidRPr="00F65D5C" w:rsidRDefault="00680223" w:rsidP="003B6388">
      <w:pPr>
        <w:pStyle w:val="NoNumHead3"/>
      </w:pPr>
      <w:r w:rsidRPr="00F65D5C">
        <w:t>Clinical Trial Data</w:t>
      </w:r>
      <w:r w:rsidR="003B6388">
        <w:t>:</w:t>
      </w:r>
    </w:p>
    <w:p w:rsidR="00680223" w:rsidRPr="00F65D5C" w:rsidRDefault="00680223" w:rsidP="00A30798">
      <w:pPr>
        <w:pStyle w:val="anchor"/>
        <w:rPr>
          <w:rFonts w:ascii="Arial" w:hAnsi="Arial" w:cs="Arial"/>
          <w:sz w:val="22"/>
          <w:szCs w:val="22"/>
        </w:rPr>
      </w:pPr>
    </w:p>
    <w:tbl>
      <w:tblPr>
        <w:tblW w:w="0" w:type="auto"/>
        <w:tblInd w:w="108" w:type="dxa"/>
        <w:tblLayout w:type="fixed"/>
        <w:tblLook w:val="0000"/>
      </w:tblPr>
      <w:tblGrid>
        <w:gridCol w:w="2127"/>
        <w:gridCol w:w="5953"/>
      </w:tblGrid>
      <w:tr w:rsidR="00406F2D" w:rsidRPr="00F65D5C" w:rsidTr="003B6388">
        <w:trPr>
          <w:cantSplit/>
        </w:trPr>
        <w:tc>
          <w:tcPr>
            <w:tcW w:w="8080" w:type="dxa"/>
            <w:gridSpan w:val="2"/>
            <w:shd w:val="clear" w:color="auto" w:fill="auto"/>
          </w:tcPr>
          <w:p w:rsidR="003B6388" w:rsidRPr="00F65D5C" w:rsidRDefault="00406F2D" w:rsidP="003B6388">
            <w:pPr>
              <w:rPr>
                <w:rFonts w:ascii="Arial" w:hAnsi="Arial" w:cs="Arial"/>
                <w:sz w:val="22"/>
                <w:szCs w:val="22"/>
              </w:rPr>
            </w:pPr>
            <w:r w:rsidRPr="00F65D5C">
              <w:rPr>
                <w:rFonts w:ascii="Arial" w:hAnsi="Arial" w:cs="Arial"/>
                <w:b/>
                <w:i/>
                <w:sz w:val="22"/>
                <w:szCs w:val="22"/>
              </w:rPr>
              <w:t>General disorders and administration site condition</w:t>
            </w:r>
            <w:r w:rsidR="003B6388">
              <w:rPr>
                <w:rFonts w:ascii="Arial" w:hAnsi="Arial" w:cs="Arial"/>
                <w:b/>
                <w:i/>
                <w:sz w:val="22"/>
                <w:szCs w:val="22"/>
              </w:rPr>
              <w:t>s</w:t>
            </w:r>
            <w:r w:rsidRPr="00F65D5C">
              <w:rPr>
                <w:rFonts w:ascii="Arial" w:hAnsi="Arial" w:cs="Arial"/>
                <w:sz w:val="22"/>
                <w:szCs w:val="22"/>
              </w:rPr>
              <w:t xml:space="preserve"> </w:t>
            </w:r>
          </w:p>
        </w:tc>
      </w:tr>
      <w:tr w:rsidR="00680223" w:rsidRPr="00F65D5C" w:rsidTr="003B6388">
        <w:trPr>
          <w:cantSplit/>
        </w:trPr>
        <w:tc>
          <w:tcPr>
            <w:tcW w:w="2127" w:type="dxa"/>
            <w:shd w:val="clear" w:color="auto" w:fill="auto"/>
          </w:tcPr>
          <w:p w:rsidR="003B6388" w:rsidRDefault="003B6388" w:rsidP="00A30798">
            <w:pPr>
              <w:pStyle w:val="TableCell"/>
              <w:rPr>
                <w:rFonts w:ascii="Arial" w:hAnsi="Arial" w:cs="Arial"/>
                <w:sz w:val="22"/>
                <w:szCs w:val="22"/>
              </w:rPr>
            </w:pPr>
          </w:p>
          <w:p w:rsidR="00680223" w:rsidRDefault="00680223" w:rsidP="00A30798">
            <w:pPr>
              <w:pStyle w:val="TableCell"/>
              <w:rPr>
                <w:rFonts w:ascii="Arial" w:hAnsi="Arial" w:cs="Arial"/>
                <w:sz w:val="22"/>
                <w:szCs w:val="22"/>
              </w:rPr>
            </w:pPr>
            <w:r w:rsidRPr="00F65D5C">
              <w:rPr>
                <w:rFonts w:ascii="Arial" w:hAnsi="Arial" w:cs="Arial"/>
                <w:sz w:val="22"/>
                <w:szCs w:val="22"/>
              </w:rPr>
              <w:t xml:space="preserve">Common: </w:t>
            </w:r>
          </w:p>
          <w:p w:rsidR="00406F2D" w:rsidRPr="00F65D5C" w:rsidRDefault="00406F2D" w:rsidP="00A30798">
            <w:pPr>
              <w:pStyle w:val="TableCell"/>
              <w:rPr>
                <w:rFonts w:ascii="Arial" w:hAnsi="Arial" w:cs="Arial"/>
                <w:sz w:val="22"/>
                <w:szCs w:val="22"/>
              </w:rPr>
            </w:pPr>
          </w:p>
        </w:tc>
        <w:tc>
          <w:tcPr>
            <w:tcW w:w="5953" w:type="dxa"/>
            <w:shd w:val="clear" w:color="auto" w:fill="auto"/>
          </w:tcPr>
          <w:p w:rsidR="003B6388" w:rsidRDefault="003B6388" w:rsidP="00A4054E">
            <w:pPr>
              <w:rPr>
                <w:rStyle w:val="CSIchar"/>
                <w:rFonts w:ascii="Arial" w:hAnsi="Arial" w:cs="Arial"/>
                <w:sz w:val="22"/>
                <w:szCs w:val="22"/>
              </w:rPr>
            </w:pPr>
          </w:p>
          <w:p w:rsidR="00680223" w:rsidRPr="00A4054E" w:rsidRDefault="00406F2D" w:rsidP="00A4054E">
            <w:pPr>
              <w:rPr>
                <w:rFonts w:ascii="Arial" w:hAnsi="Arial" w:cs="Arial"/>
                <w:sz w:val="22"/>
                <w:szCs w:val="22"/>
              </w:rPr>
            </w:pPr>
            <w:r w:rsidRPr="00A4054E">
              <w:rPr>
                <w:rFonts w:ascii="Arial" w:hAnsi="Arial" w:cs="Arial"/>
                <w:sz w:val="22"/>
                <w:szCs w:val="22"/>
              </w:rPr>
              <w:t xml:space="preserve">Application site reactions: </w:t>
            </w:r>
            <w:r w:rsidR="00680223" w:rsidRPr="00A4054E">
              <w:rPr>
                <w:rFonts w:ascii="Arial" w:hAnsi="Arial" w:cs="Arial"/>
                <w:sz w:val="22"/>
                <w:szCs w:val="22"/>
              </w:rPr>
              <w:t xml:space="preserve">irritation </w:t>
            </w:r>
          </w:p>
        </w:tc>
      </w:tr>
      <w:tr w:rsidR="00680223" w:rsidRPr="00F65D5C" w:rsidTr="003B6388">
        <w:trPr>
          <w:cantSplit/>
        </w:trPr>
        <w:tc>
          <w:tcPr>
            <w:tcW w:w="2127" w:type="dxa"/>
            <w:shd w:val="clear" w:color="auto" w:fill="auto"/>
          </w:tcPr>
          <w:p w:rsidR="003B6388" w:rsidRDefault="003B6388" w:rsidP="00A30798">
            <w:pPr>
              <w:pStyle w:val="TableCell"/>
              <w:rPr>
                <w:rFonts w:ascii="Arial" w:hAnsi="Arial" w:cs="Arial"/>
                <w:sz w:val="22"/>
                <w:szCs w:val="22"/>
              </w:rPr>
            </w:pPr>
          </w:p>
          <w:p w:rsidR="00680223" w:rsidRPr="00F65D5C" w:rsidRDefault="00680223" w:rsidP="00A30798">
            <w:pPr>
              <w:pStyle w:val="TableCell"/>
              <w:rPr>
                <w:rFonts w:ascii="Arial" w:hAnsi="Arial" w:cs="Arial"/>
                <w:sz w:val="22"/>
                <w:szCs w:val="22"/>
              </w:rPr>
            </w:pPr>
            <w:r w:rsidRPr="00F65D5C">
              <w:rPr>
                <w:rFonts w:ascii="Arial" w:hAnsi="Arial" w:cs="Arial"/>
                <w:sz w:val="22"/>
                <w:szCs w:val="22"/>
              </w:rPr>
              <w:t xml:space="preserve">Uncommon: </w:t>
            </w:r>
          </w:p>
        </w:tc>
        <w:tc>
          <w:tcPr>
            <w:tcW w:w="5953" w:type="dxa"/>
            <w:shd w:val="clear" w:color="auto" w:fill="auto"/>
          </w:tcPr>
          <w:p w:rsidR="003B6388" w:rsidRPr="00A4054E" w:rsidRDefault="003B6388" w:rsidP="00A4054E">
            <w:pPr>
              <w:rPr>
                <w:rFonts w:ascii="Arial" w:hAnsi="Arial" w:cs="Arial"/>
                <w:sz w:val="22"/>
                <w:szCs w:val="22"/>
              </w:rPr>
            </w:pPr>
          </w:p>
          <w:p w:rsidR="00680223" w:rsidRPr="00A4054E" w:rsidRDefault="00406F2D" w:rsidP="00A4054E">
            <w:pPr>
              <w:rPr>
                <w:rFonts w:ascii="Arial" w:hAnsi="Arial" w:cs="Arial"/>
                <w:sz w:val="22"/>
                <w:szCs w:val="22"/>
              </w:rPr>
            </w:pPr>
            <w:r w:rsidRPr="00A4054E">
              <w:rPr>
                <w:rFonts w:ascii="Arial" w:hAnsi="Arial" w:cs="Arial"/>
                <w:sz w:val="22"/>
                <w:szCs w:val="22"/>
              </w:rPr>
              <w:t xml:space="preserve">Application site reactions: </w:t>
            </w:r>
            <w:proofErr w:type="spellStart"/>
            <w:r w:rsidR="00680223" w:rsidRPr="00A4054E">
              <w:rPr>
                <w:rFonts w:ascii="Arial" w:hAnsi="Arial" w:cs="Arial"/>
                <w:sz w:val="22"/>
                <w:szCs w:val="22"/>
              </w:rPr>
              <w:t>pruritus</w:t>
            </w:r>
            <w:proofErr w:type="spellEnd"/>
            <w:r w:rsidR="00680223" w:rsidRPr="00A4054E">
              <w:rPr>
                <w:rFonts w:ascii="Arial" w:hAnsi="Arial" w:cs="Arial"/>
                <w:sz w:val="22"/>
                <w:szCs w:val="22"/>
              </w:rPr>
              <w:t xml:space="preserve">, pain, </w:t>
            </w:r>
            <w:proofErr w:type="spellStart"/>
            <w:r w:rsidR="00680223" w:rsidRPr="00A4054E">
              <w:rPr>
                <w:rFonts w:ascii="Arial" w:hAnsi="Arial" w:cs="Arial"/>
                <w:sz w:val="22"/>
                <w:szCs w:val="22"/>
              </w:rPr>
              <w:t>erythema</w:t>
            </w:r>
            <w:proofErr w:type="spellEnd"/>
          </w:p>
          <w:p w:rsidR="003B6388" w:rsidRPr="00A4054E" w:rsidRDefault="003B6388" w:rsidP="00A4054E">
            <w:pPr>
              <w:rPr>
                <w:rFonts w:ascii="Arial" w:hAnsi="Arial" w:cs="Arial"/>
                <w:sz w:val="22"/>
                <w:szCs w:val="22"/>
              </w:rPr>
            </w:pPr>
          </w:p>
        </w:tc>
      </w:tr>
      <w:tr w:rsidR="003B6388" w:rsidRPr="00F65D5C" w:rsidTr="003B6388">
        <w:trPr>
          <w:cantSplit/>
        </w:trPr>
        <w:tc>
          <w:tcPr>
            <w:tcW w:w="8080" w:type="dxa"/>
            <w:gridSpan w:val="2"/>
            <w:shd w:val="clear" w:color="auto" w:fill="auto"/>
          </w:tcPr>
          <w:p w:rsidR="003B6388" w:rsidRDefault="003B6388" w:rsidP="003B6388">
            <w:pPr>
              <w:pStyle w:val="TableCell"/>
              <w:rPr>
                <w:rFonts w:ascii="Arial" w:hAnsi="Arial" w:cs="Arial"/>
                <w:b/>
                <w:i/>
                <w:sz w:val="22"/>
                <w:szCs w:val="22"/>
              </w:rPr>
            </w:pPr>
          </w:p>
          <w:p w:rsidR="003B6388" w:rsidRPr="003B6388" w:rsidRDefault="003B6388" w:rsidP="003B6388">
            <w:pPr>
              <w:pStyle w:val="TableCell"/>
              <w:rPr>
                <w:rFonts w:ascii="Arial" w:hAnsi="Arial" w:cs="Arial"/>
                <w:b/>
                <w:i/>
                <w:sz w:val="22"/>
                <w:szCs w:val="22"/>
              </w:rPr>
            </w:pPr>
            <w:r w:rsidRPr="00F65D5C">
              <w:rPr>
                <w:rFonts w:ascii="Arial" w:hAnsi="Arial" w:cs="Arial"/>
                <w:b/>
                <w:i/>
                <w:sz w:val="22"/>
                <w:szCs w:val="22"/>
              </w:rPr>
              <w:t>Skin and subcutaneous tissue disorder</w:t>
            </w:r>
            <w:r>
              <w:rPr>
                <w:rFonts w:ascii="Arial" w:hAnsi="Arial" w:cs="Arial"/>
                <w:b/>
                <w:i/>
                <w:sz w:val="22"/>
                <w:szCs w:val="22"/>
              </w:rPr>
              <w:t>s</w:t>
            </w:r>
          </w:p>
        </w:tc>
      </w:tr>
      <w:tr w:rsidR="00680223" w:rsidRPr="00F65D5C" w:rsidTr="003B6388">
        <w:trPr>
          <w:cantSplit/>
        </w:trPr>
        <w:tc>
          <w:tcPr>
            <w:tcW w:w="2127" w:type="dxa"/>
            <w:shd w:val="clear" w:color="auto" w:fill="auto"/>
          </w:tcPr>
          <w:p w:rsidR="003B6388" w:rsidRDefault="003B6388" w:rsidP="00A30798">
            <w:pPr>
              <w:pStyle w:val="TableCell"/>
              <w:rPr>
                <w:rFonts w:ascii="Arial" w:hAnsi="Arial" w:cs="Arial"/>
                <w:sz w:val="22"/>
                <w:szCs w:val="22"/>
              </w:rPr>
            </w:pPr>
          </w:p>
          <w:p w:rsidR="00680223" w:rsidRPr="00F65D5C" w:rsidRDefault="00680223" w:rsidP="00A30798">
            <w:pPr>
              <w:pStyle w:val="TableCell"/>
              <w:rPr>
                <w:rFonts w:ascii="Arial" w:hAnsi="Arial" w:cs="Arial"/>
                <w:sz w:val="22"/>
                <w:szCs w:val="22"/>
              </w:rPr>
            </w:pPr>
            <w:r w:rsidRPr="00F65D5C">
              <w:rPr>
                <w:rFonts w:ascii="Arial" w:hAnsi="Arial" w:cs="Arial"/>
                <w:sz w:val="22"/>
                <w:szCs w:val="22"/>
              </w:rPr>
              <w:t xml:space="preserve">Uncommon: </w:t>
            </w:r>
          </w:p>
        </w:tc>
        <w:tc>
          <w:tcPr>
            <w:tcW w:w="5953" w:type="dxa"/>
            <w:shd w:val="clear" w:color="auto" w:fill="auto"/>
          </w:tcPr>
          <w:p w:rsidR="003B6388" w:rsidRDefault="003B6388" w:rsidP="00A30798">
            <w:pPr>
              <w:pStyle w:val="TableCell"/>
              <w:rPr>
                <w:rStyle w:val="CSIchar"/>
                <w:rFonts w:ascii="Arial" w:hAnsi="Arial" w:cs="Arial"/>
                <w:sz w:val="22"/>
                <w:szCs w:val="22"/>
              </w:rPr>
            </w:pPr>
          </w:p>
          <w:p w:rsidR="00680223" w:rsidRPr="00A4054E" w:rsidRDefault="00A4054E" w:rsidP="00A4054E">
            <w:pPr>
              <w:rPr>
                <w:rFonts w:ascii="Arial" w:hAnsi="Arial" w:cs="Arial"/>
                <w:sz w:val="22"/>
                <w:szCs w:val="22"/>
              </w:rPr>
            </w:pPr>
            <w:r w:rsidRPr="00A4054E">
              <w:rPr>
                <w:rFonts w:ascii="Arial" w:hAnsi="Arial" w:cs="Arial"/>
                <w:sz w:val="22"/>
                <w:szCs w:val="22"/>
              </w:rPr>
              <w:t>C</w:t>
            </w:r>
            <w:r w:rsidR="00680223" w:rsidRPr="00A4054E">
              <w:rPr>
                <w:rFonts w:ascii="Arial" w:hAnsi="Arial" w:cs="Arial"/>
                <w:sz w:val="22"/>
                <w:szCs w:val="22"/>
              </w:rPr>
              <w:t>ontact dermatitis</w:t>
            </w:r>
          </w:p>
          <w:p w:rsidR="003B6388" w:rsidRPr="00F65D5C" w:rsidRDefault="003B6388" w:rsidP="00A30798">
            <w:pPr>
              <w:pStyle w:val="TableCell"/>
              <w:rPr>
                <w:rFonts w:ascii="Arial" w:hAnsi="Arial" w:cs="Arial"/>
                <w:sz w:val="22"/>
                <w:szCs w:val="22"/>
              </w:rPr>
            </w:pPr>
          </w:p>
        </w:tc>
      </w:tr>
    </w:tbl>
    <w:p w:rsidR="00680223" w:rsidRDefault="00680223" w:rsidP="00A30798">
      <w:pPr>
        <w:pStyle w:val="Postspace"/>
        <w:spacing w:after="0"/>
        <w:rPr>
          <w:rFonts w:ascii="Arial" w:hAnsi="Arial" w:cs="Arial"/>
          <w:sz w:val="22"/>
          <w:szCs w:val="22"/>
        </w:rPr>
      </w:pPr>
    </w:p>
    <w:p w:rsidR="00680223" w:rsidRPr="003B6388" w:rsidRDefault="003B6388" w:rsidP="003B6388">
      <w:pPr>
        <w:pStyle w:val="NoNumHead3"/>
      </w:pPr>
      <w:proofErr w:type="spellStart"/>
      <w:r w:rsidRPr="003B6388">
        <w:t>P</w:t>
      </w:r>
      <w:r w:rsidR="00680223" w:rsidRPr="003B6388">
        <w:t>ostmarketing</w:t>
      </w:r>
      <w:proofErr w:type="spellEnd"/>
      <w:r w:rsidR="00680223" w:rsidRPr="003B6388">
        <w:t xml:space="preserve"> Data</w:t>
      </w:r>
      <w:r w:rsidRPr="003B6388">
        <w:t>:</w:t>
      </w:r>
    </w:p>
    <w:p w:rsidR="00E358C7" w:rsidRPr="00F65D5C" w:rsidRDefault="00E358C7" w:rsidP="00A30798">
      <w:pPr>
        <w:rPr>
          <w:rFonts w:ascii="Arial" w:hAnsi="Arial" w:cs="Arial"/>
          <w:sz w:val="22"/>
          <w:szCs w:val="22"/>
          <w:lang w:val="en-GB" w:eastAsia="en-US"/>
        </w:rPr>
      </w:pPr>
    </w:p>
    <w:tbl>
      <w:tblPr>
        <w:tblW w:w="0" w:type="auto"/>
        <w:tblInd w:w="108" w:type="dxa"/>
        <w:tblLayout w:type="fixed"/>
        <w:tblLook w:val="0000"/>
      </w:tblPr>
      <w:tblGrid>
        <w:gridCol w:w="2268"/>
        <w:gridCol w:w="5812"/>
      </w:tblGrid>
      <w:tr w:rsidR="003B6388" w:rsidRPr="00F65D5C" w:rsidTr="003B6388">
        <w:trPr>
          <w:cantSplit/>
        </w:trPr>
        <w:tc>
          <w:tcPr>
            <w:tcW w:w="8080" w:type="dxa"/>
            <w:gridSpan w:val="2"/>
            <w:shd w:val="clear" w:color="auto" w:fill="auto"/>
          </w:tcPr>
          <w:p w:rsidR="003B6388" w:rsidRPr="00F65D5C" w:rsidRDefault="003B6388" w:rsidP="00A30798">
            <w:pPr>
              <w:rPr>
                <w:rFonts w:ascii="Arial" w:hAnsi="Arial" w:cs="Arial"/>
                <w:sz w:val="22"/>
                <w:szCs w:val="22"/>
              </w:rPr>
            </w:pPr>
            <w:r w:rsidRPr="00F65D5C">
              <w:rPr>
                <w:rFonts w:ascii="Arial" w:hAnsi="Arial" w:cs="Arial"/>
                <w:b/>
                <w:i/>
                <w:sz w:val="22"/>
                <w:szCs w:val="22"/>
              </w:rPr>
              <w:t>Immune System Disorders</w:t>
            </w:r>
          </w:p>
        </w:tc>
      </w:tr>
      <w:tr w:rsidR="00680223" w:rsidRPr="00F65D5C" w:rsidTr="003B6388">
        <w:trPr>
          <w:cantSplit/>
        </w:trPr>
        <w:tc>
          <w:tcPr>
            <w:tcW w:w="2268" w:type="dxa"/>
            <w:shd w:val="clear" w:color="auto" w:fill="auto"/>
          </w:tcPr>
          <w:p w:rsidR="003B6388" w:rsidRDefault="003B6388" w:rsidP="00A30798">
            <w:pPr>
              <w:rPr>
                <w:rFonts w:ascii="Arial" w:hAnsi="Arial" w:cs="Arial"/>
                <w:sz w:val="22"/>
                <w:szCs w:val="22"/>
                <w:lang w:eastAsia="en-GB"/>
              </w:rPr>
            </w:pPr>
          </w:p>
          <w:p w:rsidR="00680223" w:rsidRDefault="00680223" w:rsidP="00A30798">
            <w:pPr>
              <w:rPr>
                <w:rFonts w:ascii="Arial" w:hAnsi="Arial" w:cs="Arial"/>
                <w:sz w:val="22"/>
                <w:szCs w:val="22"/>
                <w:lang w:eastAsia="en-GB"/>
              </w:rPr>
            </w:pPr>
            <w:r w:rsidRPr="00F65D5C">
              <w:rPr>
                <w:rFonts w:ascii="Arial" w:hAnsi="Arial" w:cs="Arial"/>
                <w:sz w:val="22"/>
                <w:szCs w:val="22"/>
                <w:lang w:eastAsia="en-GB"/>
              </w:rPr>
              <w:t>Unknown:</w:t>
            </w:r>
          </w:p>
          <w:p w:rsidR="003B6388" w:rsidRPr="00F65D5C" w:rsidRDefault="003B6388" w:rsidP="00A30798">
            <w:pPr>
              <w:rPr>
                <w:rFonts w:ascii="Arial" w:hAnsi="Arial" w:cs="Arial"/>
                <w:sz w:val="22"/>
                <w:szCs w:val="22"/>
                <w:lang w:eastAsia="en-GB"/>
              </w:rPr>
            </w:pPr>
          </w:p>
        </w:tc>
        <w:tc>
          <w:tcPr>
            <w:tcW w:w="5812" w:type="dxa"/>
            <w:shd w:val="clear" w:color="auto" w:fill="auto"/>
          </w:tcPr>
          <w:p w:rsidR="003B6388" w:rsidRDefault="003B6388" w:rsidP="00A30798">
            <w:pPr>
              <w:rPr>
                <w:rFonts w:ascii="Arial" w:hAnsi="Arial" w:cs="Arial"/>
                <w:sz w:val="22"/>
                <w:szCs w:val="22"/>
                <w:highlight w:val="lightGray"/>
              </w:rPr>
            </w:pPr>
          </w:p>
          <w:p w:rsidR="00680223" w:rsidRPr="00F65D5C" w:rsidRDefault="00680223" w:rsidP="00A30798">
            <w:pPr>
              <w:rPr>
                <w:rFonts w:ascii="Arial" w:hAnsi="Arial" w:cs="Arial"/>
                <w:sz w:val="22"/>
                <w:szCs w:val="22"/>
              </w:rPr>
            </w:pPr>
            <w:r w:rsidRPr="00A4054E">
              <w:rPr>
                <w:rFonts w:ascii="Arial" w:hAnsi="Arial" w:cs="Arial"/>
                <w:sz w:val="22"/>
                <w:szCs w:val="22"/>
              </w:rPr>
              <w:t xml:space="preserve">Hypersensitivity, including </w:t>
            </w:r>
            <w:proofErr w:type="spellStart"/>
            <w:r w:rsidRPr="00A4054E">
              <w:rPr>
                <w:rFonts w:ascii="Arial" w:hAnsi="Arial" w:cs="Arial"/>
                <w:sz w:val="22"/>
                <w:szCs w:val="22"/>
              </w:rPr>
              <w:t>angioedema</w:t>
            </w:r>
            <w:proofErr w:type="spellEnd"/>
          </w:p>
        </w:tc>
      </w:tr>
      <w:tr w:rsidR="003B6388" w:rsidRPr="00F65D5C" w:rsidTr="003B6388">
        <w:trPr>
          <w:cantSplit/>
        </w:trPr>
        <w:tc>
          <w:tcPr>
            <w:tcW w:w="8080" w:type="dxa"/>
            <w:gridSpan w:val="2"/>
            <w:shd w:val="clear" w:color="auto" w:fill="auto"/>
          </w:tcPr>
          <w:p w:rsidR="003B6388" w:rsidRPr="00F65D5C" w:rsidRDefault="003B6388" w:rsidP="00A30798">
            <w:pPr>
              <w:autoSpaceDE w:val="0"/>
              <w:autoSpaceDN w:val="0"/>
              <w:adjustRightInd w:val="0"/>
              <w:rPr>
                <w:rFonts w:ascii="Arial" w:hAnsi="Arial" w:cs="Arial"/>
                <w:sz w:val="22"/>
                <w:szCs w:val="22"/>
                <w:shd w:val="clear" w:color="auto" w:fill="CCCCCC"/>
                <w:lang w:eastAsia="en-GB"/>
              </w:rPr>
            </w:pPr>
            <w:r w:rsidRPr="00F65D5C">
              <w:rPr>
                <w:rFonts w:ascii="Arial" w:hAnsi="Arial" w:cs="Arial"/>
                <w:b/>
                <w:i/>
                <w:sz w:val="22"/>
                <w:szCs w:val="22"/>
              </w:rPr>
              <w:t>General disorders and administration site conditions</w:t>
            </w:r>
          </w:p>
        </w:tc>
      </w:tr>
      <w:tr w:rsidR="00680223" w:rsidRPr="00F65D5C" w:rsidTr="003B6388">
        <w:trPr>
          <w:cantSplit/>
        </w:trPr>
        <w:tc>
          <w:tcPr>
            <w:tcW w:w="2268" w:type="dxa"/>
            <w:shd w:val="clear" w:color="auto" w:fill="auto"/>
          </w:tcPr>
          <w:p w:rsidR="003B6388" w:rsidRDefault="003B6388" w:rsidP="00A30798">
            <w:pPr>
              <w:pStyle w:val="TableCell"/>
              <w:rPr>
                <w:rFonts w:ascii="Arial" w:hAnsi="Arial" w:cs="Arial"/>
                <w:sz w:val="22"/>
                <w:szCs w:val="22"/>
                <w:lang w:eastAsia="en-GB"/>
              </w:rPr>
            </w:pPr>
          </w:p>
          <w:p w:rsidR="00680223" w:rsidRDefault="00680223" w:rsidP="00A30798">
            <w:pPr>
              <w:pStyle w:val="TableCell"/>
              <w:rPr>
                <w:rFonts w:ascii="Arial" w:hAnsi="Arial" w:cs="Arial"/>
                <w:sz w:val="22"/>
                <w:szCs w:val="22"/>
                <w:lang w:eastAsia="en-GB"/>
              </w:rPr>
            </w:pPr>
            <w:r w:rsidRPr="00F65D5C">
              <w:rPr>
                <w:rFonts w:ascii="Arial" w:hAnsi="Arial" w:cs="Arial"/>
                <w:sz w:val="22"/>
                <w:szCs w:val="22"/>
                <w:lang w:eastAsia="en-GB"/>
              </w:rPr>
              <w:t>Unknown:</w:t>
            </w:r>
          </w:p>
          <w:p w:rsidR="003B6388" w:rsidRPr="00F65D5C" w:rsidRDefault="003B6388" w:rsidP="00A30798">
            <w:pPr>
              <w:pStyle w:val="TableCell"/>
              <w:rPr>
                <w:rFonts w:ascii="Arial" w:hAnsi="Arial" w:cs="Arial"/>
                <w:sz w:val="22"/>
                <w:szCs w:val="22"/>
              </w:rPr>
            </w:pPr>
          </w:p>
        </w:tc>
        <w:tc>
          <w:tcPr>
            <w:tcW w:w="5812" w:type="dxa"/>
            <w:shd w:val="clear" w:color="auto" w:fill="auto"/>
          </w:tcPr>
          <w:p w:rsidR="003B6388" w:rsidRDefault="003B6388" w:rsidP="00A30798">
            <w:pPr>
              <w:autoSpaceDE w:val="0"/>
              <w:autoSpaceDN w:val="0"/>
              <w:adjustRightInd w:val="0"/>
              <w:rPr>
                <w:rFonts w:ascii="Arial" w:hAnsi="Arial" w:cs="Arial"/>
                <w:sz w:val="22"/>
                <w:szCs w:val="22"/>
                <w:shd w:val="clear" w:color="auto" w:fill="CCCCCC"/>
                <w:lang w:eastAsia="en-GB"/>
              </w:rPr>
            </w:pPr>
          </w:p>
          <w:p w:rsidR="00680223" w:rsidRPr="00F65D5C" w:rsidRDefault="00680223" w:rsidP="00A4054E">
            <w:pPr>
              <w:rPr>
                <w:rFonts w:ascii="Arial" w:hAnsi="Arial" w:cs="Arial"/>
                <w:sz w:val="22"/>
                <w:szCs w:val="22"/>
                <w:lang w:eastAsia="en-GB"/>
              </w:rPr>
            </w:pPr>
            <w:r w:rsidRPr="00A4054E">
              <w:rPr>
                <w:rFonts w:ascii="Arial" w:hAnsi="Arial" w:cs="Arial"/>
                <w:sz w:val="22"/>
                <w:szCs w:val="22"/>
              </w:rPr>
              <w:t>Application site irritation (including burning)</w:t>
            </w:r>
          </w:p>
        </w:tc>
      </w:tr>
    </w:tbl>
    <w:p w:rsidR="00E8070F" w:rsidRPr="00F65D5C" w:rsidRDefault="00E8070F" w:rsidP="00A30798">
      <w:pPr>
        <w:jc w:val="both"/>
        <w:rPr>
          <w:rFonts w:ascii="Arial" w:hAnsi="Arial" w:cs="Arial"/>
          <w:b/>
          <w:sz w:val="22"/>
          <w:szCs w:val="22"/>
        </w:rPr>
      </w:pPr>
    </w:p>
    <w:p w:rsidR="00E50499" w:rsidRDefault="00E50499">
      <w:pPr>
        <w:rPr>
          <w:rFonts w:ascii="Arial" w:hAnsi="Arial" w:cs="Arial"/>
          <w:b/>
          <w:sz w:val="22"/>
          <w:szCs w:val="22"/>
        </w:rPr>
      </w:pPr>
      <w:r>
        <w:rPr>
          <w:rFonts w:ascii="Arial" w:hAnsi="Arial" w:cs="Arial"/>
          <w:b/>
          <w:sz w:val="22"/>
          <w:szCs w:val="22"/>
        </w:rPr>
        <w:br w:type="page"/>
      </w:r>
    </w:p>
    <w:p w:rsidR="0077380F" w:rsidRPr="00F65D5C" w:rsidRDefault="0077380F" w:rsidP="00A30798">
      <w:pPr>
        <w:jc w:val="both"/>
        <w:rPr>
          <w:rFonts w:ascii="Arial" w:hAnsi="Arial" w:cs="Arial"/>
          <w:b/>
          <w:sz w:val="22"/>
          <w:szCs w:val="22"/>
        </w:rPr>
      </w:pPr>
      <w:r w:rsidRPr="00F65D5C">
        <w:rPr>
          <w:rFonts w:ascii="Arial" w:hAnsi="Arial" w:cs="Arial"/>
          <w:b/>
          <w:sz w:val="22"/>
          <w:szCs w:val="22"/>
        </w:rPr>
        <w:lastRenderedPageBreak/>
        <w:t xml:space="preserve">DOSAGE </w:t>
      </w:r>
      <w:smartTag w:uri="urn:schemas-microsoft-com:office:smarttags" w:element="stockticker">
        <w:r w:rsidRPr="00F65D5C">
          <w:rPr>
            <w:rFonts w:ascii="Arial" w:hAnsi="Arial" w:cs="Arial"/>
            <w:b/>
            <w:sz w:val="22"/>
            <w:szCs w:val="22"/>
          </w:rPr>
          <w:t>AND</w:t>
        </w:r>
      </w:smartTag>
      <w:r w:rsidRPr="00F65D5C">
        <w:rPr>
          <w:rFonts w:ascii="Arial" w:hAnsi="Arial" w:cs="Arial"/>
          <w:b/>
          <w:sz w:val="22"/>
          <w:szCs w:val="22"/>
        </w:rPr>
        <w:t xml:space="preserve"> ADMINISTRATION</w:t>
      </w:r>
    </w:p>
    <w:p w:rsidR="00AB68F8" w:rsidRPr="00F65D5C" w:rsidRDefault="00AB68F8" w:rsidP="00A30798">
      <w:pPr>
        <w:jc w:val="both"/>
        <w:rPr>
          <w:rFonts w:ascii="Arial" w:hAnsi="Arial" w:cs="Arial"/>
          <w:sz w:val="22"/>
          <w:szCs w:val="22"/>
        </w:rPr>
      </w:pPr>
    </w:p>
    <w:p w:rsidR="00AB68F8" w:rsidRPr="00A4054E" w:rsidRDefault="00AB68F8" w:rsidP="00A30798">
      <w:pPr>
        <w:rPr>
          <w:rFonts w:ascii="Arial" w:hAnsi="Arial" w:cs="Arial"/>
          <w:b/>
          <w:sz w:val="22"/>
          <w:szCs w:val="22"/>
        </w:rPr>
      </w:pPr>
      <w:r w:rsidRPr="00A4054E">
        <w:rPr>
          <w:rFonts w:ascii="Arial" w:hAnsi="Arial" w:cs="Arial"/>
          <w:b/>
          <w:sz w:val="22"/>
          <w:szCs w:val="22"/>
        </w:rPr>
        <w:t xml:space="preserve">Adults, </w:t>
      </w:r>
      <w:r w:rsidR="00C21757">
        <w:rPr>
          <w:rFonts w:ascii="Arial" w:hAnsi="Arial" w:cs="Arial"/>
          <w:b/>
          <w:sz w:val="22"/>
          <w:szCs w:val="22"/>
        </w:rPr>
        <w:t xml:space="preserve">adolescents, </w:t>
      </w:r>
      <w:r w:rsidRPr="00A4054E">
        <w:rPr>
          <w:rFonts w:ascii="Arial" w:hAnsi="Arial" w:cs="Arial"/>
          <w:b/>
          <w:sz w:val="22"/>
          <w:szCs w:val="22"/>
        </w:rPr>
        <w:t>children, and infants aged nine months and over</w:t>
      </w:r>
    </w:p>
    <w:p w:rsidR="00AB68F8" w:rsidRPr="00A4054E" w:rsidRDefault="00AB68F8" w:rsidP="00A30798">
      <w:pPr>
        <w:rPr>
          <w:rFonts w:ascii="Arial" w:hAnsi="Arial" w:cs="Arial"/>
          <w:b/>
          <w:sz w:val="22"/>
          <w:szCs w:val="22"/>
        </w:rPr>
      </w:pPr>
    </w:p>
    <w:p w:rsidR="00AB68F8" w:rsidRPr="00A4054E" w:rsidRDefault="00AB68F8" w:rsidP="00A30798">
      <w:pPr>
        <w:rPr>
          <w:rFonts w:ascii="Arial" w:hAnsi="Arial" w:cs="Arial"/>
          <w:sz w:val="22"/>
          <w:szCs w:val="22"/>
        </w:rPr>
      </w:pPr>
      <w:r w:rsidRPr="00A4054E">
        <w:rPr>
          <w:rFonts w:ascii="Arial" w:hAnsi="Arial" w:cs="Arial"/>
          <w:sz w:val="22"/>
          <w:szCs w:val="22"/>
        </w:rPr>
        <w:t xml:space="preserve">A thin layer of ointment should be applied to the affected area twice daily for five days. The area treated may be covered with sterile bandage or gauze dressing if desired. Patients not showing a clinical response within three to four days should be re-evaluated. </w:t>
      </w:r>
    </w:p>
    <w:p w:rsidR="00AB68F8" w:rsidRPr="00F65D5C" w:rsidRDefault="00AB68F8" w:rsidP="00A30798">
      <w:pPr>
        <w:rPr>
          <w:rStyle w:val="CSIchar"/>
        </w:rPr>
      </w:pPr>
      <w:r w:rsidRPr="00F65D5C">
        <w:rPr>
          <w:rStyle w:val="CSIchar"/>
        </w:rPr>
        <w:t xml:space="preserve"> </w:t>
      </w:r>
    </w:p>
    <w:p w:rsidR="00AB68F8" w:rsidRPr="00A4054E" w:rsidRDefault="00AB68F8" w:rsidP="00A30798">
      <w:pPr>
        <w:rPr>
          <w:rFonts w:ascii="Arial" w:hAnsi="Arial" w:cs="Arial"/>
          <w:sz w:val="22"/>
          <w:szCs w:val="22"/>
        </w:rPr>
      </w:pPr>
      <w:r w:rsidRPr="00A4054E">
        <w:rPr>
          <w:rFonts w:ascii="Arial" w:hAnsi="Arial" w:cs="Arial"/>
          <w:sz w:val="22"/>
          <w:szCs w:val="22"/>
        </w:rPr>
        <w:t>Safety and efficacy has not been established in secondarily infected traumatic lesions more than 10cm in length or 100cm</w:t>
      </w:r>
      <w:r w:rsidRPr="00A4054E">
        <w:rPr>
          <w:rFonts w:ascii="Arial" w:hAnsi="Arial" w:cs="Arial"/>
          <w:sz w:val="22"/>
          <w:szCs w:val="22"/>
          <w:vertAlign w:val="superscript"/>
        </w:rPr>
        <w:t>2</w:t>
      </w:r>
      <w:r w:rsidRPr="00A4054E">
        <w:rPr>
          <w:rFonts w:ascii="Arial" w:hAnsi="Arial" w:cs="Arial"/>
          <w:sz w:val="22"/>
          <w:szCs w:val="22"/>
        </w:rPr>
        <w:t xml:space="preserve"> in surface area, or in secondarily infected </w:t>
      </w:r>
      <w:proofErr w:type="spellStart"/>
      <w:r w:rsidRPr="00A4054E">
        <w:rPr>
          <w:rFonts w:ascii="Arial" w:hAnsi="Arial" w:cs="Arial"/>
          <w:sz w:val="22"/>
          <w:szCs w:val="22"/>
        </w:rPr>
        <w:t>dermatoses</w:t>
      </w:r>
      <w:proofErr w:type="spellEnd"/>
      <w:r w:rsidRPr="00A4054E">
        <w:rPr>
          <w:rFonts w:ascii="Arial" w:hAnsi="Arial" w:cs="Arial"/>
          <w:sz w:val="22"/>
          <w:szCs w:val="22"/>
        </w:rPr>
        <w:t xml:space="preserve"> or primary impetigo affecting more than 100cm</w:t>
      </w:r>
      <w:r w:rsidRPr="00A4054E">
        <w:rPr>
          <w:rFonts w:ascii="Arial" w:hAnsi="Arial" w:cs="Arial"/>
          <w:sz w:val="22"/>
          <w:szCs w:val="22"/>
          <w:vertAlign w:val="superscript"/>
        </w:rPr>
        <w:t>2</w:t>
      </w:r>
      <w:r w:rsidRPr="00A4054E">
        <w:rPr>
          <w:rFonts w:ascii="Arial" w:hAnsi="Arial" w:cs="Arial"/>
          <w:sz w:val="22"/>
          <w:szCs w:val="22"/>
        </w:rPr>
        <w:t xml:space="preserve"> in surface area (or exceeding 2% of body surface area in paediatric patients)</w:t>
      </w:r>
      <w:r w:rsidR="00A4054E">
        <w:rPr>
          <w:rFonts w:ascii="Arial" w:hAnsi="Arial" w:cs="Arial"/>
          <w:sz w:val="22"/>
          <w:szCs w:val="22"/>
        </w:rPr>
        <w:t>.</w:t>
      </w:r>
      <w:r w:rsidRPr="00A4054E">
        <w:rPr>
          <w:rFonts w:ascii="Arial" w:hAnsi="Arial" w:cs="Arial"/>
          <w:sz w:val="22"/>
          <w:szCs w:val="22"/>
        </w:rPr>
        <w:t xml:space="preserve"> </w:t>
      </w:r>
    </w:p>
    <w:p w:rsidR="004F640B" w:rsidRPr="00F65D5C" w:rsidRDefault="004F640B" w:rsidP="00A30798">
      <w:pPr>
        <w:jc w:val="both"/>
        <w:rPr>
          <w:rFonts w:ascii="Arial" w:hAnsi="Arial" w:cs="Arial"/>
          <w:sz w:val="22"/>
          <w:szCs w:val="22"/>
        </w:rPr>
      </w:pPr>
    </w:p>
    <w:p w:rsidR="00AB68F8" w:rsidRPr="00A4054E" w:rsidRDefault="00081765" w:rsidP="00A30798">
      <w:pPr>
        <w:rPr>
          <w:rStyle w:val="CSIchar"/>
          <w:rFonts w:ascii="Arial" w:hAnsi="Arial" w:cs="Arial"/>
          <w:sz w:val="22"/>
          <w:szCs w:val="22"/>
        </w:rPr>
      </w:pPr>
      <w:proofErr w:type="gramStart"/>
      <w:r w:rsidRPr="00A4054E">
        <w:rPr>
          <w:rFonts w:ascii="Arial" w:hAnsi="Arial" w:cs="Arial"/>
          <w:sz w:val="22"/>
          <w:szCs w:val="22"/>
        </w:rPr>
        <w:t>For t</w:t>
      </w:r>
      <w:r w:rsidR="00AB68F8" w:rsidRPr="00A4054E">
        <w:rPr>
          <w:rFonts w:ascii="Arial" w:hAnsi="Arial" w:cs="Arial"/>
          <w:sz w:val="22"/>
          <w:szCs w:val="22"/>
        </w:rPr>
        <w:t>opical</w:t>
      </w:r>
      <w:r w:rsidRPr="00A4054E">
        <w:rPr>
          <w:rFonts w:ascii="Arial" w:hAnsi="Arial" w:cs="Arial"/>
          <w:sz w:val="22"/>
          <w:szCs w:val="22"/>
        </w:rPr>
        <w:t xml:space="preserve"> application only</w:t>
      </w:r>
      <w:r w:rsidR="00AB68F8" w:rsidRPr="00A4054E">
        <w:rPr>
          <w:rFonts w:ascii="Arial" w:hAnsi="Arial" w:cs="Arial"/>
          <w:sz w:val="22"/>
          <w:szCs w:val="22"/>
        </w:rPr>
        <w:t>.</w:t>
      </w:r>
      <w:proofErr w:type="gramEnd"/>
    </w:p>
    <w:p w:rsidR="008A1FE5" w:rsidRPr="00F65D5C" w:rsidRDefault="008A1FE5" w:rsidP="00A30798">
      <w:pPr>
        <w:rPr>
          <w:rStyle w:val="CSIchar"/>
          <w:rFonts w:ascii="Arial" w:hAnsi="Arial" w:cs="Arial"/>
          <w:sz w:val="22"/>
          <w:szCs w:val="22"/>
        </w:rPr>
      </w:pPr>
    </w:p>
    <w:p w:rsidR="008B4A39" w:rsidRDefault="008A1FE5">
      <w:pPr>
        <w:pStyle w:val="NoNumHead3"/>
        <w:keepLines/>
      </w:pPr>
      <w:r w:rsidRPr="00F65D5C">
        <w:t>Populations</w:t>
      </w:r>
    </w:p>
    <w:p w:rsidR="008B4A39" w:rsidRDefault="008B4A39">
      <w:pPr>
        <w:keepNext/>
        <w:keepLines/>
        <w:rPr>
          <w:lang w:val="en-GB" w:eastAsia="en-US"/>
        </w:rPr>
      </w:pPr>
    </w:p>
    <w:p w:rsidR="008B4A39" w:rsidRDefault="008A1FE5">
      <w:pPr>
        <w:keepNext/>
        <w:keepLines/>
        <w:rPr>
          <w:rFonts w:ascii="Arial" w:hAnsi="Arial" w:cs="Arial"/>
          <w:i/>
          <w:sz w:val="22"/>
          <w:szCs w:val="22"/>
        </w:rPr>
      </w:pPr>
      <w:r w:rsidRPr="00F65D5C">
        <w:rPr>
          <w:rFonts w:ascii="Arial" w:hAnsi="Arial" w:cs="Arial"/>
          <w:i/>
          <w:sz w:val="22"/>
          <w:szCs w:val="22"/>
        </w:rPr>
        <w:t>Infants under nine months of age</w:t>
      </w:r>
    </w:p>
    <w:p w:rsidR="008B4A39" w:rsidRDefault="008B4A39">
      <w:pPr>
        <w:keepNext/>
        <w:keepLines/>
        <w:rPr>
          <w:rFonts w:ascii="Arial" w:hAnsi="Arial" w:cs="Arial"/>
          <w:sz w:val="22"/>
          <w:szCs w:val="22"/>
        </w:rPr>
      </w:pPr>
    </w:p>
    <w:p w:rsidR="008B4A39" w:rsidRDefault="008A1FE5">
      <w:pPr>
        <w:keepNext/>
        <w:keepLines/>
        <w:rPr>
          <w:rFonts w:ascii="Arial" w:hAnsi="Arial" w:cs="Arial"/>
          <w:sz w:val="22"/>
          <w:szCs w:val="22"/>
        </w:rPr>
      </w:pPr>
      <w:r w:rsidRPr="00A4054E">
        <w:rPr>
          <w:rFonts w:ascii="Arial" w:hAnsi="Arial" w:cs="Arial"/>
          <w:sz w:val="22"/>
          <w:szCs w:val="22"/>
        </w:rPr>
        <w:t xml:space="preserve">The safety and efficacy of </w:t>
      </w:r>
      <w:proofErr w:type="spellStart"/>
      <w:r w:rsidRPr="00A4054E">
        <w:rPr>
          <w:rFonts w:ascii="Arial" w:hAnsi="Arial" w:cs="Arial"/>
          <w:sz w:val="22"/>
          <w:szCs w:val="22"/>
        </w:rPr>
        <w:t>retapamulin</w:t>
      </w:r>
      <w:proofErr w:type="spellEnd"/>
      <w:r w:rsidRPr="00A4054E">
        <w:rPr>
          <w:rFonts w:ascii="Arial" w:hAnsi="Arial" w:cs="Arial"/>
          <w:sz w:val="22"/>
          <w:szCs w:val="22"/>
        </w:rPr>
        <w:t xml:space="preserve"> ointment has not been established in paediatric patients less than nine months of age.</w:t>
      </w:r>
    </w:p>
    <w:p w:rsidR="008A1FE5" w:rsidRPr="00F65D5C" w:rsidRDefault="008A1FE5" w:rsidP="00A30798">
      <w:pPr>
        <w:rPr>
          <w:rFonts w:ascii="Arial" w:hAnsi="Arial" w:cs="Arial"/>
          <w:b/>
          <w:sz w:val="22"/>
          <w:szCs w:val="22"/>
        </w:rPr>
      </w:pPr>
    </w:p>
    <w:p w:rsidR="008A1FE5" w:rsidRPr="00F65D5C" w:rsidRDefault="008A1FE5" w:rsidP="00A30798">
      <w:pPr>
        <w:rPr>
          <w:rFonts w:ascii="Arial" w:hAnsi="Arial" w:cs="Arial"/>
          <w:i/>
          <w:sz w:val="22"/>
          <w:szCs w:val="22"/>
        </w:rPr>
      </w:pPr>
      <w:r w:rsidRPr="00F65D5C">
        <w:rPr>
          <w:rFonts w:ascii="Arial" w:hAnsi="Arial" w:cs="Arial"/>
          <w:i/>
          <w:sz w:val="22"/>
          <w:szCs w:val="22"/>
        </w:rPr>
        <w:t>Elderly</w:t>
      </w:r>
    </w:p>
    <w:p w:rsidR="008A1FE5" w:rsidRPr="00F65D5C" w:rsidRDefault="008A1FE5" w:rsidP="00A30798">
      <w:pPr>
        <w:rPr>
          <w:rFonts w:ascii="Arial" w:hAnsi="Arial" w:cs="Arial"/>
          <w:sz w:val="22"/>
          <w:szCs w:val="22"/>
        </w:rPr>
      </w:pPr>
    </w:p>
    <w:p w:rsidR="008A1FE5" w:rsidRPr="00A4054E" w:rsidRDefault="008A1FE5" w:rsidP="00A30798">
      <w:pPr>
        <w:rPr>
          <w:rFonts w:ascii="Arial" w:hAnsi="Arial" w:cs="Arial"/>
          <w:sz w:val="22"/>
          <w:szCs w:val="22"/>
        </w:rPr>
      </w:pPr>
      <w:r w:rsidRPr="00A4054E">
        <w:rPr>
          <w:rFonts w:ascii="Arial" w:hAnsi="Arial" w:cs="Arial"/>
          <w:sz w:val="22"/>
          <w:szCs w:val="22"/>
        </w:rPr>
        <w:t>No dosage adjustment necessary.</w:t>
      </w:r>
    </w:p>
    <w:p w:rsidR="008A1FE5" w:rsidRPr="00F65D5C" w:rsidRDefault="008A1FE5" w:rsidP="00A30798">
      <w:pPr>
        <w:rPr>
          <w:rFonts w:ascii="Arial" w:hAnsi="Arial" w:cs="Arial"/>
          <w:sz w:val="22"/>
          <w:szCs w:val="22"/>
        </w:rPr>
      </w:pPr>
    </w:p>
    <w:p w:rsidR="008A1FE5" w:rsidRPr="00F65D5C" w:rsidRDefault="008A1FE5" w:rsidP="00A30798">
      <w:pPr>
        <w:pStyle w:val="BullHead"/>
        <w:rPr>
          <w:color w:val="auto"/>
        </w:rPr>
      </w:pPr>
      <w:r w:rsidRPr="00F65D5C">
        <w:rPr>
          <w:color w:val="auto"/>
        </w:rPr>
        <w:t>Renal impairment</w:t>
      </w:r>
    </w:p>
    <w:p w:rsidR="00A30798" w:rsidRPr="00F65D5C" w:rsidRDefault="00A30798" w:rsidP="00A30798">
      <w:pPr>
        <w:pStyle w:val="BullHead"/>
        <w:rPr>
          <w:color w:val="auto"/>
        </w:rPr>
      </w:pPr>
    </w:p>
    <w:p w:rsidR="008A1FE5" w:rsidRPr="00F65D5C" w:rsidRDefault="008A1FE5" w:rsidP="00A30798">
      <w:pPr>
        <w:rPr>
          <w:rStyle w:val="CSIchar"/>
          <w:rFonts w:ascii="Arial" w:hAnsi="Arial" w:cs="Arial"/>
          <w:i/>
          <w:sz w:val="22"/>
          <w:szCs w:val="22"/>
        </w:rPr>
      </w:pPr>
      <w:r w:rsidRPr="00A4054E">
        <w:rPr>
          <w:rFonts w:ascii="Arial" w:hAnsi="Arial" w:cs="Arial"/>
          <w:sz w:val="22"/>
          <w:szCs w:val="22"/>
        </w:rPr>
        <w:t>No dosage adjustment is necessary. In</w:t>
      </w:r>
      <w:r w:rsidRPr="00F65D5C">
        <w:rPr>
          <w:rFonts w:ascii="Arial" w:hAnsi="Arial" w:cs="Arial"/>
          <w:sz w:val="22"/>
          <w:szCs w:val="22"/>
        </w:rPr>
        <w:t xml:space="preserve"> view of the low systemic exposure to </w:t>
      </w:r>
      <w:proofErr w:type="spellStart"/>
      <w:r w:rsidRPr="00F65D5C">
        <w:rPr>
          <w:rFonts w:ascii="Arial" w:hAnsi="Arial" w:cs="Arial"/>
          <w:sz w:val="22"/>
          <w:szCs w:val="22"/>
        </w:rPr>
        <w:t>retapamulin</w:t>
      </w:r>
      <w:proofErr w:type="spellEnd"/>
      <w:r w:rsidRPr="00F65D5C">
        <w:rPr>
          <w:rFonts w:ascii="Arial" w:hAnsi="Arial" w:cs="Arial"/>
          <w:sz w:val="22"/>
          <w:szCs w:val="22"/>
        </w:rPr>
        <w:t xml:space="preserve"> following topical application, renal impairment is not expected to result in systemic exposure of clinical concern</w:t>
      </w:r>
      <w:r w:rsidR="00C946B6">
        <w:rPr>
          <w:rFonts w:ascii="Arial" w:hAnsi="Arial" w:cs="Arial"/>
          <w:sz w:val="22"/>
          <w:szCs w:val="22"/>
        </w:rPr>
        <w:t xml:space="preserve"> (</w:t>
      </w:r>
      <w:r w:rsidRPr="00F65D5C">
        <w:rPr>
          <w:rFonts w:ascii="Arial" w:hAnsi="Arial" w:cs="Arial"/>
          <w:sz w:val="22"/>
          <w:szCs w:val="22"/>
        </w:rPr>
        <w:t xml:space="preserve">see </w:t>
      </w:r>
      <w:r w:rsidRPr="00476C21">
        <w:rPr>
          <w:rFonts w:ascii="Arial" w:hAnsi="Arial" w:cs="Arial"/>
          <w:i/>
          <w:sz w:val="22"/>
          <w:szCs w:val="22"/>
        </w:rPr>
        <w:t>Pharmacokinetics</w:t>
      </w:r>
      <w:r w:rsidR="00C946B6">
        <w:rPr>
          <w:rFonts w:ascii="Arial" w:hAnsi="Arial" w:cs="Arial"/>
          <w:i/>
          <w:sz w:val="22"/>
          <w:szCs w:val="22"/>
        </w:rPr>
        <w:t>)</w:t>
      </w:r>
      <w:r w:rsidR="00476C21">
        <w:rPr>
          <w:rFonts w:ascii="Arial" w:hAnsi="Arial" w:cs="Arial"/>
          <w:i/>
          <w:sz w:val="22"/>
          <w:szCs w:val="22"/>
        </w:rPr>
        <w:t>.</w:t>
      </w:r>
    </w:p>
    <w:p w:rsidR="008A1FE5" w:rsidRPr="00F65D5C" w:rsidRDefault="008A1FE5" w:rsidP="00A30798">
      <w:pPr>
        <w:rPr>
          <w:rFonts w:ascii="Arial" w:hAnsi="Arial" w:cs="Arial"/>
          <w:sz w:val="22"/>
          <w:szCs w:val="22"/>
        </w:rPr>
      </w:pPr>
    </w:p>
    <w:p w:rsidR="008A1FE5" w:rsidRPr="00F65D5C" w:rsidRDefault="008A1FE5" w:rsidP="00A30798">
      <w:pPr>
        <w:pStyle w:val="BullHead"/>
        <w:rPr>
          <w:color w:val="auto"/>
        </w:rPr>
      </w:pPr>
      <w:r w:rsidRPr="00F65D5C">
        <w:rPr>
          <w:color w:val="auto"/>
        </w:rPr>
        <w:t>Hepatic impairment</w:t>
      </w:r>
    </w:p>
    <w:p w:rsidR="00A30798" w:rsidRPr="00F65D5C" w:rsidRDefault="00A30798" w:rsidP="00A30798">
      <w:pPr>
        <w:pStyle w:val="BullHead"/>
        <w:rPr>
          <w:color w:val="auto"/>
        </w:rPr>
      </w:pPr>
    </w:p>
    <w:p w:rsidR="008A1FE5" w:rsidRPr="00651261" w:rsidRDefault="008A1FE5" w:rsidP="00A30798">
      <w:pPr>
        <w:rPr>
          <w:rFonts w:ascii="Arial" w:hAnsi="Arial" w:cs="Arial"/>
          <w:sz w:val="22"/>
          <w:szCs w:val="22"/>
        </w:rPr>
      </w:pPr>
      <w:r w:rsidRPr="00A4054E">
        <w:rPr>
          <w:rFonts w:ascii="Arial" w:hAnsi="Arial" w:cs="Arial"/>
          <w:sz w:val="22"/>
          <w:szCs w:val="22"/>
        </w:rPr>
        <w:t xml:space="preserve">No dosage adjustment is necessary. In view of the low systemic exposure to </w:t>
      </w:r>
      <w:proofErr w:type="spellStart"/>
      <w:r w:rsidRPr="00A4054E">
        <w:rPr>
          <w:rFonts w:ascii="Arial" w:hAnsi="Arial" w:cs="Arial"/>
          <w:sz w:val="22"/>
          <w:szCs w:val="22"/>
        </w:rPr>
        <w:t>retapamulin</w:t>
      </w:r>
      <w:proofErr w:type="spellEnd"/>
      <w:r w:rsidRPr="00A4054E">
        <w:rPr>
          <w:rFonts w:ascii="Arial" w:hAnsi="Arial" w:cs="Arial"/>
          <w:sz w:val="22"/>
          <w:szCs w:val="22"/>
        </w:rPr>
        <w:t xml:space="preserve"> following topical application, hepatic impairment</w:t>
      </w:r>
      <w:r w:rsidRPr="00651261">
        <w:rPr>
          <w:rFonts w:ascii="Arial" w:hAnsi="Arial" w:cs="Arial"/>
          <w:sz w:val="22"/>
          <w:szCs w:val="22"/>
        </w:rPr>
        <w:t xml:space="preserve"> is not expected to result in system</w:t>
      </w:r>
      <w:r w:rsidR="00C946B6">
        <w:rPr>
          <w:rFonts w:ascii="Arial" w:hAnsi="Arial" w:cs="Arial"/>
          <w:sz w:val="22"/>
          <w:szCs w:val="22"/>
        </w:rPr>
        <w:t>ic exposure of clinical concern</w:t>
      </w:r>
      <w:r w:rsidRPr="00651261">
        <w:rPr>
          <w:rFonts w:ascii="Arial" w:hAnsi="Arial" w:cs="Arial"/>
          <w:sz w:val="22"/>
          <w:szCs w:val="22"/>
        </w:rPr>
        <w:t xml:space="preserve"> </w:t>
      </w:r>
      <w:r w:rsidR="00C946B6">
        <w:rPr>
          <w:rFonts w:ascii="Arial" w:hAnsi="Arial" w:cs="Arial"/>
          <w:sz w:val="22"/>
          <w:szCs w:val="22"/>
        </w:rPr>
        <w:t>(</w:t>
      </w:r>
      <w:r w:rsidRPr="00651261">
        <w:rPr>
          <w:rFonts w:ascii="Arial" w:hAnsi="Arial" w:cs="Arial"/>
          <w:sz w:val="22"/>
          <w:szCs w:val="22"/>
        </w:rPr>
        <w:t xml:space="preserve">see </w:t>
      </w:r>
      <w:r w:rsidRPr="00476C21">
        <w:rPr>
          <w:rFonts w:ascii="Arial" w:hAnsi="Arial" w:cs="Arial"/>
          <w:i/>
          <w:sz w:val="22"/>
          <w:szCs w:val="22"/>
        </w:rPr>
        <w:t>Pharmacokinetics</w:t>
      </w:r>
      <w:r w:rsidR="00C946B6">
        <w:rPr>
          <w:rFonts w:ascii="Arial" w:hAnsi="Arial" w:cs="Arial"/>
          <w:i/>
          <w:sz w:val="22"/>
          <w:szCs w:val="22"/>
        </w:rPr>
        <w:t>)</w:t>
      </w:r>
      <w:r w:rsidRPr="00651261">
        <w:rPr>
          <w:rFonts w:ascii="Arial" w:hAnsi="Arial" w:cs="Arial"/>
          <w:sz w:val="22"/>
          <w:szCs w:val="22"/>
        </w:rPr>
        <w:t>.</w:t>
      </w:r>
    </w:p>
    <w:p w:rsidR="00AB68F8" w:rsidRPr="008A1FE5" w:rsidRDefault="00AB68F8" w:rsidP="00A30798">
      <w:pPr>
        <w:jc w:val="both"/>
        <w:rPr>
          <w:rFonts w:ascii="Arial" w:hAnsi="Arial" w:cs="Arial"/>
          <w:b/>
          <w:color w:val="0000FF"/>
          <w:sz w:val="22"/>
          <w:szCs w:val="22"/>
        </w:rPr>
      </w:pPr>
    </w:p>
    <w:p w:rsidR="000B3F7C" w:rsidRPr="00F65D5C" w:rsidRDefault="0077380F" w:rsidP="00A30798">
      <w:pPr>
        <w:jc w:val="both"/>
        <w:rPr>
          <w:rFonts w:ascii="Arial" w:hAnsi="Arial" w:cs="Arial"/>
          <w:b/>
          <w:sz w:val="22"/>
          <w:szCs w:val="22"/>
        </w:rPr>
      </w:pPr>
      <w:r w:rsidRPr="00F65D5C">
        <w:rPr>
          <w:rFonts w:ascii="Arial" w:hAnsi="Arial" w:cs="Arial"/>
          <w:b/>
          <w:sz w:val="22"/>
          <w:szCs w:val="22"/>
        </w:rPr>
        <w:t>O</w:t>
      </w:r>
      <w:smartTag w:uri="schemas-GSKSiteLocations-com/fourthcoffee" w:element="flavor">
        <w:r w:rsidRPr="00F65D5C">
          <w:rPr>
            <w:rFonts w:ascii="Arial" w:hAnsi="Arial" w:cs="Arial"/>
            <w:b/>
            <w:sz w:val="22"/>
            <w:szCs w:val="22"/>
          </w:rPr>
          <w:t>VER</w:t>
        </w:r>
      </w:smartTag>
      <w:r w:rsidRPr="00F65D5C">
        <w:rPr>
          <w:rFonts w:ascii="Arial" w:hAnsi="Arial" w:cs="Arial"/>
          <w:b/>
          <w:sz w:val="22"/>
          <w:szCs w:val="22"/>
        </w:rPr>
        <w:t>DOSAGE</w:t>
      </w:r>
    </w:p>
    <w:p w:rsidR="00E81DC5" w:rsidRPr="00F65D5C" w:rsidRDefault="00E81DC5" w:rsidP="00A30798">
      <w:pPr>
        <w:jc w:val="both"/>
        <w:rPr>
          <w:rFonts w:ascii="Arial" w:hAnsi="Arial" w:cs="Arial"/>
          <w:b/>
          <w:sz w:val="22"/>
          <w:szCs w:val="22"/>
        </w:rPr>
      </w:pPr>
    </w:p>
    <w:p w:rsidR="00640E1D" w:rsidRPr="002B4220" w:rsidRDefault="00640E1D" w:rsidP="003B6388">
      <w:pPr>
        <w:pStyle w:val="NoNumHead3"/>
      </w:pPr>
      <w:r w:rsidRPr="002B4220">
        <w:t>Symptoms and Signs</w:t>
      </w:r>
    </w:p>
    <w:p w:rsidR="00E061B6" w:rsidRPr="00F65D5C" w:rsidRDefault="00E061B6" w:rsidP="00A30798">
      <w:pPr>
        <w:rPr>
          <w:rStyle w:val="CSIchar"/>
          <w:rFonts w:ascii="Arial" w:hAnsi="Arial" w:cs="Arial"/>
          <w:b/>
          <w:sz w:val="22"/>
          <w:szCs w:val="22"/>
        </w:rPr>
      </w:pPr>
    </w:p>
    <w:p w:rsidR="00640E1D" w:rsidRPr="00F65D5C" w:rsidRDefault="00640E1D" w:rsidP="00A30798">
      <w:pPr>
        <w:rPr>
          <w:rStyle w:val="CSIchar"/>
          <w:rFonts w:ascii="Arial" w:hAnsi="Arial" w:cs="Arial"/>
          <w:sz w:val="22"/>
          <w:szCs w:val="22"/>
        </w:rPr>
      </w:pPr>
      <w:r w:rsidRPr="00A4054E">
        <w:rPr>
          <w:rFonts w:ascii="Arial" w:hAnsi="Arial" w:cs="Arial"/>
          <w:sz w:val="22"/>
          <w:szCs w:val="22"/>
        </w:rPr>
        <w:t xml:space="preserve">There is no experience with </w:t>
      </w:r>
      <w:proofErr w:type="spellStart"/>
      <w:r w:rsidRPr="00A4054E">
        <w:rPr>
          <w:rFonts w:ascii="Arial" w:hAnsi="Arial" w:cs="Arial"/>
          <w:sz w:val="22"/>
          <w:szCs w:val="22"/>
        </w:rPr>
        <w:t>overdosage</w:t>
      </w:r>
      <w:proofErr w:type="spellEnd"/>
      <w:r w:rsidRPr="00A4054E">
        <w:rPr>
          <w:rFonts w:ascii="Arial" w:hAnsi="Arial" w:cs="Arial"/>
          <w:sz w:val="22"/>
          <w:szCs w:val="22"/>
        </w:rPr>
        <w:t xml:space="preserve"> of </w:t>
      </w:r>
      <w:proofErr w:type="spellStart"/>
      <w:r w:rsidRPr="00A4054E">
        <w:rPr>
          <w:rFonts w:ascii="Arial" w:hAnsi="Arial" w:cs="Arial"/>
          <w:sz w:val="22"/>
          <w:szCs w:val="22"/>
        </w:rPr>
        <w:t>retapamulin</w:t>
      </w:r>
      <w:proofErr w:type="spellEnd"/>
      <w:r w:rsidR="00A4054E">
        <w:rPr>
          <w:rFonts w:ascii="Arial" w:hAnsi="Arial" w:cs="Arial"/>
          <w:sz w:val="22"/>
          <w:szCs w:val="22"/>
        </w:rPr>
        <w:t>.</w:t>
      </w:r>
      <w:r w:rsidRPr="00F65D5C">
        <w:rPr>
          <w:rStyle w:val="CSIchar"/>
          <w:rFonts w:ascii="Arial" w:hAnsi="Arial" w:cs="Arial"/>
          <w:sz w:val="22"/>
          <w:szCs w:val="22"/>
        </w:rPr>
        <w:t xml:space="preserve"> </w:t>
      </w:r>
    </w:p>
    <w:p w:rsidR="00640E1D" w:rsidRPr="00F65D5C" w:rsidRDefault="00640E1D" w:rsidP="00A30798">
      <w:pPr>
        <w:rPr>
          <w:rStyle w:val="CSIchar"/>
        </w:rPr>
      </w:pPr>
    </w:p>
    <w:p w:rsidR="00640E1D" w:rsidRPr="002B4220" w:rsidRDefault="00640E1D" w:rsidP="003B6388">
      <w:pPr>
        <w:pStyle w:val="NoNumHead3"/>
      </w:pPr>
      <w:r w:rsidRPr="002B4220">
        <w:t>Treatment</w:t>
      </w:r>
    </w:p>
    <w:p w:rsidR="00A30798" w:rsidRPr="00F65D5C" w:rsidRDefault="00A30798" w:rsidP="00A30798">
      <w:pPr>
        <w:rPr>
          <w:rStyle w:val="CSIchar"/>
          <w:rFonts w:ascii="Arial" w:hAnsi="Arial" w:cs="Arial"/>
          <w:b/>
          <w:sz w:val="22"/>
          <w:szCs w:val="22"/>
        </w:rPr>
      </w:pPr>
    </w:p>
    <w:p w:rsidR="00E061B6" w:rsidRPr="00A4054E" w:rsidRDefault="00640E1D" w:rsidP="00A30798">
      <w:pPr>
        <w:rPr>
          <w:rFonts w:ascii="Arial" w:hAnsi="Arial" w:cs="Arial"/>
          <w:sz w:val="22"/>
          <w:szCs w:val="22"/>
        </w:rPr>
      </w:pPr>
      <w:r w:rsidRPr="00A4054E">
        <w:rPr>
          <w:rFonts w:ascii="Arial" w:hAnsi="Arial" w:cs="Arial"/>
          <w:sz w:val="22"/>
          <w:szCs w:val="22"/>
        </w:rPr>
        <w:t xml:space="preserve">Any signs or symptoms of </w:t>
      </w:r>
      <w:proofErr w:type="spellStart"/>
      <w:r w:rsidRPr="00A4054E">
        <w:rPr>
          <w:rFonts w:ascii="Arial" w:hAnsi="Arial" w:cs="Arial"/>
          <w:sz w:val="22"/>
          <w:szCs w:val="22"/>
        </w:rPr>
        <w:t>overdosage</w:t>
      </w:r>
      <w:proofErr w:type="spellEnd"/>
      <w:r w:rsidRPr="00A4054E">
        <w:rPr>
          <w:rFonts w:ascii="Arial" w:hAnsi="Arial" w:cs="Arial"/>
          <w:sz w:val="22"/>
          <w:szCs w:val="22"/>
        </w:rPr>
        <w:t xml:space="preserve">, either topically or by accidental ingestion, should </w:t>
      </w:r>
    </w:p>
    <w:p w:rsidR="00640E1D" w:rsidRPr="00A4054E" w:rsidRDefault="00640E1D" w:rsidP="00A30798">
      <w:pPr>
        <w:rPr>
          <w:rFonts w:ascii="Arial" w:hAnsi="Arial" w:cs="Arial"/>
          <w:sz w:val="22"/>
          <w:szCs w:val="22"/>
        </w:rPr>
      </w:pPr>
      <w:proofErr w:type="gramStart"/>
      <w:r w:rsidRPr="00A4054E">
        <w:rPr>
          <w:rFonts w:ascii="Arial" w:hAnsi="Arial" w:cs="Arial"/>
          <w:sz w:val="22"/>
          <w:szCs w:val="22"/>
        </w:rPr>
        <w:t>be</w:t>
      </w:r>
      <w:proofErr w:type="gramEnd"/>
      <w:r w:rsidRPr="00A4054E">
        <w:rPr>
          <w:rFonts w:ascii="Arial" w:hAnsi="Arial" w:cs="Arial"/>
          <w:sz w:val="22"/>
          <w:szCs w:val="22"/>
        </w:rPr>
        <w:t xml:space="preserve"> treated symptomatically.</w:t>
      </w:r>
    </w:p>
    <w:p w:rsidR="00E061B6" w:rsidRPr="00A4054E" w:rsidRDefault="00E061B6" w:rsidP="00A30798">
      <w:pPr>
        <w:rPr>
          <w:rFonts w:ascii="Arial" w:hAnsi="Arial" w:cs="Arial"/>
          <w:sz w:val="22"/>
          <w:szCs w:val="22"/>
        </w:rPr>
      </w:pPr>
    </w:p>
    <w:p w:rsidR="00640E1D" w:rsidRPr="00A4054E" w:rsidRDefault="00640E1D" w:rsidP="00A30798">
      <w:pPr>
        <w:rPr>
          <w:rFonts w:ascii="Arial" w:hAnsi="Arial" w:cs="Arial"/>
          <w:sz w:val="22"/>
          <w:szCs w:val="22"/>
        </w:rPr>
      </w:pPr>
      <w:r w:rsidRPr="00A4054E">
        <w:rPr>
          <w:rFonts w:ascii="Arial" w:hAnsi="Arial" w:cs="Arial"/>
          <w:sz w:val="22"/>
          <w:szCs w:val="22"/>
        </w:rPr>
        <w:t xml:space="preserve">No specific antidote is known. </w:t>
      </w:r>
    </w:p>
    <w:p w:rsidR="00A30798" w:rsidRPr="00F65D5C" w:rsidRDefault="00A30798" w:rsidP="00A30798">
      <w:pPr>
        <w:rPr>
          <w:rStyle w:val="CSIchar"/>
        </w:rPr>
      </w:pPr>
    </w:p>
    <w:p w:rsidR="004F640B" w:rsidRPr="00F65D5C" w:rsidRDefault="004F640B" w:rsidP="00A30798">
      <w:pPr>
        <w:pStyle w:val="NormalWeb"/>
        <w:spacing w:before="0" w:beforeAutospacing="0" w:after="0" w:afterAutospacing="0"/>
        <w:rPr>
          <w:rFonts w:ascii="Arial" w:hAnsi="Arial" w:cs="Arial"/>
          <w:sz w:val="22"/>
          <w:szCs w:val="22"/>
        </w:rPr>
      </w:pPr>
      <w:r w:rsidRPr="00F65D5C">
        <w:rPr>
          <w:rFonts w:ascii="Arial" w:hAnsi="Arial" w:cs="Arial"/>
          <w:sz w:val="22"/>
          <w:szCs w:val="22"/>
        </w:rPr>
        <w:t>For information on the management of overdose, contact the Poison Information Centre on 131126 (Australia).</w:t>
      </w:r>
    </w:p>
    <w:p w:rsidR="004F640B" w:rsidRPr="00F65D5C" w:rsidRDefault="004F640B" w:rsidP="00A30798">
      <w:pPr>
        <w:jc w:val="both"/>
        <w:rPr>
          <w:rFonts w:ascii="Arial" w:hAnsi="Arial" w:cs="Arial"/>
          <w:sz w:val="22"/>
          <w:szCs w:val="22"/>
        </w:rPr>
      </w:pPr>
    </w:p>
    <w:p w:rsidR="0077380F" w:rsidRPr="00F65D5C" w:rsidRDefault="0077380F" w:rsidP="00A30798">
      <w:pPr>
        <w:jc w:val="both"/>
        <w:rPr>
          <w:rFonts w:ascii="Arial" w:hAnsi="Arial" w:cs="Arial"/>
          <w:b/>
          <w:sz w:val="22"/>
          <w:szCs w:val="22"/>
        </w:rPr>
      </w:pPr>
      <w:r w:rsidRPr="00F65D5C">
        <w:rPr>
          <w:rFonts w:ascii="Arial" w:hAnsi="Arial" w:cs="Arial"/>
          <w:b/>
          <w:sz w:val="22"/>
          <w:szCs w:val="22"/>
        </w:rPr>
        <w:lastRenderedPageBreak/>
        <w:t xml:space="preserve">PRESENTATION </w:t>
      </w:r>
      <w:smartTag w:uri="urn:schemas-microsoft-com:office:smarttags" w:element="stockticker">
        <w:r w:rsidRPr="00F65D5C">
          <w:rPr>
            <w:rFonts w:ascii="Arial" w:hAnsi="Arial" w:cs="Arial"/>
            <w:b/>
            <w:sz w:val="22"/>
            <w:szCs w:val="22"/>
          </w:rPr>
          <w:t>AND</w:t>
        </w:r>
      </w:smartTag>
      <w:r w:rsidRPr="00F65D5C">
        <w:rPr>
          <w:rFonts w:ascii="Arial" w:hAnsi="Arial" w:cs="Arial"/>
          <w:b/>
          <w:sz w:val="22"/>
          <w:szCs w:val="22"/>
        </w:rPr>
        <w:t xml:space="preserve"> STORAGE CONDITIONS</w:t>
      </w:r>
    </w:p>
    <w:p w:rsidR="0095734D" w:rsidRPr="00F65D5C" w:rsidRDefault="0095734D" w:rsidP="00A30798">
      <w:pPr>
        <w:ind w:left="360"/>
        <w:jc w:val="both"/>
        <w:rPr>
          <w:rFonts w:ascii="Arial" w:hAnsi="Arial" w:cs="Arial"/>
          <w:sz w:val="22"/>
          <w:szCs w:val="22"/>
        </w:rPr>
      </w:pPr>
    </w:p>
    <w:p w:rsidR="00100D47" w:rsidRPr="00F65D5C" w:rsidRDefault="007526D3" w:rsidP="00E971A6">
      <w:pPr>
        <w:rPr>
          <w:rFonts w:ascii="Arial" w:hAnsi="Arial" w:cs="Arial"/>
          <w:sz w:val="22"/>
          <w:szCs w:val="22"/>
        </w:rPr>
      </w:pPr>
      <w:proofErr w:type="spellStart"/>
      <w:r w:rsidRPr="00F65D5C">
        <w:rPr>
          <w:rFonts w:ascii="Arial" w:hAnsi="Arial" w:cs="Arial"/>
          <w:sz w:val="22"/>
          <w:szCs w:val="22"/>
        </w:rPr>
        <w:t>Altargo</w:t>
      </w:r>
      <w:proofErr w:type="spellEnd"/>
      <w:r w:rsidR="00F26381">
        <w:rPr>
          <w:rFonts w:ascii="Arial" w:hAnsi="Arial" w:cs="Arial"/>
          <w:sz w:val="22"/>
          <w:szCs w:val="22"/>
        </w:rPr>
        <w:t xml:space="preserve"> is </w:t>
      </w:r>
      <w:proofErr w:type="gramStart"/>
      <w:r w:rsidR="00F26381" w:rsidRPr="00F65D5C">
        <w:rPr>
          <w:rFonts w:ascii="Arial" w:hAnsi="Arial" w:cs="Arial"/>
          <w:sz w:val="22"/>
          <w:szCs w:val="22"/>
        </w:rPr>
        <w:t>an off</w:t>
      </w:r>
      <w:proofErr w:type="gramEnd"/>
      <w:r w:rsidR="00F26381" w:rsidRPr="00F65D5C">
        <w:rPr>
          <w:rFonts w:ascii="Arial" w:hAnsi="Arial" w:cs="Arial"/>
          <w:sz w:val="22"/>
          <w:szCs w:val="22"/>
        </w:rPr>
        <w:t>-white, smooth ointment</w:t>
      </w:r>
      <w:r w:rsidR="00E971A6">
        <w:rPr>
          <w:rFonts w:ascii="Arial" w:hAnsi="Arial" w:cs="Arial"/>
          <w:sz w:val="22"/>
          <w:szCs w:val="22"/>
        </w:rPr>
        <w:t xml:space="preserve"> </w:t>
      </w:r>
      <w:r w:rsidR="00100D47" w:rsidRPr="00F65D5C">
        <w:rPr>
          <w:rFonts w:ascii="Arial" w:hAnsi="Arial" w:cs="Arial"/>
          <w:sz w:val="22"/>
          <w:szCs w:val="22"/>
        </w:rPr>
        <w:t xml:space="preserve">supplied in </w:t>
      </w:r>
      <w:r w:rsidR="00C946B6">
        <w:rPr>
          <w:rFonts w:ascii="Arial" w:hAnsi="Arial" w:cs="Arial"/>
          <w:sz w:val="22"/>
          <w:szCs w:val="22"/>
        </w:rPr>
        <w:t>2.5 g</w:t>
      </w:r>
      <w:r w:rsidR="00E971A6">
        <w:rPr>
          <w:rFonts w:ascii="Arial" w:hAnsi="Arial" w:cs="Arial"/>
          <w:sz w:val="22"/>
          <w:szCs w:val="22"/>
        </w:rPr>
        <w:t>,</w:t>
      </w:r>
      <w:r w:rsidR="008A1FE5" w:rsidRPr="00F65D5C">
        <w:rPr>
          <w:rFonts w:ascii="Arial" w:hAnsi="Arial" w:cs="Arial"/>
          <w:sz w:val="22"/>
          <w:szCs w:val="22"/>
        </w:rPr>
        <w:t xml:space="preserve"> </w:t>
      </w:r>
      <w:r w:rsidR="00100D47" w:rsidRPr="00F65D5C">
        <w:rPr>
          <w:rFonts w:ascii="Arial" w:hAnsi="Arial" w:cs="Arial"/>
          <w:sz w:val="22"/>
          <w:szCs w:val="22"/>
        </w:rPr>
        <w:t>5 g</w:t>
      </w:r>
      <w:r w:rsidR="00E971A6">
        <w:rPr>
          <w:rFonts w:ascii="Arial" w:hAnsi="Arial" w:cs="Arial"/>
          <w:sz w:val="22"/>
          <w:szCs w:val="22"/>
        </w:rPr>
        <w:t>,</w:t>
      </w:r>
      <w:r w:rsidR="00100D47" w:rsidRPr="00F65D5C">
        <w:rPr>
          <w:rFonts w:ascii="Arial" w:hAnsi="Arial" w:cs="Arial"/>
          <w:sz w:val="22"/>
          <w:szCs w:val="22"/>
        </w:rPr>
        <w:t xml:space="preserve"> 10 g and 15 g aluminium tubes with a plastic screw cap.</w:t>
      </w:r>
    </w:p>
    <w:p w:rsidR="007526D3" w:rsidRPr="00F65D5C" w:rsidRDefault="007526D3" w:rsidP="00A30798">
      <w:pPr>
        <w:ind w:left="360"/>
        <w:jc w:val="both"/>
        <w:rPr>
          <w:rFonts w:ascii="Arial" w:hAnsi="Arial" w:cs="Arial"/>
          <w:sz w:val="22"/>
          <w:szCs w:val="22"/>
        </w:rPr>
      </w:pPr>
    </w:p>
    <w:p w:rsidR="0095734D" w:rsidRPr="00F65D5C" w:rsidRDefault="00E8070F" w:rsidP="00A30798">
      <w:pPr>
        <w:jc w:val="both"/>
        <w:rPr>
          <w:rFonts w:ascii="Arial" w:hAnsi="Arial" w:cs="Arial"/>
          <w:sz w:val="22"/>
          <w:szCs w:val="22"/>
        </w:rPr>
      </w:pPr>
      <w:r w:rsidRPr="00F65D5C">
        <w:rPr>
          <w:rFonts w:ascii="Arial" w:hAnsi="Arial" w:cs="Arial"/>
          <w:sz w:val="22"/>
          <w:szCs w:val="22"/>
        </w:rPr>
        <w:t xml:space="preserve">Not all </w:t>
      </w:r>
      <w:r w:rsidR="0095734D" w:rsidRPr="00F65D5C">
        <w:rPr>
          <w:rFonts w:ascii="Arial" w:hAnsi="Arial" w:cs="Arial"/>
          <w:sz w:val="22"/>
          <w:szCs w:val="22"/>
        </w:rPr>
        <w:t>pack sizes</w:t>
      </w:r>
      <w:r w:rsidRPr="00F65D5C">
        <w:rPr>
          <w:rFonts w:ascii="Arial" w:hAnsi="Arial" w:cs="Arial"/>
          <w:sz w:val="22"/>
          <w:szCs w:val="22"/>
        </w:rPr>
        <w:t xml:space="preserve"> may</w:t>
      </w:r>
      <w:r w:rsidR="0095734D" w:rsidRPr="00F65D5C">
        <w:rPr>
          <w:rFonts w:ascii="Arial" w:hAnsi="Arial" w:cs="Arial"/>
          <w:sz w:val="22"/>
          <w:szCs w:val="22"/>
        </w:rPr>
        <w:t xml:space="preserve"> </w:t>
      </w:r>
      <w:r w:rsidRPr="00F65D5C">
        <w:rPr>
          <w:rFonts w:ascii="Arial" w:hAnsi="Arial" w:cs="Arial"/>
          <w:sz w:val="22"/>
          <w:szCs w:val="22"/>
        </w:rPr>
        <w:t xml:space="preserve">be </w:t>
      </w:r>
      <w:r w:rsidR="0095734D" w:rsidRPr="00F65D5C">
        <w:rPr>
          <w:rFonts w:ascii="Arial" w:hAnsi="Arial" w:cs="Arial"/>
          <w:sz w:val="22"/>
          <w:szCs w:val="22"/>
        </w:rPr>
        <w:t>distributed</w:t>
      </w:r>
      <w:r w:rsidRPr="00F65D5C">
        <w:rPr>
          <w:rFonts w:ascii="Arial" w:hAnsi="Arial" w:cs="Arial"/>
          <w:sz w:val="22"/>
          <w:szCs w:val="22"/>
        </w:rPr>
        <w:t xml:space="preserve"> in Australia.</w:t>
      </w:r>
      <w:r w:rsidR="0095734D" w:rsidRPr="00F65D5C">
        <w:rPr>
          <w:rFonts w:ascii="Arial" w:hAnsi="Arial" w:cs="Arial"/>
          <w:sz w:val="22"/>
          <w:szCs w:val="22"/>
        </w:rPr>
        <w:t xml:space="preserve"> </w:t>
      </w:r>
    </w:p>
    <w:p w:rsidR="008A1FE5" w:rsidRPr="00F65D5C" w:rsidRDefault="008A1FE5" w:rsidP="00A30798">
      <w:pPr>
        <w:jc w:val="both"/>
        <w:rPr>
          <w:rFonts w:ascii="Arial" w:hAnsi="Arial" w:cs="Arial"/>
          <w:sz w:val="22"/>
          <w:szCs w:val="22"/>
        </w:rPr>
      </w:pPr>
    </w:p>
    <w:p w:rsidR="004F640B" w:rsidRPr="00F65D5C" w:rsidRDefault="008A1FE5" w:rsidP="00A30798">
      <w:pPr>
        <w:jc w:val="both"/>
        <w:rPr>
          <w:rFonts w:ascii="Arial" w:hAnsi="Arial" w:cs="Arial"/>
          <w:sz w:val="22"/>
          <w:szCs w:val="22"/>
        </w:rPr>
      </w:pPr>
      <w:r w:rsidRPr="00F65D5C">
        <w:rPr>
          <w:rFonts w:ascii="Arial" w:hAnsi="Arial" w:cs="Arial"/>
          <w:sz w:val="22"/>
          <w:szCs w:val="22"/>
        </w:rPr>
        <w:t xml:space="preserve">Store below </w:t>
      </w:r>
      <w:r w:rsidR="002B4220">
        <w:rPr>
          <w:rFonts w:ascii="Arial" w:hAnsi="Arial" w:cs="Arial"/>
          <w:sz w:val="22"/>
          <w:szCs w:val="22"/>
        </w:rPr>
        <w:t>25</w:t>
      </w:r>
      <w:r w:rsidR="00C634A7" w:rsidRPr="00F65D5C">
        <w:rPr>
          <w:rFonts w:ascii="Arial" w:hAnsi="Arial" w:cs="Arial"/>
          <w:sz w:val="22"/>
          <w:szCs w:val="22"/>
        </w:rPr>
        <w:fldChar w:fldCharType="begin"/>
      </w:r>
      <w:r w:rsidRPr="00F65D5C">
        <w:rPr>
          <w:rFonts w:ascii="Arial" w:hAnsi="Arial" w:cs="Arial"/>
          <w:sz w:val="22"/>
          <w:szCs w:val="22"/>
        </w:rPr>
        <w:instrText>SYMBOL 176\u</w:instrText>
      </w:r>
      <w:r w:rsidR="00C634A7" w:rsidRPr="00F65D5C">
        <w:rPr>
          <w:rFonts w:ascii="Arial" w:hAnsi="Arial" w:cs="Arial"/>
          <w:sz w:val="22"/>
          <w:szCs w:val="22"/>
        </w:rPr>
        <w:fldChar w:fldCharType="end"/>
      </w:r>
      <w:r w:rsidRPr="00F65D5C">
        <w:rPr>
          <w:rFonts w:ascii="Arial" w:hAnsi="Arial" w:cs="Arial"/>
          <w:sz w:val="22"/>
          <w:szCs w:val="22"/>
        </w:rPr>
        <w:t>C</w:t>
      </w:r>
      <w:r w:rsidR="00E971A6">
        <w:rPr>
          <w:rFonts w:ascii="Arial" w:hAnsi="Arial" w:cs="Arial"/>
          <w:sz w:val="22"/>
          <w:szCs w:val="22"/>
        </w:rPr>
        <w:t>.</w:t>
      </w:r>
    </w:p>
    <w:p w:rsidR="00E8070F" w:rsidRPr="00453BA1" w:rsidRDefault="00E8070F" w:rsidP="00A30798">
      <w:pPr>
        <w:jc w:val="both"/>
        <w:rPr>
          <w:rFonts w:ascii="Arial" w:hAnsi="Arial" w:cs="Arial"/>
          <w:sz w:val="22"/>
          <w:szCs w:val="22"/>
        </w:rPr>
      </w:pPr>
    </w:p>
    <w:p w:rsidR="0077380F" w:rsidRDefault="0077380F" w:rsidP="00A30798">
      <w:pPr>
        <w:jc w:val="both"/>
        <w:rPr>
          <w:rFonts w:ascii="Arial" w:hAnsi="Arial" w:cs="Arial"/>
          <w:b/>
          <w:sz w:val="22"/>
          <w:szCs w:val="22"/>
        </w:rPr>
      </w:pPr>
      <w:r w:rsidRPr="00453BA1">
        <w:rPr>
          <w:rFonts w:ascii="Arial" w:hAnsi="Arial" w:cs="Arial"/>
          <w:b/>
          <w:sz w:val="22"/>
          <w:szCs w:val="22"/>
        </w:rPr>
        <w:t xml:space="preserve">NAME </w:t>
      </w:r>
      <w:smartTag w:uri="urn:schemas-microsoft-com:office:smarttags" w:element="stockticker">
        <w:r w:rsidRPr="00453BA1">
          <w:rPr>
            <w:rFonts w:ascii="Arial" w:hAnsi="Arial" w:cs="Arial"/>
            <w:b/>
            <w:sz w:val="22"/>
            <w:szCs w:val="22"/>
          </w:rPr>
          <w:t>AND</w:t>
        </w:r>
      </w:smartTag>
      <w:r w:rsidRPr="00453BA1">
        <w:rPr>
          <w:rFonts w:ascii="Arial" w:hAnsi="Arial" w:cs="Arial"/>
          <w:b/>
          <w:sz w:val="22"/>
          <w:szCs w:val="22"/>
        </w:rPr>
        <w:t xml:space="preserve"> ADDRESS OF THE SPONSOR</w:t>
      </w:r>
    </w:p>
    <w:p w:rsidR="000A20ED" w:rsidRPr="00453BA1" w:rsidRDefault="000A20ED" w:rsidP="00A30798">
      <w:pPr>
        <w:jc w:val="both"/>
        <w:rPr>
          <w:rFonts w:ascii="Arial" w:hAnsi="Arial" w:cs="Arial"/>
          <w:b/>
          <w:sz w:val="22"/>
          <w:szCs w:val="22"/>
        </w:rPr>
      </w:pPr>
    </w:p>
    <w:p w:rsidR="003A21A0" w:rsidRPr="00453BA1" w:rsidRDefault="003A21A0" w:rsidP="00A30798">
      <w:pPr>
        <w:jc w:val="both"/>
        <w:rPr>
          <w:rFonts w:ascii="Arial" w:hAnsi="Arial"/>
          <w:sz w:val="22"/>
        </w:rPr>
      </w:pPr>
      <w:r w:rsidRPr="00453BA1">
        <w:rPr>
          <w:rFonts w:ascii="Arial" w:hAnsi="Arial"/>
          <w:sz w:val="22"/>
        </w:rPr>
        <w:t>GlaxoSmithKline Australia Pty Ltd,</w:t>
      </w:r>
    </w:p>
    <w:p w:rsidR="003A21A0" w:rsidRPr="00453BA1" w:rsidRDefault="003A21A0" w:rsidP="00A30798">
      <w:pPr>
        <w:rPr>
          <w:rStyle w:val="HTMLTypewriter"/>
          <w:rFonts w:ascii="Arial" w:hAnsi="Arial" w:cs="Arial"/>
          <w:color w:val="000000"/>
          <w:sz w:val="22"/>
          <w:szCs w:val="22"/>
        </w:rPr>
      </w:pPr>
      <w:r w:rsidRPr="00453BA1">
        <w:rPr>
          <w:rStyle w:val="HTMLTypewriter"/>
          <w:rFonts w:ascii="Arial" w:hAnsi="Arial" w:cs="Arial"/>
          <w:color w:val="000000"/>
          <w:sz w:val="22"/>
          <w:szCs w:val="22"/>
        </w:rPr>
        <w:t xml:space="preserve">Level 4, 436 Johnston Street, </w:t>
      </w:r>
    </w:p>
    <w:p w:rsidR="003A21A0" w:rsidRPr="00453BA1" w:rsidRDefault="003A21A0" w:rsidP="00A30798">
      <w:pPr>
        <w:jc w:val="both"/>
        <w:rPr>
          <w:rFonts w:ascii="Arial" w:hAnsi="Arial" w:cs="Arial"/>
          <w:sz w:val="22"/>
          <w:szCs w:val="22"/>
        </w:rPr>
      </w:pPr>
      <w:r w:rsidRPr="00453BA1">
        <w:rPr>
          <w:rStyle w:val="HTMLTypewriter"/>
          <w:rFonts w:ascii="Arial" w:hAnsi="Arial" w:cs="Arial"/>
          <w:color w:val="000000"/>
          <w:sz w:val="22"/>
          <w:szCs w:val="22"/>
        </w:rPr>
        <w:t>Abbotsford, Victoria, 3067</w:t>
      </w:r>
    </w:p>
    <w:p w:rsidR="00C81A45" w:rsidRDefault="00C81A45" w:rsidP="00A30798">
      <w:pPr>
        <w:jc w:val="both"/>
        <w:rPr>
          <w:rFonts w:ascii="Arial" w:hAnsi="Arial" w:cs="Arial"/>
          <w:b/>
          <w:sz w:val="22"/>
          <w:szCs w:val="22"/>
        </w:rPr>
      </w:pPr>
    </w:p>
    <w:p w:rsidR="00053893" w:rsidRDefault="00D06FFC" w:rsidP="00A30798">
      <w:pPr>
        <w:jc w:val="both"/>
        <w:rPr>
          <w:rFonts w:ascii="Arial" w:hAnsi="Arial" w:cs="Arial"/>
          <w:b/>
          <w:sz w:val="22"/>
          <w:szCs w:val="22"/>
        </w:rPr>
      </w:pPr>
      <w:r w:rsidRPr="00453BA1">
        <w:rPr>
          <w:rFonts w:ascii="Arial" w:hAnsi="Arial" w:cs="Arial"/>
          <w:b/>
          <w:sz w:val="22"/>
          <w:szCs w:val="22"/>
        </w:rPr>
        <w:t>POISON SCHEDULE OF THE MEDICINE</w:t>
      </w:r>
    </w:p>
    <w:p w:rsidR="000A20ED" w:rsidRPr="00453BA1" w:rsidRDefault="000A20ED" w:rsidP="00A30798">
      <w:pPr>
        <w:jc w:val="both"/>
        <w:rPr>
          <w:rFonts w:ascii="Arial" w:hAnsi="Arial" w:cs="Arial"/>
          <w:b/>
          <w:sz w:val="22"/>
          <w:szCs w:val="22"/>
        </w:rPr>
      </w:pPr>
    </w:p>
    <w:p w:rsidR="00571510" w:rsidRPr="00453BA1" w:rsidRDefault="00053893" w:rsidP="00A30798">
      <w:pPr>
        <w:jc w:val="both"/>
        <w:rPr>
          <w:rFonts w:ascii="Arial" w:hAnsi="Arial" w:cs="Arial"/>
          <w:color w:val="000000"/>
          <w:sz w:val="22"/>
          <w:szCs w:val="22"/>
        </w:rPr>
      </w:pPr>
      <w:r w:rsidRPr="00453BA1">
        <w:rPr>
          <w:rFonts w:ascii="Arial" w:hAnsi="Arial" w:cs="Arial"/>
          <w:color w:val="000000"/>
          <w:sz w:val="22"/>
          <w:szCs w:val="22"/>
        </w:rPr>
        <w:t>Schedule 4 – Prescription Only Medicine</w:t>
      </w:r>
      <w:r w:rsidR="00571510" w:rsidRPr="00453BA1">
        <w:rPr>
          <w:rFonts w:ascii="Arial" w:hAnsi="Arial" w:cs="Arial"/>
          <w:color w:val="000000"/>
          <w:sz w:val="22"/>
          <w:szCs w:val="22"/>
        </w:rPr>
        <w:t xml:space="preserve"> </w:t>
      </w:r>
    </w:p>
    <w:p w:rsidR="000F16CD" w:rsidRDefault="000F16CD" w:rsidP="00A30798">
      <w:pPr>
        <w:pStyle w:val="Heading4"/>
        <w:spacing w:before="0" w:after="0"/>
        <w:rPr>
          <w:rFonts w:ascii="Arial" w:hAnsi="Arial" w:cs="Arial"/>
          <w:sz w:val="22"/>
          <w:szCs w:val="22"/>
        </w:rPr>
      </w:pPr>
    </w:p>
    <w:p w:rsidR="000A20ED" w:rsidRDefault="004F640B" w:rsidP="00A30798">
      <w:pPr>
        <w:pStyle w:val="Heading4"/>
        <w:spacing w:before="0" w:after="0"/>
        <w:rPr>
          <w:rFonts w:ascii="Arial" w:hAnsi="Arial" w:cs="Arial"/>
          <w:sz w:val="22"/>
          <w:szCs w:val="22"/>
        </w:rPr>
      </w:pPr>
      <w:r w:rsidRPr="00453BA1">
        <w:rPr>
          <w:rFonts w:ascii="Arial" w:hAnsi="Arial" w:cs="Arial"/>
          <w:sz w:val="22"/>
          <w:szCs w:val="22"/>
        </w:rPr>
        <w:t>Date of first i</w:t>
      </w:r>
      <w:r w:rsidR="000F16CD">
        <w:rPr>
          <w:rFonts w:ascii="Arial" w:hAnsi="Arial" w:cs="Arial"/>
          <w:sz w:val="22"/>
          <w:szCs w:val="22"/>
        </w:rPr>
        <w:t>n</w:t>
      </w:r>
      <w:r w:rsidRPr="00453BA1">
        <w:rPr>
          <w:rFonts w:ascii="Arial" w:hAnsi="Arial" w:cs="Arial"/>
          <w:sz w:val="22"/>
          <w:szCs w:val="22"/>
        </w:rPr>
        <w:t xml:space="preserve">clusion in the Australian Register of Therapeutic Goods (the ARTG): </w:t>
      </w:r>
    </w:p>
    <w:p w:rsidR="000A20ED" w:rsidRDefault="000A20ED" w:rsidP="00A30798">
      <w:pPr>
        <w:pStyle w:val="Heading4"/>
        <w:spacing w:before="0" w:after="0"/>
        <w:rPr>
          <w:rFonts w:ascii="Arial" w:hAnsi="Arial" w:cs="Arial"/>
          <w:sz w:val="22"/>
          <w:szCs w:val="22"/>
        </w:rPr>
      </w:pPr>
    </w:p>
    <w:p w:rsidR="00AC3812" w:rsidRDefault="006419B7" w:rsidP="00A30798">
      <w:pPr>
        <w:pStyle w:val="Heading4"/>
        <w:spacing w:before="0" w:after="0"/>
        <w:rPr>
          <w:rFonts w:ascii="Arial" w:hAnsi="Arial" w:cs="Arial"/>
          <w:b w:val="0"/>
          <w:color w:val="0000FF"/>
          <w:sz w:val="22"/>
          <w:szCs w:val="22"/>
        </w:rPr>
      </w:pPr>
      <w:r>
        <w:rPr>
          <w:rFonts w:ascii="Arial" w:hAnsi="Arial" w:cs="Arial"/>
          <w:b w:val="0"/>
          <w:sz w:val="22"/>
          <w:szCs w:val="22"/>
        </w:rPr>
        <w:t>24 July 2013</w:t>
      </w:r>
      <w:r w:rsidR="00E971A6">
        <w:rPr>
          <w:rFonts w:ascii="Arial" w:hAnsi="Arial" w:cs="Arial"/>
          <w:b w:val="0"/>
          <w:color w:val="0000FF"/>
          <w:sz w:val="22"/>
          <w:szCs w:val="22"/>
        </w:rPr>
        <w:t xml:space="preserve"> </w:t>
      </w:r>
    </w:p>
    <w:p w:rsidR="000F16CD" w:rsidRPr="000F16CD" w:rsidRDefault="000F16CD" w:rsidP="00A30798"/>
    <w:p w:rsidR="00E16D7E" w:rsidRPr="00453BA1" w:rsidRDefault="000F16CD" w:rsidP="00A30798">
      <w:pPr>
        <w:jc w:val="both"/>
        <w:rPr>
          <w:rFonts w:ascii="Arial" w:hAnsi="Arial" w:cs="Arial"/>
        </w:rPr>
      </w:pPr>
      <w:r w:rsidRPr="0038582E">
        <w:rPr>
          <w:rFonts w:ascii="Arial" w:hAnsi="Arial" w:cs="Arial"/>
        </w:rPr>
        <w:t>ALTARGO</w:t>
      </w:r>
      <w:r w:rsidR="0038582E" w:rsidRPr="0038582E">
        <w:rPr>
          <w:rFonts w:ascii="Arial" w:hAnsi="Arial" w:cs="Arial"/>
          <w:sz w:val="24"/>
          <w:vertAlign w:val="superscript"/>
        </w:rPr>
        <w:t>®</w:t>
      </w:r>
      <w:r w:rsidR="004F640B" w:rsidRPr="0038582E">
        <w:rPr>
          <w:rFonts w:ascii="Arial" w:hAnsi="Arial" w:cs="Arial"/>
          <w:vertAlign w:val="superscript"/>
        </w:rPr>
        <w:t xml:space="preserve"> </w:t>
      </w:r>
      <w:r w:rsidR="00E16D7E" w:rsidRPr="0038582E">
        <w:rPr>
          <w:rFonts w:ascii="Arial" w:hAnsi="Arial" w:cs="Arial"/>
        </w:rPr>
        <w:t>is a</w:t>
      </w:r>
      <w:r w:rsidR="00F65D5C" w:rsidRPr="0038582E">
        <w:rPr>
          <w:rFonts w:ascii="Arial" w:hAnsi="Arial" w:cs="Arial"/>
        </w:rPr>
        <w:t xml:space="preserve"> registered</w:t>
      </w:r>
      <w:r w:rsidR="00E16D7E" w:rsidRPr="00453BA1">
        <w:rPr>
          <w:rFonts w:ascii="Arial" w:hAnsi="Arial" w:cs="Arial"/>
        </w:rPr>
        <w:t xml:space="preserve"> trade mark of the GlaxoSmithKline group of companies</w:t>
      </w:r>
      <w:r w:rsidR="00A06D92" w:rsidRPr="00453BA1">
        <w:rPr>
          <w:rFonts w:ascii="Arial" w:hAnsi="Arial" w:cs="Arial"/>
        </w:rPr>
        <w:t>.</w:t>
      </w:r>
    </w:p>
    <w:p w:rsidR="00E971A6" w:rsidRDefault="00E971A6" w:rsidP="00A30798">
      <w:pPr>
        <w:jc w:val="both"/>
        <w:rPr>
          <w:rFonts w:ascii="Arial" w:hAnsi="Arial" w:cs="Arial"/>
          <w:sz w:val="22"/>
          <w:szCs w:val="22"/>
        </w:rPr>
      </w:pPr>
    </w:p>
    <w:p w:rsidR="00053893" w:rsidRDefault="004F640B" w:rsidP="00A30798">
      <w:pPr>
        <w:jc w:val="both"/>
        <w:rPr>
          <w:rFonts w:ascii="Arial" w:hAnsi="Arial" w:cs="Arial"/>
          <w:sz w:val="22"/>
          <w:szCs w:val="22"/>
        </w:rPr>
      </w:pPr>
      <w:r w:rsidRPr="00453BA1">
        <w:rPr>
          <w:rFonts w:ascii="Arial" w:hAnsi="Arial" w:cs="Arial"/>
          <w:sz w:val="22"/>
          <w:szCs w:val="22"/>
        </w:rPr>
        <w:t>Version 1.0</w:t>
      </w:r>
    </w:p>
    <w:sectPr w:rsidR="00053893" w:rsidSect="00C556BA">
      <w:headerReference w:type="default" r:id="rId10"/>
      <w:footerReference w:type="default" r:id="rId11"/>
      <w:pgSz w:w="11906" w:h="16838" w:code="9"/>
      <w:pgMar w:top="1440" w:right="1540" w:bottom="1440" w:left="1540" w:header="720" w:footer="720" w:gutter="0"/>
      <w:paperSrc w:first="4"/>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4CF" w:rsidRDefault="00A714CF" w:rsidP="007E0C5E">
      <w:r>
        <w:separator/>
      </w:r>
    </w:p>
  </w:endnote>
  <w:endnote w:type="continuationSeparator" w:id="0">
    <w:p w:rsidR="00A714CF" w:rsidRDefault="00A714CF" w:rsidP="007E0C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CF" w:rsidRPr="00E8070F" w:rsidRDefault="00A714CF"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00C634A7"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00C634A7" w:rsidRPr="00E8070F">
      <w:rPr>
        <w:rStyle w:val="PageNumber"/>
        <w:rFonts w:ascii="Arial" w:hAnsi="Arial" w:cs="Arial"/>
        <w:sz w:val="22"/>
        <w:szCs w:val="16"/>
      </w:rPr>
      <w:fldChar w:fldCharType="separate"/>
    </w:r>
    <w:r w:rsidR="00E50499">
      <w:rPr>
        <w:rStyle w:val="PageNumber"/>
        <w:rFonts w:ascii="Arial" w:hAnsi="Arial" w:cs="Arial"/>
        <w:noProof/>
        <w:sz w:val="22"/>
        <w:szCs w:val="16"/>
      </w:rPr>
      <w:t>1</w:t>
    </w:r>
    <w:r w:rsidR="00C634A7"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4CF" w:rsidRDefault="00A714CF" w:rsidP="007E0C5E">
      <w:r>
        <w:separator/>
      </w:r>
    </w:p>
  </w:footnote>
  <w:footnote w:type="continuationSeparator" w:id="0">
    <w:p w:rsidR="00A714CF" w:rsidRDefault="00A714CF" w:rsidP="007E0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499" w:rsidRPr="00D361CA" w:rsidRDefault="00E50499" w:rsidP="00E50499">
    <w:pPr>
      <w:pBdr>
        <w:top w:val="single" w:sz="4" w:space="1" w:color="auto"/>
        <w:left w:val="single" w:sz="4" w:space="4" w:color="auto"/>
        <w:bottom w:val="single" w:sz="4" w:space="1" w:color="auto"/>
        <w:right w:val="single" w:sz="4" w:space="4" w:color="auto"/>
      </w:pBdr>
      <w:shd w:val="clear" w:color="auto" w:fill="E4F2E0"/>
      <w:spacing w:before="40" w:after="40"/>
      <w:rPr>
        <w:b/>
      </w:rPr>
    </w:pPr>
    <w:r w:rsidRPr="00D361CA">
      <w:rPr>
        <w:b/>
      </w:rPr>
      <w:t xml:space="preserve">Attachment 1: Product information for </w:t>
    </w:r>
    <w:proofErr w:type="spellStart"/>
    <w:r w:rsidRPr="00E50499">
      <w:rPr>
        <w:b/>
      </w:rPr>
      <w:t>AusPAR</w:t>
    </w:r>
    <w:proofErr w:type="spellEnd"/>
    <w:r w:rsidRPr="00E50499">
      <w:rPr>
        <w:b/>
      </w:rPr>
      <w:t xml:space="preserve"> </w:t>
    </w:r>
    <w:proofErr w:type="spellStart"/>
    <w:r w:rsidRPr="00E50499">
      <w:rPr>
        <w:b/>
      </w:rPr>
      <w:t>Retapamulin</w:t>
    </w:r>
    <w:proofErr w:type="spellEnd"/>
    <w:r w:rsidRPr="00E50499">
      <w:rPr>
        <w:b/>
      </w:rPr>
      <w:t xml:space="preserve">; </w:t>
    </w:r>
    <w:proofErr w:type="spellStart"/>
    <w:r w:rsidRPr="00E50499">
      <w:rPr>
        <w:b/>
      </w:rPr>
      <w:t>Altargo</w:t>
    </w:r>
    <w:proofErr w:type="spellEnd"/>
    <w:r w:rsidRPr="00E50499">
      <w:rPr>
        <w:b/>
      </w:rPr>
      <w:t>; GlaxoSmithKline Australia Pty Ltd; PM-2012-01489-3-2</w:t>
    </w:r>
    <w:r>
      <w:rPr>
        <w:b/>
      </w:rPr>
      <w:t xml:space="preserve"> </w:t>
    </w:r>
    <w:r w:rsidRPr="00E50499">
      <w:rPr>
        <w:b/>
      </w:rPr>
      <w:t>Date of Finalisation 11 November 2013</w:t>
    </w:r>
    <w:r w:rsidRPr="00D361CA">
      <w:rPr>
        <w:b/>
      </w:rPr>
      <w:t xml:space="preserve">. This Product Information was approved at the time this </w:t>
    </w:r>
    <w:proofErr w:type="spellStart"/>
    <w:r w:rsidRPr="00D361CA">
      <w:rPr>
        <w:b/>
      </w:rPr>
      <w:t>AusPAR</w:t>
    </w:r>
    <w:proofErr w:type="spellEnd"/>
    <w:r w:rsidRPr="00D361CA">
      <w:rPr>
        <w:b/>
      </w:rPr>
      <w:t xml:space="preserve"> was published.</w:t>
    </w:r>
  </w:p>
  <w:p w:rsidR="00E50499" w:rsidRDefault="00E504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E785B"/>
    <w:multiLevelType w:val="singleLevel"/>
    <w:tmpl w:val="7250F40C"/>
    <w:lvl w:ilvl="0">
      <w:start w:val="1"/>
      <w:numFmt w:val="bullet"/>
      <w:pStyle w:val="listbull"/>
      <w:lvlText w:val=""/>
      <w:lvlJc w:val="left"/>
      <w:pPr>
        <w:tabs>
          <w:tab w:val="num" w:pos="567"/>
        </w:tabs>
        <w:ind w:left="567" w:hanging="567"/>
      </w:pPr>
      <w:rPr>
        <w:rFonts w:ascii="Symbol" w:hAnsi="Symbol" w:hint="default"/>
      </w:rPr>
    </w:lvl>
  </w:abstractNum>
  <w:abstractNum w:abstractNumId="4">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E225D"/>
    <w:multiLevelType w:val="hybridMultilevel"/>
    <w:tmpl w:val="6ECAD5C2"/>
    <w:lvl w:ilvl="0" w:tplc="1E446A16">
      <w:start w:val="2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54D2E"/>
    <w:multiLevelType w:val="hybridMultilevel"/>
    <w:tmpl w:val="5CA8F6C2"/>
    <w:lvl w:ilvl="0" w:tplc="8F9AB1C8">
      <w:start w:val="1"/>
      <w:numFmt w:val="bullet"/>
      <w:lvlText w:val=""/>
      <w:lvlJc w:val="left"/>
      <w:pPr>
        <w:tabs>
          <w:tab w:val="num" w:pos="360"/>
        </w:tabs>
        <w:ind w:left="360" w:hanging="360"/>
      </w:pPr>
      <w:rPr>
        <w:rFonts w:ascii="Symbol" w:hAnsi="Symbol" w:hint="default"/>
      </w:rPr>
    </w:lvl>
    <w:lvl w:ilvl="1" w:tplc="D6867BC6" w:tentative="1">
      <w:start w:val="1"/>
      <w:numFmt w:val="bullet"/>
      <w:lvlText w:val="o"/>
      <w:lvlJc w:val="left"/>
      <w:pPr>
        <w:tabs>
          <w:tab w:val="num" w:pos="1080"/>
        </w:tabs>
        <w:ind w:left="1080" w:hanging="360"/>
      </w:pPr>
      <w:rPr>
        <w:rFonts w:ascii="Courier New" w:hAnsi="Courier New" w:hint="default"/>
      </w:rPr>
    </w:lvl>
    <w:lvl w:ilvl="2" w:tplc="CD70B766" w:tentative="1">
      <w:start w:val="1"/>
      <w:numFmt w:val="bullet"/>
      <w:lvlText w:val=""/>
      <w:lvlJc w:val="left"/>
      <w:pPr>
        <w:tabs>
          <w:tab w:val="num" w:pos="1800"/>
        </w:tabs>
        <w:ind w:left="1800" w:hanging="360"/>
      </w:pPr>
      <w:rPr>
        <w:rFonts w:ascii="Wingdings" w:hAnsi="Wingdings" w:hint="default"/>
      </w:rPr>
    </w:lvl>
    <w:lvl w:ilvl="3" w:tplc="3676C270" w:tentative="1">
      <w:start w:val="1"/>
      <w:numFmt w:val="bullet"/>
      <w:lvlText w:val=""/>
      <w:lvlJc w:val="left"/>
      <w:pPr>
        <w:tabs>
          <w:tab w:val="num" w:pos="2520"/>
        </w:tabs>
        <w:ind w:left="2520" w:hanging="360"/>
      </w:pPr>
      <w:rPr>
        <w:rFonts w:ascii="Symbol" w:hAnsi="Symbol" w:hint="default"/>
      </w:rPr>
    </w:lvl>
    <w:lvl w:ilvl="4" w:tplc="C3C037C6" w:tentative="1">
      <w:start w:val="1"/>
      <w:numFmt w:val="bullet"/>
      <w:lvlText w:val="o"/>
      <w:lvlJc w:val="left"/>
      <w:pPr>
        <w:tabs>
          <w:tab w:val="num" w:pos="3240"/>
        </w:tabs>
        <w:ind w:left="3240" w:hanging="360"/>
      </w:pPr>
      <w:rPr>
        <w:rFonts w:ascii="Courier New" w:hAnsi="Courier New" w:hint="default"/>
      </w:rPr>
    </w:lvl>
    <w:lvl w:ilvl="5" w:tplc="236A08EC" w:tentative="1">
      <w:start w:val="1"/>
      <w:numFmt w:val="bullet"/>
      <w:lvlText w:val=""/>
      <w:lvlJc w:val="left"/>
      <w:pPr>
        <w:tabs>
          <w:tab w:val="num" w:pos="3960"/>
        </w:tabs>
        <w:ind w:left="3960" w:hanging="360"/>
      </w:pPr>
      <w:rPr>
        <w:rFonts w:ascii="Wingdings" w:hAnsi="Wingdings" w:hint="default"/>
      </w:rPr>
    </w:lvl>
    <w:lvl w:ilvl="6" w:tplc="821AC46A" w:tentative="1">
      <w:start w:val="1"/>
      <w:numFmt w:val="bullet"/>
      <w:lvlText w:val=""/>
      <w:lvlJc w:val="left"/>
      <w:pPr>
        <w:tabs>
          <w:tab w:val="num" w:pos="4680"/>
        </w:tabs>
        <w:ind w:left="4680" w:hanging="360"/>
      </w:pPr>
      <w:rPr>
        <w:rFonts w:ascii="Symbol" w:hAnsi="Symbol" w:hint="default"/>
      </w:rPr>
    </w:lvl>
    <w:lvl w:ilvl="7" w:tplc="8F647C94" w:tentative="1">
      <w:start w:val="1"/>
      <w:numFmt w:val="bullet"/>
      <w:lvlText w:val="o"/>
      <w:lvlJc w:val="left"/>
      <w:pPr>
        <w:tabs>
          <w:tab w:val="num" w:pos="5400"/>
        </w:tabs>
        <w:ind w:left="5400" w:hanging="360"/>
      </w:pPr>
      <w:rPr>
        <w:rFonts w:ascii="Courier New" w:hAnsi="Courier New" w:hint="default"/>
      </w:rPr>
    </w:lvl>
    <w:lvl w:ilvl="8" w:tplc="9D765FD8" w:tentative="1">
      <w:start w:val="1"/>
      <w:numFmt w:val="bullet"/>
      <w:lvlText w:val=""/>
      <w:lvlJc w:val="left"/>
      <w:pPr>
        <w:tabs>
          <w:tab w:val="num" w:pos="6120"/>
        </w:tabs>
        <w:ind w:left="6120" w:hanging="360"/>
      </w:pPr>
      <w:rPr>
        <w:rFonts w:ascii="Wingdings" w:hAnsi="Wingdings" w:hint="default"/>
      </w:rPr>
    </w:lvl>
  </w:abstractNum>
  <w:abstractNum w:abstractNumId="10">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C6AD2"/>
    <w:multiLevelType w:val="hybridMultilevel"/>
    <w:tmpl w:val="71B49BA2"/>
    <w:lvl w:ilvl="0" w:tplc="F68021DC">
      <w:start w:val="1"/>
      <w:numFmt w:val="bullet"/>
      <w:lvlText w:val=""/>
      <w:lvlJc w:val="left"/>
      <w:pPr>
        <w:ind w:left="720" w:hanging="360"/>
      </w:pPr>
      <w:rPr>
        <w:rFonts w:ascii="Symbol" w:hAnsi="Symbol" w:hint="default"/>
      </w:rPr>
    </w:lvl>
    <w:lvl w:ilvl="1" w:tplc="617E7790" w:tentative="1">
      <w:start w:val="1"/>
      <w:numFmt w:val="bullet"/>
      <w:lvlText w:val="o"/>
      <w:lvlJc w:val="left"/>
      <w:pPr>
        <w:ind w:left="1440" w:hanging="360"/>
      </w:pPr>
      <w:rPr>
        <w:rFonts w:ascii="Courier New" w:hAnsi="Courier New" w:cs="Courier New" w:hint="default"/>
      </w:rPr>
    </w:lvl>
    <w:lvl w:ilvl="2" w:tplc="60F29448" w:tentative="1">
      <w:start w:val="1"/>
      <w:numFmt w:val="bullet"/>
      <w:lvlText w:val=""/>
      <w:lvlJc w:val="left"/>
      <w:pPr>
        <w:ind w:left="2160" w:hanging="360"/>
      </w:pPr>
      <w:rPr>
        <w:rFonts w:ascii="Wingdings" w:hAnsi="Wingdings" w:hint="default"/>
      </w:rPr>
    </w:lvl>
    <w:lvl w:ilvl="3" w:tplc="274CDAB6" w:tentative="1">
      <w:start w:val="1"/>
      <w:numFmt w:val="bullet"/>
      <w:lvlText w:val=""/>
      <w:lvlJc w:val="left"/>
      <w:pPr>
        <w:ind w:left="2880" w:hanging="360"/>
      </w:pPr>
      <w:rPr>
        <w:rFonts w:ascii="Symbol" w:hAnsi="Symbol" w:hint="default"/>
      </w:rPr>
    </w:lvl>
    <w:lvl w:ilvl="4" w:tplc="0862E53A" w:tentative="1">
      <w:start w:val="1"/>
      <w:numFmt w:val="bullet"/>
      <w:lvlText w:val="o"/>
      <w:lvlJc w:val="left"/>
      <w:pPr>
        <w:ind w:left="3600" w:hanging="360"/>
      </w:pPr>
      <w:rPr>
        <w:rFonts w:ascii="Courier New" w:hAnsi="Courier New" w:cs="Courier New" w:hint="default"/>
      </w:rPr>
    </w:lvl>
    <w:lvl w:ilvl="5" w:tplc="949A3B72" w:tentative="1">
      <w:start w:val="1"/>
      <w:numFmt w:val="bullet"/>
      <w:lvlText w:val=""/>
      <w:lvlJc w:val="left"/>
      <w:pPr>
        <w:ind w:left="4320" w:hanging="360"/>
      </w:pPr>
      <w:rPr>
        <w:rFonts w:ascii="Wingdings" w:hAnsi="Wingdings" w:hint="default"/>
      </w:rPr>
    </w:lvl>
    <w:lvl w:ilvl="6" w:tplc="0A3C00EA" w:tentative="1">
      <w:start w:val="1"/>
      <w:numFmt w:val="bullet"/>
      <w:lvlText w:val=""/>
      <w:lvlJc w:val="left"/>
      <w:pPr>
        <w:ind w:left="5040" w:hanging="360"/>
      </w:pPr>
      <w:rPr>
        <w:rFonts w:ascii="Symbol" w:hAnsi="Symbol" w:hint="default"/>
      </w:rPr>
    </w:lvl>
    <w:lvl w:ilvl="7" w:tplc="7DE09440" w:tentative="1">
      <w:start w:val="1"/>
      <w:numFmt w:val="bullet"/>
      <w:lvlText w:val="o"/>
      <w:lvlJc w:val="left"/>
      <w:pPr>
        <w:ind w:left="5760" w:hanging="360"/>
      </w:pPr>
      <w:rPr>
        <w:rFonts w:ascii="Courier New" w:hAnsi="Courier New" w:cs="Courier New" w:hint="default"/>
      </w:rPr>
    </w:lvl>
    <w:lvl w:ilvl="8" w:tplc="DF4E46DC" w:tentative="1">
      <w:start w:val="1"/>
      <w:numFmt w:val="bullet"/>
      <w:lvlText w:val=""/>
      <w:lvlJc w:val="left"/>
      <w:pPr>
        <w:ind w:left="6480" w:hanging="360"/>
      </w:pPr>
      <w:rPr>
        <w:rFonts w:ascii="Wingdings" w:hAnsi="Wingdings" w:hint="default"/>
      </w:rPr>
    </w:lvl>
  </w:abstractNum>
  <w:abstractNum w:abstractNumId="13">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4">
    <w:nsid w:val="486A3DC9"/>
    <w:multiLevelType w:val="multilevel"/>
    <w:tmpl w:val="0C264CB8"/>
    <w:lvl w:ilvl="0">
      <w:start w:val="1"/>
      <w:numFmt w:val="bullet"/>
      <w:pStyle w:val="listbullnospace"/>
      <w:lvlText w:val=""/>
      <w:lvlJc w:val="left"/>
      <w:pPr>
        <w:tabs>
          <w:tab w:val="num" w:pos="567"/>
        </w:tabs>
        <w:ind w:left="567" w:hanging="567"/>
      </w:pPr>
      <w:rPr>
        <w:rFonts w:ascii="Symbol"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68A41F8"/>
    <w:multiLevelType w:val="hybridMultilevel"/>
    <w:tmpl w:val="DBF4A15C"/>
    <w:lvl w:ilvl="0" w:tplc="9792407C">
      <w:start w:val="1"/>
      <w:numFmt w:val="bullet"/>
      <w:lvlText w:val=""/>
      <w:lvlJc w:val="left"/>
      <w:pPr>
        <w:tabs>
          <w:tab w:val="num" w:pos="504"/>
        </w:tabs>
        <w:ind w:left="504" w:hanging="504"/>
      </w:pPr>
      <w:rPr>
        <w:rFonts w:ascii="Symbol" w:hAnsi="Symbol" w:hint="default"/>
      </w:rPr>
    </w:lvl>
    <w:lvl w:ilvl="1" w:tplc="56E62568" w:tentative="1">
      <w:start w:val="1"/>
      <w:numFmt w:val="bullet"/>
      <w:lvlText w:val="o"/>
      <w:lvlJc w:val="left"/>
      <w:pPr>
        <w:tabs>
          <w:tab w:val="num" w:pos="1800"/>
        </w:tabs>
        <w:ind w:left="1800" w:hanging="360"/>
      </w:pPr>
      <w:rPr>
        <w:rFonts w:ascii="Courier New" w:hAnsi="Courier New" w:cs="Courier New" w:hint="default"/>
      </w:rPr>
    </w:lvl>
    <w:lvl w:ilvl="2" w:tplc="54E89C4C" w:tentative="1">
      <w:start w:val="1"/>
      <w:numFmt w:val="bullet"/>
      <w:lvlText w:val=""/>
      <w:lvlJc w:val="left"/>
      <w:pPr>
        <w:tabs>
          <w:tab w:val="num" w:pos="2520"/>
        </w:tabs>
        <w:ind w:left="2520" w:hanging="360"/>
      </w:pPr>
      <w:rPr>
        <w:rFonts w:ascii="Wingdings" w:hAnsi="Wingdings" w:hint="default"/>
      </w:rPr>
    </w:lvl>
    <w:lvl w:ilvl="3" w:tplc="B91CDB16" w:tentative="1">
      <w:start w:val="1"/>
      <w:numFmt w:val="bullet"/>
      <w:lvlText w:val=""/>
      <w:lvlJc w:val="left"/>
      <w:pPr>
        <w:tabs>
          <w:tab w:val="num" w:pos="3240"/>
        </w:tabs>
        <w:ind w:left="3240" w:hanging="360"/>
      </w:pPr>
      <w:rPr>
        <w:rFonts w:ascii="Symbol" w:hAnsi="Symbol" w:hint="default"/>
      </w:rPr>
    </w:lvl>
    <w:lvl w:ilvl="4" w:tplc="747AD65E" w:tentative="1">
      <w:start w:val="1"/>
      <w:numFmt w:val="bullet"/>
      <w:lvlText w:val="o"/>
      <w:lvlJc w:val="left"/>
      <w:pPr>
        <w:tabs>
          <w:tab w:val="num" w:pos="3960"/>
        </w:tabs>
        <w:ind w:left="3960" w:hanging="360"/>
      </w:pPr>
      <w:rPr>
        <w:rFonts w:ascii="Courier New" w:hAnsi="Courier New" w:cs="Courier New" w:hint="default"/>
      </w:rPr>
    </w:lvl>
    <w:lvl w:ilvl="5" w:tplc="81C847AC" w:tentative="1">
      <w:start w:val="1"/>
      <w:numFmt w:val="bullet"/>
      <w:lvlText w:val=""/>
      <w:lvlJc w:val="left"/>
      <w:pPr>
        <w:tabs>
          <w:tab w:val="num" w:pos="4680"/>
        </w:tabs>
        <w:ind w:left="4680" w:hanging="360"/>
      </w:pPr>
      <w:rPr>
        <w:rFonts w:ascii="Wingdings" w:hAnsi="Wingdings" w:hint="default"/>
      </w:rPr>
    </w:lvl>
    <w:lvl w:ilvl="6" w:tplc="20C0BE4A" w:tentative="1">
      <w:start w:val="1"/>
      <w:numFmt w:val="bullet"/>
      <w:lvlText w:val=""/>
      <w:lvlJc w:val="left"/>
      <w:pPr>
        <w:tabs>
          <w:tab w:val="num" w:pos="5400"/>
        </w:tabs>
        <w:ind w:left="5400" w:hanging="360"/>
      </w:pPr>
      <w:rPr>
        <w:rFonts w:ascii="Symbol" w:hAnsi="Symbol" w:hint="default"/>
      </w:rPr>
    </w:lvl>
    <w:lvl w:ilvl="7" w:tplc="AD64895E" w:tentative="1">
      <w:start w:val="1"/>
      <w:numFmt w:val="bullet"/>
      <w:lvlText w:val="o"/>
      <w:lvlJc w:val="left"/>
      <w:pPr>
        <w:tabs>
          <w:tab w:val="num" w:pos="6120"/>
        </w:tabs>
        <w:ind w:left="6120" w:hanging="360"/>
      </w:pPr>
      <w:rPr>
        <w:rFonts w:ascii="Courier New" w:hAnsi="Courier New" w:cs="Courier New" w:hint="default"/>
      </w:rPr>
    </w:lvl>
    <w:lvl w:ilvl="8" w:tplc="7F7C41A8" w:tentative="1">
      <w:start w:val="1"/>
      <w:numFmt w:val="bullet"/>
      <w:lvlText w:val=""/>
      <w:lvlJc w:val="left"/>
      <w:pPr>
        <w:tabs>
          <w:tab w:val="num" w:pos="6840"/>
        </w:tabs>
        <w:ind w:left="6840" w:hanging="360"/>
      </w:pPr>
      <w:rPr>
        <w:rFonts w:ascii="Wingdings" w:hAnsi="Wingdings" w:hint="default"/>
      </w:rPr>
    </w:lvl>
  </w:abstractNum>
  <w:abstractNum w:abstractNumId="19">
    <w:nsid w:val="671B419B"/>
    <w:multiLevelType w:val="singleLevel"/>
    <w:tmpl w:val="2B50E9DE"/>
    <w:lvl w:ilvl="0">
      <w:start w:val="3"/>
      <w:numFmt w:val="decimal"/>
      <w:lvlText w:val="%1."/>
      <w:lvlJc w:val="left"/>
      <w:pPr>
        <w:tabs>
          <w:tab w:val="num" w:pos="720"/>
        </w:tabs>
        <w:ind w:left="720" w:hanging="720"/>
      </w:pPr>
      <w:rPr>
        <w:rFonts w:hint="default"/>
        <w:b/>
      </w:rPr>
    </w:lvl>
  </w:abstractNum>
  <w:abstractNum w:abstractNumId="20">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17"/>
  </w:num>
  <w:num w:numId="4">
    <w:abstractNumId w:val="15"/>
  </w:num>
  <w:num w:numId="5">
    <w:abstractNumId w:val="4"/>
  </w:num>
  <w:num w:numId="6">
    <w:abstractNumId w:val="16"/>
  </w:num>
  <w:num w:numId="7">
    <w:abstractNumId w:val="23"/>
  </w:num>
  <w:num w:numId="8">
    <w:abstractNumId w:val="8"/>
  </w:num>
  <w:num w:numId="9">
    <w:abstractNumId w:val="2"/>
  </w:num>
  <w:num w:numId="10">
    <w:abstractNumId w:val="22"/>
  </w:num>
  <w:num w:numId="11">
    <w:abstractNumId w:val="20"/>
  </w:num>
  <w:num w:numId="12">
    <w:abstractNumId w:val="6"/>
  </w:num>
  <w:num w:numId="13">
    <w:abstractNumId w:val="10"/>
  </w:num>
  <w:num w:numId="14">
    <w:abstractNumId w:val="0"/>
  </w:num>
  <w:num w:numId="15">
    <w:abstractNumId w:val="5"/>
  </w:num>
  <w:num w:numId="16">
    <w:abstractNumId w:val="1"/>
  </w:num>
  <w:num w:numId="17">
    <w:abstractNumId w:val="11"/>
  </w:num>
  <w:num w:numId="18">
    <w:abstractNumId w:val="12"/>
  </w:num>
  <w:num w:numId="19">
    <w:abstractNumId w:val="3"/>
  </w:num>
  <w:num w:numId="20">
    <w:abstractNumId w:val="14"/>
  </w:num>
  <w:num w:numId="21">
    <w:abstractNumId w:val="18"/>
  </w:num>
  <w:num w:numId="22">
    <w:abstractNumId w:val="19"/>
  </w:num>
  <w:num w:numId="23">
    <w:abstractNumId w:val="7"/>
  </w:num>
  <w:num w:numId="24">
    <w:abstractNumId w:val="13"/>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77380F"/>
    <w:rsid w:val="00000AD2"/>
    <w:rsid w:val="00007978"/>
    <w:rsid w:val="000447FF"/>
    <w:rsid w:val="00053893"/>
    <w:rsid w:val="00053B52"/>
    <w:rsid w:val="000549A4"/>
    <w:rsid w:val="00057D4B"/>
    <w:rsid w:val="00070FFF"/>
    <w:rsid w:val="0007321E"/>
    <w:rsid w:val="00081765"/>
    <w:rsid w:val="000A20ED"/>
    <w:rsid w:val="000B3F7C"/>
    <w:rsid w:val="000C4479"/>
    <w:rsid w:val="000C4EC2"/>
    <w:rsid w:val="000D4010"/>
    <w:rsid w:val="000E3B3B"/>
    <w:rsid w:val="000F16CD"/>
    <w:rsid w:val="00100D47"/>
    <w:rsid w:val="00101AF0"/>
    <w:rsid w:val="001054EC"/>
    <w:rsid w:val="00134FBC"/>
    <w:rsid w:val="00147238"/>
    <w:rsid w:val="00153F46"/>
    <w:rsid w:val="001677A8"/>
    <w:rsid w:val="00176707"/>
    <w:rsid w:val="001810F0"/>
    <w:rsid w:val="001840B9"/>
    <w:rsid w:val="001962F0"/>
    <w:rsid w:val="00197076"/>
    <w:rsid w:val="001A2387"/>
    <w:rsid w:val="001A3375"/>
    <w:rsid w:val="001E0F94"/>
    <w:rsid w:val="001E3A41"/>
    <w:rsid w:val="001E3B9A"/>
    <w:rsid w:val="00205E45"/>
    <w:rsid w:val="00242B97"/>
    <w:rsid w:val="00251077"/>
    <w:rsid w:val="00273518"/>
    <w:rsid w:val="002812F5"/>
    <w:rsid w:val="002A3C06"/>
    <w:rsid w:val="002B4220"/>
    <w:rsid w:val="002E716A"/>
    <w:rsid w:val="002F25C5"/>
    <w:rsid w:val="00320FA4"/>
    <w:rsid w:val="00333905"/>
    <w:rsid w:val="0034142A"/>
    <w:rsid w:val="0038582E"/>
    <w:rsid w:val="0039067E"/>
    <w:rsid w:val="0039536E"/>
    <w:rsid w:val="003A0B0C"/>
    <w:rsid w:val="003A21A0"/>
    <w:rsid w:val="003A5260"/>
    <w:rsid w:val="003B6388"/>
    <w:rsid w:val="003B7452"/>
    <w:rsid w:val="003C4CBF"/>
    <w:rsid w:val="003C639F"/>
    <w:rsid w:val="003D537F"/>
    <w:rsid w:val="003E03B0"/>
    <w:rsid w:val="003F06ED"/>
    <w:rsid w:val="00400522"/>
    <w:rsid w:val="00406F2D"/>
    <w:rsid w:val="00420E05"/>
    <w:rsid w:val="00425301"/>
    <w:rsid w:val="004428E4"/>
    <w:rsid w:val="00453BA1"/>
    <w:rsid w:val="004665CD"/>
    <w:rsid w:val="00476C21"/>
    <w:rsid w:val="00481BE9"/>
    <w:rsid w:val="00486C50"/>
    <w:rsid w:val="004950F6"/>
    <w:rsid w:val="004B0301"/>
    <w:rsid w:val="004B4AE4"/>
    <w:rsid w:val="004E2EBF"/>
    <w:rsid w:val="004F640B"/>
    <w:rsid w:val="00525CE1"/>
    <w:rsid w:val="0053138B"/>
    <w:rsid w:val="00547A7D"/>
    <w:rsid w:val="00551E74"/>
    <w:rsid w:val="00553D66"/>
    <w:rsid w:val="00554B8B"/>
    <w:rsid w:val="00571510"/>
    <w:rsid w:val="005724A7"/>
    <w:rsid w:val="00580B62"/>
    <w:rsid w:val="00587052"/>
    <w:rsid w:val="005902B1"/>
    <w:rsid w:val="005A4795"/>
    <w:rsid w:val="005B1CBF"/>
    <w:rsid w:val="005B6224"/>
    <w:rsid w:val="005D14FF"/>
    <w:rsid w:val="005D721E"/>
    <w:rsid w:val="005E1557"/>
    <w:rsid w:val="005F3ACF"/>
    <w:rsid w:val="00601805"/>
    <w:rsid w:val="00615F69"/>
    <w:rsid w:val="00640E1D"/>
    <w:rsid w:val="006419B7"/>
    <w:rsid w:val="00651261"/>
    <w:rsid w:val="00666079"/>
    <w:rsid w:val="00680223"/>
    <w:rsid w:val="0068359F"/>
    <w:rsid w:val="00687E09"/>
    <w:rsid w:val="00697766"/>
    <w:rsid w:val="006B44C7"/>
    <w:rsid w:val="006D480F"/>
    <w:rsid w:val="006D5AE6"/>
    <w:rsid w:val="006D76EC"/>
    <w:rsid w:val="006E37C3"/>
    <w:rsid w:val="0070690F"/>
    <w:rsid w:val="00706C3A"/>
    <w:rsid w:val="00714D22"/>
    <w:rsid w:val="00724E94"/>
    <w:rsid w:val="007256DB"/>
    <w:rsid w:val="007404FB"/>
    <w:rsid w:val="007526D3"/>
    <w:rsid w:val="0077380F"/>
    <w:rsid w:val="007807B5"/>
    <w:rsid w:val="00796D87"/>
    <w:rsid w:val="007A0414"/>
    <w:rsid w:val="007A2B65"/>
    <w:rsid w:val="007A4294"/>
    <w:rsid w:val="007A569B"/>
    <w:rsid w:val="007B3E8D"/>
    <w:rsid w:val="007E0C5E"/>
    <w:rsid w:val="008164A2"/>
    <w:rsid w:val="008311D3"/>
    <w:rsid w:val="008508D9"/>
    <w:rsid w:val="00867C48"/>
    <w:rsid w:val="008831E0"/>
    <w:rsid w:val="008915BB"/>
    <w:rsid w:val="00894252"/>
    <w:rsid w:val="008A1FE5"/>
    <w:rsid w:val="008B30FB"/>
    <w:rsid w:val="008B4A39"/>
    <w:rsid w:val="008C3246"/>
    <w:rsid w:val="008D75EF"/>
    <w:rsid w:val="008E44D3"/>
    <w:rsid w:val="008F22F9"/>
    <w:rsid w:val="00920D67"/>
    <w:rsid w:val="009279F3"/>
    <w:rsid w:val="00947A0A"/>
    <w:rsid w:val="00947B5B"/>
    <w:rsid w:val="0095734D"/>
    <w:rsid w:val="00957AD5"/>
    <w:rsid w:val="00960382"/>
    <w:rsid w:val="009C668D"/>
    <w:rsid w:val="009C6C54"/>
    <w:rsid w:val="009E72DE"/>
    <w:rsid w:val="009E76F1"/>
    <w:rsid w:val="00A06D92"/>
    <w:rsid w:val="00A23B73"/>
    <w:rsid w:val="00A255BB"/>
    <w:rsid w:val="00A30798"/>
    <w:rsid w:val="00A404A9"/>
    <w:rsid w:val="00A4054E"/>
    <w:rsid w:val="00A40B4D"/>
    <w:rsid w:val="00A57FF7"/>
    <w:rsid w:val="00A63E72"/>
    <w:rsid w:val="00A64BC3"/>
    <w:rsid w:val="00A714CF"/>
    <w:rsid w:val="00A83B87"/>
    <w:rsid w:val="00A92757"/>
    <w:rsid w:val="00A93928"/>
    <w:rsid w:val="00AA5598"/>
    <w:rsid w:val="00AB68F8"/>
    <w:rsid w:val="00AB7CB7"/>
    <w:rsid w:val="00AC129E"/>
    <w:rsid w:val="00AC3812"/>
    <w:rsid w:val="00AC5B76"/>
    <w:rsid w:val="00AD200D"/>
    <w:rsid w:val="00AD2C82"/>
    <w:rsid w:val="00AD3C58"/>
    <w:rsid w:val="00AE419A"/>
    <w:rsid w:val="00B03880"/>
    <w:rsid w:val="00B20F28"/>
    <w:rsid w:val="00B215E9"/>
    <w:rsid w:val="00B47B0C"/>
    <w:rsid w:val="00B57239"/>
    <w:rsid w:val="00B57901"/>
    <w:rsid w:val="00B81401"/>
    <w:rsid w:val="00B9122A"/>
    <w:rsid w:val="00BA6E86"/>
    <w:rsid w:val="00BA718F"/>
    <w:rsid w:val="00BC1803"/>
    <w:rsid w:val="00BC7880"/>
    <w:rsid w:val="00BC7F72"/>
    <w:rsid w:val="00BE3B61"/>
    <w:rsid w:val="00BF4022"/>
    <w:rsid w:val="00C0082A"/>
    <w:rsid w:val="00C21757"/>
    <w:rsid w:val="00C42AF2"/>
    <w:rsid w:val="00C556BA"/>
    <w:rsid w:val="00C63332"/>
    <w:rsid w:val="00C634A7"/>
    <w:rsid w:val="00C81A45"/>
    <w:rsid w:val="00C81CCF"/>
    <w:rsid w:val="00C82F51"/>
    <w:rsid w:val="00C946B6"/>
    <w:rsid w:val="00CA19C9"/>
    <w:rsid w:val="00CB06AD"/>
    <w:rsid w:val="00CC0E80"/>
    <w:rsid w:val="00CC1D06"/>
    <w:rsid w:val="00CE61C4"/>
    <w:rsid w:val="00CF290C"/>
    <w:rsid w:val="00D05425"/>
    <w:rsid w:val="00D06FFC"/>
    <w:rsid w:val="00D0777C"/>
    <w:rsid w:val="00D114C4"/>
    <w:rsid w:val="00D37BE1"/>
    <w:rsid w:val="00D4677C"/>
    <w:rsid w:val="00D52EA0"/>
    <w:rsid w:val="00D60294"/>
    <w:rsid w:val="00D62C6D"/>
    <w:rsid w:val="00DA7A33"/>
    <w:rsid w:val="00DB503C"/>
    <w:rsid w:val="00DB5A16"/>
    <w:rsid w:val="00DC5A45"/>
    <w:rsid w:val="00DC5A67"/>
    <w:rsid w:val="00E061B6"/>
    <w:rsid w:val="00E159C3"/>
    <w:rsid w:val="00E16D7E"/>
    <w:rsid w:val="00E17279"/>
    <w:rsid w:val="00E358C7"/>
    <w:rsid w:val="00E37CC9"/>
    <w:rsid w:val="00E41544"/>
    <w:rsid w:val="00E50499"/>
    <w:rsid w:val="00E504DC"/>
    <w:rsid w:val="00E8070F"/>
    <w:rsid w:val="00E81DC5"/>
    <w:rsid w:val="00E81E59"/>
    <w:rsid w:val="00E93790"/>
    <w:rsid w:val="00E971A6"/>
    <w:rsid w:val="00EB2C90"/>
    <w:rsid w:val="00EB5427"/>
    <w:rsid w:val="00EC1BFB"/>
    <w:rsid w:val="00EE17DF"/>
    <w:rsid w:val="00F1333D"/>
    <w:rsid w:val="00F26381"/>
    <w:rsid w:val="00F2693C"/>
    <w:rsid w:val="00F26C6E"/>
    <w:rsid w:val="00F34840"/>
    <w:rsid w:val="00F4417C"/>
    <w:rsid w:val="00F47D2A"/>
    <w:rsid w:val="00F531D1"/>
    <w:rsid w:val="00F65D5C"/>
    <w:rsid w:val="00F67F2F"/>
    <w:rsid w:val="00F753DD"/>
    <w:rsid w:val="00F82428"/>
    <w:rsid w:val="00FB1C82"/>
    <w:rsid w:val="00FB61B1"/>
    <w:rsid w:val="00FB6AA5"/>
    <w:rsid w:val="00FC2034"/>
    <w:rsid w:val="00FE2814"/>
    <w:rsid w:val="00FE4E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14"/>
  </w:style>
  <w:style w:type="paragraph" w:styleId="Heading2">
    <w:name w:val="heading 2"/>
    <w:basedOn w:val="Normal"/>
    <w:link w:val="Heading2Char"/>
    <w:uiPriority w:val="9"/>
    <w:qFormat/>
    <w:rsid w:val="001E3B9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D72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basedOn w:val="DefaultParagraphFont"/>
    <w:link w:val="Heading2"/>
    <w:uiPriority w:val="9"/>
    <w:rsid w:val="001E3B9A"/>
    <w:rPr>
      <w:b/>
      <w:bCs/>
      <w:sz w:val="36"/>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styleId="BalloonText">
    <w:name w:val="Balloon Text"/>
    <w:basedOn w:val="Normal"/>
    <w:link w:val="BalloonTextChar"/>
    <w:uiPriority w:val="99"/>
    <w:semiHidden/>
    <w:unhideWhenUsed/>
    <w:rsid w:val="0068359F"/>
    <w:rPr>
      <w:rFonts w:ascii="Tahoma" w:hAnsi="Tahoma" w:cs="Tahoma"/>
      <w:sz w:val="16"/>
      <w:szCs w:val="16"/>
    </w:rPr>
  </w:style>
  <w:style w:type="character" w:customStyle="1" w:styleId="BalloonTextChar">
    <w:name w:val="Balloon Text Char"/>
    <w:basedOn w:val="DefaultParagraphFont"/>
    <w:link w:val="BalloonText"/>
    <w:uiPriority w:val="99"/>
    <w:semiHidden/>
    <w:rsid w:val="0068359F"/>
    <w:rPr>
      <w:rFonts w:ascii="Tahoma" w:hAnsi="Tahoma" w:cs="Tahoma"/>
      <w:sz w:val="16"/>
      <w:szCs w:val="16"/>
    </w:rPr>
  </w:style>
  <w:style w:type="character" w:customStyle="1" w:styleId="CSIchar">
    <w:name w:val="CSIchar"/>
    <w:basedOn w:val="DefaultParagraphFont"/>
    <w:rsid w:val="0068359F"/>
    <w:rPr>
      <w:bdr w:val="none" w:sz="0" w:space="0" w:color="auto"/>
      <w:shd w:val="clear" w:color="auto" w:fill="CCCCCC"/>
    </w:rPr>
  </w:style>
  <w:style w:type="paragraph" w:customStyle="1" w:styleId="BridgeheadGDS">
    <w:name w:val="Bridgehead GDS"/>
    <w:basedOn w:val="Normal"/>
    <w:autoRedefine/>
    <w:rsid w:val="00E81DC5"/>
    <w:pPr>
      <w:keepNext/>
      <w:outlineLvl w:val="0"/>
    </w:pPr>
    <w:rPr>
      <w:rFonts w:ascii="Arial" w:hAnsi="Arial" w:cs="Arial"/>
      <w:i/>
      <w:color w:val="0000FF"/>
      <w:sz w:val="22"/>
      <w:szCs w:val="22"/>
      <w:lang w:val="en-GB" w:eastAsia="en-US"/>
    </w:rPr>
  </w:style>
  <w:style w:type="paragraph" w:customStyle="1" w:styleId="NoNumHead4">
    <w:name w:val="NoNum:Head4"/>
    <w:basedOn w:val="Normal"/>
    <w:next w:val="Normal"/>
    <w:autoRedefine/>
    <w:rsid w:val="00E41544"/>
    <w:pPr>
      <w:keepNext/>
      <w:spacing w:before="120" w:after="240"/>
      <w:outlineLvl w:val="0"/>
    </w:pPr>
    <w:rPr>
      <w:rFonts w:ascii="Arial" w:hAnsi="Arial"/>
      <w:b/>
      <w:i/>
      <w:sz w:val="22"/>
      <w:lang w:val="en-GB" w:eastAsia="en-US"/>
    </w:rPr>
  </w:style>
  <w:style w:type="paragraph" w:customStyle="1" w:styleId="NoNumHead5">
    <w:name w:val="NoNum:Head5"/>
    <w:basedOn w:val="NoNumHead4"/>
    <w:next w:val="Normal"/>
    <w:autoRedefine/>
    <w:rsid w:val="00A30798"/>
    <w:pPr>
      <w:spacing w:before="0" w:after="0"/>
    </w:pPr>
    <w:rPr>
      <w:rFonts w:cs="Arial"/>
      <w:i w:val="0"/>
      <w:color w:val="0000FF"/>
      <w:szCs w:val="22"/>
    </w:rPr>
  </w:style>
  <w:style w:type="character" w:styleId="CommentReference">
    <w:name w:val="annotation reference"/>
    <w:basedOn w:val="DefaultParagraphFont"/>
    <w:uiPriority w:val="99"/>
    <w:semiHidden/>
    <w:unhideWhenUsed/>
    <w:rsid w:val="006B44C7"/>
    <w:rPr>
      <w:sz w:val="16"/>
      <w:szCs w:val="16"/>
    </w:rPr>
  </w:style>
  <w:style w:type="paragraph" w:styleId="CommentText">
    <w:name w:val="annotation text"/>
    <w:basedOn w:val="Normal"/>
    <w:link w:val="CommentTextChar"/>
    <w:uiPriority w:val="99"/>
    <w:unhideWhenUsed/>
    <w:rsid w:val="006B44C7"/>
  </w:style>
  <w:style w:type="character" w:customStyle="1" w:styleId="CommentTextChar">
    <w:name w:val="Comment Text Char"/>
    <w:basedOn w:val="DefaultParagraphFont"/>
    <w:link w:val="CommentText"/>
    <w:uiPriority w:val="99"/>
    <w:rsid w:val="006B44C7"/>
  </w:style>
  <w:style w:type="paragraph" w:styleId="CommentSubject">
    <w:name w:val="annotation subject"/>
    <w:basedOn w:val="CommentText"/>
    <w:next w:val="CommentText"/>
    <w:link w:val="CommentSubjectChar"/>
    <w:uiPriority w:val="99"/>
    <w:semiHidden/>
    <w:unhideWhenUsed/>
    <w:rsid w:val="006B44C7"/>
    <w:rPr>
      <w:b/>
      <w:bCs/>
    </w:rPr>
  </w:style>
  <w:style w:type="character" w:customStyle="1" w:styleId="CommentSubjectChar">
    <w:name w:val="Comment Subject Char"/>
    <w:basedOn w:val="CommentTextChar"/>
    <w:link w:val="CommentSubject"/>
    <w:uiPriority w:val="99"/>
    <w:semiHidden/>
    <w:rsid w:val="006B44C7"/>
    <w:rPr>
      <w:b/>
      <w:bCs/>
    </w:rPr>
  </w:style>
  <w:style w:type="paragraph" w:customStyle="1" w:styleId="listbull">
    <w:name w:val="list:bull"/>
    <w:basedOn w:val="Normal"/>
    <w:rsid w:val="006B44C7"/>
    <w:pPr>
      <w:numPr>
        <w:numId w:val="19"/>
      </w:numPr>
      <w:spacing w:after="240"/>
    </w:pPr>
    <w:rPr>
      <w:sz w:val="24"/>
      <w:lang w:val="en-GB" w:eastAsia="en-US"/>
    </w:rPr>
  </w:style>
  <w:style w:type="paragraph" w:customStyle="1" w:styleId="listbullnospace">
    <w:name w:val="list:bullnospace"/>
    <w:basedOn w:val="Normal"/>
    <w:rsid w:val="006B44C7"/>
    <w:pPr>
      <w:numPr>
        <w:numId w:val="20"/>
      </w:numPr>
    </w:pPr>
    <w:rPr>
      <w:sz w:val="24"/>
      <w:lang w:val="en-GB" w:eastAsia="en-US"/>
    </w:rPr>
  </w:style>
  <w:style w:type="paragraph" w:styleId="BlockText">
    <w:name w:val="Block Text"/>
    <w:basedOn w:val="Normal"/>
    <w:rsid w:val="00453BA1"/>
    <w:pPr>
      <w:shd w:val="clear" w:color="000000" w:fill="FFFFFF"/>
      <w:spacing w:after="120"/>
      <w:ind w:left="1440" w:right="1440"/>
    </w:pPr>
    <w:rPr>
      <w:color w:val="000000"/>
      <w:sz w:val="24"/>
      <w:lang w:val="en-GB" w:eastAsia="en-US"/>
    </w:rPr>
  </w:style>
  <w:style w:type="paragraph" w:customStyle="1" w:styleId="NoNumHead3">
    <w:name w:val="NoNum:Head3"/>
    <w:basedOn w:val="Normal"/>
    <w:next w:val="Normal"/>
    <w:autoRedefine/>
    <w:rsid w:val="003B6388"/>
    <w:pPr>
      <w:keepNext/>
      <w:outlineLvl w:val="0"/>
    </w:pPr>
    <w:rPr>
      <w:rFonts w:ascii="Arial" w:hAnsi="Arial" w:cs="Arial"/>
      <w:b/>
      <w:sz w:val="22"/>
      <w:szCs w:val="22"/>
      <w:lang w:val="en-GB" w:eastAsia="en-US"/>
    </w:rPr>
  </w:style>
  <w:style w:type="paragraph" w:styleId="ListParagraph">
    <w:name w:val="List Paragraph"/>
    <w:basedOn w:val="Normal"/>
    <w:uiPriority w:val="34"/>
    <w:qFormat/>
    <w:rsid w:val="00640E1D"/>
    <w:pPr>
      <w:ind w:left="720"/>
      <w:contextualSpacing/>
    </w:pPr>
  </w:style>
  <w:style w:type="paragraph" w:customStyle="1" w:styleId="BullHead">
    <w:name w:val="Bull Head"/>
    <w:basedOn w:val="Normal"/>
    <w:autoRedefine/>
    <w:rsid w:val="00A30798"/>
    <w:pPr>
      <w:shd w:val="clear" w:color="000000" w:fill="FFFFFF"/>
      <w:tabs>
        <w:tab w:val="left" w:pos="562"/>
      </w:tabs>
      <w:ind w:left="562" w:hanging="562"/>
    </w:pPr>
    <w:rPr>
      <w:rFonts w:ascii="Arial" w:hAnsi="Arial" w:cs="Arial"/>
      <w:i/>
      <w:color w:val="0000FF"/>
      <w:sz w:val="22"/>
      <w:szCs w:val="22"/>
      <w:lang w:val="en-GB" w:eastAsia="en-US"/>
    </w:rPr>
  </w:style>
  <w:style w:type="paragraph" w:customStyle="1" w:styleId="Postspace">
    <w:name w:val="Postspace"/>
    <w:basedOn w:val="Normal"/>
    <w:autoRedefine/>
    <w:rsid w:val="00680223"/>
    <w:pPr>
      <w:spacing w:after="220"/>
    </w:pPr>
    <w:rPr>
      <w:sz w:val="24"/>
      <w:lang w:val="en-GB" w:eastAsia="en-US"/>
    </w:rPr>
  </w:style>
  <w:style w:type="paragraph" w:customStyle="1" w:styleId="TableCell">
    <w:name w:val="TableCell"/>
    <w:basedOn w:val="Normal"/>
    <w:rsid w:val="00680223"/>
    <w:rPr>
      <w:sz w:val="24"/>
      <w:lang w:val="en-GB" w:eastAsia="en-US"/>
    </w:rPr>
  </w:style>
  <w:style w:type="paragraph" w:customStyle="1" w:styleId="anchor">
    <w:name w:val="anchor"/>
    <w:basedOn w:val="Normal"/>
    <w:autoRedefine/>
    <w:rsid w:val="00680223"/>
    <w:rPr>
      <w:sz w:val="24"/>
      <w:lang w:val="en-GB" w:eastAsia="en-US"/>
    </w:rPr>
  </w:style>
  <w:style w:type="paragraph" w:customStyle="1" w:styleId="NoNumHead2">
    <w:name w:val="NoNum:Head2"/>
    <w:basedOn w:val="Normal"/>
    <w:next w:val="Normal"/>
    <w:autoRedefine/>
    <w:rsid w:val="00920D67"/>
    <w:pPr>
      <w:keepNext/>
      <w:spacing w:before="120" w:after="240"/>
      <w:outlineLvl w:val="0"/>
    </w:pPr>
    <w:rPr>
      <w:rFonts w:ascii="Arial" w:hAnsi="Arial"/>
      <w:b/>
      <w:sz w:val="26"/>
      <w:lang w:val="en-GB" w:eastAsia="en-US"/>
    </w:rPr>
  </w:style>
  <w:style w:type="paragraph" w:customStyle="1" w:styleId="captiontable">
    <w:name w:val="caption:table"/>
    <w:basedOn w:val="Normal"/>
    <w:next w:val="Normal"/>
    <w:rsid w:val="003C639F"/>
    <w:pPr>
      <w:keepNext/>
      <w:spacing w:after="240"/>
      <w:ind w:left="1440" w:hanging="1440"/>
    </w:pPr>
    <w:rPr>
      <w:rFonts w:ascii="Arial" w:hAnsi="Arial"/>
      <w:b/>
      <w:sz w:val="22"/>
      <w:lang w:val="en-GB" w:eastAsia="en-US"/>
    </w:rPr>
  </w:style>
  <w:style w:type="paragraph" w:customStyle="1" w:styleId="tabletextNS">
    <w:name w:val="table:textNS"/>
    <w:basedOn w:val="Normal"/>
    <w:qFormat/>
    <w:rsid w:val="003C639F"/>
    <w:rPr>
      <w:rFonts w:ascii="Arial Narrow" w:hAnsi="Arial Narrow"/>
      <w:sz w:val="24"/>
      <w:lang w:val="en-GB" w:eastAsia="en-US"/>
    </w:rPr>
  </w:style>
  <w:style w:type="character" w:customStyle="1" w:styleId="Heading3Char">
    <w:name w:val="Heading 3 Char"/>
    <w:basedOn w:val="DefaultParagraphFont"/>
    <w:link w:val="Heading3"/>
    <w:uiPriority w:val="9"/>
    <w:rsid w:val="005D721E"/>
    <w:rPr>
      <w:rFonts w:asciiTheme="majorHAnsi" w:eastAsiaTheme="majorEastAsia" w:hAnsiTheme="majorHAnsi" w:cstheme="majorBidi"/>
      <w:b/>
      <w:bCs/>
      <w:color w:val="4F81BD" w:themeColor="accent1"/>
    </w:rPr>
  </w:style>
  <w:style w:type="paragraph" w:customStyle="1" w:styleId="tableref">
    <w:name w:val="table:ref"/>
    <w:basedOn w:val="Normal"/>
    <w:rsid w:val="00406F2D"/>
    <w:pPr>
      <w:tabs>
        <w:tab w:val="left" w:pos="360"/>
      </w:tabs>
      <w:ind w:left="360" w:hanging="360"/>
    </w:pPr>
    <w:rPr>
      <w:rFonts w:ascii="Arial Narrow" w:hAnsi="Arial Narrow"/>
      <w:lang w:val="en-GB" w:eastAsia="en-US"/>
    </w:rPr>
  </w:style>
  <w:style w:type="paragraph" w:styleId="BodyTextIndent">
    <w:name w:val="Body Text Indent"/>
    <w:basedOn w:val="Normal"/>
    <w:link w:val="BodyTextIndentChar"/>
    <w:rsid w:val="00E37CC9"/>
    <w:pPr>
      <w:ind w:left="709" w:hanging="142"/>
    </w:pPr>
    <w:rPr>
      <w:sz w:val="24"/>
      <w:lang w:eastAsia="en-US"/>
    </w:rPr>
  </w:style>
  <w:style w:type="character" w:customStyle="1" w:styleId="BodyTextIndentChar">
    <w:name w:val="Body Text Indent Char"/>
    <w:basedOn w:val="DefaultParagraphFont"/>
    <w:link w:val="BodyTextIndent"/>
    <w:rsid w:val="00E37CC9"/>
    <w:rPr>
      <w:sz w:val="24"/>
      <w:lang w:eastAsia="en-US"/>
    </w:rPr>
  </w:style>
  <w:style w:type="paragraph" w:customStyle="1" w:styleId="listindentbull">
    <w:name w:val="list:indent bull"/>
    <w:rsid w:val="00894252"/>
    <w:pPr>
      <w:numPr>
        <w:numId w:val="24"/>
      </w:numPr>
      <w:spacing w:after="120"/>
    </w:pPr>
    <w:rPr>
      <w:sz w:val="24"/>
      <w:szCs w:val="24"/>
      <w:lang w:val="en-US" w:eastAsia="en-US"/>
    </w:rPr>
  </w:style>
  <w:style w:type="paragraph" w:styleId="Revision">
    <w:name w:val="Revision"/>
    <w:hidden/>
    <w:uiPriority w:val="99"/>
    <w:semiHidden/>
    <w:rsid w:val="005724A7"/>
  </w:style>
</w:styles>
</file>

<file path=word/webSettings.xml><?xml version="1.0" encoding="utf-8"?>
<w:webSettings xmlns:r="http://schemas.openxmlformats.org/officeDocument/2006/relationships" xmlns:w="http://schemas.openxmlformats.org/wordprocessingml/2006/main">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48976">
      <w:bodyDiv w:val="1"/>
      <w:marLeft w:val="0"/>
      <w:marRight w:val="0"/>
      <w:marTop w:val="0"/>
      <w:marBottom w:val="0"/>
      <w:divBdr>
        <w:top w:val="none" w:sz="0" w:space="0" w:color="auto"/>
        <w:left w:val="none" w:sz="0" w:space="0" w:color="auto"/>
        <w:bottom w:val="none" w:sz="0" w:space="0" w:color="auto"/>
        <w:right w:val="none" w:sz="0" w:space="0" w:color="auto"/>
      </w:divBdr>
      <w:divsChild>
        <w:div w:id="543709862">
          <w:marLeft w:val="0"/>
          <w:marRight w:val="0"/>
          <w:marTop w:val="0"/>
          <w:marBottom w:val="0"/>
          <w:divBdr>
            <w:top w:val="none" w:sz="0" w:space="0" w:color="auto"/>
            <w:left w:val="none" w:sz="0" w:space="0" w:color="auto"/>
            <w:bottom w:val="none" w:sz="0" w:space="0" w:color="auto"/>
            <w:right w:val="none" w:sz="0" w:space="0" w:color="auto"/>
          </w:divBdr>
          <w:divsChild>
            <w:div w:id="874346121">
              <w:marLeft w:val="0"/>
              <w:marRight w:val="0"/>
              <w:marTop w:val="0"/>
              <w:marBottom w:val="0"/>
              <w:divBdr>
                <w:top w:val="none" w:sz="0" w:space="0" w:color="auto"/>
                <w:left w:val="none" w:sz="0" w:space="0" w:color="auto"/>
                <w:bottom w:val="none" w:sz="0" w:space="0" w:color="auto"/>
                <w:right w:val="none" w:sz="0" w:space="0" w:color="auto"/>
              </w:divBdr>
              <w:divsChild>
                <w:div w:id="1856067601">
                  <w:marLeft w:val="0"/>
                  <w:marRight w:val="0"/>
                  <w:marTop w:val="0"/>
                  <w:marBottom w:val="0"/>
                  <w:divBdr>
                    <w:top w:val="none" w:sz="0" w:space="0" w:color="auto"/>
                    <w:left w:val="none" w:sz="0" w:space="0" w:color="auto"/>
                    <w:bottom w:val="none" w:sz="0" w:space="0" w:color="auto"/>
                    <w:right w:val="none" w:sz="0" w:space="0" w:color="auto"/>
                  </w:divBdr>
                  <w:divsChild>
                    <w:div w:id="287320153">
                      <w:marLeft w:val="0"/>
                      <w:marRight w:val="0"/>
                      <w:marTop w:val="0"/>
                      <w:marBottom w:val="0"/>
                      <w:divBdr>
                        <w:top w:val="none" w:sz="0" w:space="0" w:color="auto"/>
                        <w:left w:val="none" w:sz="0" w:space="0" w:color="auto"/>
                        <w:bottom w:val="none" w:sz="0" w:space="0" w:color="auto"/>
                        <w:right w:val="none" w:sz="0" w:space="0" w:color="auto"/>
                      </w:divBdr>
                      <w:divsChild>
                        <w:div w:id="977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870108">
      <w:bodyDiv w:val="1"/>
      <w:marLeft w:val="0"/>
      <w:marRight w:val="0"/>
      <w:marTop w:val="0"/>
      <w:marBottom w:val="0"/>
      <w:divBdr>
        <w:top w:val="none" w:sz="0" w:space="0" w:color="auto"/>
        <w:left w:val="none" w:sz="0" w:space="0" w:color="auto"/>
        <w:bottom w:val="none" w:sz="0" w:space="0" w:color="auto"/>
        <w:right w:val="none" w:sz="0" w:space="0" w:color="auto"/>
      </w:divBdr>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910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5.png@01CDF88E.A32BE5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9909-27C6-4B5D-A003-0B84AE8A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37</TotalTime>
  <Pages>11</Pages>
  <Words>3378</Words>
  <Characters>19943</Characters>
  <Application>Microsoft Office Word</Application>
  <DocSecurity>0</DocSecurity>
  <Lines>362</Lines>
  <Paragraphs>135</Paragraphs>
  <ScaleCrop>false</ScaleCrop>
  <HeadingPairs>
    <vt:vector size="2" baseType="variant">
      <vt:variant>
        <vt:lpstr>Title</vt:lpstr>
      </vt:variant>
      <vt:variant>
        <vt:i4>1</vt:i4>
      </vt:variant>
    </vt:vector>
  </HeadingPairs>
  <TitlesOfParts>
    <vt:vector size="1" baseType="lpstr">
      <vt:lpstr>AUDIT TRAIL</vt:lpstr>
    </vt:vector>
  </TitlesOfParts>
  <Company>GlaxoSmithKline</Company>
  <LinksUpToDate>false</LinksUpToDate>
  <CharactersWithSpaces>23186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Retapamulin (Altargo)</dc:title>
  <dc:subject>prescription medicines regulation</dc:subject>
  <dc:creator>GlaxoSmithKline Australia Pty Ltd</dc:creator>
  <cp:keywords>pi, product information, prescription, medicine, retapamulin, altargo, glaxosmithkline, australia</cp:keywords>
  <cp:lastModifiedBy>Sheppard, Fran</cp:lastModifiedBy>
  <cp:revision>4</cp:revision>
  <cp:lastPrinted>2012-06-01T08:41:00Z</cp:lastPrinted>
  <dcterms:created xsi:type="dcterms:W3CDTF">2013-07-29T23:25:00Z</dcterms:created>
  <dcterms:modified xsi:type="dcterms:W3CDTF">2013-12-10T04:02:00Z</dcterms:modified>
</cp:coreProperties>
</file>