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tblGrid>
      <w:tr w:rsidR="008E7846" w:rsidRPr="00487162" w:rsidTr="00134868">
        <w:trPr>
          <w:trHeight w:val="1863"/>
        </w:trPr>
        <w:tc>
          <w:tcPr>
            <w:tcW w:w="4077" w:type="dxa"/>
            <w:tcBorders>
              <w:top w:val="nil"/>
              <w:left w:val="nil"/>
              <w:bottom w:val="nil"/>
              <w:right w:val="nil"/>
            </w:tcBorders>
          </w:tcPr>
          <w:p w:rsidR="008E7846" w:rsidRPr="00487162" w:rsidRDefault="003D1AE5" w:rsidP="00E45619">
            <w:pPr>
              <w:rPr>
                <w:rFonts w:ascii="Arial" w:hAnsi="Arial" w:cs="Arial"/>
                <w:b/>
                <w:color w:val="002C47"/>
                <w:sz w:val="36"/>
                <w:szCs w:val="36"/>
              </w:rPr>
            </w:pPr>
            <w:r>
              <w:rPr>
                <w:rFonts w:ascii="Arial" w:hAnsi="Arial" w:cs="Arial"/>
                <w:b/>
                <w:noProof/>
                <w:color w:val="002C47"/>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1027" type="#_x0000_t136" style="position:absolute;margin-left:0;margin-top:0;width:535.5pt;height:202.5pt;rotation:315;z-index:-251658752;mso-position-horizontal:center;mso-position-horizontal-relative:margin;mso-position-vertical:center;mso-position-vertical-relative:margin" o:allowincell="f" fillcolor="#4a8485" stroked="f">
                  <v:fill opacity=".5"/>
                  <v:textpath style="font-family:&quot;Arial Black&quot;;font-size:2in" string=" "/>
                  <w10:wrap anchorx="margin" anchory="margin"/>
                </v:shape>
              </w:pict>
            </w:r>
            <w:r w:rsidR="00E217BB">
              <w:rPr>
                <w:rFonts w:ascii="Arial" w:hAnsi="Arial" w:cs="Arial"/>
                <w:b/>
                <w:color w:val="002C47"/>
                <w:sz w:val="36"/>
                <w:szCs w:val="36"/>
              </w:rPr>
              <w:t>January 2013</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3A6156">
            <w:pPr>
              <w:pStyle w:val="Title"/>
              <w:rPr>
                <w:color w:val="FFFFFF"/>
              </w:rPr>
            </w:pPr>
            <w:r w:rsidRPr="00A964D1">
              <w:rPr>
                <w:color w:val="FFFFFF"/>
              </w:rPr>
              <w:t>Austral</w:t>
            </w:r>
            <w:r w:rsidR="003173D7">
              <w:rPr>
                <w:color w:val="FFFFFF"/>
              </w:rPr>
              <w:t>ian Public Assessment Report for</w:t>
            </w:r>
            <w:r w:rsidRPr="00A964D1">
              <w:rPr>
                <w:color w:val="FFFFFF"/>
              </w:rPr>
              <w:t xml:space="preserve"> </w:t>
            </w:r>
            <w:r w:rsidR="003A6156" w:rsidRPr="003A6156">
              <w:rPr>
                <w:color w:val="FFFFFF"/>
              </w:rPr>
              <w:t>remifentanil (as hydrochloride)</w:t>
            </w:r>
          </w:p>
        </w:tc>
      </w:tr>
      <w:tr w:rsidR="0032583B" w:rsidRPr="00B64760" w:rsidTr="0032583B">
        <w:tc>
          <w:tcPr>
            <w:tcW w:w="9079" w:type="dxa"/>
          </w:tcPr>
          <w:p w:rsidR="0032583B" w:rsidRPr="008E7846" w:rsidRDefault="00303B51" w:rsidP="00973C1B">
            <w:pPr>
              <w:pStyle w:val="Subtitle"/>
              <w:ind w:left="0"/>
              <w:rPr>
                <w:color w:val="FFFFFF"/>
              </w:rPr>
            </w:pPr>
            <w:r>
              <w:rPr>
                <w:color w:val="FFFFFF"/>
              </w:rPr>
              <w:t>Proprietary Product Name: Ultiva</w:t>
            </w:r>
          </w:p>
        </w:tc>
      </w:tr>
      <w:tr w:rsidR="0032583B" w:rsidRPr="00B64760" w:rsidTr="0032583B">
        <w:trPr>
          <w:trHeight w:val="486"/>
        </w:trPr>
        <w:tc>
          <w:tcPr>
            <w:tcW w:w="9079" w:type="dxa"/>
          </w:tcPr>
          <w:p w:rsidR="0032583B" w:rsidRPr="008E7846" w:rsidRDefault="00303B51" w:rsidP="00973C1B">
            <w:pPr>
              <w:pStyle w:val="Subtitle"/>
              <w:ind w:left="0"/>
              <w:rPr>
                <w:color w:val="FFFFFF"/>
              </w:rPr>
            </w:pPr>
            <w:r>
              <w:rPr>
                <w:color w:val="FFFFFF"/>
              </w:rPr>
              <w:t xml:space="preserve">Sponsor: </w:t>
            </w:r>
            <w:r w:rsidRPr="00303B51">
              <w:rPr>
                <w:color w:val="FFFFFF"/>
              </w:rPr>
              <w:t>GlaxoSmithKline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A87AB8" w:rsidP="004F27D1">
      <w:pPr>
        <w:pStyle w:val="ListBullet"/>
        <w:numPr>
          <w:ilvl w:val="0"/>
          <w:numId w:val="1"/>
        </w:numPr>
        <w:ind w:left="357" w:hanging="357"/>
      </w:pPr>
      <w:r>
        <w:t>The Therapeutic Goods</w:t>
      </w:r>
      <w:r w:rsidR="008E7846">
        <w:t xml:space="preserve"> Administration (TGA) is </w:t>
      </w:r>
      <w:r w:rsidR="00E624A5">
        <w:t xml:space="preserve">part </w:t>
      </w:r>
      <w:r w:rsidR="008E7846">
        <w:t xml:space="preserve">of the Australian Government Department of Health and </w:t>
      </w:r>
      <w:r w:rsidR="008E7846" w:rsidRPr="007652FF">
        <w:t>Ageing</w:t>
      </w:r>
      <w:r w:rsidR="008E7846">
        <w:t>, and is responsible for regulating medicines and medical devices.</w:t>
      </w:r>
    </w:p>
    <w:p w:rsidR="008E7846" w:rsidRDefault="008E7846" w:rsidP="004F27D1">
      <w:pPr>
        <w:pStyle w:val="ListBullet"/>
        <w:numPr>
          <w:ilvl w:val="0"/>
          <w:numId w:val="1"/>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4F27D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4F27D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4F27D1">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112F56" w:rsidRPr="00112F56">
          <w:rPr>
            <w:rStyle w:val="Hyperlink"/>
          </w:rPr>
          <w:t>www.tga.gov.au</w:t>
        </w:r>
      </w:hyperlink>
      <w:r w:rsidR="00112F56">
        <w:t>&gt;</w:t>
      </w:r>
      <w:r>
        <w:t>.</w:t>
      </w:r>
    </w:p>
    <w:p w:rsidR="008E7846" w:rsidRDefault="008E7846" w:rsidP="008E7846">
      <w:pPr>
        <w:pStyle w:val="NonTOCHeading2"/>
      </w:pPr>
      <w:r>
        <w:t>About AusPARs</w:t>
      </w:r>
    </w:p>
    <w:p w:rsidR="008E7846" w:rsidRDefault="008E7846" w:rsidP="004F27D1">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4F27D1">
      <w:pPr>
        <w:pStyle w:val="ListBullet"/>
        <w:numPr>
          <w:ilvl w:val="0"/>
          <w:numId w:val="1"/>
        </w:numPr>
        <w:ind w:left="357" w:hanging="357"/>
      </w:pPr>
      <w:r>
        <w:t>AusPARs are prepared and published by the TGA.</w:t>
      </w:r>
    </w:p>
    <w:p w:rsidR="008E7846" w:rsidRDefault="008E7846" w:rsidP="004F27D1">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4F27D1">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4F27D1">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DB37AC">
        <w:rPr>
          <w:rFonts w:cs="Arial"/>
          <w:lang w:val="en-GB"/>
        </w:rPr>
        <w:t>onwealth of Australia 2013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0"/>
          <w:footerReference w:type="default" r:id="rId11"/>
          <w:headerReference w:type="first" r:id="rId12"/>
          <w:footerReference w:type="first" r:id="rId13"/>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98014D" w:rsidRDefault="003D1AE5">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47231093" w:history="1">
        <w:r w:rsidR="0098014D" w:rsidRPr="00347EAE">
          <w:rPr>
            <w:rStyle w:val="Hyperlink"/>
            <w:noProof/>
          </w:rPr>
          <w:t>I. Introduction to product submission</w:t>
        </w:r>
        <w:r w:rsidR="0098014D">
          <w:rPr>
            <w:noProof/>
            <w:webHidden/>
          </w:rPr>
          <w:tab/>
        </w:r>
        <w:r w:rsidR="0098014D">
          <w:rPr>
            <w:noProof/>
            <w:webHidden/>
          </w:rPr>
          <w:fldChar w:fldCharType="begin"/>
        </w:r>
        <w:r w:rsidR="0098014D">
          <w:rPr>
            <w:noProof/>
            <w:webHidden/>
          </w:rPr>
          <w:instrText xml:space="preserve"> PAGEREF _Toc347231093 \h </w:instrText>
        </w:r>
        <w:r w:rsidR="0098014D">
          <w:rPr>
            <w:noProof/>
            <w:webHidden/>
          </w:rPr>
        </w:r>
        <w:r w:rsidR="0098014D">
          <w:rPr>
            <w:noProof/>
            <w:webHidden/>
          </w:rPr>
          <w:fldChar w:fldCharType="separate"/>
        </w:r>
        <w:r w:rsidR="00A866C3">
          <w:rPr>
            <w:noProof/>
            <w:webHidden/>
          </w:rPr>
          <w:t>4</w:t>
        </w:r>
        <w:r w:rsidR="0098014D">
          <w:rPr>
            <w:noProof/>
            <w:webHidden/>
          </w:rPr>
          <w:fldChar w:fldCharType="end"/>
        </w:r>
      </w:hyperlink>
    </w:p>
    <w:p w:rsidR="0098014D" w:rsidRDefault="0098014D">
      <w:pPr>
        <w:pStyle w:val="TOC3"/>
        <w:rPr>
          <w:rFonts w:ascii="Calibri" w:eastAsia="Times New Roman" w:hAnsi="Calibri"/>
          <w:noProof/>
          <w:lang w:eastAsia="en-AU"/>
        </w:rPr>
      </w:pPr>
      <w:hyperlink w:anchor="_Toc347231094" w:history="1">
        <w:r w:rsidRPr="00347EAE">
          <w:rPr>
            <w:rStyle w:val="Hyperlink"/>
            <w:noProof/>
            <w:lang w:eastAsia="en-AU"/>
          </w:rPr>
          <w:t>Submission details</w:t>
        </w:r>
        <w:r>
          <w:rPr>
            <w:noProof/>
            <w:webHidden/>
          </w:rPr>
          <w:tab/>
        </w:r>
        <w:r>
          <w:rPr>
            <w:noProof/>
            <w:webHidden/>
          </w:rPr>
          <w:fldChar w:fldCharType="begin"/>
        </w:r>
        <w:r>
          <w:rPr>
            <w:noProof/>
            <w:webHidden/>
          </w:rPr>
          <w:instrText xml:space="preserve"> PAGEREF _Toc347231094 \h </w:instrText>
        </w:r>
        <w:r>
          <w:rPr>
            <w:noProof/>
            <w:webHidden/>
          </w:rPr>
        </w:r>
        <w:r>
          <w:rPr>
            <w:noProof/>
            <w:webHidden/>
          </w:rPr>
          <w:fldChar w:fldCharType="separate"/>
        </w:r>
        <w:r w:rsidR="00A866C3">
          <w:rPr>
            <w:noProof/>
            <w:webHidden/>
          </w:rPr>
          <w:t>4</w:t>
        </w:r>
        <w:r>
          <w:rPr>
            <w:noProof/>
            <w:webHidden/>
          </w:rPr>
          <w:fldChar w:fldCharType="end"/>
        </w:r>
      </w:hyperlink>
    </w:p>
    <w:p w:rsidR="0098014D" w:rsidRDefault="0098014D">
      <w:pPr>
        <w:pStyle w:val="TOC3"/>
        <w:rPr>
          <w:rFonts w:ascii="Calibri" w:eastAsia="Times New Roman" w:hAnsi="Calibri"/>
          <w:noProof/>
          <w:lang w:eastAsia="en-AU"/>
        </w:rPr>
      </w:pPr>
      <w:hyperlink w:anchor="_Toc347231095" w:history="1">
        <w:r w:rsidRPr="00347EAE">
          <w:rPr>
            <w:rStyle w:val="Hyperlink"/>
            <w:noProof/>
          </w:rPr>
          <w:t>Product background</w:t>
        </w:r>
        <w:r>
          <w:rPr>
            <w:noProof/>
            <w:webHidden/>
          </w:rPr>
          <w:tab/>
        </w:r>
        <w:r>
          <w:rPr>
            <w:noProof/>
            <w:webHidden/>
          </w:rPr>
          <w:fldChar w:fldCharType="begin"/>
        </w:r>
        <w:r>
          <w:rPr>
            <w:noProof/>
            <w:webHidden/>
          </w:rPr>
          <w:instrText xml:space="preserve"> PAGEREF _Toc347231095 \h </w:instrText>
        </w:r>
        <w:r>
          <w:rPr>
            <w:noProof/>
            <w:webHidden/>
          </w:rPr>
        </w:r>
        <w:r>
          <w:rPr>
            <w:noProof/>
            <w:webHidden/>
          </w:rPr>
          <w:fldChar w:fldCharType="separate"/>
        </w:r>
        <w:r w:rsidR="00A866C3">
          <w:rPr>
            <w:noProof/>
            <w:webHidden/>
          </w:rPr>
          <w:t>4</w:t>
        </w:r>
        <w:r>
          <w:rPr>
            <w:noProof/>
            <w:webHidden/>
          </w:rPr>
          <w:fldChar w:fldCharType="end"/>
        </w:r>
      </w:hyperlink>
    </w:p>
    <w:p w:rsidR="0098014D" w:rsidRDefault="0098014D">
      <w:pPr>
        <w:pStyle w:val="TOC3"/>
        <w:rPr>
          <w:rFonts w:ascii="Calibri" w:eastAsia="Times New Roman" w:hAnsi="Calibri"/>
          <w:noProof/>
          <w:lang w:eastAsia="en-AU"/>
        </w:rPr>
      </w:pPr>
      <w:hyperlink w:anchor="_Toc347231096" w:history="1">
        <w:r w:rsidRPr="00347EAE">
          <w:rPr>
            <w:rStyle w:val="Hyperlink"/>
            <w:noProof/>
          </w:rPr>
          <w:t>Regulatory status</w:t>
        </w:r>
        <w:r>
          <w:rPr>
            <w:noProof/>
            <w:webHidden/>
          </w:rPr>
          <w:tab/>
        </w:r>
        <w:r>
          <w:rPr>
            <w:noProof/>
            <w:webHidden/>
          </w:rPr>
          <w:fldChar w:fldCharType="begin"/>
        </w:r>
        <w:r>
          <w:rPr>
            <w:noProof/>
            <w:webHidden/>
          </w:rPr>
          <w:instrText xml:space="preserve"> PAGEREF _Toc347231096 \h </w:instrText>
        </w:r>
        <w:r>
          <w:rPr>
            <w:noProof/>
            <w:webHidden/>
          </w:rPr>
        </w:r>
        <w:r>
          <w:rPr>
            <w:noProof/>
            <w:webHidden/>
          </w:rPr>
          <w:fldChar w:fldCharType="separate"/>
        </w:r>
        <w:r w:rsidR="00A866C3">
          <w:rPr>
            <w:noProof/>
            <w:webHidden/>
          </w:rPr>
          <w:t>6</w:t>
        </w:r>
        <w:r>
          <w:rPr>
            <w:noProof/>
            <w:webHidden/>
          </w:rPr>
          <w:fldChar w:fldCharType="end"/>
        </w:r>
      </w:hyperlink>
    </w:p>
    <w:p w:rsidR="0098014D" w:rsidRDefault="0098014D">
      <w:pPr>
        <w:pStyle w:val="TOC3"/>
        <w:rPr>
          <w:rFonts w:ascii="Calibri" w:eastAsia="Times New Roman" w:hAnsi="Calibri"/>
          <w:noProof/>
          <w:lang w:eastAsia="en-AU"/>
        </w:rPr>
      </w:pPr>
      <w:hyperlink w:anchor="_Toc347231097" w:history="1">
        <w:r w:rsidRPr="00347EAE">
          <w:rPr>
            <w:rStyle w:val="Hyperlink"/>
            <w:noProof/>
          </w:rPr>
          <w:t>Product Information</w:t>
        </w:r>
        <w:r>
          <w:rPr>
            <w:noProof/>
            <w:webHidden/>
          </w:rPr>
          <w:tab/>
        </w:r>
        <w:r>
          <w:rPr>
            <w:noProof/>
            <w:webHidden/>
          </w:rPr>
          <w:fldChar w:fldCharType="begin"/>
        </w:r>
        <w:r>
          <w:rPr>
            <w:noProof/>
            <w:webHidden/>
          </w:rPr>
          <w:instrText xml:space="preserve"> PAGEREF _Toc347231097 \h </w:instrText>
        </w:r>
        <w:r>
          <w:rPr>
            <w:noProof/>
            <w:webHidden/>
          </w:rPr>
        </w:r>
        <w:r>
          <w:rPr>
            <w:noProof/>
            <w:webHidden/>
          </w:rPr>
          <w:fldChar w:fldCharType="separate"/>
        </w:r>
        <w:r w:rsidR="00A866C3">
          <w:rPr>
            <w:noProof/>
            <w:webHidden/>
          </w:rPr>
          <w:t>7</w:t>
        </w:r>
        <w:r>
          <w:rPr>
            <w:noProof/>
            <w:webHidden/>
          </w:rPr>
          <w:fldChar w:fldCharType="end"/>
        </w:r>
      </w:hyperlink>
    </w:p>
    <w:p w:rsidR="0098014D" w:rsidRDefault="0098014D">
      <w:pPr>
        <w:pStyle w:val="TOC3"/>
        <w:rPr>
          <w:rFonts w:ascii="Calibri" w:eastAsia="Times New Roman" w:hAnsi="Calibri"/>
          <w:noProof/>
          <w:lang w:eastAsia="en-AU"/>
        </w:rPr>
      </w:pPr>
      <w:hyperlink w:anchor="_Toc347231098" w:history="1">
        <w:r w:rsidRPr="00347EAE">
          <w:rPr>
            <w:rStyle w:val="Hyperlink"/>
            <w:noProof/>
          </w:rPr>
          <w:t>List of abbreviations</w:t>
        </w:r>
        <w:r>
          <w:rPr>
            <w:noProof/>
            <w:webHidden/>
          </w:rPr>
          <w:tab/>
        </w:r>
        <w:r>
          <w:rPr>
            <w:noProof/>
            <w:webHidden/>
          </w:rPr>
          <w:fldChar w:fldCharType="begin"/>
        </w:r>
        <w:r>
          <w:rPr>
            <w:noProof/>
            <w:webHidden/>
          </w:rPr>
          <w:instrText xml:space="preserve"> PAGEREF _Toc347231098 \h </w:instrText>
        </w:r>
        <w:r>
          <w:rPr>
            <w:noProof/>
            <w:webHidden/>
          </w:rPr>
        </w:r>
        <w:r>
          <w:rPr>
            <w:noProof/>
            <w:webHidden/>
          </w:rPr>
          <w:fldChar w:fldCharType="separate"/>
        </w:r>
        <w:r w:rsidR="00A866C3">
          <w:rPr>
            <w:noProof/>
            <w:webHidden/>
          </w:rPr>
          <w:t>8</w:t>
        </w:r>
        <w:r>
          <w:rPr>
            <w:noProof/>
            <w:webHidden/>
          </w:rPr>
          <w:fldChar w:fldCharType="end"/>
        </w:r>
      </w:hyperlink>
    </w:p>
    <w:p w:rsidR="0098014D" w:rsidRDefault="0098014D">
      <w:pPr>
        <w:pStyle w:val="TOC2"/>
        <w:rPr>
          <w:rFonts w:ascii="Calibri" w:eastAsia="Times New Roman" w:hAnsi="Calibri"/>
          <w:b w:val="0"/>
          <w:noProof/>
          <w:sz w:val="22"/>
          <w:lang w:eastAsia="en-AU"/>
        </w:rPr>
      </w:pPr>
      <w:hyperlink w:anchor="_Toc347231099" w:history="1">
        <w:r w:rsidRPr="00347EAE">
          <w:rPr>
            <w:rStyle w:val="Hyperlink"/>
            <w:noProof/>
          </w:rPr>
          <w:t>II. Quality findings</w:t>
        </w:r>
        <w:r>
          <w:rPr>
            <w:noProof/>
            <w:webHidden/>
          </w:rPr>
          <w:tab/>
        </w:r>
        <w:r>
          <w:rPr>
            <w:noProof/>
            <w:webHidden/>
          </w:rPr>
          <w:fldChar w:fldCharType="begin"/>
        </w:r>
        <w:r>
          <w:rPr>
            <w:noProof/>
            <w:webHidden/>
          </w:rPr>
          <w:instrText xml:space="preserve"> PAGEREF _Toc347231099 \h </w:instrText>
        </w:r>
        <w:r>
          <w:rPr>
            <w:noProof/>
            <w:webHidden/>
          </w:rPr>
        </w:r>
        <w:r>
          <w:rPr>
            <w:noProof/>
            <w:webHidden/>
          </w:rPr>
          <w:fldChar w:fldCharType="separate"/>
        </w:r>
        <w:r w:rsidR="00A866C3">
          <w:rPr>
            <w:noProof/>
            <w:webHidden/>
          </w:rPr>
          <w:t>8</w:t>
        </w:r>
        <w:r>
          <w:rPr>
            <w:noProof/>
            <w:webHidden/>
          </w:rPr>
          <w:fldChar w:fldCharType="end"/>
        </w:r>
      </w:hyperlink>
    </w:p>
    <w:p w:rsidR="0098014D" w:rsidRDefault="0098014D">
      <w:pPr>
        <w:pStyle w:val="TOC2"/>
        <w:rPr>
          <w:rFonts w:ascii="Calibri" w:eastAsia="Times New Roman" w:hAnsi="Calibri"/>
          <w:b w:val="0"/>
          <w:noProof/>
          <w:sz w:val="22"/>
          <w:lang w:eastAsia="en-AU"/>
        </w:rPr>
      </w:pPr>
      <w:hyperlink w:anchor="_Toc347231100" w:history="1">
        <w:r w:rsidRPr="00347EAE">
          <w:rPr>
            <w:rStyle w:val="Hyperlink"/>
            <w:noProof/>
          </w:rPr>
          <w:t>III. Nonclinical findings</w:t>
        </w:r>
        <w:r>
          <w:rPr>
            <w:noProof/>
            <w:webHidden/>
          </w:rPr>
          <w:tab/>
        </w:r>
        <w:r>
          <w:rPr>
            <w:noProof/>
            <w:webHidden/>
          </w:rPr>
          <w:fldChar w:fldCharType="begin"/>
        </w:r>
        <w:r>
          <w:rPr>
            <w:noProof/>
            <w:webHidden/>
          </w:rPr>
          <w:instrText xml:space="preserve"> PAGEREF _Toc347231100 \h </w:instrText>
        </w:r>
        <w:r>
          <w:rPr>
            <w:noProof/>
            <w:webHidden/>
          </w:rPr>
        </w:r>
        <w:r>
          <w:rPr>
            <w:noProof/>
            <w:webHidden/>
          </w:rPr>
          <w:fldChar w:fldCharType="separate"/>
        </w:r>
        <w:r w:rsidR="00A866C3">
          <w:rPr>
            <w:noProof/>
            <w:webHidden/>
          </w:rPr>
          <w:t>8</w:t>
        </w:r>
        <w:r>
          <w:rPr>
            <w:noProof/>
            <w:webHidden/>
          </w:rPr>
          <w:fldChar w:fldCharType="end"/>
        </w:r>
      </w:hyperlink>
    </w:p>
    <w:p w:rsidR="0098014D" w:rsidRDefault="0098014D">
      <w:pPr>
        <w:pStyle w:val="TOC2"/>
        <w:rPr>
          <w:rFonts w:ascii="Calibri" w:eastAsia="Times New Roman" w:hAnsi="Calibri"/>
          <w:b w:val="0"/>
          <w:noProof/>
          <w:sz w:val="22"/>
          <w:lang w:eastAsia="en-AU"/>
        </w:rPr>
      </w:pPr>
      <w:hyperlink w:anchor="_Toc347231101" w:history="1">
        <w:r w:rsidRPr="00347EAE">
          <w:rPr>
            <w:rStyle w:val="Hyperlink"/>
            <w:noProof/>
          </w:rPr>
          <w:t>IV. Clinical findings</w:t>
        </w:r>
        <w:r>
          <w:rPr>
            <w:noProof/>
            <w:webHidden/>
          </w:rPr>
          <w:tab/>
        </w:r>
        <w:r>
          <w:rPr>
            <w:noProof/>
            <w:webHidden/>
          </w:rPr>
          <w:fldChar w:fldCharType="begin"/>
        </w:r>
        <w:r>
          <w:rPr>
            <w:noProof/>
            <w:webHidden/>
          </w:rPr>
          <w:instrText xml:space="preserve"> PAGEREF _Toc347231101 \h </w:instrText>
        </w:r>
        <w:r>
          <w:rPr>
            <w:noProof/>
            <w:webHidden/>
          </w:rPr>
        </w:r>
        <w:r>
          <w:rPr>
            <w:noProof/>
            <w:webHidden/>
          </w:rPr>
          <w:fldChar w:fldCharType="separate"/>
        </w:r>
        <w:r w:rsidR="00A866C3">
          <w:rPr>
            <w:noProof/>
            <w:webHidden/>
          </w:rPr>
          <w:t>9</w:t>
        </w:r>
        <w:r>
          <w:rPr>
            <w:noProof/>
            <w:webHidden/>
          </w:rPr>
          <w:fldChar w:fldCharType="end"/>
        </w:r>
      </w:hyperlink>
    </w:p>
    <w:p w:rsidR="0098014D" w:rsidRDefault="0098014D">
      <w:pPr>
        <w:pStyle w:val="TOC3"/>
        <w:rPr>
          <w:rFonts w:ascii="Calibri" w:eastAsia="Times New Roman" w:hAnsi="Calibri"/>
          <w:noProof/>
          <w:lang w:eastAsia="en-AU"/>
        </w:rPr>
      </w:pPr>
      <w:hyperlink w:anchor="_Toc347231102" w:history="1">
        <w:r w:rsidRPr="00347EAE">
          <w:rPr>
            <w:rStyle w:val="Hyperlink"/>
            <w:noProof/>
          </w:rPr>
          <w:t>Introduction</w:t>
        </w:r>
        <w:r>
          <w:rPr>
            <w:noProof/>
            <w:webHidden/>
          </w:rPr>
          <w:tab/>
        </w:r>
        <w:r>
          <w:rPr>
            <w:noProof/>
            <w:webHidden/>
          </w:rPr>
          <w:fldChar w:fldCharType="begin"/>
        </w:r>
        <w:r>
          <w:rPr>
            <w:noProof/>
            <w:webHidden/>
          </w:rPr>
          <w:instrText xml:space="preserve"> PAGEREF _Toc347231102 \h </w:instrText>
        </w:r>
        <w:r>
          <w:rPr>
            <w:noProof/>
            <w:webHidden/>
          </w:rPr>
        </w:r>
        <w:r>
          <w:rPr>
            <w:noProof/>
            <w:webHidden/>
          </w:rPr>
          <w:fldChar w:fldCharType="separate"/>
        </w:r>
        <w:r w:rsidR="00A866C3">
          <w:rPr>
            <w:noProof/>
            <w:webHidden/>
          </w:rPr>
          <w:t>9</w:t>
        </w:r>
        <w:r>
          <w:rPr>
            <w:noProof/>
            <w:webHidden/>
          </w:rPr>
          <w:fldChar w:fldCharType="end"/>
        </w:r>
      </w:hyperlink>
    </w:p>
    <w:p w:rsidR="0098014D" w:rsidRDefault="0098014D">
      <w:pPr>
        <w:pStyle w:val="TOC3"/>
        <w:rPr>
          <w:rFonts w:ascii="Calibri" w:eastAsia="Times New Roman" w:hAnsi="Calibri"/>
          <w:noProof/>
          <w:lang w:eastAsia="en-AU"/>
        </w:rPr>
      </w:pPr>
      <w:hyperlink w:anchor="_Toc347231103" w:history="1">
        <w:r w:rsidRPr="00347EAE">
          <w:rPr>
            <w:rStyle w:val="Hyperlink"/>
            <w:noProof/>
          </w:rPr>
          <w:t>Pharmacokinetics</w:t>
        </w:r>
        <w:r>
          <w:rPr>
            <w:noProof/>
            <w:webHidden/>
          </w:rPr>
          <w:tab/>
        </w:r>
        <w:r>
          <w:rPr>
            <w:noProof/>
            <w:webHidden/>
          </w:rPr>
          <w:fldChar w:fldCharType="begin"/>
        </w:r>
        <w:r>
          <w:rPr>
            <w:noProof/>
            <w:webHidden/>
          </w:rPr>
          <w:instrText xml:space="preserve"> PAGEREF _Toc347231103 \h </w:instrText>
        </w:r>
        <w:r>
          <w:rPr>
            <w:noProof/>
            <w:webHidden/>
          </w:rPr>
        </w:r>
        <w:r>
          <w:rPr>
            <w:noProof/>
            <w:webHidden/>
          </w:rPr>
          <w:fldChar w:fldCharType="separate"/>
        </w:r>
        <w:r w:rsidR="00A866C3">
          <w:rPr>
            <w:noProof/>
            <w:webHidden/>
          </w:rPr>
          <w:t>12</w:t>
        </w:r>
        <w:r>
          <w:rPr>
            <w:noProof/>
            <w:webHidden/>
          </w:rPr>
          <w:fldChar w:fldCharType="end"/>
        </w:r>
      </w:hyperlink>
    </w:p>
    <w:p w:rsidR="0098014D" w:rsidRDefault="0098014D">
      <w:pPr>
        <w:pStyle w:val="TOC3"/>
        <w:rPr>
          <w:rFonts w:ascii="Calibri" w:eastAsia="Times New Roman" w:hAnsi="Calibri"/>
          <w:noProof/>
          <w:lang w:eastAsia="en-AU"/>
        </w:rPr>
      </w:pPr>
      <w:hyperlink w:anchor="_Toc347231104" w:history="1">
        <w:r w:rsidRPr="00347EAE">
          <w:rPr>
            <w:rStyle w:val="Hyperlink"/>
            <w:noProof/>
          </w:rPr>
          <w:t>Pharmacodynamics</w:t>
        </w:r>
        <w:r>
          <w:rPr>
            <w:noProof/>
            <w:webHidden/>
          </w:rPr>
          <w:tab/>
        </w:r>
        <w:r>
          <w:rPr>
            <w:noProof/>
            <w:webHidden/>
          </w:rPr>
          <w:fldChar w:fldCharType="begin"/>
        </w:r>
        <w:r>
          <w:rPr>
            <w:noProof/>
            <w:webHidden/>
          </w:rPr>
          <w:instrText xml:space="preserve"> PAGEREF _Toc347231104 \h </w:instrText>
        </w:r>
        <w:r>
          <w:rPr>
            <w:noProof/>
            <w:webHidden/>
          </w:rPr>
        </w:r>
        <w:r>
          <w:rPr>
            <w:noProof/>
            <w:webHidden/>
          </w:rPr>
          <w:fldChar w:fldCharType="separate"/>
        </w:r>
        <w:r w:rsidR="00A866C3">
          <w:rPr>
            <w:noProof/>
            <w:webHidden/>
          </w:rPr>
          <w:t>15</w:t>
        </w:r>
        <w:r>
          <w:rPr>
            <w:noProof/>
            <w:webHidden/>
          </w:rPr>
          <w:fldChar w:fldCharType="end"/>
        </w:r>
      </w:hyperlink>
    </w:p>
    <w:p w:rsidR="0098014D" w:rsidRDefault="0098014D">
      <w:pPr>
        <w:pStyle w:val="TOC3"/>
        <w:rPr>
          <w:rFonts w:ascii="Calibri" w:eastAsia="Times New Roman" w:hAnsi="Calibri"/>
          <w:noProof/>
          <w:lang w:eastAsia="en-AU"/>
        </w:rPr>
      </w:pPr>
      <w:hyperlink w:anchor="_Toc347231105" w:history="1">
        <w:r w:rsidRPr="00347EAE">
          <w:rPr>
            <w:rStyle w:val="Hyperlink"/>
            <w:noProof/>
          </w:rPr>
          <w:t>Dosage selection for the pivotal studies</w:t>
        </w:r>
        <w:r>
          <w:rPr>
            <w:noProof/>
            <w:webHidden/>
          </w:rPr>
          <w:tab/>
        </w:r>
        <w:r>
          <w:rPr>
            <w:noProof/>
            <w:webHidden/>
          </w:rPr>
          <w:fldChar w:fldCharType="begin"/>
        </w:r>
        <w:r>
          <w:rPr>
            <w:noProof/>
            <w:webHidden/>
          </w:rPr>
          <w:instrText xml:space="preserve"> PAGEREF _Toc347231105 \h </w:instrText>
        </w:r>
        <w:r>
          <w:rPr>
            <w:noProof/>
            <w:webHidden/>
          </w:rPr>
        </w:r>
        <w:r>
          <w:rPr>
            <w:noProof/>
            <w:webHidden/>
          </w:rPr>
          <w:fldChar w:fldCharType="separate"/>
        </w:r>
        <w:r w:rsidR="00A866C3">
          <w:rPr>
            <w:noProof/>
            <w:webHidden/>
          </w:rPr>
          <w:t>15</w:t>
        </w:r>
        <w:r>
          <w:rPr>
            <w:noProof/>
            <w:webHidden/>
          </w:rPr>
          <w:fldChar w:fldCharType="end"/>
        </w:r>
      </w:hyperlink>
    </w:p>
    <w:p w:rsidR="0098014D" w:rsidRDefault="0098014D">
      <w:pPr>
        <w:pStyle w:val="TOC3"/>
        <w:rPr>
          <w:rFonts w:ascii="Calibri" w:eastAsia="Times New Roman" w:hAnsi="Calibri"/>
          <w:noProof/>
          <w:lang w:eastAsia="en-AU"/>
        </w:rPr>
      </w:pPr>
      <w:hyperlink w:anchor="_Toc347231106" w:history="1">
        <w:r w:rsidRPr="00347EAE">
          <w:rPr>
            <w:rStyle w:val="Hyperlink"/>
            <w:noProof/>
          </w:rPr>
          <w:t>Efficacy</w:t>
        </w:r>
        <w:r>
          <w:rPr>
            <w:noProof/>
            <w:webHidden/>
          </w:rPr>
          <w:tab/>
        </w:r>
        <w:r>
          <w:rPr>
            <w:noProof/>
            <w:webHidden/>
          </w:rPr>
          <w:fldChar w:fldCharType="begin"/>
        </w:r>
        <w:r>
          <w:rPr>
            <w:noProof/>
            <w:webHidden/>
          </w:rPr>
          <w:instrText xml:space="preserve"> PAGEREF _Toc347231106 \h </w:instrText>
        </w:r>
        <w:r>
          <w:rPr>
            <w:noProof/>
            <w:webHidden/>
          </w:rPr>
        </w:r>
        <w:r>
          <w:rPr>
            <w:noProof/>
            <w:webHidden/>
          </w:rPr>
          <w:fldChar w:fldCharType="separate"/>
        </w:r>
        <w:r w:rsidR="00A866C3">
          <w:rPr>
            <w:noProof/>
            <w:webHidden/>
          </w:rPr>
          <w:t>15</w:t>
        </w:r>
        <w:r>
          <w:rPr>
            <w:noProof/>
            <w:webHidden/>
          </w:rPr>
          <w:fldChar w:fldCharType="end"/>
        </w:r>
      </w:hyperlink>
    </w:p>
    <w:p w:rsidR="0098014D" w:rsidRDefault="0098014D">
      <w:pPr>
        <w:pStyle w:val="TOC3"/>
        <w:rPr>
          <w:rFonts w:ascii="Calibri" w:eastAsia="Times New Roman" w:hAnsi="Calibri"/>
          <w:noProof/>
          <w:lang w:eastAsia="en-AU"/>
        </w:rPr>
      </w:pPr>
      <w:hyperlink w:anchor="_Toc347231107" w:history="1">
        <w:r w:rsidRPr="00347EAE">
          <w:rPr>
            <w:rStyle w:val="Hyperlink"/>
            <w:noProof/>
          </w:rPr>
          <w:t>Safety</w:t>
        </w:r>
        <w:r>
          <w:rPr>
            <w:noProof/>
            <w:webHidden/>
          </w:rPr>
          <w:tab/>
        </w:r>
        <w:r>
          <w:rPr>
            <w:noProof/>
            <w:webHidden/>
          </w:rPr>
          <w:fldChar w:fldCharType="begin"/>
        </w:r>
        <w:r>
          <w:rPr>
            <w:noProof/>
            <w:webHidden/>
          </w:rPr>
          <w:instrText xml:space="preserve"> PAGEREF _Toc347231107 \h </w:instrText>
        </w:r>
        <w:r>
          <w:rPr>
            <w:noProof/>
            <w:webHidden/>
          </w:rPr>
        </w:r>
        <w:r>
          <w:rPr>
            <w:noProof/>
            <w:webHidden/>
          </w:rPr>
          <w:fldChar w:fldCharType="separate"/>
        </w:r>
        <w:r w:rsidR="00A866C3">
          <w:rPr>
            <w:noProof/>
            <w:webHidden/>
          </w:rPr>
          <w:t>18</w:t>
        </w:r>
        <w:r>
          <w:rPr>
            <w:noProof/>
            <w:webHidden/>
          </w:rPr>
          <w:fldChar w:fldCharType="end"/>
        </w:r>
      </w:hyperlink>
    </w:p>
    <w:p w:rsidR="0098014D" w:rsidRDefault="0098014D">
      <w:pPr>
        <w:pStyle w:val="TOC3"/>
        <w:rPr>
          <w:rFonts w:ascii="Calibri" w:eastAsia="Times New Roman" w:hAnsi="Calibri"/>
          <w:noProof/>
          <w:lang w:eastAsia="en-AU"/>
        </w:rPr>
      </w:pPr>
      <w:hyperlink w:anchor="_Toc347231108" w:history="1">
        <w:r w:rsidRPr="00347EAE">
          <w:rPr>
            <w:rStyle w:val="Hyperlink"/>
            <w:noProof/>
          </w:rPr>
          <w:t>List of questions</w:t>
        </w:r>
        <w:r>
          <w:rPr>
            <w:noProof/>
            <w:webHidden/>
          </w:rPr>
          <w:tab/>
        </w:r>
        <w:r>
          <w:rPr>
            <w:noProof/>
            <w:webHidden/>
          </w:rPr>
          <w:fldChar w:fldCharType="begin"/>
        </w:r>
        <w:r>
          <w:rPr>
            <w:noProof/>
            <w:webHidden/>
          </w:rPr>
          <w:instrText xml:space="preserve"> PAGEREF _Toc347231108 \h </w:instrText>
        </w:r>
        <w:r>
          <w:rPr>
            <w:noProof/>
            <w:webHidden/>
          </w:rPr>
        </w:r>
        <w:r>
          <w:rPr>
            <w:noProof/>
            <w:webHidden/>
          </w:rPr>
          <w:fldChar w:fldCharType="separate"/>
        </w:r>
        <w:r w:rsidR="00A866C3">
          <w:rPr>
            <w:noProof/>
            <w:webHidden/>
          </w:rPr>
          <w:t>24</w:t>
        </w:r>
        <w:r>
          <w:rPr>
            <w:noProof/>
            <w:webHidden/>
          </w:rPr>
          <w:fldChar w:fldCharType="end"/>
        </w:r>
      </w:hyperlink>
    </w:p>
    <w:p w:rsidR="0098014D" w:rsidRDefault="0098014D">
      <w:pPr>
        <w:pStyle w:val="TOC3"/>
        <w:rPr>
          <w:rFonts w:ascii="Calibri" w:eastAsia="Times New Roman" w:hAnsi="Calibri"/>
          <w:noProof/>
          <w:lang w:eastAsia="en-AU"/>
        </w:rPr>
      </w:pPr>
      <w:hyperlink w:anchor="_Toc347231109" w:history="1">
        <w:r w:rsidRPr="00347EAE">
          <w:rPr>
            <w:rStyle w:val="Hyperlink"/>
            <w:noProof/>
          </w:rPr>
          <w:t>First round benefit-risk assessment</w:t>
        </w:r>
        <w:r>
          <w:rPr>
            <w:noProof/>
            <w:webHidden/>
          </w:rPr>
          <w:tab/>
        </w:r>
        <w:r>
          <w:rPr>
            <w:noProof/>
            <w:webHidden/>
          </w:rPr>
          <w:fldChar w:fldCharType="begin"/>
        </w:r>
        <w:r>
          <w:rPr>
            <w:noProof/>
            <w:webHidden/>
          </w:rPr>
          <w:instrText xml:space="preserve"> PAGEREF _Toc347231109 \h </w:instrText>
        </w:r>
        <w:r>
          <w:rPr>
            <w:noProof/>
            <w:webHidden/>
          </w:rPr>
        </w:r>
        <w:r>
          <w:rPr>
            <w:noProof/>
            <w:webHidden/>
          </w:rPr>
          <w:fldChar w:fldCharType="separate"/>
        </w:r>
        <w:r w:rsidR="00A866C3">
          <w:rPr>
            <w:noProof/>
            <w:webHidden/>
          </w:rPr>
          <w:t>24</w:t>
        </w:r>
        <w:r>
          <w:rPr>
            <w:noProof/>
            <w:webHidden/>
          </w:rPr>
          <w:fldChar w:fldCharType="end"/>
        </w:r>
      </w:hyperlink>
    </w:p>
    <w:p w:rsidR="0098014D" w:rsidRDefault="0098014D">
      <w:pPr>
        <w:pStyle w:val="TOC2"/>
        <w:rPr>
          <w:rFonts w:ascii="Calibri" w:eastAsia="Times New Roman" w:hAnsi="Calibri"/>
          <w:b w:val="0"/>
          <w:noProof/>
          <w:sz w:val="22"/>
          <w:lang w:eastAsia="en-AU"/>
        </w:rPr>
      </w:pPr>
      <w:hyperlink w:anchor="_Toc347231110" w:history="1">
        <w:r w:rsidRPr="00347EAE">
          <w:rPr>
            <w:rStyle w:val="Hyperlink"/>
            <w:noProof/>
          </w:rPr>
          <w:t>V. Pharmacovigilance findings</w:t>
        </w:r>
        <w:r>
          <w:rPr>
            <w:noProof/>
            <w:webHidden/>
          </w:rPr>
          <w:tab/>
        </w:r>
        <w:r>
          <w:rPr>
            <w:noProof/>
            <w:webHidden/>
          </w:rPr>
          <w:fldChar w:fldCharType="begin"/>
        </w:r>
        <w:r>
          <w:rPr>
            <w:noProof/>
            <w:webHidden/>
          </w:rPr>
          <w:instrText xml:space="preserve"> PAGEREF _Toc347231110 \h </w:instrText>
        </w:r>
        <w:r>
          <w:rPr>
            <w:noProof/>
            <w:webHidden/>
          </w:rPr>
        </w:r>
        <w:r>
          <w:rPr>
            <w:noProof/>
            <w:webHidden/>
          </w:rPr>
          <w:fldChar w:fldCharType="separate"/>
        </w:r>
        <w:r w:rsidR="00A866C3">
          <w:rPr>
            <w:noProof/>
            <w:webHidden/>
          </w:rPr>
          <w:t>25</w:t>
        </w:r>
        <w:r>
          <w:rPr>
            <w:noProof/>
            <w:webHidden/>
          </w:rPr>
          <w:fldChar w:fldCharType="end"/>
        </w:r>
      </w:hyperlink>
    </w:p>
    <w:p w:rsidR="0098014D" w:rsidRDefault="0098014D">
      <w:pPr>
        <w:pStyle w:val="TOC3"/>
        <w:rPr>
          <w:rFonts w:ascii="Calibri" w:eastAsia="Times New Roman" w:hAnsi="Calibri"/>
          <w:noProof/>
          <w:lang w:eastAsia="en-AU"/>
        </w:rPr>
      </w:pPr>
      <w:hyperlink w:anchor="_Toc347231111" w:history="1">
        <w:r w:rsidRPr="00347EAE">
          <w:rPr>
            <w:rStyle w:val="Hyperlink"/>
            <w:noProof/>
            <w:lang w:eastAsia="en-AU"/>
          </w:rPr>
          <w:t>Risk management plan</w:t>
        </w:r>
        <w:r>
          <w:rPr>
            <w:noProof/>
            <w:webHidden/>
          </w:rPr>
          <w:tab/>
        </w:r>
        <w:r>
          <w:rPr>
            <w:noProof/>
            <w:webHidden/>
          </w:rPr>
          <w:fldChar w:fldCharType="begin"/>
        </w:r>
        <w:r>
          <w:rPr>
            <w:noProof/>
            <w:webHidden/>
          </w:rPr>
          <w:instrText xml:space="preserve"> PAGEREF _Toc347231111 \h </w:instrText>
        </w:r>
        <w:r>
          <w:rPr>
            <w:noProof/>
            <w:webHidden/>
          </w:rPr>
        </w:r>
        <w:r>
          <w:rPr>
            <w:noProof/>
            <w:webHidden/>
          </w:rPr>
          <w:fldChar w:fldCharType="separate"/>
        </w:r>
        <w:r w:rsidR="00A866C3">
          <w:rPr>
            <w:noProof/>
            <w:webHidden/>
          </w:rPr>
          <w:t>25</w:t>
        </w:r>
        <w:r>
          <w:rPr>
            <w:noProof/>
            <w:webHidden/>
          </w:rPr>
          <w:fldChar w:fldCharType="end"/>
        </w:r>
      </w:hyperlink>
    </w:p>
    <w:p w:rsidR="0098014D" w:rsidRDefault="0098014D">
      <w:pPr>
        <w:pStyle w:val="TOC2"/>
        <w:rPr>
          <w:rFonts w:ascii="Calibri" w:eastAsia="Times New Roman" w:hAnsi="Calibri"/>
          <w:b w:val="0"/>
          <w:noProof/>
          <w:sz w:val="22"/>
          <w:lang w:eastAsia="en-AU"/>
        </w:rPr>
      </w:pPr>
      <w:hyperlink w:anchor="_Toc347231112" w:history="1">
        <w:r w:rsidRPr="00347EAE">
          <w:rPr>
            <w:rStyle w:val="Hyperlink"/>
            <w:noProof/>
          </w:rPr>
          <w:t>VI. Overall conclusion and risk/benefit assessment</w:t>
        </w:r>
        <w:r>
          <w:rPr>
            <w:noProof/>
            <w:webHidden/>
          </w:rPr>
          <w:tab/>
        </w:r>
        <w:r>
          <w:rPr>
            <w:noProof/>
            <w:webHidden/>
          </w:rPr>
          <w:fldChar w:fldCharType="begin"/>
        </w:r>
        <w:r>
          <w:rPr>
            <w:noProof/>
            <w:webHidden/>
          </w:rPr>
          <w:instrText xml:space="preserve"> PAGEREF _Toc347231112 \h </w:instrText>
        </w:r>
        <w:r>
          <w:rPr>
            <w:noProof/>
            <w:webHidden/>
          </w:rPr>
        </w:r>
        <w:r>
          <w:rPr>
            <w:noProof/>
            <w:webHidden/>
          </w:rPr>
          <w:fldChar w:fldCharType="separate"/>
        </w:r>
        <w:r w:rsidR="00A866C3">
          <w:rPr>
            <w:noProof/>
            <w:webHidden/>
          </w:rPr>
          <w:t>25</w:t>
        </w:r>
        <w:r>
          <w:rPr>
            <w:noProof/>
            <w:webHidden/>
          </w:rPr>
          <w:fldChar w:fldCharType="end"/>
        </w:r>
      </w:hyperlink>
    </w:p>
    <w:p w:rsidR="0098014D" w:rsidRDefault="0098014D">
      <w:pPr>
        <w:pStyle w:val="TOC3"/>
        <w:rPr>
          <w:rFonts w:ascii="Calibri" w:eastAsia="Times New Roman" w:hAnsi="Calibri"/>
          <w:noProof/>
          <w:lang w:eastAsia="en-AU"/>
        </w:rPr>
      </w:pPr>
      <w:hyperlink w:anchor="_Toc347231113" w:history="1">
        <w:r w:rsidRPr="00347EAE">
          <w:rPr>
            <w:rStyle w:val="Hyperlink"/>
            <w:noProof/>
          </w:rPr>
          <w:t>Quality</w:t>
        </w:r>
        <w:r>
          <w:rPr>
            <w:noProof/>
            <w:webHidden/>
          </w:rPr>
          <w:tab/>
        </w:r>
        <w:r>
          <w:rPr>
            <w:noProof/>
            <w:webHidden/>
          </w:rPr>
          <w:fldChar w:fldCharType="begin"/>
        </w:r>
        <w:r>
          <w:rPr>
            <w:noProof/>
            <w:webHidden/>
          </w:rPr>
          <w:instrText xml:space="preserve"> PAGEREF _Toc347231113 \h </w:instrText>
        </w:r>
        <w:r>
          <w:rPr>
            <w:noProof/>
            <w:webHidden/>
          </w:rPr>
        </w:r>
        <w:r>
          <w:rPr>
            <w:noProof/>
            <w:webHidden/>
          </w:rPr>
          <w:fldChar w:fldCharType="separate"/>
        </w:r>
        <w:r w:rsidR="00A866C3">
          <w:rPr>
            <w:noProof/>
            <w:webHidden/>
          </w:rPr>
          <w:t>25</w:t>
        </w:r>
        <w:r>
          <w:rPr>
            <w:noProof/>
            <w:webHidden/>
          </w:rPr>
          <w:fldChar w:fldCharType="end"/>
        </w:r>
      </w:hyperlink>
    </w:p>
    <w:p w:rsidR="0098014D" w:rsidRDefault="0098014D">
      <w:pPr>
        <w:pStyle w:val="TOC3"/>
        <w:rPr>
          <w:rFonts w:ascii="Calibri" w:eastAsia="Times New Roman" w:hAnsi="Calibri"/>
          <w:noProof/>
          <w:lang w:eastAsia="en-AU"/>
        </w:rPr>
      </w:pPr>
      <w:hyperlink w:anchor="_Toc347231114" w:history="1">
        <w:r w:rsidRPr="00347EAE">
          <w:rPr>
            <w:rStyle w:val="Hyperlink"/>
            <w:noProof/>
          </w:rPr>
          <w:t>Nonclinical</w:t>
        </w:r>
        <w:r>
          <w:rPr>
            <w:noProof/>
            <w:webHidden/>
          </w:rPr>
          <w:tab/>
        </w:r>
        <w:r>
          <w:rPr>
            <w:noProof/>
            <w:webHidden/>
          </w:rPr>
          <w:fldChar w:fldCharType="begin"/>
        </w:r>
        <w:r>
          <w:rPr>
            <w:noProof/>
            <w:webHidden/>
          </w:rPr>
          <w:instrText xml:space="preserve"> PAGEREF _Toc347231114 \h </w:instrText>
        </w:r>
        <w:r>
          <w:rPr>
            <w:noProof/>
            <w:webHidden/>
          </w:rPr>
        </w:r>
        <w:r>
          <w:rPr>
            <w:noProof/>
            <w:webHidden/>
          </w:rPr>
          <w:fldChar w:fldCharType="separate"/>
        </w:r>
        <w:r w:rsidR="00A866C3">
          <w:rPr>
            <w:noProof/>
            <w:webHidden/>
          </w:rPr>
          <w:t>25</w:t>
        </w:r>
        <w:r>
          <w:rPr>
            <w:noProof/>
            <w:webHidden/>
          </w:rPr>
          <w:fldChar w:fldCharType="end"/>
        </w:r>
      </w:hyperlink>
    </w:p>
    <w:p w:rsidR="0098014D" w:rsidRDefault="0098014D">
      <w:pPr>
        <w:pStyle w:val="TOC3"/>
        <w:rPr>
          <w:rFonts w:ascii="Calibri" w:eastAsia="Times New Roman" w:hAnsi="Calibri"/>
          <w:noProof/>
          <w:lang w:eastAsia="en-AU"/>
        </w:rPr>
      </w:pPr>
      <w:hyperlink w:anchor="_Toc347231115" w:history="1">
        <w:r w:rsidRPr="00347EAE">
          <w:rPr>
            <w:rStyle w:val="Hyperlink"/>
            <w:noProof/>
          </w:rPr>
          <w:t>Clinical</w:t>
        </w:r>
        <w:r>
          <w:rPr>
            <w:noProof/>
            <w:webHidden/>
          </w:rPr>
          <w:tab/>
        </w:r>
        <w:r>
          <w:rPr>
            <w:noProof/>
            <w:webHidden/>
          </w:rPr>
          <w:fldChar w:fldCharType="begin"/>
        </w:r>
        <w:r>
          <w:rPr>
            <w:noProof/>
            <w:webHidden/>
          </w:rPr>
          <w:instrText xml:space="preserve"> PAGEREF _Toc347231115 \h </w:instrText>
        </w:r>
        <w:r>
          <w:rPr>
            <w:noProof/>
            <w:webHidden/>
          </w:rPr>
        </w:r>
        <w:r>
          <w:rPr>
            <w:noProof/>
            <w:webHidden/>
          </w:rPr>
          <w:fldChar w:fldCharType="separate"/>
        </w:r>
        <w:r w:rsidR="00A866C3">
          <w:rPr>
            <w:noProof/>
            <w:webHidden/>
          </w:rPr>
          <w:t>25</w:t>
        </w:r>
        <w:r>
          <w:rPr>
            <w:noProof/>
            <w:webHidden/>
          </w:rPr>
          <w:fldChar w:fldCharType="end"/>
        </w:r>
      </w:hyperlink>
    </w:p>
    <w:p w:rsidR="0098014D" w:rsidRDefault="0098014D">
      <w:pPr>
        <w:pStyle w:val="TOC3"/>
        <w:rPr>
          <w:rFonts w:ascii="Calibri" w:eastAsia="Times New Roman" w:hAnsi="Calibri"/>
          <w:noProof/>
          <w:lang w:eastAsia="en-AU"/>
        </w:rPr>
      </w:pPr>
      <w:hyperlink w:anchor="_Toc347231116" w:history="1">
        <w:r w:rsidRPr="00347EAE">
          <w:rPr>
            <w:rStyle w:val="Hyperlink"/>
            <w:noProof/>
          </w:rPr>
          <w:t>Risk-benefit analysis</w:t>
        </w:r>
        <w:r>
          <w:rPr>
            <w:noProof/>
            <w:webHidden/>
          </w:rPr>
          <w:tab/>
        </w:r>
        <w:r>
          <w:rPr>
            <w:noProof/>
            <w:webHidden/>
          </w:rPr>
          <w:fldChar w:fldCharType="begin"/>
        </w:r>
        <w:r>
          <w:rPr>
            <w:noProof/>
            <w:webHidden/>
          </w:rPr>
          <w:instrText xml:space="preserve"> PAGEREF _Toc347231116 \h </w:instrText>
        </w:r>
        <w:r>
          <w:rPr>
            <w:noProof/>
            <w:webHidden/>
          </w:rPr>
        </w:r>
        <w:r>
          <w:rPr>
            <w:noProof/>
            <w:webHidden/>
          </w:rPr>
          <w:fldChar w:fldCharType="separate"/>
        </w:r>
        <w:r w:rsidR="00A866C3">
          <w:rPr>
            <w:noProof/>
            <w:webHidden/>
          </w:rPr>
          <w:t>31</w:t>
        </w:r>
        <w:r>
          <w:rPr>
            <w:noProof/>
            <w:webHidden/>
          </w:rPr>
          <w:fldChar w:fldCharType="end"/>
        </w:r>
      </w:hyperlink>
    </w:p>
    <w:p w:rsidR="0098014D" w:rsidRDefault="0098014D">
      <w:pPr>
        <w:pStyle w:val="TOC3"/>
        <w:rPr>
          <w:rFonts w:ascii="Calibri" w:eastAsia="Times New Roman" w:hAnsi="Calibri"/>
          <w:noProof/>
          <w:lang w:eastAsia="en-AU"/>
        </w:rPr>
      </w:pPr>
      <w:hyperlink w:anchor="_Toc347231117" w:history="1">
        <w:r w:rsidRPr="00347EAE">
          <w:rPr>
            <w:rStyle w:val="Hyperlink"/>
            <w:noProof/>
          </w:rPr>
          <w:t>Outcome</w:t>
        </w:r>
        <w:r>
          <w:rPr>
            <w:noProof/>
            <w:webHidden/>
          </w:rPr>
          <w:tab/>
        </w:r>
        <w:r>
          <w:rPr>
            <w:noProof/>
            <w:webHidden/>
          </w:rPr>
          <w:fldChar w:fldCharType="begin"/>
        </w:r>
        <w:r>
          <w:rPr>
            <w:noProof/>
            <w:webHidden/>
          </w:rPr>
          <w:instrText xml:space="preserve"> PAGEREF _Toc347231117 \h </w:instrText>
        </w:r>
        <w:r>
          <w:rPr>
            <w:noProof/>
            <w:webHidden/>
          </w:rPr>
        </w:r>
        <w:r>
          <w:rPr>
            <w:noProof/>
            <w:webHidden/>
          </w:rPr>
          <w:fldChar w:fldCharType="separate"/>
        </w:r>
        <w:r w:rsidR="00A866C3">
          <w:rPr>
            <w:noProof/>
            <w:webHidden/>
          </w:rPr>
          <w:t>39</w:t>
        </w:r>
        <w:r>
          <w:rPr>
            <w:noProof/>
            <w:webHidden/>
          </w:rPr>
          <w:fldChar w:fldCharType="end"/>
        </w:r>
      </w:hyperlink>
    </w:p>
    <w:p w:rsidR="0098014D" w:rsidRDefault="0098014D">
      <w:pPr>
        <w:pStyle w:val="TOC2"/>
        <w:tabs>
          <w:tab w:val="left" w:pos="2448"/>
        </w:tabs>
        <w:rPr>
          <w:rFonts w:ascii="Calibri" w:eastAsia="Times New Roman" w:hAnsi="Calibri"/>
          <w:b w:val="0"/>
          <w:noProof/>
          <w:sz w:val="22"/>
          <w:lang w:eastAsia="en-AU"/>
        </w:rPr>
      </w:pPr>
      <w:hyperlink w:anchor="_Toc347231118" w:history="1">
        <w:r w:rsidRPr="00347EAE">
          <w:rPr>
            <w:rStyle w:val="Hyperlink"/>
            <w:noProof/>
          </w:rPr>
          <w:t>Attachment 1.</w:t>
        </w:r>
        <w:r>
          <w:rPr>
            <w:rFonts w:ascii="Calibri" w:eastAsia="Times New Roman" w:hAnsi="Calibri"/>
            <w:b w:val="0"/>
            <w:noProof/>
            <w:sz w:val="22"/>
            <w:lang w:eastAsia="en-AU"/>
          </w:rPr>
          <w:tab/>
        </w:r>
        <w:r w:rsidRPr="00347EAE">
          <w:rPr>
            <w:rStyle w:val="Hyperlink"/>
            <w:noProof/>
          </w:rPr>
          <w:t>Product Information</w:t>
        </w:r>
        <w:r>
          <w:rPr>
            <w:noProof/>
            <w:webHidden/>
          </w:rPr>
          <w:tab/>
        </w:r>
        <w:r>
          <w:rPr>
            <w:noProof/>
            <w:webHidden/>
          </w:rPr>
          <w:fldChar w:fldCharType="begin"/>
        </w:r>
        <w:r>
          <w:rPr>
            <w:noProof/>
            <w:webHidden/>
          </w:rPr>
          <w:instrText xml:space="preserve"> PAGEREF _Toc347231118 \h </w:instrText>
        </w:r>
        <w:r>
          <w:rPr>
            <w:noProof/>
            <w:webHidden/>
          </w:rPr>
        </w:r>
        <w:r>
          <w:rPr>
            <w:noProof/>
            <w:webHidden/>
          </w:rPr>
          <w:fldChar w:fldCharType="separate"/>
        </w:r>
        <w:r w:rsidR="00A866C3">
          <w:rPr>
            <w:noProof/>
            <w:webHidden/>
          </w:rPr>
          <w:t>39</w:t>
        </w:r>
        <w:r>
          <w:rPr>
            <w:noProof/>
            <w:webHidden/>
          </w:rPr>
          <w:fldChar w:fldCharType="end"/>
        </w:r>
      </w:hyperlink>
    </w:p>
    <w:p w:rsidR="003A7F6C" w:rsidRPr="00B811C6" w:rsidRDefault="003D1AE5" w:rsidP="00B811C6">
      <w:pPr>
        <w:pStyle w:val="TOC2"/>
      </w:pPr>
      <w:r>
        <w:fldChar w:fldCharType="end"/>
      </w:r>
      <w:bookmarkStart w:id="2" w:name="_Toc314842482"/>
    </w:p>
    <w:p w:rsidR="008E7846" w:rsidRDefault="00655F6A" w:rsidP="008E7846">
      <w:pPr>
        <w:pStyle w:val="Heading2"/>
      </w:pPr>
      <w:r>
        <w:br w:type="page"/>
      </w:r>
      <w:bookmarkStart w:id="3" w:name="_Toc347231093"/>
      <w:r w:rsidR="00F53C07">
        <w:lastRenderedPageBreak/>
        <w:t>I.</w:t>
      </w:r>
      <w:r w:rsidR="008E7846">
        <w:t xml:space="preserve"> Introduction to product submission</w:t>
      </w:r>
      <w:bookmarkEnd w:id="1"/>
      <w:bookmarkEnd w:id="2"/>
      <w:bookmarkEnd w:id="3"/>
    </w:p>
    <w:p w:rsidR="008E7846" w:rsidRDefault="008E7846" w:rsidP="008E7846">
      <w:pPr>
        <w:pStyle w:val="Heading3"/>
        <w:rPr>
          <w:lang w:eastAsia="en-AU"/>
        </w:rPr>
      </w:pPr>
      <w:bookmarkStart w:id="4" w:name="_Toc247691502"/>
      <w:bookmarkStart w:id="5" w:name="_Toc314842483"/>
      <w:bookmarkStart w:id="6" w:name="_Toc347231094"/>
      <w:r>
        <w:rPr>
          <w:lang w:eastAsia="en-AU"/>
        </w:rPr>
        <w:t>Submission details</w:t>
      </w:r>
      <w:bookmarkEnd w:id="4"/>
      <w:bookmarkEnd w:id="5"/>
      <w:bookmarkEnd w:id="6"/>
    </w:p>
    <w:tbl>
      <w:tblPr>
        <w:tblW w:w="9497" w:type="dxa"/>
        <w:tblInd w:w="108" w:type="dxa"/>
        <w:tblLook w:val="01E0"/>
      </w:tblPr>
      <w:tblGrid>
        <w:gridCol w:w="2907"/>
        <w:gridCol w:w="6590"/>
      </w:tblGrid>
      <w:tr w:rsidR="008E7846" w:rsidRPr="003D1E62" w:rsidTr="0089635C">
        <w:trPr>
          <w:trHeight w:hRule="exact" w:val="454"/>
        </w:trPr>
        <w:tc>
          <w:tcPr>
            <w:tcW w:w="2907" w:type="dxa"/>
          </w:tcPr>
          <w:p w:rsidR="008E7846" w:rsidRPr="003D1E62" w:rsidRDefault="008E7846" w:rsidP="003D1E62">
            <w:pPr>
              <w:rPr>
                <w:i/>
              </w:rPr>
            </w:pPr>
            <w:r w:rsidRPr="003D1E62">
              <w:rPr>
                <w:i/>
              </w:rPr>
              <w:t>Type of Submission</w:t>
            </w:r>
          </w:p>
        </w:tc>
        <w:tc>
          <w:tcPr>
            <w:tcW w:w="6590" w:type="dxa"/>
          </w:tcPr>
          <w:p w:rsidR="008E7846" w:rsidRPr="003D1E62" w:rsidRDefault="0042271B" w:rsidP="0084615B">
            <w:r>
              <w:t xml:space="preserve">Major variation: </w:t>
            </w:r>
            <w:r w:rsidR="008E7846" w:rsidRPr="003D1E62">
              <w:t xml:space="preserve">New </w:t>
            </w:r>
            <w:r w:rsidR="0084615B">
              <w:t>mode of administration</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84615B">
            <w:r w:rsidRPr="003D1E62">
              <w:t>Approved</w:t>
            </w:r>
          </w:p>
        </w:tc>
      </w:tr>
      <w:tr w:rsidR="008E7846" w:rsidRPr="003D1E62" w:rsidTr="0089635C">
        <w:trPr>
          <w:trHeight w:hRule="exact" w:val="454"/>
        </w:trPr>
        <w:tc>
          <w:tcPr>
            <w:tcW w:w="2907" w:type="dxa"/>
          </w:tcPr>
          <w:p w:rsidR="008E7846" w:rsidRPr="003D1E62" w:rsidRDefault="008E7846" w:rsidP="003D1E62">
            <w:pPr>
              <w:rPr>
                <w:i/>
              </w:rPr>
            </w:pPr>
            <w:r w:rsidRPr="003D1E62">
              <w:rPr>
                <w:i/>
              </w:rPr>
              <w:t>Date of Decision:</w:t>
            </w:r>
          </w:p>
        </w:tc>
        <w:tc>
          <w:tcPr>
            <w:tcW w:w="6590" w:type="dxa"/>
          </w:tcPr>
          <w:p w:rsidR="008E7846" w:rsidRPr="003D1E62" w:rsidRDefault="0084615B" w:rsidP="003D1E62">
            <w:r>
              <w:t>8 May 2012</w:t>
            </w:r>
          </w:p>
        </w:tc>
      </w:tr>
    </w:tbl>
    <w:p w:rsidR="008E7846" w:rsidRDefault="008E7846" w:rsidP="008E7846"/>
    <w:tbl>
      <w:tblPr>
        <w:tblW w:w="8222" w:type="dxa"/>
        <w:tblInd w:w="108" w:type="dxa"/>
        <w:tblLook w:val="01E0"/>
      </w:tblPr>
      <w:tblGrid>
        <w:gridCol w:w="2907"/>
        <w:gridCol w:w="5315"/>
      </w:tblGrid>
      <w:tr w:rsidR="008E7846" w:rsidRPr="00487162" w:rsidTr="007D49AE">
        <w:tc>
          <w:tcPr>
            <w:tcW w:w="2907" w:type="dxa"/>
          </w:tcPr>
          <w:p w:rsidR="008E7846" w:rsidRPr="00487162" w:rsidRDefault="008E7846" w:rsidP="00E45619">
            <w:pPr>
              <w:rPr>
                <w:i/>
              </w:rPr>
            </w:pPr>
            <w:r w:rsidRPr="00487162">
              <w:rPr>
                <w:i/>
              </w:rPr>
              <w:t xml:space="preserve">Active ingredient(s): </w:t>
            </w:r>
          </w:p>
        </w:tc>
        <w:tc>
          <w:tcPr>
            <w:tcW w:w="5315" w:type="dxa"/>
          </w:tcPr>
          <w:p w:rsidR="008E7846" w:rsidRPr="00487162" w:rsidRDefault="0011598D" w:rsidP="003A6156">
            <w:r w:rsidRPr="0011598D">
              <w:t>Remifentanil</w:t>
            </w:r>
            <w:r w:rsidR="003A6156" w:rsidRPr="003A6156">
              <w:t xml:space="preserve"> (as hydrochloride)</w:t>
            </w:r>
          </w:p>
        </w:tc>
      </w:tr>
      <w:tr w:rsidR="008E7846" w:rsidRPr="00487162" w:rsidTr="007D49AE">
        <w:tc>
          <w:tcPr>
            <w:tcW w:w="2907" w:type="dxa"/>
          </w:tcPr>
          <w:p w:rsidR="008E7846" w:rsidRPr="00487162" w:rsidRDefault="008E7846" w:rsidP="00E45619">
            <w:pPr>
              <w:rPr>
                <w:i/>
              </w:rPr>
            </w:pPr>
            <w:r w:rsidRPr="00487162">
              <w:rPr>
                <w:i/>
              </w:rPr>
              <w:t xml:space="preserve">Product Name(s): </w:t>
            </w:r>
          </w:p>
        </w:tc>
        <w:tc>
          <w:tcPr>
            <w:tcW w:w="5315" w:type="dxa"/>
          </w:tcPr>
          <w:p w:rsidR="008E7846" w:rsidRPr="00487162" w:rsidRDefault="0011598D" w:rsidP="0011598D">
            <w:r>
              <w:t>Ultiv</w:t>
            </w:r>
            <w:r w:rsidR="00FD1504">
              <w:t>a</w:t>
            </w:r>
          </w:p>
        </w:tc>
      </w:tr>
      <w:tr w:rsidR="008E7846" w:rsidRPr="00487162" w:rsidTr="007D49AE">
        <w:tc>
          <w:tcPr>
            <w:tcW w:w="2907" w:type="dxa"/>
          </w:tcPr>
          <w:p w:rsidR="008E7846" w:rsidRPr="00487162" w:rsidRDefault="008E7846" w:rsidP="00E45619">
            <w:pPr>
              <w:rPr>
                <w:i/>
              </w:rPr>
            </w:pPr>
            <w:r w:rsidRPr="00487162">
              <w:rPr>
                <w:i/>
              </w:rPr>
              <w:t>Sponsor’s Name and Address:</w:t>
            </w:r>
          </w:p>
        </w:tc>
        <w:tc>
          <w:tcPr>
            <w:tcW w:w="5315" w:type="dxa"/>
          </w:tcPr>
          <w:p w:rsidR="0084615B" w:rsidRDefault="0084615B" w:rsidP="0084615B">
            <w:r>
              <w:t>GlaxoSmithKline Australia Pty Ltd</w:t>
            </w:r>
          </w:p>
          <w:p w:rsidR="0084615B" w:rsidRDefault="0084615B" w:rsidP="0084615B">
            <w:r>
              <w:t>PO Box 18095</w:t>
            </w:r>
          </w:p>
          <w:p w:rsidR="008E7846" w:rsidRPr="00487162" w:rsidRDefault="0084615B" w:rsidP="0084615B">
            <w:r>
              <w:t>Melbourne VIC 8003</w:t>
            </w:r>
          </w:p>
        </w:tc>
      </w:tr>
      <w:tr w:rsidR="008E7846" w:rsidRPr="00487162" w:rsidTr="007D49AE">
        <w:tc>
          <w:tcPr>
            <w:tcW w:w="2907" w:type="dxa"/>
          </w:tcPr>
          <w:p w:rsidR="008E7846" w:rsidRPr="00487162" w:rsidRDefault="008E7846" w:rsidP="00E45619">
            <w:pPr>
              <w:rPr>
                <w:i/>
              </w:rPr>
            </w:pPr>
            <w:r w:rsidRPr="00487162">
              <w:rPr>
                <w:i/>
              </w:rPr>
              <w:t xml:space="preserve">Dose form(s): </w:t>
            </w:r>
          </w:p>
        </w:tc>
        <w:tc>
          <w:tcPr>
            <w:tcW w:w="5315" w:type="dxa"/>
          </w:tcPr>
          <w:p w:rsidR="008E7846" w:rsidRPr="00487162" w:rsidRDefault="00EA7435" w:rsidP="00E45619">
            <w:r>
              <w:t>P</w:t>
            </w:r>
            <w:r w:rsidR="007D49AE">
              <w:t>owder for i</w:t>
            </w:r>
            <w:r w:rsidR="007D49AE" w:rsidRPr="007D49AE">
              <w:t xml:space="preserve">njection for intravenous </w:t>
            </w:r>
            <w:r w:rsidR="00752ED1">
              <w:t xml:space="preserve">(IV) </w:t>
            </w:r>
            <w:r w:rsidR="007D49AE" w:rsidRPr="007D49AE">
              <w:t>use, remifentanil as the hydrochloride salt</w:t>
            </w:r>
          </w:p>
        </w:tc>
      </w:tr>
      <w:tr w:rsidR="008E7846" w:rsidRPr="00487162" w:rsidTr="007D49AE">
        <w:tc>
          <w:tcPr>
            <w:tcW w:w="2907" w:type="dxa"/>
          </w:tcPr>
          <w:p w:rsidR="008E7846" w:rsidRPr="00487162" w:rsidRDefault="008E7846" w:rsidP="00E45619">
            <w:pPr>
              <w:rPr>
                <w:i/>
              </w:rPr>
            </w:pPr>
            <w:r w:rsidRPr="00487162">
              <w:rPr>
                <w:i/>
              </w:rPr>
              <w:t xml:space="preserve">Strength(s): </w:t>
            </w:r>
          </w:p>
        </w:tc>
        <w:tc>
          <w:tcPr>
            <w:tcW w:w="5315" w:type="dxa"/>
          </w:tcPr>
          <w:p w:rsidR="007D49AE" w:rsidRDefault="007D49AE" w:rsidP="007D49AE">
            <w:r>
              <w:t>1 mg (remifentanil base equivalent) in 3 mL;</w:t>
            </w:r>
          </w:p>
          <w:p w:rsidR="007D49AE" w:rsidRDefault="007D49AE" w:rsidP="007D49AE">
            <w:r>
              <w:t>2 mg (remifentanil base equivalent) in 5 mL; and</w:t>
            </w:r>
          </w:p>
          <w:p w:rsidR="008E7846" w:rsidRPr="00487162" w:rsidRDefault="007D49AE" w:rsidP="007D49AE">
            <w:r>
              <w:t>5 mg (remifentanil base equivalent) in 10 mL</w:t>
            </w:r>
          </w:p>
        </w:tc>
      </w:tr>
      <w:tr w:rsidR="008E7846" w:rsidRPr="00487162" w:rsidTr="007D49AE">
        <w:tc>
          <w:tcPr>
            <w:tcW w:w="2907" w:type="dxa"/>
          </w:tcPr>
          <w:p w:rsidR="008E7846" w:rsidRPr="00487162" w:rsidRDefault="008E7846" w:rsidP="00E45619">
            <w:pPr>
              <w:rPr>
                <w:i/>
              </w:rPr>
            </w:pPr>
            <w:r w:rsidRPr="00487162">
              <w:rPr>
                <w:i/>
              </w:rPr>
              <w:t>Approved Therapeutic use:</w:t>
            </w:r>
          </w:p>
        </w:tc>
        <w:tc>
          <w:tcPr>
            <w:tcW w:w="5315" w:type="dxa"/>
          </w:tcPr>
          <w:p w:rsidR="008E7846" w:rsidRPr="00487162" w:rsidRDefault="00213FA2" w:rsidP="00E350C1">
            <w:pPr>
              <w:rPr>
                <w:rFonts w:eastAsia="MS Mincho"/>
                <w:lang w:eastAsia="ja-JP"/>
              </w:rPr>
            </w:pPr>
            <w:r>
              <w:t>Target</w:t>
            </w:r>
            <w:r w:rsidR="0011598D">
              <w:t xml:space="preserve"> </w:t>
            </w:r>
            <w:r w:rsidR="00E350C1">
              <w:t>C</w:t>
            </w:r>
            <w:r w:rsidR="0011598D">
              <w:t xml:space="preserve">ontrolled </w:t>
            </w:r>
            <w:r w:rsidR="00E350C1">
              <w:t>I</w:t>
            </w:r>
            <w:r w:rsidR="0011598D">
              <w:t xml:space="preserve">nfusion </w:t>
            </w:r>
            <w:r w:rsidR="00752ED1">
              <w:t xml:space="preserve">(TCI) </w:t>
            </w:r>
            <w:r w:rsidR="0011598D">
              <w:t>as a new mode of administration.</w:t>
            </w:r>
          </w:p>
        </w:tc>
      </w:tr>
      <w:tr w:rsidR="008E7846" w:rsidRPr="00487162" w:rsidTr="007D49AE">
        <w:tc>
          <w:tcPr>
            <w:tcW w:w="2907" w:type="dxa"/>
          </w:tcPr>
          <w:p w:rsidR="008E7846" w:rsidRPr="00487162" w:rsidRDefault="008E7846" w:rsidP="00E45619">
            <w:pPr>
              <w:rPr>
                <w:i/>
              </w:rPr>
            </w:pPr>
            <w:r w:rsidRPr="00487162">
              <w:rPr>
                <w:i/>
              </w:rPr>
              <w:t>Route(s) of administration:</w:t>
            </w:r>
          </w:p>
        </w:tc>
        <w:tc>
          <w:tcPr>
            <w:tcW w:w="5315" w:type="dxa"/>
          </w:tcPr>
          <w:p w:rsidR="008E7846" w:rsidRPr="00487162" w:rsidRDefault="007D49AE" w:rsidP="00E45619">
            <w:r>
              <w:t>Intravenous</w:t>
            </w:r>
          </w:p>
        </w:tc>
      </w:tr>
      <w:tr w:rsidR="008E7846" w:rsidRPr="00487162" w:rsidTr="007D49AE">
        <w:tc>
          <w:tcPr>
            <w:tcW w:w="2907" w:type="dxa"/>
          </w:tcPr>
          <w:p w:rsidR="008E7846" w:rsidRPr="00487162" w:rsidRDefault="008E7846" w:rsidP="00E45619">
            <w:pPr>
              <w:rPr>
                <w:i/>
              </w:rPr>
            </w:pPr>
            <w:r w:rsidRPr="00487162">
              <w:rPr>
                <w:i/>
              </w:rPr>
              <w:t>Dosage:</w:t>
            </w:r>
          </w:p>
        </w:tc>
        <w:tc>
          <w:tcPr>
            <w:tcW w:w="5315" w:type="dxa"/>
          </w:tcPr>
          <w:p w:rsidR="008E7846" w:rsidRPr="00487162" w:rsidRDefault="00752ED1" w:rsidP="00606740">
            <w:r w:rsidRPr="00752ED1">
              <w:t>For TCI in adults</w:t>
            </w:r>
            <w:r>
              <w:t>,</w:t>
            </w:r>
            <w:r w:rsidRPr="00752ED1">
              <w:t xml:space="preserve"> the recommended dilution</w:t>
            </w:r>
            <w:r>
              <w:t xml:space="preserve"> of U</w:t>
            </w:r>
            <w:r w:rsidR="00606740">
              <w:t>ltiva</w:t>
            </w:r>
            <w:r>
              <w:t xml:space="preserve"> is 20 to 50 µg/mL. </w:t>
            </w:r>
            <w:r w:rsidRPr="00752ED1">
              <w:t>Doses are presented as target blood concentrations of remifentanil</w:t>
            </w:r>
            <w:r>
              <w:t>.</w:t>
            </w:r>
          </w:p>
        </w:tc>
      </w:tr>
      <w:tr w:rsidR="008E7846" w:rsidRPr="00487162" w:rsidTr="007D49AE">
        <w:tc>
          <w:tcPr>
            <w:tcW w:w="2907" w:type="dxa"/>
          </w:tcPr>
          <w:p w:rsidR="008E7846" w:rsidRPr="00487162" w:rsidRDefault="008E7846" w:rsidP="00E45619">
            <w:pPr>
              <w:rPr>
                <w:i/>
              </w:rPr>
            </w:pPr>
            <w:r w:rsidRPr="00487162">
              <w:rPr>
                <w:i/>
              </w:rPr>
              <w:t>ARTG Number (s)</w:t>
            </w:r>
          </w:p>
        </w:tc>
        <w:tc>
          <w:tcPr>
            <w:tcW w:w="5315" w:type="dxa"/>
          </w:tcPr>
          <w:p w:rsidR="008E7846" w:rsidRPr="00487162" w:rsidRDefault="001833A7" w:rsidP="00E45619">
            <w:r>
              <w:t>58688</w:t>
            </w:r>
            <w:r w:rsidR="00BE0862">
              <w:t xml:space="preserve"> (1 mg)</w:t>
            </w:r>
            <w:r>
              <w:t>, 58689</w:t>
            </w:r>
            <w:r w:rsidR="00BE0862">
              <w:t xml:space="preserve"> (2 mg)</w:t>
            </w:r>
            <w:r>
              <w:t>, 58690</w:t>
            </w:r>
            <w:r w:rsidR="00BE0862">
              <w:t xml:space="preserve"> (5 mg)</w:t>
            </w:r>
          </w:p>
        </w:tc>
      </w:tr>
    </w:tbl>
    <w:p w:rsidR="008E7846" w:rsidRDefault="008E7846" w:rsidP="008E7846">
      <w:pPr>
        <w:pStyle w:val="Heading3"/>
      </w:pPr>
      <w:bookmarkStart w:id="7" w:name="_Toc247691503"/>
      <w:bookmarkStart w:id="8" w:name="_Toc314842484"/>
      <w:bookmarkStart w:id="9" w:name="_Toc347231095"/>
      <w:r>
        <w:t>Product background</w:t>
      </w:r>
      <w:bookmarkEnd w:id="7"/>
      <w:bookmarkEnd w:id="8"/>
      <w:bookmarkEnd w:id="9"/>
    </w:p>
    <w:p w:rsidR="001A4440" w:rsidRDefault="007A486D" w:rsidP="008E7846">
      <w:r>
        <w:t>This AusPAR describes an application by the sponsor, GlaxoSmit</w:t>
      </w:r>
      <w:r w:rsidR="001167B1">
        <w:t xml:space="preserve">hKline Australia Pty Ltd, to alter the </w:t>
      </w:r>
      <w:r w:rsidR="001167B1" w:rsidRPr="00A720D3">
        <w:rPr>
          <w:i/>
        </w:rPr>
        <w:t>Dosage and Administration</w:t>
      </w:r>
      <w:r w:rsidR="001167B1">
        <w:t xml:space="preserve"> section of the Product Information </w:t>
      </w:r>
      <w:r w:rsidR="00A03203">
        <w:t xml:space="preserve">(PI) </w:t>
      </w:r>
      <w:r w:rsidR="005B6651">
        <w:t xml:space="preserve">for </w:t>
      </w:r>
      <w:r w:rsidR="00A82518">
        <w:t>remifentanil (</w:t>
      </w:r>
      <w:r w:rsidR="005B6651">
        <w:t>Ultiva</w:t>
      </w:r>
      <w:r w:rsidR="00A82518">
        <w:t>)</w:t>
      </w:r>
      <w:r w:rsidR="009A648B">
        <w:t>. Ultiva is normally administered by IV infusion</w:t>
      </w:r>
      <w:r w:rsidR="009A648B" w:rsidRPr="009A648B">
        <w:t xml:space="preserve"> </w:t>
      </w:r>
      <w:r w:rsidR="009A648B" w:rsidRPr="0038732D">
        <w:t xml:space="preserve">for </w:t>
      </w:r>
      <w:r w:rsidR="009A648B">
        <w:t xml:space="preserve">the </w:t>
      </w:r>
      <w:r w:rsidR="009A648B" w:rsidRPr="0038732D">
        <w:t>induction and maintenance of general anaesthesia during surgical procedures</w:t>
      </w:r>
      <w:r w:rsidR="009A648B">
        <w:t xml:space="preserve"> in adults. The current application relates to </w:t>
      </w:r>
      <w:r w:rsidR="005B6651" w:rsidRPr="005B6651">
        <w:t>a new mode of administration</w:t>
      </w:r>
      <w:r w:rsidR="009A648B">
        <w:t xml:space="preserve"> of Ultiva</w:t>
      </w:r>
      <w:r w:rsidR="005B6651" w:rsidRPr="005B6651">
        <w:t xml:space="preserve">: </w:t>
      </w:r>
      <w:r w:rsidR="005B6651">
        <w:t xml:space="preserve">administration by </w:t>
      </w:r>
      <w:r w:rsidR="00E350C1">
        <w:t>T</w:t>
      </w:r>
      <w:r w:rsidR="005B6651">
        <w:t xml:space="preserve">arget </w:t>
      </w:r>
      <w:r w:rsidR="00E350C1">
        <w:t>C</w:t>
      </w:r>
      <w:r w:rsidR="005B6651" w:rsidRPr="005B6651">
        <w:t xml:space="preserve">ontrolled </w:t>
      </w:r>
      <w:r w:rsidR="00E350C1">
        <w:t>I</w:t>
      </w:r>
      <w:r w:rsidR="005B6651" w:rsidRPr="005B6651">
        <w:t>nfusion (TCI).</w:t>
      </w:r>
      <w:r w:rsidR="004A3F2A">
        <w:t xml:space="preserve"> TCI is an alternative </w:t>
      </w:r>
      <w:r w:rsidR="0038732D" w:rsidRPr="0038732D">
        <w:t xml:space="preserve">method of </w:t>
      </w:r>
      <w:r w:rsidR="0038732D">
        <w:t>IV infusion</w:t>
      </w:r>
      <w:r w:rsidR="0038732D" w:rsidRPr="0038732D">
        <w:t xml:space="preserve"> </w:t>
      </w:r>
      <w:r w:rsidR="009A648B">
        <w:t>to the current method of M</w:t>
      </w:r>
      <w:r w:rsidR="009A648B" w:rsidRPr="0038732D">
        <w:t xml:space="preserve">anually </w:t>
      </w:r>
      <w:r w:rsidR="009A648B">
        <w:t>C</w:t>
      </w:r>
      <w:r w:rsidR="009A648B" w:rsidRPr="0038732D">
        <w:t xml:space="preserve">ontrolled </w:t>
      </w:r>
      <w:r w:rsidR="009A648B">
        <w:t>I</w:t>
      </w:r>
      <w:r w:rsidR="009A648B" w:rsidRPr="0038732D">
        <w:t xml:space="preserve">nfusion </w:t>
      </w:r>
      <w:r w:rsidR="009A648B">
        <w:t xml:space="preserve">(MCI). </w:t>
      </w:r>
      <w:r w:rsidR="001A4440">
        <w:t>Infusion devices can be by:</w:t>
      </w:r>
    </w:p>
    <w:p w:rsidR="001A4440" w:rsidRDefault="001A4440" w:rsidP="004F27D1">
      <w:pPr>
        <w:numPr>
          <w:ilvl w:val="0"/>
          <w:numId w:val="11"/>
        </w:numPr>
      </w:pPr>
      <w:r>
        <w:t>MCI, where the anaesthetist makes each change to the infusion rate</w:t>
      </w:r>
      <w:r w:rsidR="00890A91">
        <w:t>;</w:t>
      </w:r>
      <w:r>
        <w:t xml:space="preserve"> or</w:t>
      </w:r>
    </w:p>
    <w:p w:rsidR="001A4440" w:rsidRDefault="001A4440" w:rsidP="004F27D1">
      <w:pPr>
        <w:numPr>
          <w:ilvl w:val="0"/>
          <w:numId w:val="11"/>
        </w:numPr>
      </w:pPr>
      <w:r>
        <w:t>TCI, where the anaesthetis</w:t>
      </w:r>
      <w:r w:rsidR="00890A91">
        <w:t xml:space="preserve">t sets a target blood or effect </w:t>
      </w:r>
      <w:r>
        <w:t>site concentration and the computerised infusion device makes the necessary changes to the infusion rate.</w:t>
      </w:r>
    </w:p>
    <w:p w:rsidR="001612F2" w:rsidRDefault="00463632" w:rsidP="008E7846">
      <w:r>
        <w:lastRenderedPageBreak/>
        <w:t>There is no change proposed to the approved indications of Ultiva:</w:t>
      </w:r>
    </w:p>
    <w:p w:rsidR="00672942" w:rsidRPr="00672942" w:rsidRDefault="00672942" w:rsidP="00672942">
      <w:pPr>
        <w:ind w:left="720"/>
        <w:rPr>
          <w:i/>
        </w:rPr>
      </w:pPr>
      <w:r w:rsidRPr="00672942">
        <w:rPr>
          <w:i/>
        </w:rPr>
        <w:t>Ultiva</w:t>
      </w:r>
      <w:r w:rsidR="009A648B">
        <w:rPr>
          <w:i/>
        </w:rPr>
        <w:t xml:space="preserve"> for i</w:t>
      </w:r>
      <w:r w:rsidRPr="00672942">
        <w:rPr>
          <w:i/>
        </w:rPr>
        <w:t xml:space="preserve">njection is indicated – </w:t>
      </w:r>
    </w:p>
    <w:p w:rsidR="00672942" w:rsidRPr="00672942" w:rsidRDefault="00672942" w:rsidP="004F27D1">
      <w:pPr>
        <w:numPr>
          <w:ilvl w:val="0"/>
          <w:numId w:val="10"/>
        </w:numPr>
        <w:rPr>
          <w:i/>
        </w:rPr>
      </w:pPr>
      <w:r w:rsidRPr="00672942">
        <w:rPr>
          <w:i/>
        </w:rPr>
        <w:t xml:space="preserve">as an opioid adjunct for use during induction and/or maintenance of general anaesthesia during surgical procedures including cardiac surgery in adults. </w:t>
      </w:r>
    </w:p>
    <w:p w:rsidR="00672942" w:rsidRPr="00672942" w:rsidRDefault="00672942" w:rsidP="004F27D1">
      <w:pPr>
        <w:numPr>
          <w:ilvl w:val="0"/>
          <w:numId w:val="10"/>
        </w:numPr>
        <w:rPr>
          <w:i/>
        </w:rPr>
      </w:pPr>
      <w:r w:rsidRPr="00672942">
        <w:rPr>
          <w:i/>
        </w:rPr>
        <w:t xml:space="preserve">as an opioid adjunct for use during induction and/or maintenance of general anaesthesia during surgical but not cardiac procedures in children aged 1 to 12 years. </w:t>
      </w:r>
    </w:p>
    <w:p w:rsidR="00672942" w:rsidRPr="00672942" w:rsidRDefault="00672942" w:rsidP="004F27D1">
      <w:pPr>
        <w:numPr>
          <w:ilvl w:val="0"/>
          <w:numId w:val="10"/>
        </w:numPr>
        <w:rPr>
          <w:i/>
        </w:rPr>
      </w:pPr>
      <w:r w:rsidRPr="00672942">
        <w:rPr>
          <w:i/>
        </w:rPr>
        <w:t>for continuation as an an</w:t>
      </w:r>
      <w:r w:rsidR="00420EAB">
        <w:rPr>
          <w:i/>
        </w:rPr>
        <w:t>algesic into the immediate post</w:t>
      </w:r>
      <w:r w:rsidR="00217CB0">
        <w:rPr>
          <w:i/>
        </w:rPr>
        <w:t>-</w:t>
      </w:r>
      <w:r w:rsidRPr="00672942">
        <w:rPr>
          <w:i/>
        </w:rPr>
        <w:t xml:space="preserve">operative period under the close supervision of medically qualified persons trained in the use of anaesthetic drugs, during transition to longer acting analgesia following adult cardiac surgery – when endotracheal intubation and controlled ventilation are anticipated. </w:t>
      </w:r>
    </w:p>
    <w:p w:rsidR="00463632" w:rsidRDefault="00672942" w:rsidP="004F27D1">
      <w:pPr>
        <w:numPr>
          <w:ilvl w:val="0"/>
          <w:numId w:val="10"/>
        </w:numPr>
      </w:pPr>
      <w:r w:rsidRPr="00672942">
        <w:rPr>
          <w:i/>
        </w:rPr>
        <w:t>for provision of analgesia and sedation in mechanically ventilated intensive care patients.</w:t>
      </w:r>
    </w:p>
    <w:p w:rsidR="00F43DAC" w:rsidRDefault="00F43DAC" w:rsidP="00F43DAC">
      <w:r>
        <w:t>Remifentanil is a potent, select</w:t>
      </w:r>
      <w:r w:rsidR="00A82518">
        <w:t>ive, 4-anilidopiperidine µ</w:t>
      </w:r>
      <w:r>
        <w:t>-opioid agonist with pharmacological action typical of this class of compound. It is distinguished from other 4-anilidopiperidines (fentanyl analogues) by its rapid onset and very</w:t>
      </w:r>
      <w:r w:rsidR="00A82518">
        <w:t xml:space="preserve"> short duration of action. The µ</w:t>
      </w:r>
      <w:r>
        <w:t>-opioid activity of remifentanil is antagonised by naloxone. Remifenta</w:t>
      </w:r>
      <w:r w:rsidR="00A82518">
        <w:t>nil in humans has a rapid blood brain equilibration half time of 1 ± 1 minutes (mean ± standard deviation</w:t>
      </w:r>
      <w:r>
        <w:t>) and a rapid onset of action. It was first registered in 1998.</w:t>
      </w:r>
    </w:p>
    <w:p w:rsidR="00D818C7" w:rsidRDefault="00F43DAC" w:rsidP="00F43DAC">
      <w:r>
        <w:t>With thi</w:t>
      </w:r>
      <w:r w:rsidR="003050CC">
        <w:t xml:space="preserve">s submission, </w:t>
      </w:r>
      <w:r>
        <w:t>the sponsor seeks to provide specific details on dose regimens for use of remifentanil in TCI administered via an approved infusion device incorporating the Minto pharmacokinetic model</w:t>
      </w:r>
      <w:r w:rsidR="003050CC">
        <w:rPr>
          <w:rStyle w:val="FootnoteReference"/>
        </w:rPr>
        <w:footnoteReference w:id="1"/>
      </w:r>
      <w:r>
        <w:t xml:space="preserve"> with covariates for age and lean body mass.</w:t>
      </w:r>
    </w:p>
    <w:p w:rsidR="009A77A9" w:rsidRDefault="009A77A9" w:rsidP="00F43DAC">
      <w:r w:rsidRPr="009A77A9">
        <w:t>There are at least four TC</w:t>
      </w:r>
      <w:r w:rsidR="003345D2">
        <w:t xml:space="preserve">I pumps registered with the TGA, </w:t>
      </w:r>
      <w:r w:rsidRPr="009A77A9">
        <w:t>being used from at least 2005-2006</w:t>
      </w:r>
      <w:r>
        <w:t xml:space="preserve"> (Table 1).</w:t>
      </w:r>
    </w:p>
    <w:p w:rsidR="00080A4F" w:rsidRDefault="00080A4F" w:rsidP="00080A4F">
      <w:pPr>
        <w:pStyle w:val="FigureTitle"/>
        <w:rPr>
          <w:lang w:val="en-GB"/>
        </w:rPr>
      </w:pPr>
      <w:r>
        <w:t>Table</w:t>
      </w:r>
      <w:r w:rsidRPr="004C5C28">
        <w:t xml:space="preserve"> </w:t>
      </w:r>
      <w:r w:rsidR="000C13C7">
        <w:t>1</w:t>
      </w:r>
      <w:r>
        <w:t>:</w:t>
      </w:r>
      <w:r w:rsidRPr="004C5C28">
        <w:t xml:space="preserve"> </w:t>
      </w:r>
      <w:r w:rsidR="00D97EE1">
        <w:t>T</w:t>
      </w:r>
      <w:r w:rsidR="00D97EE1" w:rsidRPr="00D97EE1">
        <w:t>CI pumps registered with the TGA</w:t>
      </w:r>
      <w:r>
        <w:t>.</w:t>
      </w:r>
    </w:p>
    <w:p w:rsidR="00080A4F" w:rsidRDefault="004F5A3C" w:rsidP="008E7846">
      <w:r>
        <w:rPr>
          <w:noProof/>
          <w:lang w:eastAsia="en-AU"/>
        </w:rPr>
        <w:drawing>
          <wp:inline distT="0" distB="0" distL="0" distR="0">
            <wp:extent cx="5413375" cy="1272540"/>
            <wp:effectExtent l="19050" t="0" r="0" b="0"/>
            <wp:docPr id="14" name="Picture 1" descr="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pic:cNvPicPr>
                      <a:picLocks noChangeAspect="1" noChangeArrowheads="1"/>
                    </pic:cNvPicPr>
                  </pic:nvPicPr>
                  <pic:blipFill>
                    <a:blip r:embed="rId14" cstate="print"/>
                    <a:srcRect/>
                    <a:stretch>
                      <a:fillRect/>
                    </a:stretch>
                  </pic:blipFill>
                  <pic:spPr bwMode="auto">
                    <a:xfrm>
                      <a:off x="0" y="0"/>
                      <a:ext cx="5413375" cy="1272540"/>
                    </a:xfrm>
                    <a:prstGeom prst="rect">
                      <a:avLst/>
                    </a:prstGeom>
                    <a:noFill/>
                    <a:ln w="9525">
                      <a:noFill/>
                      <a:miter lim="800000"/>
                      <a:headEnd/>
                      <a:tailEnd/>
                    </a:ln>
                  </pic:spPr>
                </pic:pic>
              </a:graphicData>
            </a:graphic>
          </wp:inline>
        </w:drawing>
      </w:r>
    </w:p>
    <w:p w:rsidR="003345D2" w:rsidRDefault="003345D2" w:rsidP="003345D2">
      <w:bookmarkStart w:id="10" w:name="_Toc314842485"/>
      <w:bookmarkStart w:id="11" w:name="_Toc247691504"/>
      <w:r>
        <w:t>No change to the existing use of remifentanil in anaesthesia is proposed. The infusion rates delivered by remifentanil TCI systems fall within those recommended in the cur</w:t>
      </w:r>
      <w:r w:rsidR="00A720D3">
        <w:t xml:space="preserve">rent </w:t>
      </w:r>
      <w:r w:rsidR="00A720D3" w:rsidRPr="00A720D3">
        <w:rPr>
          <w:i/>
        </w:rPr>
        <w:t>Dosage and Administration</w:t>
      </w:r>
      <w:r>
        <w:t xml:space="preserve"> section of the PI. The additional</w:t>
      </w:r>
      <w:r w:rsidR="00FD5991">
        <w:t xml:space="preserve"> </w:t>
      </w:r>
      <w:r>
        <w:t>guidance for TCI</w:t>
      </w:r>
      <w:r w:rsidR="00A720D3">
        <w:t xml:space="preserve"> proposed for inclusion in the </w:t>
      </w:r>
      <w:r w:rsidR="00A720D3" w:rsidRPr="00A720D3">
        <w:rPr>
          <w:i/>
        </w:rPr>
        <w:t>Dosage and Administration</w:t>
      </w:r>
      <w:r>
        <w:t xml:space="preserve"> section of the PI is intended to translate information on infusion rates (in µ/kg/min) into equivalent target blood concentration (in ng/mL) settings. An additional statement i</w:t>
      </w:r>
      <w:r w:rsidR="00A720D3">
        <w:t xml:space="preserve">n the </w:t>
      </w:r>
      <w:r w:rsidR="00A720D3" w:rsidRPr="00A720D3">
        <w:rPr>
          <w:i/>
        </w:rPr>
        <w:t>Precautions</w:t>
      </w:r>
      <w:r>
        <w:t xml:space="preserve"> section of the PI that Ultiva is not recommended for use as the sole agent in general anaesthesia is also proposed.</w:t>
      </w:r>
      <w:r w:rsidR="00FD5991">
        <w:t xml:space="preserve"> </w:t>
      </w:r>
      <w:r>
        <w:t xml:space="preserve"> </w:t>
      </w:r>
    </w:p>
    <w:p w:rsidR="003345D2" w:rsidRDefault="003345D2" w:rsidP="003345D2">
      <w:r>
        <w:t xml:space="preserve">Concerns with TCI systems that have previously been noted by the </w:t>
      </w:r>
      <w:r w:rsidR="00832C73" w:rsidRPr="00832C73">
        <w:t xml:space="preserve">Australian Drug Evaluation Committee </w:t>
      </w:r>
      <w:r w:rsidR="00832C73">
        <w:t>(</w:t>
      </w:r>
      <w:r>
        <w:t>ADEC</w:t>
      </w:r>
      <w:r w:rsidR="00832C73">
        <w:t xml:space="preserve">) (which has since been superseded by the </w:t>
      </w:r>
      <w:r w:rsidR="00832C73">
        <w:rPr>
          <w:bCs/>
        </w:rPr>
        <w:t>Advisory Commi</w:t>
      </w:r>
      <w:r w:rsidR="00CA7774">
        <w:rPr>
          <w:bCs/>
        </w:rPr>
        <w:t>ttee on Prescription Medicines [</w:t>
      </w:r>
      <w:r w:rsidR="00832C73" w:rsidRPr="001C5DFC">
        <w:rPr>
          <w:bCs/>
        </w:rPr>
        <w:t>AC</w:t>
      </w:r>
      <w:r w:rsidR="00CA7774">
        <w:rPr>
          <w:bCs/>
        </w:rPr>
        <w:t>PM]</w:t>
      </w:r>
      <w:r w:rsidR="00832C73">
        <w:rPr>
          <w:bCs/>
        </w:rPr>
        <w:t>)</w:t>
      </w:r>
      <w:r>
        <w:t xml:space="preserve"> are summarised below:</w:t>
      </w:r>
    </w:p>
    <w:p w:rsidR="003345D2" w:rsidRDefault="00EE0DC3" w:rsidP="004F27D1">
      <w:pPr>
        <w:numPr>
          <w:ilvl w:val="0"/>
          <w:numId w:val="12"/>
        </w:numPr>
      </w:pPr>
      <w:r>
        <w:lastRenderedPageBreak/>
        <w:t>K</w:t>
      </w:r>
      <w:r w:rsidR="003345D2">
        <w:t>nowing the appropriate target</w:t>
      </w:r>
      <w:r w:rsidR="00832C73">
        <w:t xml:space="preserve"> blood concentrations and intra and inter </w:t>
      </w:r>
      <w:r w:rsidR="003345D2">
        <w:t>patient variability;</w:t>
      </w:r>
    </w:p>
    <w:p w:rsidR="003345D2" w:rsidRDefault="00EE0DC3" w:rsidP="004F27D1">
      <w:pPr>
        <w:numPr>
          <w:ilvl w:val="0"/>
          <w:numId w:val="12"/>
        </w:numPr>
      </w:pPr>
      <w:r>
        <w:t>A</w:t>
      </w:r>
      <w:r w:rsidR="003345D2">
        <w:t>ccurate prediction of the target concentration by the computer software;</w:t>
      </w:r>
    </w:p>
    <w:p w:rsidR="003345D2" w:rsidRDefault="00EE0DC3" w:rsidP="004F27D1">
      <w:pPr>
        <w:numPr>
          <w:ilvl w:val="0"/>
          <w:numId w:val="12"/>
        </w:numPr>
      </w:pPr>
      <w:r>
        <w:t>S</w:t>
      </w:r>
      <w:r w:rsidR="003345D2">
        <w:t>tability of pharmacokinetics and pharmacodynamics in a particular patient throug</w:t>
      </w:r>
      <w:r w:rsidR="00832C73">
        <w:t xml:space="preserve">hout the operative period, for example, </w:t>
      </w:r>
      <w:r w:rsidR="003345D2">
        <w:t>influence of haemorrhage, haemodilution, altered renal and/or hepatic blood flow;</w:t>
      </w:r>
    </w:p>
    <w:p w:rsidR="003345D2" w:rsidRDefault="00EE0DC3" w:rsidP="004F27D1">
      <w:pPr>
        <w:numPr>
          <w:ilvl w:val="0"/>
          <w:numId w:val="12"/>
        </w:numPr>
      </w:pPr>
      <w:r>
        <w:t>A</w:t>
      </w:r>
      <w:r w:rsidR="003345D2">
        <w:t>bility to alter the</w:t>
      </w:r>
      <w:r w:rsidR="00832C73">
        <w:t xml:space="preserve"> speed of bolus administration. </w:t>
      </w:r>
      <w:r w:rsidR="003345D2">
        <w:t>Does the pump permit alterations to the</w:t>
      </w:r>
      <w:r w:rsidR="00832C73">
        <w:t xml:space="preserve"> speed of bolus administration?</w:t>
      </w:r>
      <w:r w:rsidR="003345D2">
        <w:t xml:space="preserve"> If not, there is a risk of rapid onset particularly in the eld</w:t>
      </w:r>
      <w:r w:rsidR="00832C73">
        <w:t>erly and compromised patients;</w:t>
      </w:r>
    </w:p>
    <w:p w:rsidR="003345D2" w:rsidRDefault="00EE0DC3" w:rsidP="004F27D1">
      <w:pPr>
        <w:numPr>
          <w:ilvl w:val="0"/>
          <w:numId w:val="12"/>
        </w:numPr>
      </w:pPr>
      <w:r>
        <w:t>U</w:t>
      </w:r>
      <w:r w:rsidR="003345D2">
        <w:t xml:space="preserve">ndue faith in accuracy and appropriateness of the target concentration; </w:t>
      </w:r>
    </w:p>
    <w:p w:rsidR="009A77A9" w:rsidRDefault="00EE0DC3" w:rsidP="004F27D1">
      <w:pPr>
        <w:numPr>
          <w:ilvl w:val="0"/>
          <w:numId w:val="12"/>
        </w:numPr>
      </w:pPr>
      <w:r>
        <w:t>T</w:t>
      </w:r>
      <w:r w:rsidR="00832C73">
        <w:t>echnical faults could occur. S</w:t>
      </w:r>
      <w:r w:rsidR="003345D2">
        <w:t>imi</w:t>
      </w:r>
      <w:r w:rsidR="00832C73">
        <w:t xml:space="preserve">larly, </w:t>
      </w:r>
      <w:r w:rsidR="003345D2">
        <w:t>if a pump broke, a second pump could not be attached in TCI mode, as the infusion history was not known by the second pump.</w:t>
      </w:r>
    </w:p>
    <w:p w:rsidR="003345D2" w:rsidRDefault="00CF3723" w:rsidP="003345D2">
      <w:r w:rsidRPr="00CF3723">
        <w:t>TCI is not recommended f</w:t>
      </w:r>
      <w:r>
        <w:t xml:space="preserve">or paediatric anaesthesia, post </w:t>
      </w:r>
      <w:r w:rsidRPr="00CF3723">
        <w:t>operative analgesia, or for sponta</w:t>
      </w:r>
      <w:r>
        <w:t>neous ventilation anaesthesia.</w:t>
      </w:r>
      <w:r w:rsidRPr="00CF3723">
        <w:t xml:space="preserve"> TCI is also not proposed for the provision of analgesia and sedation in mechanically ventilated intensive care patients</w:t>
      </w:r>
      <w:r>
        <w:t>.</w:t>
      </w:r>
    </w:p>
    <w:p w:rsidR="008E7846" w:rsidRPr="003F31A2" w:rsidRDefault="00386150" w:rsidP="008E7846">
      <w:pPr>
        <w:pStyle w:val="Heading3"/>
      </w:pPr>
      <w:bookmarkStart w:id="12" w:name="_Toc347231096"/>
      <w:r>
        <w:t>Regulatory s</w:t>
      </w:r>
      <w:r w:rsidR="008E7846">
        <w:t>tatus</w:t>
      </w:r>
      <w:bookmarkEnd w:id="10"/>
      <w:bookmarkEnd w:id="12"/>
      <w:r w:rsidR="008E7846">
        <w:t xml:space="preserve"> </w:t>
      </w:r>
      <w:bookmarkEnd w:id="11"/>
    </w:p>
    <w:p w:rsidR="00D25FCC" w:rsidRDefault="00832C73" w:rsidP="008E7846">
      <w:r w:rsidRPr="00832C73">
        <w:t xml:space="preserve">TCI of </w:t>
      </w:r>
      <w:r w:rsidR="00C0336D">
        <w:t>Ultiva (</w:t>
      </w:r>
      <w:r w:rsidRPr="00832C73">
        <w:t>remifentanil</w:t>
      </w:r>
      <w:r w:rsidR="00C0336D">
        <w:t>)</w:t>
      </w:r>
      <w:r w:rsidRPr="00832C73">
        <w:t xml:space="preserve"> using the Minto</w:t>
      </w:r>
      <w:r>
        <w:t xml:space="preserve"> model is approved in the European Union.</w:t>
      </w:r>
      <w:r w:rsidRPr="00832C73">
        <w:t xml:space="preserve"> Submission was made in the EU under the mutual </w:t>
      </w:r>
      <w:r>
        <w:t>recognition procedure in 2004.</w:t>
      </w:r>
    </w:p>
    <w:p w:rsidR="00832C73" w:rsidRDefault="00AD6A39" w:rsidP="008E7846">
      <w:r>
        <w:t xml:space="preserve">Table </w:t>
      </w:r>
      <w:r w:rsidR="00EE0EF0">
        <w:t>2</w:t>
      </w:r>
      <w:r>
        <w:t xml:space="preserve"> shows the international regulatory history of </w:t>
      </w:r>
      <w:r w:rsidR="00CA771A">
        <w:t>Ultiva TCI</w:t>
      </w:r>
      <w:r>
        <w:t>.</w:t>
      </w:r>
    </w:p>
    <w:p w:rsidR="00AD6A39" w:rsidRDefault="00D25FCC" w:rsidP="00AD6A39">
      <w:pPr>
        <w:pStyle w:val="FigureTitle"/>
        <w:rPr>
          <w:lang w:val="en-GB"/>
        </w:rPr>
      </w:pPr>
      <w:r>
        <w:br w:type="page"/>
      </w:r>
      <w:r w:rsidR="00AD6A39">
        <w:lastRenderedPageBreak/>
        <w:t>Table</w:t>
      </w:r>
      <w:r w:rsidR="00AD6A39" w:rsidRPr="004C5C28">
        <w:t xml:space="preserve"> </w:t>
      </w:r>
      <w:r w:rsidR="00EE0EF0">
        <w:t>2</w:t>
      </w:r>
      <w:r w:rsidR="00AD6A39">
        <w:t>:</w:t>
      </w:r>
      <w:r w:rsidR="00AD6A39" w:rsidRPr="004C5C28">
        <w:t xml:space="preserve"> Summary of international regulatory status of </w:t>
      </w:r>
      <w:r w:rsidR="00925371">
        <w:t>Ultiva TCI</w:t>
      </w:r>
      <w:r w:rsidR="00AD6A39">
        <w:t>.</w:t>
      </w:r>
    </w:p>
    <w:p w:rsidR="00AD6A39" w:rsidRDefault="004F5A3C" w:rsidP="00AD6A39">
      <w:pPr>
        <w:jc w:val="center"/>
      </w:pPr>
      <w:r>
        <w:rPr>
          <w:noProof/>
          <w:lang w:eastAsia="en-AU"/>
        </w:rPr>
        <w:drawing>
          <wp:inline distT="0" distB="0" distL="0" distR="0">
            <wp:extent cx="4535170" cy="3562350"/>
            <wp:effectExtent l="19050" t="0" r="0" b="0"/>
            <wp:docPr id="2" name="Picture 2" descr="Tabl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 2.1"/>
                    <pic:cNvPicPr>
                      <a:picLocks noChangeAspect="1" noChangeArrowheads="1"/>
                    </pic:cNvPicPr>
                  </pic:nvPicPr>
                  <pic:blipFill>
                    <a:blip r:embed="rId15" cstate="print"/>
                    <a:srcRect/>
                    <a:stretch>
                      <a:fillRect/>
                    </a:stretch>
                  </pic:blipFill>
                  <pic:spPr bwMode="auto">
                    <a:xfrm>
                      <a:off x="0" y="0"/>
                      <a:ext cx="4535170" cy="3562350"/>
                    </a:xfrm>
                    <a:prstGeom prst="rect">
                      <a:avLst/>
                    </a:prstGeom>
                    <a:noFill/>
                    <a:ln w="9525">
                      <a:noFill/>
                      <a:miter lim="800000"/>
                      <a:headEnd/>
                      <a:tailEnd/>
                    </a:ln>
                  </pic:spPr>
                </pic:pic>
              </a:graphicData>
            </a:graphic>
          </wp:inline>
        </w:drawing>
      </w:r>
    </w:p>
    <w:p w:rsidR="00D25FCC" w:rsidRDefault="004F5A3C" w:rsidP="00AD6A39">
      <w:pPr>
        <w:jc w:val="center"/>
      </w:pPr>
      <w:r>
        <w:rPr>
          <w:noProof/>
          <w:lang w:eastAsia="en-AU"/>
        </w:rPr>
        <w:drawing>
          <wp:inline distT="0" distB="0" distL="0" distR="0">
            <wp:extent cx="4520565" cy="1068070"/>
            <wp:effectExtent l="19050" t="0" r="0" b="0"/>
            <wp:docPr id="3" name="Picture 3" descr="Tabl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 2.2"/>
                    <pic:cNvPicPr>
                      <a:picLocks noChangeAspect="1" noChangeArrowheads="1"/>
                    </pic:cNvPicPr>
                  </pic:nvPicPr>
                  <pic:blipFill>
                    <a:blip r:embed="rId16" cstate="print"/>
                    <a:srcRect/>
                    <a:stretch>
                      <a:fillRect/>
                    </a:stretch>
                  </pic:blipFill>
                  <pic:spPr bwMode="auto">
                    <a:xfrm>
                      <a:off x="0" y="0"/>
                      <a:ext cx="4520565" cy="1068070"/>
                    </a:xfrm>
                    <a:prstGeom prst="rect">
                      <a:avLst/>
                    </a:prstGeom>
                    <a:noFill/>
                    <a:ln w="9525">
                      <a:noFill/>
                      <a:miter lim="800000"/>
                      <a:headEnd/>
                      <a:tailEnd/>
                    </a:ln>
                  </pic:spPr>
                </pic:pic>
              </a:graphicData>
            </a:graphic>
          </wp:inline>
        </w:drawing>
      </w:r>
    </w:p>
    <w:p w:rsidR="008E7846" w:rsidRDefault="008E7846" w:rsidP="008E7846">
      <w:pPr>
        <w:pStyle w:val="Heading3"/>
      </w:pPr>
      <w:bookmarkStart w:id="13" w:name="_Toc247691505"/>
      <w:bookmarkStart w:id="14" w:name="_Toc314842486"/>
      <w:bookmarkStart w:id="15" w:name="_Toc347231097"/>
      <w:r>
        <w:t>Product Information</w:t>
      </w:r>
      <w:bookmarkEnd w:id="13"/>
      <w:bookmarkEnd w:id="14"/>
      <w:bookmarkEnd w:id="15"/>
    </w:p>
    <w:p w:rsidR="008E7846" w:rsidRDefault="008E7846" w:rsidP="008E7846">
      <w:r>
        <w:t>Th</w:t>
      </w:r>
      <w:r w:rsidR="00A03203">
        <w:t>e approved PI</w:t>
      </w:r>
      <w:r>
        <w:t xml:space="preserve"> current at the time this AusPAR was prepared can be found as Attachment 1.</w:t>
      </w:r>
      <w:bookmarkStart w:id="16" w:name="_Toc247691506"/>
      <w:bookmarkStart w:id="17" w:name="_Toc314842487"/>
    </w:p>
    <w:p w:rsidR="00DE3A06" w:rsidRDefault="00DE3A06" w:rsidP="00DE3A06">
      <w:pPr>
        <w:pStyle w:val="Heading3"/>
      </w:pPr>
      <w:bookmarkStart w:id="18" w:name="_Toc344905775"/>
      <w:r>
        <w:br w:type="page"/>
      </w:r>
      <w:bookmarkStart w:id="19" w:name="_Toc347231098"/>
      <w:r>
        <w:lastRenderedPageBreak/>
        <w:t>List of abbreviations</w:t>
      </w:r>
      <w:bookmarkEnd w:id="18"/>
      <w:bookmarkEnd w:id="19"/>
    </w:p>
    <w:p w:rsidR="00EF418B" w:rsidRDefault="00EF418B" w:rsidP="0000459B">
      <w:r>
        <w:t>AE</w:t>
      </w:r>
      <w:r>
        <w:tab/>
      </w:r>
      <w:r w:rsidR="00D40EA7">
        <w:tab/>
      </w:r>
      <w:r>
        <w:t xml:space="preserve">Adverse </w:t>
      </w:r>
      <w:r w:rsidR="00F000FC">
        <w:t>e</w:t>
      </w:r>
      <w:r>
        <w:t>vent</w:t>
      </w:r>
    </w:p>
    <w:p w:rsidR="00EC6BE4" w:rsidRDefault="00EC6BE4" w:rsidP="0000459B">
      <w:r>
        <w:t>ASA</w:t>
      </w:r>
      <w:r>
        <w:tab/>
      </w:r>
      <w:r>
        <w:tab/>
      </w:r>
      <w:r w:rsidRPr="002B0BCF">
        <w:t>American Society</w:t>
      </w:r>
      <w:r>
        <w:t xml:space="preserve"> of Anesthesiologists</w:t>
      </w:r>
    </w:p>
    <w:p w:rsidR="00F40E7B" w:rsidRDefault="00F40E7B" w:rsidP="0000459B">
      <w:r>
        <w:t>BIS</w:t>
      </w:r>
      <w:r>
        <w:tab/>
      </w:r>
      <w:r>
        <w:tab/>
      </w:r>
      <w:r w:rsidRPr="00F40E7B">
        <w:t>Bispectral index</w:t>
      </w:r>
    </w:p>
    <w:p w:rsidR="0000459B" w:rsidRDefault="0000459B" w:rsidP="0000459B">
      <w:r>
        <w:t>BMI</w:t>
      </w:r>
      <w:r>
        <w:tab/>
      </w:r>
      <w:r w:rsidR="00D40EA7">
        <w:tab/>
      </w:r>
      <w:r>
        <w:t>Body mass index</w:t>
      </w:r>
    </w:p>
    <w:p w:rsidR="0000459B" w:rsidRDefault="0000459B" w:rsidP="0000459B">
      <w:r>
        <w:t>CACI</w:t>
      </w:r>
      <w:r>
        <w:tab/>
      </w:r>
      <w:r w:rsidR="00D40EA7">
        <w:tab/>
      </w:r>
      <w:r>
        <w:t>Computer assisted continuous infusion</w:t>
      </w:r>
    </w:p>
    <w:p w:rsidR="0000459B" w:rsidRDefault="0000459B" w:rsidP="0000459B">
      <w:r>
        <w:t>CER</w:t>
      </w:r>
      <w:r>
        <w:tab/>
      </w:r>
      <w:r w:rsidR="00D40EA7">
        <w:tab/>
      </w:r>
      <w:r>
        <w:t>Clinical evaluation report</w:t>
      </w:r>
    </w:p>
    <w:p w:rsidR="00B60F4C" w:rsidRDefault="00B60F4C" w:rsidP="0000459B">
      <w:r>
        <w:t>CMI</w:t>
      </w:r>
      <w:r>
        <w:tab/>
      </w:r>
      <w:r w:rsidR="00D40EA7">
        <w:tab/>
      </w:r>
      <w:r w:rsidRPr="00B57C67">
        <w:rPr>
          <w:bCs/>
        </w:rPr>
        <w:t>Consumer Medicine Information</w:t>
      </w:r>
    </w:p>
    <w:p w:rsidR="0000459B" w:rsidRDefault="0000459B" w:rsidP="0000459B">
      <w:r>
        <w:t>CSR</w:t>
      </w:r>
      <w:r>
        <w:tab/>
      </w:r>
      <w:r w:rsidR="00D40EA7">
        <w:tab/>
      </w:r>
      <w:r>
        <w:t>Clinical study report</w:t>
      </w:r>
    </w:p>
    <w:p w:rsidR="00D723F4" w:rsidRDefault="00D723F4" w:rsidP="0000459B">
      <w:r>
        <w:t>EC</w:t>
      </w:r>
      <w:r w:rsidRPr="00D723F4">
        <w:rPr>
          <w:vertAlign w:val="subscript"/>
        </w:rPr>
        <w:t>50</w:t>
      </w:r>
      <w:r>
        <w:tab/>
      </w:r>
      <w:r>
        <w:tab/>
        <w:t>H</w:t>
      </w:r>
      <w:r w:rsidRPr="00D723F4">
        <w:t>alf maximal effective concentration</w:t>
      </w:r>
    </w:p>
    <w:p w:rsidR="00C90369" w:rsidRDefault="00C90369" w:rsidP="0000459B">
      <w:r>
        <w:t>EEG</w:t>
      </w:r>
      <w:r>
        <w:tab/>
      </w:r>
      <w:r>
        <w:tab/>
      </w:r>
      <w:r w:rsidRPr="00C90369">
        <w:t>Electroencephalography</w:t>
      </w:r>
    </w:p>
    <w:p w:rsidR="0000459B" w:rsidRDefault="0022466B" w:rsidP="0000459B">
      <w:r>
        <w:t>GCP</w:t>
      </w:r>
      <w:r>
        <w:tab/>
      </w:r>
      <w:r w:rsidR="00D40EA7">
        <w:tab/>
      </w:r>
      <w:r>
        <w:t xml:space="preserve">Good clinical </w:t>
      </w:r>
      <w:r w:rsidR="0000459B">
        <w:t>practice</w:t>
      </w:r>
    </w:p>
    <w:p w:rsidR="00924C3F" w:rsidRDefault="00924C3F" w:rsidP="0000459B">
      <w:r>
        <w:t>IV</w:t>
      </w:r>
      <w:r>
        <w:tab/>
      </w:r>
      <w:r>
        <w:tab/>
        <w:t>Intravenous</w:t>
      </w:r>
    </w:p>
    <w:p w:rsidR="004C12FD" w:rsidRDefault="004C12FD" w:rsidP="0000459B">
      <w:r w:rsidRPr="002B0BCF">
        <w:rPr>
          <w:color w:val="000000"/>
        </w:rPr>
        <w:t>k</w:t>
      </w:r>
      <w:r w:rsidRPr="002B0BCF">
        <w:rPr>
          <w:color w:val="000000"/>
          <w:vertAlign w:val="subscript"/>
        </w:rPr>
        <w:t>eo</w:t>
      </w:r>
      <w:r>
        <w:t xml:space="preserve"> </w:t>
      </w:r>
      <w:r>
        <w:tab/>
      </w:r>
      <w:r>
        <w:tab/>
        <w:t>Equilibrium rate constant</w:t>
      </w:r>
    </w:p>
    <w:p w:rsidR="0000459B" w:rsidRDefault="0000459B" w:rsidP="0000459B">
      <w:r>
        <w:t>LBM</w:t>
      </w:r>
      <w:r>
        <w:tab/>
      </w:r>
      <w:r w:rsidR="00D40EA7">
        <w:tab/>
      </w:r>
      <w:r>
        <w:t>Lean body mass</w:t>
      </w:r>
    </w:p>
    <w:p w:rsidR="0000459B" w:rsidRDefault="0000459B" w:rsidP="0000459B">
      <w:r>
        <w:t>LBS</w:t>
      </w:r>
      <w:r>
        <w:tab/>
      </w:r>
      <w:r w:rsidR="00D40EA7">
        <w:tab/>
      </w:r>
      <w:r>
        <w:t>Literature based submission</w:t>
      </w:r>
    </w:p>
    <w:p w:rsidR="00F000FC" w:rsidRDefault="00F000FC" w:rsidP="0000459B">
      <w:r>
        <w:t>MCI</w:t>
      </w:r>
      <w:r>
        <w:tab/>
      </w:r>
      <w:r w:rsidR="00D40EA7">
        <w:tab/>
      </w:r>
      <w:r>
        <w:t>Manually Controlled Infusion</w:t>
      </w:r>
    </w:p>
    <w:p w:rsidR="008C2D70" w:rsidRDefault="008C2D70" w:rsidP="0000459B">
      <w:r w:rsidRPr="00926784">
        <w:t xml:space="preserve">MDAPE </w:t>
      </w:r>
      <w:r>
        <w:tab/>
        <w:t>M</w:t>
      </w:r>
      <w:r w:rsidRPr="00926784">
        <w:t>ed</w:t>
      </w:r>
      <w:r>
        <w:t>ian absolute performance error</w:t>
      </w:r>
      <w:r>
        <w:tab/>
      </w:r>
    </w:p>
    <w:p w:rsidR="008C2D70" w:rsidRDefault="008C2D70" w:rsidP="0000459B">
      <w:r w:rsidRPr="00926784">
        <w:t>MDPE</w:t>
      </w:r>
      <w:r>
        <w:tab/>
      </w:r>
      <w:r>
        <w:tab/>
        <w:t>M</w:t>
      </w:r>
      <w:r w:rsidRPr="00926784">
        <w:t>edian performance error</w:t>
      </w:r>
    </w:p>
    <w:p w:rsidR="00D40EA7" w:rsidRDefault="00D40EA7" w:rsidP="0000459B">
      <w:r>
        <w:t>NONMEM</w:t>
      </w:r>
      <w:r>
        <w:tab/>
        <w:t xml:space="preserve">Non </w:t>
      </w:r>
      <w:r w:rsidRPr="00D40EA7">
        <w:t>linear mixed effects model</w:t>
      </w:r>
      <w:r>
        <w:t>l</w:t>
      </w:r>
      <w:r w:rsidRPr="00D40EA7">
        <w:t>ing</w:t>
      </w:r>
    </w:p>
    <w:p w:rsidR="00E8694A" w:rsidRDefault="00E8694A" w:rsidP="0000459B">
      <w:r>
        <w:t>PACU</w:t>
      </w:r>
      <w:r>
        <w:tab/>
      </w:r>
      <w:r w:rsidR="00D40EA7">
        <w:tab/>
      </w:r>
      <w:r>
        <w:t>Post anaesthesia care unit</w:t>
      </w:r>
    </w:p>
    <w:p w:rsidR="00C70E1C" w:rsidRDefault="00C70E1C" w:rsidP="0000459B">
      <w:r>
        <w:t>PD</w:t>
      </w:r>
      <w:r>
        <w:tab/>
      </w:r>
      <w:r>
        <w:tab/>
        <w:t>Pharmacodynamic(s)</w:t>
      </w:r>
    </w:p>
    <w:p w:rsidR="00C70E1C" w:rsidRDefault="00C70E1C" w:rsidP="0000459B">
      <w:r>
        <w:t>PK</w:t>
      </w:r>
      <w:r>
        <w:tab/>
      </w:r>
      <w:r>
        <w:tab/>
        <w:t>Pharmacokinetic(s)</w:t>
      </w:r>
    </w:p>
    <w:p w:rsidR="0000459B" w:rsidRDefault="0000459B" w:rsidP="0000459B">
      <w:r>
        <w:t>PI</w:t>
      </w:r>
      <w:r>
        <w:tab/>
      </w:r>
      <w:r w:rsidR="00D40EA7">
        <w:tab/>
      </w:r>
      <w:r>
        <w:t>Product Information</w:t>
      </w:r>
    </w:p>
    <w:p w:rsidR="003D7822" w:rsidRDefault="003D7822" w:rsidP="0000459B">
      <w:r>
        <w:t>RIVA</w:t>
      </w:r>
      <w:r>
        <w:tab/>
      </w:r>
      <w:r>
        <w:tab/>
      </w:r>
      <w:r w:rsidR="00D46052">
        <w:t>R</w:t>
      </w:r>
      <w:r>
        <w:t>emifentanil</w:t>
      </w:r>
    </w:p>
    <w:p w:rsidR="000948D2" w:rsidRDefault="000948D2" w:rsidP="0000459B">
      <w:r>
        <w:t>SAE</w:t>
      </w:r>
      <w:r>
        <w:tab/>
      </w:r>
      <w:r>
        <w:tab/>
        <w:t>Serious adverse event</w:t>
      </w:r>
    </w:p>
    <w:p w:rsidR="004C12FD" w:rsidRDefault="0000459B" w:rsidP="0000459B">
      <w:r>
        <w:t>SPC</w:t>
      </w:r>
      <w:r>
        <w:tab/>
      </w:r>
      <w:r w:rsidR="00D40EA7">
        <w:tab/>
      </w:r>
      <w:r>
        <w:t>Summary of product characteristics</w:t>
      </w:r>
    </w:p>
    <w:p w:rsidR="00E81E3D" w:rsidRDefault="00E81E3D" w:rsidP="0000459B">
      <w:r w:rsidRPr="002B0BCF">
        <w:rPr>
          <w:color w:val="000000"/>
        </w:rPr>
        <w:t>t</w:t>
      </w:r>
      <w:r w:rsidRPr="004C12FD">
        <w:rPr>
          <w:color w:val="000000"/>
          <w:vertAlign w:val="subscript"/>
        </w:rPr>
        <w:t>½</w:t>
      </w:r>
      <w:r>
        <w:rPr>
          <w:color w:val="000000"/>
          <w:vertAlign w:val="subscript"/>
        </w:rPr>
        <w:tab/>
      </w:r>
      <w:r>
        <w:rPr>
          <w:color w:val="000000"/>
          <w:vertAlign w:val="subscript"/>
        </w:rPr>
        <w:tab/>
      </w:r>
      <w:r>
        <w:t>Elimination half life</w:t>
      </w:r>
    </w:p>
    <w:p w:rsidR="003D7822" w:rsidRDefault="006B791B" w:rsidP="0000459B">
      <w:r>
        <w:t>TCI</w:t>
      </w:r>
      <w:r>
        <w:tab/>
      </w:r>
      <w:r w:rsidR="00D40EA7">
        <w:tab/>
      </w:r>
      <w:r w:rsidR="0000459B">
        <w:t>Target Controlled Infusion</w:t>
      </w:r>
    </w:p>
    <w:p w:rsidR="003D7822" w:rsidRDefault="003D7822" w:rsidP="0000459B">
      <w:r>
        <w:t>TCIR</w:t>
      </w:r>
      <w:r>
        <w:tab/>
      </w:r>
      <w:r>
        <w:tab/>
        <w:t>Target Controlled Infusion for remifentanil</w:t>
      </w:r>
    </w:p>
    <w:p w:rsidR="008E7846" w:rsidRPr="003602A9" w:rsidRDefault="008E7846" w:rsidP="008E7846">
      <w:pPr>
        <w:pStyle w:val="Heading2"/>
        <w:ind w:left="-11"/>
      </w:pPr>
      <w:bookmarkStart w:id="20" w:name="_Toc347231099"/>
      <w:r>
        <w:t>II. Quality</w:t>
      </w:r>
      <w:bookmarkEnd w:id="0"/>
      <w:r>
        <w:t xml:space="preserve"> findings</w:t>
      </w:r>
      <w:bookmarkEnd w:id="16"/>
      <w:bookmarkEnd w:id="17"/>
      <w:bookmarkEnd w:id="20"/>
    </w:p>
    <w:p w:rsidR="008E7846" w:rsidRDefault="008E7846" w:rsidP="008E7846">
      <w:r>
        <w:t>There was no requirement for a quality evaluation in a submission of this type.</w:t>
      </w:r>
    </w:p>
    <w:p w:rsidR="008E7846" w:rsidRDefault="008E7846" w:rsidP="008E7846">
      <w:pPr>
        <w:pStyle w:val="Heading2"/>
      </w:pPr>
      <w:bookmarkStart w:id="21" w:name="_Toc196046439"/>
      <w:bookmarkStart w:id="22" w:name="_Toc247691510"/>
      <w:bookmarkStart w:id="23" w:name="_Toc314842494"/>
      <w:bookmarkStart w:id="24" w:name="_Toc347231100"/>
      <w:r>
        <w:t>III. Nonclinical</w:t>
      </w:r>
      <w:bookmarkEnd w:id="21"/>
      <w:r>
        <w:t xml:space="preserve"> findings</w:t>
      </w:r>
      <w:bookmarkEnd w:id="22"/>
      <w:bookmarkEnd w:id="23"/>
      <w:bookmarkEnd w:id="24"/>
    </w:p>
    <w:p w:rsidR="008E7846" w:rsidRDefault="008E7846" w:rsidP="00E26130">
      <w:r>
        <w:t>There was no requirement for a nonclinical evaluation in a submission of this type.</w:t>
      </w:r>
    </w:p>
    <w:p w:rsidR="008E7846" w:rsidRPr="00254787" w:rsidRDefault="008E7846" w:rsidP="008E7846">
      <w:pPr>
        <w:pStyle w:val="Heading2"/>
      </w:pPr>
      <w:bookmarkStart w:id="25" w:name="_Toc196046462"/>
      <w:bookmarkStart w:id="26" w:name="_Toc247691516"/>
      <w:bookmarkStart w:id="27" w:name="_Toc314842500"/>
      <w:bookmarkStart w:id="28" w:name="_Toc163441353"/>
      <w:bookmarkStart w:id="29" w:name="_Toc163441348"/>
      <w:bookmarkStart w:id="30" w:name="_Toc347231101"/>
      <w:r>
        <w:lastRenderedPageBreak/>
        <w:t xml:space="preserve">IV. </w:t>
      </w:r>
      <w:r w:rsidRPr="00254787">
        <w:t>Clinical</w:t>
      </w:r>
      <w:bookmarkEnd w:id="25"/>
      <w:r>
        <w:t xml:space="preserve"> </w:t>
      </w:r>
      <w:r w:rsidR="003A7F6C">
        <w:t>f</w:t>
      </w:r>
      <w:r>
        <w:t>indings</w:t>
      </w:r>
      <w:bookmarkEnd w:id="26"/>
      <w:bookmarkEnd w:id="27"/>
      <w:bookmarkEnd w:id="30"/>
    </w:p>
    <w:p w:rsidR="008E7846" w:rsidRDefault="008E7846" w:rsidP="008E7846">
      <w:pPr>
        <w:pStyle w:val="Heading3"/>
      </w:pPr>
      <w:bookmarkStart w:id="31" w:name="_Toc196046463"/>
      <w:bookmarkStart w:id="32" w:name="_Toc247691517"/>
      <w:bookmarkStart w:id="33" w:name="_Toc314842501"/>
      <w:bookmarkStart w:id="34" w:name="_Toc347231102"/>
      <w:r w:rsidRPr="00254787">
        <w:t>Introduction</w:t>
      </w:r>
      <w:bookmarkEnd w:id="31"/>
      <w:bookmarkEnd w:id="32"/>
      <w:bookmarkEnd w:id="33"/>
      <w:bookmarkEnd w:id="34"/>
    </w:p>
    <w:p w:rsidR="00B57788" w:rsidRDefault="00B57788" w:rsidP="00B57788">
      <w:r>
        <w:t>This is a submission seeking approval to alter the PI so as to include advice relating t</w:t>
      </w:r>
      <w:r w:rsidR="00EA05DA">
        <w:t>o a new mode of administration</w:t>
      </w:r>
      <w:r w:rsidR="00517ABE">
        <w:t xml:space="preserve"> of </w:t>
      </w:r>
      <w:r w:rsidR="00B17B3B">
        <w:t>Ultiva (</w:t>
      </w:r>
      <w:r w:rsidR="00517ABE">
        <w:t>remifentanil</w:t>
      </w:r>
      <w:r w:rsidR="00B17B3B">
        <w:t>)</w:t>
      </w:r>
      <w:r w:rsidR="00EA05DA">
        <w:t xml:space="preserve">: </w:t>
      </w:r>
      <w:r>
        <w:t>administration by TCI. The main proposed PI additions indicate the new claims made, and are as follows (where the location of changes is given with reference to the Annotated PI):</w:t>
      </w:r>
    </w:p>
    <w:p w:rsidR="00B57788" w:rsidRDefault="00B57788" w:rsidP="00B57788">
      <w:r w:rsidRPr="008D3439">
        <w:t>Page 16, under</w:t>
      </w:r>
      <w:r w:rsidRPr="008D3439">
        <w:rPr>
          <w:i/>
        </w:rPr>
        <w:t xml:space="preserve"> </w:t>
      </w:r>
      <w:r w:rsidR="007E5FEF">
        <w:rPr>
          <w:i/>
        </w:rPr>
        <w:t>Dosage and Administration</w:t>
      </w:r>
      <w:r>
        <w:t>:</w:t>
      </w:r>
    </w:p>
    <w:p w:rsidR="00B57788" w:rsidRPr="00B57788" w:rsidRDefault="00B57788" w:rsidP="00E94090">
      <w:pPr>
        <w:ind w:left="720"/>
      </w:pPr>
      <w:r w:rsidRPr="00B57788">
        <w:rPr>
          <w:b/>
          <w:bCs/>
        </w:rPr>
        <w:t>Administration by Target</w:t>
      </w:r>
      <w:r w:rsidR="00B06143">
        <w:rPr>
          <w:b/>
          <w:bCs/>
        </w:rPr>
        <w:t xml:space="preserve"> </w:t>
      </w:r>
      <w:r w:rsidRPr="00B57788">
        <w:rPr>
          <w:b/>
          <w:bCs/>
        </w:rPr>
        <w:t xml:space="preserve">Controlled Infusion </w:t>
      </w:r>
    </w:p>
    <w:p w:rsidR="00B57788" w:rsidRPr="00B57788" w:rsidRDefault="00B57788" w:rsidP="00E94090">
      <w:pPr>
        <w:ind w:left="720"/>
      </w:pPr>
      <w:r w:rsidRPr="00B57788">
        <w:t>Ulti</w:t>
      </w:r>
      <w:r w:rsidR="00622BC6">
        <w:t>va may also be given by Target Controlled I</w:t>
      </w:r>
      <w:r w:rsidRPr="00B57788">
        <w:t xml:space="preserve">nfusion (TCI) with an approved infusion device incorporating the Minto </w:t>
      </w:r>
      <w:r w:rsidR="00B131CA">
        <w:t>PK</w:t>
      </w:r>
      <w:r w:rsidRPr="00B57788">
        <w:t xml:space="preserve"> model with covariates f</w:t>
      </w:r>
      <w:r w:rsidR="00EA05DA">
        <w:t>or age and lean body mass (LBM)</w:t>
      </w:r>
      <w:r w:rsidRPr="00B57788">
        <w:t>.</w:t>
      </w:r>
      <w:r w:rsidR="00EA05DA">
        <w:rPr>
          <w:rStyle w:val="FootnoteReference"/>
        </w:rPr>
        <w:footnoteReference w:id="2"/>
      </w:r>
      <w:r w:rsidRPr="00B57788">
        <w:t xml:space="preserve"> </w:t>
      </w:r>
    </w:p>
    <w:p w:rsidR="00B57788" w:rsidRPr="00B57788" w:rsidRDefault="00B57788" w:rsidP="00E94090">
      <w:pPr>
        <w:ind w:left="720"/>
      </w:pPr>
      <w:r w:rsidRPr="00B57788">
        <w:t xml:space="preserve">For TCI in adults the recommended dilution </w:t>
      </w:r>
      <w:r w:rsidR="007454E7">
        <w:t>of Ultiva is 20 to 50 µg</w:t>
      </w:r>
      <w:r w:rsidRPr="00B57788">
        <w:t>/mL.</w:t>
      </w:r>
    </w:p>
    <w:p w:rsidR="00B57788" w:rsidRDefault="00B57788" w:rsidP="00B57788">
      <w:r>
        <w:t xml:space="preserve">Page 18, under </w:t>
      </w:r>
      <w:r w:rsidRPr="00FF6AE8">
        <w:rPr>
          <w:i/>
        </w:rPr>
        <w:t>General Anaesthesia. Dosage in Adults</w:t>
      </w:r>
      <w:r>
        <w:t>:</w:t>
      </w:r>
    </w:p>
    <w:p w:rsidR="00B57788" w:rsidRPr="00B57788" w:rsidRDefault="007E5FEF" w:rsidP="00E94090">
      <w:pPr>
        <w:ind w:left="720"/>
      </w:pPr>
      <w:r>
        <w:rPr>
          <w:b/>
          <w:bCs/>
        </w:rPr>
        <w:t xml:space="preserve">Administration by Target </w:t>
      </w:r>
      <w:r w:rsidR="00B57788" w:rsidRPr="00B57788">
        <w:rPr>
          <w:b/>
          <w:bCs/>
        </w:rPr>
        <w:t xml:space="preserve">Controlled Infusion </w:t>
      </w:r>
    </w:p>
    <w:p w:rsidR="00B57788" w:rsidRPr="00B57788" w:rsidRDefault="00B57788" w:rsidP="00E94090">
      <w:pPr>
        <w:ind w:left="720"/>
      </w:pPr>
      <w:r w:rsidRPr="00B57788">
        <w:t>Induction and maintenance of anaesthesia in ventilated patients: Ultiva TCI should be used in association with an intravenous or inhalational hypnotic agent during the induction and maintenance of anaesthesia in ventila</w:t>
      </w:r>
      <w:r w:rsidR="007C6D0B">
        <w:t>ted adult patients</w:t>
      </w:r>
      <w:r w:rsidRPr="00B57788">
        <w:t>. In association with these agents, adequate analgesia for induction of anaesthesia and surgery can generally be achieved with target blood remifentanil concentrations ranging from 3 to 8 ng/mL. Ultiva should be titrated to individual patient response. For particularly stimulating surgical procedures</w:t>
      </w:r>
      <w:r w:rsidR="007C6D0B">
        <w:t>,</w:t>
      </w:r>
      <w:r w:rsidRPr="00B57788">
        <w:t xml:space="preserve"> target blood concentrations up to 15 ng/mL may be required. </w:t>
      </w:r>
    </w:p>
    <w:p w:rsidR="00B57788" w:rsidRPr="00B57788" w:rsidRDefault="00B57788" w:rsidP="00E94090">
      <w:pPr>
        <w:ind w:left="720"/>
      </w:pPr>
      <w:r w:rsidRPr="00B57788">
        <w:t xml:space="preserve">At the doses recommended above, Ultiva significantly reduces the amount of hypnotic agent required to maintain anaesthesia. Therefore, isoflurane and propofol should be administered as recommended above to avoid </w:t>
      </w:r>
      <w:r w:rsidR="007C6D0B">
        <w:t>excessive depth of anaesthesia</w:t>
      </w:r>
      <w:r w:rsidRPr="00B57788">
        <w:t>.</w:t>
      </w:r>
    </w:p>
    <w:p w:rsidR="00B57788" w:rsidRPr="00B57788" w:rsidRDefault="00B57788" w:rsidP="00E94090">
      <w:pPr>
        <w:ind w:left="720"/>
      </w:pPr>
      <w:r w:rsidRPr="00B57788">
        <w:t>There are insufficient data to make recommendations on the use of TCI for spontaneous ventilation anaesthesia.</w:t>
      </w:r>
    </w:p>
    <w:p w:rsidR="00B57788" w:rsidRPr="00E2026F" w:rsidRDefault="00B57788" w:rsidP="00E94090">
      <w:pPr>
        <w:ind w:left="720"/>
        <w:rPr>
          <w:bCs/>
        </w:rPr>
      </w:pPr>
      <w:r w:rsidRPr="00B57788">
        <w:t>Guidelines for discontinuation/contin</w:t>
      </w:r>
      <w:r w:rsidR="005A316E">
        <w:t xml:space="preserve">uation into the immediate post </w:t>
      </w:r>
      <w:r w:rsidRPr="00B57788">
        <w:t>operative period: At the end of surgery when the TCI infusion is stopped or the target concentration reduced, spontaneous respiration is likely to return at calculated remifentanil concentrations in the region of 1 to 2 ng/mL</w:t>
      </w:r>
      <w:r w:rsidR="005A316E">
        <w:t>. As with Manually Controlled I</w:t>
      </w:r>
      <w:r w:rsidR="00147692">
        <w:t xml:space="preserve">nfusion, post </w:t>
      </w:r>
      <w:r w:rsidRPr="00B57788">
        <w:t xml:space="preserve">operative </w:t>
      </w:r>
      <w:r w:rsidRPr="00E2026F">
        <w:t>analgesia should be established before the end of surgery with longer acting analgesics (</w:t>
      </w:r>
      <w:r w:rsidRPr="00E2026F">
        <w:rPr>
          <w:iCs/>
        </w:rPr>
        <w:t>see</w:t>
      </w:r>
      <w:r w:rsidRPr="00E2026F">
        <w:rPr>
          <w:i/>
          <w:iCs/>
        </w:rPr>
        <w:t xml:space="preserve"> </w:t>
      </w:r>
      <w:r w:rsidRPr="00E2026F">
        <w:rPr>
          <w:bCs/>
          <w:i/>
          <w:iCs/>
        </w:rPr>
        <w:t xml:space="preserve">Guidelines for discontinuation </w:t>
      </w:r>
      <w:r w:rsidRPr="00E2026F">
        <w:t xml:space="preserve">under </w:t>
      </w:r>
      <w:r w:rsidR="00323AD8">
        <w:rPr>
          <w:bCs/>
          <w:i/>
          <w:iCs/>
        </w:rPr>
        <w:t xml:space="preserve">Dosage and Administration – </w:t>
      </w:r>
      <w:r w:rsidRPr="00E2026F">
        <w:rPr>
          <w:bCs/>
          <w:i/>
          <w:iCs/>
        </w:rPr>
        <w:t>General Anaesthesia – Dosage in Adults – Ad</w:t>
      </w:r>
      <w:r w:rsidR="00E2026F">
        <w:rPr>
          <w:bCs/>
          <w:i/>
          <w:iCs/>
        </w:rPr>
        <w:t xml:space="preserve">ministration by Manually </w:t>
      </w:r>
      <w:r w:rsidRPr="00E2026F">
        <w:rPr>
          <w:bCs/>
          <w:i/>
          <w:iCs/>
        </w:rPr>
        <w:t>Controlled Infusion</w:t>
      </w:r>
      <w:r w:rsidRPr="00E2026F">
        <w:rPr>
          <w:bCs/>
        </w:rPr>
        <w:t>).</w:t>
      </w:r>
    </w:p>
    <w:p w:rsidR="00B57788" w:rsidRPr="00B57788" w:rsidRDefault="00B57788" w:rsidP="00E94090">
      <w:pPr>
        <w:ind w:left="720"/>
      </w:pPr>
      <w:r w:rsidRPr="00B57788">
        <w:t>There are insufficient data to make recommendations on the use of TCI for the management of post</w:t>
      </w:r>
      <w:r w:rsidR="00E2026F">
        <w:t xml:space="preserve"> </w:t>
      </w:r>
      <w:r w:rsidRPr="00B57788">
        <w:t>operative analgesia.</w:t>
      </w:r>
    </w:p>
    <w:p w:rsidR="00B57788" w:rsidRDefault="00B57788" w:rsidP="00B57788">
      <w:r>
        <w:t xml:space="preserve">Page 21, under </w:t>
      </w:r>
      <w:r>
        <w:rPr>
          <w:i/>
        </w:rPr>
        <w:t>Cardiac</w:t>
      </w:r>
      <w:r w:rsidRPr="00FF6AE8">
        <w:rPr>
          <w:i/>
        </w:rPr>
        <w:t xml:space="preserve"> Anaesthesia. Dosage in Adults</w:t>
      </w:r>
      <w:r>
        <w:t>:</w:t>
      </w:r>
    </w:p>
    <w:p w:rsidR="00B57788" w:rsidRPr="00B57788" w:rsidRDefault="00D57A1E" w:rsidP="00E94090">
      <w:pPr>
        <w:ind w:left="720"/>
      </w:pPr>
      <w:r>
        <w:rPr>
          <w:b/>
          <w:bCs/>
        </w:rPr>
        <w:br w:type="page"/>
      </w:r>
      <w:r w:rsidR="00B57788" w:rsidRPr="00B57788">
        <w:rPr>
          <w:b/>
          <w:bCs/>
        </w:rPr>
        <w:lastRenderedPageBreak/>
        <w:t>Administration by Target</w:t>
      </w:r>
      <w:r w:rsidR="00E2026F">
        <w:rPr>
          <w:b/>
          <w:bCs/>
        </w:rPr>
        <w:t xml:space="preserve"> </w:t>
      </w:r>
      <w:r w:rsidR="00B57788" w:rsidRPr="00B57788">
        <w:rPr>
          <w:b/>
          <w:bCs/>
        </w:rPr>
        <w:t xml:space="preserve">Controlled Infusion </w:t>
      </w:r>
    </w:p>
    <w:p w:rsidR="00B57788" w:rsidRPr="00B57788" w:rsidRDefault="00B57788" w:rsidP="00E94090">
      <w:pPr>
        <w:ind w:left="720"/>
      </w:pPr>
      <w:r w:rsidRPr="00B57788">
        <w:t>Induction and maintenance of anaesthesia: Ultiva TCI should be used in association with an intravenous or inhalational hypnotic agent during the induction and maintenance of anaesthesia in ventila</w:t>
      </w:r>
      <w:r w:rsidR="00D13ECB">
        <w:t>ted adult patients</w:t>
      </w:r>
      <w:r w:rsidRPr="00B57788">
        <w:t>. In association with these agents, adequate analgesia for cardiac surgery is generally achieved at the higher end of the range of target blood remifentanil concentrations used for general surgical procedures. Following titration of remifentanil to individual patient response, blood concentrations as high as 20 ng/mL have been used in clinical studies. At the doses recommended above, remifentanil significantly reduces the amount of hypnotic agent required to maintain anaesthesia. Therefore, isoflurane and propofol should be administered as recommended above to avoid excessive dept</w:t>
      </w:r>
      <w:r w:rsidR="00D524BD">
        <w:t>h of anaesthesia</w:t>
      </w:r>
      <w:r w:rsidRPr="00B57788">
        <w:t>.</w:t>
      </w:r>
    </w:p>
    <w:p w:rsidR="00B57788" w:rsidRPr="001725A8" w:rsidRDefault="00B57788" w:rsidP="00E94090">
      <w:pPr>
        <w:ind w:left="720"/>
        <w:rPr>
          <w:bCs/>
        </w:rPr>
      </w:pPr>
      <w:r w:rsidRPr="00B57788">
        <w:t>G</w:t>
      </w:r>
      <w:r w:rsidR="00323AD8">
        <w:t>uidelines for discontinuation/</w:t>
      </w:r>
      <w:r w:rsidRPr="00B57788">
        <w:t xml:space="preserve">continuation into the immediate post-operative period: At the end of surgery when the TCI infusion is stopped or the target concentration reduced, spontaneous respiration is likely to return at calculated remifentanil concentrations in the region of 1 to 2 ng/mL. As with </w:t>
      </w:r>
      <w:r w:rsidR="00323AD8">
        <w:t xml:space="preserve">Manually Controlled Infusion, post </w:t>
      </w:r>
      <w:r w:rsidRPr="00B57788">
        <w:t xml:space="preserve">operative analgesia should be established before the end of surgery with longer acting </w:t>
      </w:r>
      <w:r w:rsidRPr="001725A8">
        <w:t>analgesics (</w:t>
      </w:r>
      <w:r w:rsidRPr="001725A8">
        <w:rPr>
          <w:iCs/>
        </w:rPr>
        <w:t xml:space="preserve">see </w:t>
      </w:r>
      <w:r w:rsidRPr="001725A8">
        <w:rPr>
          <w:bCs/>
          <w:i/>
          <w:iCs/>
        </w:rPr>
        <w:t xml:space="preserve">Guidelines for discontinuation </w:t>
      </w:r>
      <w:r w:rsidRPr="001725A8">
        <w:rPr>
          <w:i/>
          <w:iCs/>
        </w:rPr>
        <w:t xml:space="preserve">under </w:t>
      </w:r>
      <w:r w:rsidR="00323AD8">
        <w:rPr>
          <w:bCs/>
          <w:i/>
          <w:iCs/>
        </w:rPr>
        <w:t xml:space="preserve">Dosage and Administration – </w:t>
      </w:r>
      <w:r w:rsidRPr="001725A8">
        <w:rPr>
          <w:bCs/>
          <w:i/>
          <w:iCs/>
        </w:rPr>
        <w:t>Cardiac Anaesthesia – Dosage in Adults – Administration by Manually</w:t>
      </w:r>
      <w:r w:rsidR="001725A8">
        <w:rPr>
          <w:bCs/>
          <w:i/>
          <w:iCs/>
        </w:rPr>
        <w:t xml:space="preserve"> </w:t>
      </w:r>
      <w:r w:rsidRPr="001725A8">
        <w:rPr>
          <w:bCs/>
          <w:i/>
          <w:iCs/>
        </w:rPr>
        <w:t>Controlled Infusion</w:t>
      </w:r>
      <w:r w:rsidRPr="001725A8">
        <w:rPr>
          <w:bCs/>
        </w:rPr>
        <w:t>).</w:t>
      </w:r>
    </w:p>
    <w:p w:rsidR="00B57788" w:rsidRPr="00B57788" w:rsidRDefault="00B57788" w:rsidP="00E94090">
      <w:pPr>
        <w:ind w:left="720"/>
      </w:pPr>
      <w:r w:rsidRPr="00B57788">
        <w:t>There are insufficient data to make recommendations on the use of TCI for the management of post</w:t>
      </w:r>
      <w:r w:rsidR="001725A8">
        <w:t xml:space="preserve"> </w:t>
      </w:r>
      <w:r w:rsidRPr="00B57788">
        <w:t>operative analgesia.</w:t>
      </w:r>
    </w:p>
    <w:p w:rsidR="00B57788" w:rsidRPr="00B57788" w:rsidRDefault="00B57788" w:rsidP="00B57788">
      <w:r w:rsidRPr="00B57788">
        <w:t xml:space="preserve">Page 22, under </w:t>
      </w:r>
      <w:r w:rsidRPr="00B57788">
        <w:rPr>
          <w:i/>
        </w:rPr>
        <w:t>Special patient populations. Dosage in Obese Patients</w:t>
      </w:r>
      <w:r w:rsidRPr="00B57788">
        <w:t>:</w:t>
      </w:r>
    </w:p>
    <w:p w:rsidR="00B57788" w:rsidRPr="00B57788" w:rsidRDefault="009B59BF" w:rsidP="00E94090">
      <w:pPr>
        <w:ind w:left="720"/>
      </w:pPr>
      <w:r>
        <w:rPr>
          <w:b/>
          <w:bCs/>
        </w:rPr>
        <w:t xml:space="preserve">Administration by Target </w:t>
      </w:r>
      <w:r w:rsidR="00B57788" w:rsidRPr="00B57788">
        <w:rPr>
          <w:b/>
          <w:bCs/>
        </w:rPr>
        <w:t xml:space="preserve">Controlled Infusion </w:t>
      </w:r>
    </w:p>
    <w:p w:rsidR="00B57788" w:rsidRDefault="00B57788" w:rsidP="00E94090">
      <w:pPr>
        <w:ind w:left="720"/>
      </w:pPr>
      <w:r w:rsidRPr="00B57788">
        <w:t>With the</w:t>
      </w:r>
      <w:r w:rsidR="009B59BF">
        <w:t xml:space="preserve"> calculation of LBM</w:t>
      </w:r>
      <w:r w:rsidRPr="00B57788">
        <w:t xml:space="preserve"> used in the Minto model, LBM is likely to be underestimated in female patients with a body mass index (BMI) greater than 35 kg/m</w:t>
      </w:r>
      <w:r w:rsidRPr="00B57788">
        <w:rPr>
          <w:vertAlign w:val="superscript"/>
        </w:rPr>
        <w:t>2</w:t>
      </w:r>
      <w:r w:rsidRPr="00B57788">
        <w:t xml:space="preserve"> and in male patients with BMI greater than 40 kg/m</w:t>
      </w:r>
      <w:r w:rsidRPr="00B57788">
        <w:rPr>
          <w:vertAlign w:val="superscript"/>
        </w:rPr>
        <w:t>2</w:t>
      </w:r>
      <w:r w:rsidRPr="00B57788">
        <w:t>. To avoid underdosing in these patients, Ultiva TCI should be titrated carefully to individual response.</w:t>
      </w:r>
    </w:p>
    <w:p w:rsidR="00A439D2" w:rsidRDefault="00A439D2" w:rsidP="00A439D2">
      <w:pPr>
        <w:pStyle w:val="Heading4"/>
      </w:pPr>
      <w:r>
        <w:t>Detailed reports</w:t>
      </w:r>
    </w:p>
    <w:p w:rsidR="007454E7" w:rsidRDefault="007454E7" w:rsidP="007454E7">
      <w:r>
        <w:t>Tw</w:t>
      </w:r>
      <w:r w:rsidR="009B59BF">
        <w:t>o detailed clinical reports (numbers</w:t>
      </w:r>
      <w:r>
        <w:t xml:space="preserve"> USA-103 and USA-220) were presented. The sponsor acknowledges that</w:t>
      </w:r>
    </w:p>
    <w:p w:rsidR="007454E7" w:rsidRPr="00C90CF3" w:rsidRDefault="007454E7" w:rsidP="007454E7">
      <w:pPr>
        <w:ind w:left="720"/>
      </w:pPr>
      <w:r w:rsidRPr="00C90CF3">
        <w:t>"these studies were not designed to validate the TCI mode of administration for remifentanil".</w:t>
      </w:r>
    </w:p>
    <w:p w:rsidR="007454E7" w:rsidRDefault="007454E7" w:rsidP="007454E7">
      <w:r>
        <w:t>They appear to be irrelevant to this submission, whose purpose is to validate the TCI mode of administration for remifentanil.</w:t>
      </w:r>
      <w:r w:rsidR="00FD5991">
        <w:t xml:space="preserve"> </w:t>
      </w:r>
    </w:p>
    <w:p w:rsidR="00A439D2" w:rsidRDefault="00A439D2" w:rsidP="00A439D2">
      <w:pPr>
        <w:pStyle w:val="Heading4"/>
      </w:pPr>
      <w:bookmarkStart w:id="35" w:name="_Toc299195949"/>
      <w:r>
        <w:t>The literature</w:t>
      </w:r>
      <w:r w:rsidR="009B59BF">
        <w:t xml:space="preserve"> </w:t>
      </w:r>
      <w:r>
        <w:t>based component</w:t>
      </w:r>
      <w:bookmarkEnd w:id="35"/>
    </w:p>
    <w:p w:rsidR="00A439D2" w:rsidRDefault="00A439D2" w:rsidP="00A439D2">
      <w:r>
        <w:t xml:space="preserve">This was of the second type </w:t>
      </w:r>
      <w:r w:rsidR="00EF06B3">
        <w:t xml:space="preserve">of </w:t>
      </w:r>
      <w:r w:rsidR="00544167">
        <w:t>LBS</w:t>
      </w:r>
      <w:r w:rsidR="00EF06B3">
        <w:t xml:space="preserve"> </w:t>
      </w:r>
      <w:r>
        <w:t xml:space="preserve">described </w:t>
      </w:r>
      <w:r w:rsidR="00EF06B3">
        <w:t>in</w:t>
      </w:r>
      <w:r>
        <w:t xml:space="preserve"> the relevant </w:t>
      </w:r>
      <w:r w:rsidR="00012CBF">
        <w:t xml:space="preserve">TGA </w:t>
      </w:r>
      <w:r>
        <w:t>guideline document</w:t>
      </w:r>
      <w:r w:rsidR="00EF06B3">
        <w:t>.</w:t>
      </w:r>
      <w:r w:rsidR="00A83FA6">
        <w:rPr>
          <w:rStyle w:val="FootnoteReference"/>
        </w:rPr>
        <w:footnoteReference w:id="3"/>
      </w:r>
      <w:r>
        <w:t xml:space="preserve"> However, the same section advises that for "changes in dosage and administration", the first type of LBS is suitable. Sponsors are advised</w:t>
      </w:r>
      <w:r w:rsidR="00EF06B3">
        <w:t xml:space="preserve"> </w:t>
      </w:r>
      <w:r>
        <w:t>to discuss the matter with TGA before proceeding, but I have not been informed of any such discussion.</w:t>
      </w:r>
    </w:p>
    <w:p w:rsidR="00A439D2" w:rsidRDefault="00A439D2" w:rsidP="00A439D2">
      <w:r>
        <w:t xml:space="preserve">Thus, the published articles presented do not represent the result of an objective bibliographic search, and the </w:t>
      </w:r>
      <w:r w:rsidRPr="005D50BB">
        <w:rPr>
          <w:i/>
        </w:rPr>
        <w:t>Clinical Overview</w:t>
      </w:r>
      <w:r>
        <w:t xml:space="preserve"> does not take the form of an expert </w:t>
      </w:r>
      <w:r>
        <w:lastRenderedPageBreak/>
        <w:t xml:space="preserve">objective assessment of a body of data derived from a systematic bibliographic search. Rather, the </w:t>
      </w:r>
      <w:r w:rsidRPr="005D50BB">
        <w:rPr>
          <w:i/>
        </w:rPr>
        <w:t>Clinical Overview</w:t>
      </w:r>
      <w:r>
        <w:t xml:space="preserve"> is the sponsor's argument supporting its application, and the articles are those the sponsor has chosen to cite as supporting evidence. </w:t>
      </w:r>
    </w:p>
    <w:p w:rsidR="00A439D2" w:rsidRDefault="00A439D2" w:rsidP="00A439D2">
      <w:r>
        <w:t xml:space="preserve">The set of publications comprising the LBS component </w:t>
      </w:r>
      <w:r w:rsidR="00015029">
        <w:t>has been listed</w:t>
      </w:r>
      <w:r>
        <w:t>.</w:t>
      </w:r>
      <w:r w:rsidR="00015029">
        <w:t xml:space="preserve"> N</w:t>
      </w:r>
      <w:r>
        <w:t>one of the published articles or abstracts is dated more recently than 2003.</w:t>
      </w:r>
    </w:p>
    <w:p w:rsidR="00A439D2" w:rsidRDefault="00A439D2" w:rsidP="00A439D2">
      <w:pPr>
        <w:rPr>
          <w:sz w:val="20"/>
          <w:szCs w:val="20"/>
        </w:rPr>
      </w:pPr>
      <w:r>
        <w:t xml:space="preserve">In evaluating such material, although useful background information may emerge, it is necessary to regard with some scepticism any specific results obtained (including numerical values) − particularly from small studies − as these may be contradicted by studies not included in the set of articles presented. Formal evaluation of each article separately would not be productive; rather, I have commented as seems appropriate on the validity of evidence, relevant to the aim of the application, adduced by citation of particular studies in the </w:t>
      </w:r>
      <w:r w:rsidRPr="00AF483B">
        <w:rPr>
          <w:i/>
        </w:rPr>
        <w:t>Clinical Overview</w:t>
      </w:r>
      <w:r>
        <w:t xml:space="preserve">. Relevant parts of the </w:t>
      </w:r>
      <w:r w:rsidRPr="00AF483B">
        <w:rPr>
          <w:i/>
        </w:rPr>
        <w:t>Clinical Overview</w:t>
      </w:r>
      <w:r>
        <w:t xml:space="preserve"> are dealt with in the corresponding sections of this </w:t>
      </w:r>
      <w:r w:rsidRPr="005164C9">
        <w:rPr>
          <w:i/>
        </w:rPr>
        <w:t>C</w:t>
      </w:r>
      <w:r w:rsidR="00A720D3">
        <w:rPr>
          <w:i/>
        </w:rPr>
        <w:t>linical Evaluation Report</w:t>
      </w:r>
      <w:r>
        <w:t>.</w:t>
      </w:r>
    </w:p>
    <w:p w:rsidR="00F74AD9" w:rsidRDefault="00F74AD9" w:rsidP="00F74AD9">
      <w:pPr>
        <w:pStyle w:val="Heading4"/>
      </w:pPr>
      <w:bookmarkStart w:id="36" w:name="_Toc272414601"/>
      <w:bookmarkStart w:id="37" w:name="_Toc290846223"/>
      <w:bookmarkStart w:id="38" w:name="_Toc299195955"/>
      <w:r>
        <w:t>Clinical rationale</w:t>
      </w:r>
      <w:bookmarkEnd w:id="36"/>
      <w:bookmarkEnd w:id="37"/>
      <w:bookmarkEnd w:id="38"/>
    </w:p>
    <w:p w:rsidR="00F74AD9" w:rsidRDefault="00F74AD9" w:rsidP="00F74AD9">
      <w:r>
        <w:t xml:space="preserve">The </w:t>
      </w:r>
      <w:r w:rsidRPr="008D5914">
        <w:rPr>
          <w:i/>
        </w:rPr>
        <w:t>Clinical Overview</w:t>
      </w:r>
      <w:r>
        <w:t xml:space="preserve"> states (at page 10):</w:t>
      </w:r>
    </w:p>
    <w:p w:rsidR="00F74AD9" w:rsidRPr="00F74AD9" w:rsidRDefault="00F74AD9" w:rsidP="00E94090">
      <w:pPr>
        <w:ind w:left="720"/>
      </w:pPr>
      <w:r w:rsidRPr="00F74AD9">
        <w:t>"For administration of remifentanil by TCI</w:t>
      </w:r>
      <w:r w:rsidR="00A720D3">
        <w:t>,</w:t>
      </w:r>
      <w:r w:rsidRPr="00F74AD9">
        <w:t xml:space="preserve"> no change in the use of remifentanil in anaesthesia is proposed but additional guidance is required to translate current information on infusion rates (mcg/kg/min) into equivalent target blood concentration settings (ng/ml). The amount of remifentanil delivered at a particular target setting can vary depending on the </w:t>
      </w:r>
      <w:r w:rsidR="00B131CA">
        <w:t>PK</w:t>
      </w:r>
      <w:r w:rsidRPr="00F74AD9">
        <w:t xml:space="preserve"> model incorporated in a TCI pump (...). This occurs because within the range of published parameters there are some differences in the estimates of volumes of distribution and clearance of remifentanil. By recommending a particular </w:t>
      </w:r>
      <w:r w:rsidR="00B131CA">
        <w:t>PK</w:t>
      </w:r>
      <w:r w:rsidRPr="00F74AD9">
        <w:t xml:space="preserve"> model for remifentanil for incorporation in all commercial TCI systems, standardisation of delivery of remifentanil by TCI will be achieved. Guidance on recommended target concentration settings for remifentanil in the SPC can then be linked to the delivery of remifentanil by these TCI systems."</w:t>
      </w:r>
    </w:p>
    <w:p w:rsidR="00F74AD9" w:rsidRDefault="00F74AD9" w:rsidP="00F74AD9">
      <w:pPr>
        <w:pStyle w:val="Heading5"/>
      </w:pPr>
      <w:r>
        <w:t>Comment</w:t>
      </w:r>
    </w:p>
    <w:p w:rsidR="00F74AD9" w:rsidRDefault="00F74AD9" w:rsidP="00F74AD9">
      <w:r>
        <w:t xml:space="preserve">Apart from the implication that administration using unspecified unevaluated TCI hardware and </w:t>
      </w:r>
      <w:r w:rsidRPr="00280B08">
        <w:t xml:space="preserve">software involves "no change in the use of remifentanil in anaesthesia", </w:t>
      </w:r>
      <w:r w:rsidR="00C05E72">
        <w:t>the clinical evaluator agree</w:t>
      </w:r>
      <w:r w:rsidR="00A95BB6">
        <w:t>d</w:t>
      </w:r>
      <w:r w:rsidRPr="00280B08">
        <w:t xml:space="preserve"> with this. However, it is</w:t>
      </w:r>
      <w:r>
        <w:t xml:space="preserve"> difficult to reconcile the above text with the material actually presented in the dossier. I would have expected an appropriate dossier to include:</w:t>
      </w:r>
    </w:p>
    <w:p w:rsidR="00F74AD9" w:rsidRDefault="00DD56EA" w:rsidP="004F27D1">
      <w:pPr>
        <w:numPr>
          <w:ilvl w:val="0"/>
          <w:numId w:val="15"/>
        </w:numPr>
      </w:pPr>
      <w:r>
        <w:t xml:space="preserve">Information on development of </w:t>
      </w:r>
      <w:r w:rsidR="00F74AD9">
        <w:t xml:space="preserve">an appropriate algorithm for use in a TCI device, using </w:t>
      </w:r>
      <w:r w:rsidR="00B131CA">
        <w:t>PK</w:t>
      </w:r>
      <w:r w:rsidR="00A720D3">
        <w:t xml:space="preserve"> and </w:t>
      </w:r>
      <w:r w:rsidR="00B131CA">
        <w:t>PD</w:t>
      </w:r>
      <w:r w:rsidR="00A720D3">
        <w:t xml:space="preserve"> data;</w:t>
      </w:r>
    </w:p>
    <w:p w:rsidR="00F74AD9" w:rsidRDefault="00F74AD9" w:rsidP="004F27D1">
      <w:pPr>
        <w:numPr>
          <w:ilvl w:val="0"/>
          <w:numId w:val="15"/>
        </w:numPr>
      </w:pPr>
      <w:r>
        <w:t>Detailed results obtained from testing of that algorithm extensively against other data, in patients wi</w:t>
      </w:r>
      <w:r w:rsidR="00A720D3">
        <w:t>th a variety of characteristics;</w:t>
      </w:r>
    </w:p>
    <w:p w:rsidR="00F74AD9" w:rsidRDefault="00F74AD9" w:rsidP="004F27D1">
      <w:pPr>
        <w:numPr>
          <w:ilvl w:val="0"/>
          <w:numId w:val="15"/>
        </w:numPr>
      </w:pPr>
      <w:r>
        <w:t>Information on a specific branded injection device (or devices) in which the algorithm had been implemented. This would include an account of a</w:t>
      </w:r>
      <w:r w:rsidR="00A720D3">
        <w:t xml:space="preserve">ny rate limiting and cumulative </w:t>
      </w:r>
      <w:r>
        <w:t>dose limiting feature</w:t>
      </w:r>
      <w:r w:rsidR="00A720D3">
        <w:t>s in both software and hardware; and</w:t>
      </w:r>
    </w:p>
    <w:p w:rsidR="00F74AD9" w:rsidRDefault="00F74AD9" w:rsidP="004F27D1">
      <w:pPr>
        <w:numPr>
          <w:ilvl w:val="0"/>
          <w:numId w:val="15"/>
        </w:numPr>
      </w:pPr>
      <w:r>
        <w:t xml:space="preserve">Detailed efficacy, safety, </w:t>
      </w:r>
      <w:r w:rsidR="00B131CA">
        <w:t>PK</w:t>
      </w:r>
      <w:r>
        <w:t xml:space="preserve"> and </w:t>
      </w:r>
      <w:r w:rsidR="00B131CA">
        <w:t>PD</w:t>
      </w:r>
      <w:r w:rsidR="00A720D3">
        <w:t xml:space="preserve"> results from use of the device/</w:t>
      </w:r>
      <w:r>
        <w:t>Ultiva combination in anaesthetic practice, involving several hundred patients, preferably including some randomised trial data.</w:t>
      </w:r>
    </w:p>
    <w:p w:rsidR="00F74AD9" w:rsidRDefault="00F74AD9" w:rsidP="00F74AD9">
      <w:r>
        <w:t xml:space="preserve">It may be the case that TCI devices </w:t>
      </w:r>
      <w:r w:rsidR="00A720D3">
        <w:t xml:space="preserve">are not subject to detailed pre </w:t>
      </w:r>
      <w:r>
        <w:t>marketing evaluation. However, if the sponsor of Ultiva wishes to make PI claims relating to administration of the drug by TCI, I believe relevant data must be provided.</w:t>
      </w:r>
    </w:p>
    <w:p w:rsidR="00317CE8" w:rsidRDefault="00D57A1E" w:rsidP="00317CE8">
      <w:pPr>
        <w:pStyle w:val="Heading4"/>
      </w:pPr>
      <w:bookmarkStart w:id="39" w:name="_Toc290846235"/>
      <w:bookmarkStart w:id="40" w:name="_Toc299195963"/>
      <w:r>
        <w:br w:type="page"/>
      </w:r>
      <w:r w:rsidR="00317CE8">
        <w:lastRenderedPageBreak/>
        <w:t>Paediatric data</w:t>
      </w:r>
      <w:bookmarkEnd w:id="39"/>
      <w:bookmarkEnd w:id="40"/>
    </w:p>
    <w:p w:rsidR="00317CE8" w:rsidRDefault="00317CE8" w:rsidP="00317CE8">
      <w:r>
        <w:t>The submission did not include paediatric data.</w:t>
      </w:r>
    </w:p>
    <w:p w:rsidR="00317CE8" w:rsidRDefault="00317CE8" w:rsidP="00317CE8">
      <w:pPr>
        <w:pStyle w:val="Heading4"/>
      </w:pPr>
      <w:bookmarkStart w:id="41" w:name="_Toc272414612"/>
      <w:bookmarkStart w:id="42" w:name="_Toc290846236"/>
      <w:bookmarkStart w:id="43" w:name="_Toc299195964"/>
      <w:r>
        <w:t>Good clinical practice</w:t>
      </w:r>
      <w:bookmarkEnd w:id="41"/>
      <w:bookmarkEnd w:id="42"/>
      <w:bookmarkEnd w:id="43"/>
    </w:p>
    <w:p w:rsidR="00317CE8" w:rsidRDefault="00317CE8" w:rsidP="00317CE8">
      <w:r>
        <w:t xml:space="preserve">From the </w:t>
      </w:r>
      <w:r w:rsidRPr="00392608">
        <w:rPr>
          <w:i/>
        </w:rPr>
        <w:t>Clinical Overview</w:t>
      </w:r>
      <w:r>
        <w:t>:</w:t>
      </w:r>
    </w:p>
    <w:p w:rsidR="00317CE8" w:rsidRDefault="00317CE8" w:rsidP="004F27D1">
      <w:pPr>
        <w:numPr>
          <w:ilvl w:val="0"/>
          <w:numId w:val="16"/>
        </w:numPr>
      </w:pPr>
      <w:r>
        <w:t>Studies USA-103 and USA-220 were compliant wi</w:t>
      </w:r>
      <w:r w:rsidR="00A720D3">
        <w:t>th GCP and ethical requirements;</w:t>
      </w:r>
    </w:p>
    <w:p w:rsidR="007454E7" w:rsidRPr="00B57788" w:rsidRDefault="00317CE8" w:rsidP="004F27D1">
      <w:pPr>
        <w:numPr>
          <w:ilvl w:val="0"/>
          <w:numId w:val="16"/>
        </w:numPr>
      </w:pPr>
      <w:r>
        <w:t>Of the 27 published articles, 23 noted approval by Ethics Committee or Institutional Review Board.</w:t>
      </w:r>
    </w:p>
    <w:p w:rsidR="008E7846" w:rsidRPr="00254787" w:rsidRDefault="008E7846" w:rsidP="008E7846">
      <w:pPr>
        <w:pStyle w:val="Heading3"/>
      </w:pPr>
      <w:bookmarkStart w:id="44" w:name="_Toc196046464"/>
      <w:bookmarkStart w:id="45" w:name="_Toc247691518"/>
      <w:bookmarkStart w:id="46" w:name="_Toc314842502"/>
      <w:bookmarkStart w:id="47" w:name="_Toc347231103"/>
      <w:r w:rsidRPr="00254787">
        <w:t>Pharmacokinetics</w:t>
      </w:r>
      <w:bookmarkEnd w:id="28"/>
      <w:bookmarkEnd w:id="44"/>
      <w:bookmarkEnd w:id="45"/>
      <w:bookmarkEnd w:id="46"/>
      <w:bookmarkEnd w:id="47"/>
    </w:p>
    <w:p w:rsidR="0033005F" w:rsidRDefault="0033005F" w:rsidP="0033005F">
      <w:pPr>
        <w:pStyle w:val="Heading4"/>
      </w:pPr>
      <w:bookmarkStart w:id="48" w:name="_Ref271017296"/>
      <w:bookmarkStart w:id="49" w:name="_Ref271018924"/>
      <w:bookmarkStart w:id="50" w:name="_Ref271018934"/>
      <w:bookmarkStart w:id="51" w:name="_Toc272414614"/>
      <w:bookmarkStart w:id="52" w:name="_Toc290846238"/>
      <w:bookmarkStart w:id="53" w:name="_Toc299195966"/>
      <w:r>
        <w:t>Studies</w:t>
      </w:r>
      <w:bookmarkEnd w:id="48"/>
      <w:bookmarkEnd w:id="49"/>
      <w:bookmarkEnd w:id="50"/>
      <w:r>
        <w:t xml:space="preserve"> providing </w:t>
      </w:r>
      <w:r w:rsidR="00C70E1C">
        <w:t>PK</w:t>
      </w:r>
      <w:r>
        <w:t xml:space="preserve"> data</w:t>
      </w:r>
      <w:bookmarkEnd w:id="51"/>
      <w:bookmarkEnd w:id="52"/>
      <w:bookmarkEnd w:id="53"/>
    </w:p>
    <w:p w:rsidR="0033005F" w:rsidRDefault="0033005F" w:rsidP="0033005F">
      <w:r>
        <w:t xml:space="preserve">Presentation of </w:t>
      </w:r>
      <w:r w:rsidR="00B131CA">
        <w:t>PK</w:t>
      </w:r>
      <w:r>
        <w:t xml:space="preserve"> data was not a central aspect of the submission, although many of the studies which were included in the dossier included </w:t>
      </w:r>
      <w:r w:rsidR="00AC1C6B">
        <w:t xml:space="preserve">PK </w:t>
      </w:r>
      <w:r>
        <w:t>c</w:t>
      </w:r>
      <w:r w:rsidR="00114E1C">
        <w:t xml:space="preserve">omponents. See </w:t>
      </w:r>
      <w:r w:rsidR="00114E1C" w:rsidRPr="00114E1C">
        <w:rPr>
          <w:i/>
        </w:rPr>
        <w:t xml:space="preserve">Clinical Overview material relating to </w:t>
      </w:r>
      <w:r w:rsidR="00AC1C6B">
        <w:rPr>
          <w:i/>
        </w:rPr>
        <w:t>PK</w:t>
      </w:r>
      <w:r w:rsidR="00114E1C" w:rsidRPr="00114E1C">
        <w:t xml:space="preserve"> </w:t>
      </w:r>
      <w:r>
        <w:t xml:space="preserve">and </w:t>
      </w:r>
      <w:r w:rsidR="00114E1C" w:rsidRPr="00114E1C">
        <w:rPr>
          <w:i/>
        </w:rPr>
        <w:t>Safety</w:t>
      </w:r>
      <w:r w:rsidR="00114E1C">
        <w:t xml:space="preserve"> sections</w:t>
      </w:r>
      <w:r>
        <w:t>, below.</w:t>
      </w:r>
    </w:p>
    <w:p w:rsidR="00926784" w:rsidRDefault="00926784" w:rsidP="00926784">
      <w:pPr>
        <w:pStyle w:val="Heading4"/>
      </w:pPr>
      <w:bookmarkStart w:id="54" w:name="_Ref269118175"/>
      <w:bookmarkStart w:id="55" w:name="_Toc272414616"/>
      <w:bookmarkStart w:id="56" w:name="_Toc290846239"/>
      <w:bookmarkStart w:id="57" w:name="_Toc299195967"/>
      <w:r>
        <w:t xml:space="preserve">Summary of </w:t>
      </w:r>
      <w:bookmarkEnd w:id="54"/>
      <w:bookmarkEnd w:id="55"/>
      <w:bookmarkEnd w:id="56"/>
      <w:bookmarkEnd w:id="57"/>
      <w:r w:rsidR="00AC1C6B">
        <w:t>PK</w:t>
      </w:r>
    </w:p>
    <w:p w:rsidR="00926784" w:rsidRDefault="00926784" w:rsidP="00926784">
      <w:r>
        <w:t>Not applicable.</w:t>
      </w:r>
    </w:p>
    <w:p w:rsidR="00926784" w:rsidRDefault="00926784" w:rsidP="00926784">
      <w:pPr>
        <w:pStyle w:val="Heading4"/>
      </w:pPr>
      <w:bookmarkStart w:id="58" w:name="_Toc299195968"/>
      <w:r>
        <w:t xml:space="preserve">Clinical Overview material relating to </w:t>
      </w:r>
      <w:bookmarkEnd w:id="58"/>
      <w:r w:rsidR="00AC1C6B">
        <w:t>PK</w:t>
      </w:r>
    </w:p>
    <w:p w:rsidR="00926784" w:rsidRDefault="00926784" w:rsidP="00926784">
      <w:pPr>
        <w:spacing w:after="60"/>
      </w:pPr>
      <w:r>
        <w:t>The Clinica</w:t>
      </w:r>
      <w:r w:rsidR="004A4DCD">
        <w:t>l Overview makes the following two</w:t>
      </w:r>
      <w:r>
        <w:t xml:space="preserve"> points at the beginning of its </w:t>
      </w:r>
      <w:r w:rsidRPr="004A4DCD">
        <w:rPr>
          <w:i/>
        </w:rPr>
        <w:t>Clinical Pharmacology</w:t>
      </w:r>
      <w:r w:rsidR="004A4DCD">
        <w:t xml:space="preserve"> section</w:t>
      </w:r>
      <w:r>
        <w:t>:</w:t>
      </w:r>
    </w:p>
    <w:p w:rsidR="00926784" w:rsidRDefault="00926784" w:rsidP="004F27D1">
      <w:pPr>
        <w:numPr>
          <w:ilvl w:val="0"/>
          <w:numId w:val="17"/>
        </w:numPr>
      </w:pPr>
      <w:r>
        <w:t xml:space="preserve">It is desirable to recommend a particular </w:t>
      </w:r>
      <w:r w:rsidR="00B131CA">
        <w:t>PK</w:t>
      </w:r>
      <w:r>
        <w:t xml:space="preserve"> model for the administration of remifentanil by TCI to ensure standardisation in the amount of remifentanil delivered at a particular target setting.</w:t>
      </w:r>
    </w:p>
    <w:p w:rsidR="00926784" w:rsidRDefault="00926784" w:rsidP="004F27D1">
      <w:pPr>
        <w:numPr>
          <w:ilvl w:val="0"/>
          <w:numId w:val="17"/>
        </w:numPr>
      </w:pPr>
      <w:r>
        <w:t xml:space="preserve">The </w:t>
      </w:r>
      <w:r w:rsidR="00B131CA">
        <w:t>PK</w:t>
      </w:r>
      <w:r>
        <w:t xml:space="preserve"> model described by Minto incorporating covariate</w:t>
      </w:r>
      <w:r w:rsidR="00E21BC6">
        <w:t>s for age and LBM</w:t>
      </w:r>
      <w:r w:rsidR="00E21BC6">
        <w:rPr>
          <w:rStyle w:val="FootnoteReference"/>
        </w:rPr>
        <w:footnoteReference w:id="4"/>
      </w:r>
      <w:r>
        <w:t xml:space="preserve"> is recommended as this model has been used in the majority of published studies, offers improved individualisation of dosage and has been shown to predict measured concentrations with an acceptable degree of accuracy.</w:t>
      </w:r>
    </w:p>
    <w:p w:rsidR="00C05E72" w:rsidRDefault="00C05E72" w:rsidP="00926784">
      <w:r>
        <w:t xml:space="preserve">The clinical evaluator </w:t>
      </w:r>
      <w:r w:rsidR="00926784">
        <w:t>agree</w:t>
      </w:r>
      <w:r w:rsidR="00A95BB6">
        <w:t>d</w:t>
      </w:r>
      <w:r w:rsidR="00926784">
        <w:t xml:space="preserve"> with the first of these, and would go f</w:t>
      </w:r>
      <w:r>
        <w:t>urther, rephrasing the point as:</w:t>
      </w:r>
    </w:p>
    <w:p w:rsidR="00926784" w:rsidRDefault="00926784" w:rsidP="00C05E72">
      <w:pPr>
        <w:ind w:left="720"/>
      </w:pPr>
      <w:r>
        <w:t>"It is desirable that TCIs accurately achieve the outcom</w:t>
      </w:r>
      <w:r w:rsidR="00C05E72">
        <w:t xml:space="preserve">es implied by their </w:t>
      </w:r>
      <w:r>
        <w:t>settings".</w:t>
      </w:r>
    </w:p>
    <w:p w:rsidR="00926784" w:rsidRDefault="00334B4B" w:rsidP="00926784">
      <w:r>
        <w:t xml:space="preserve">The clinical evaluator </w:t>
      </w:r>
      <w:r w:rsidR="00926784">
        <w:t>disagree</w:t>
      </w:r>
      <w:r w:rsidR="00A95BB6">
        <w:t>d</w:t>
      </w:r>
      <w:r w:rsidR="00926784">
        <w:t xml:space="preserve"> with the first </w:t>
      </w:r>
      <w:r w:rsidR="00E21BC6">
        <w:t>two</w:t>
      </w:r>
      <w:r w:rsidR="00926784">
        <w:t xml:space="preserve"> lines of the second point. Whether Minto's model has been used in a majority of relevant published studies cannot be ascertained from the</w:t>
      </w:r>
      <w:r w:rsidR="00A95BB6">
        <w:t xml:space="preserve"> contents of this dossier. It was opined that</w:t>
      </w:r>
      <w:r w:rsidR="00926784">
        <w:t xml:space="preserve"> scientific truth is not a matter for democratic decision − particularly when the collection of articles available is not the product of a systematic search. The pitfalls are readily illustrated </w:t>
      </w:r>
      <w:r w:rsidR="00E21BC6">
        <w:t>in</w:t>
      </w:r>
      <w:r w:rsidR="00926784">
        <w:t xml:space="preserve"> the </w:t>
      </w:r>
      <w:r w:rsidR="00926784" w:rsidRPr="00AB49AE">
        <w:rPr>
          <w:i/>
        </w:rPr>
        <w:t>Clinical Overview</w:t>
      </w:r>
      <w:r w:rsidR="00926784">
        <w:t xml:space="preserve"> where (for example) some </w:t>
      </w:r>
      <w:r w:rsidR="00B131CA">
        <w:t>PK</w:t>
      </w:r>
      <w:r w:rsidR="00E21BC6">
        <w:t xml:space="preserve"> values published by</w:t>
      </w:r>
      <w:r w:rsidR="00926784">
        <w:t xml:space="preserve"> Kapila </w:t>
      </w:r>
      <w:r w:rsidR="00E21BC6">
        <w:t>and colleagues</w:t>
      </w:r>
      <w:r w:rsidR="00E21BC6">
        <w:rPr>
          <w:rStyle w:val="FootnoteReference"/>
        </w:rPr>
        <w:footnoteReference w:id="5"/>
      </w:r>
      <w:r w:rsidR="00926784">
        <w:t xml:space="preserve"> are </w:t>
      </w:r>
      <w:r w:rsidR="00020F9F">
        <w:lastRenderedPageBreak/>
        <w:t>reproduced</w:t>
      </w:r>
      <w:r w:rsidR="00DE7B14">
        <w:t xml:space="preserve"> that</w:t>
      </w:r>
      <w:r w:rsidR="00020F9F">
        <w:t xml:space="preserve"> include </w:t>
      </w:r>
      <w:r w:rsidR="00926784">
        <w:t>the value</w:t>
      </w:r>
      <w:r w:rsidR="00DE7B14">
        <w:t xml:space="preserve">s </w:t>
      </w:r>
      <w:r w:rsidR="00E21BC6">
        <w:t>printed in that article; h</w:t>
      </w:r>
      <w:r w:rsidR="00926784">
        <w:t>owever, they are simply introduced at the beginning of the a</w:t>
      </w:r>
      <w:r w:rsidR="00E21BC6">
        <w:t xml:space="preserve">rticle (and used in the study), their </w:t>
      </w:r>
      <w:r w:rsidR="00926784">
        <w:t>origin is not revealed. The point, of course, is that Minto's model should be judged on whether it leads to accurate results.</w:t>
      </w:r>
    </w:p>
    <w:p w:rsidR="00926784" w:rsidRDefault="00926784" w:rsidP="00926784">
      <w:pPr>
        <w:pStyle w:val="Heading5"/>
      </w:pPr>
      <w:bookmarkStart w:id="59" w:name="_Toc299195969"/>
      <w:r>
        <w:t xml:space="preserve">Clinical Overview − </w:t>
      </w:r>
      <w:r w:rsidR="00B131CA">
        <w:t>PK</w:t>
      </w:r>
      <w:r>
        <w:t xml:space="preserve"> of r</w:t>
      </w:r>
      <w:r w:rsidRPr="00364E00">
        <w:t>emifentanil</w:t>
      </w:r>
      <w:bookmarkEnd w:id="59"/>
    </w:p>
    <w:p w:rsidR="000803D8" w:rsidRDefault="00926784" w:rsidP="00926784">
      <w:r>
        <w:t xml:space="preserve">Data on specific </w:t>
      </w:r>
      <w:r w:rsidR="00B131CA">
        <w:t>PK</w:t>
      </w:r>
      <w:r>
        <w:t xml:space="preserve"> values contained in the published set of articles are mostly of little interest. They cannot replace evaluated data from detailed study reports, and cannot be relied upon, as explained abo</w:t>
      </w:r>
      <w:r w:rsidR="00E21BC6">
        <w:t>ve. The article by Minto and colleagues</w:t>
      </w:r>
      <w:r w:rsidR="00E21BC6">
        <w:rPr>
          <w:rStyle w:val="FootnoteReference"/>
        </w:rPr>
        <w:footnoteReference w:id="6"/>
      </w:r>
      <w:r w:rsidR="00E21BC6">
        <w:t xml:space="preserve"> </w:t>
      </w:r>
      <w:r>
        <w:t>is</w:t>
      </w:r>
      <w:r w:rsidR="00E21BC6">
        <w:t xml:space="preserve"> potentially of major interest be</w:t>
      </w:r>
      <w:r>
        <w:t>cause the proposed PI amendment gives it special status</w:t>
      </w:r>
      <w:r w:rsidR="000803D8">
        <w:t>. Also, the sponsor claims that:</w:t>
      </w:r>
    </w:p>
    <w:p w:rsidR="00926784" w:rsidRPr="00364E00" w:rsidRDefault="00926784" w:rsidP="000803D8">
      <w:pPr>
        <w:ind w:left="720"/>
      </w:pPr>
      <w:r w:rsidRPr="00364E00">
        <w:t xml:space="preserve">"The </w:t>
      </w:r>
      <w:r w:rsidR="00B131CA">
        <w:t>PK</w:t>
      </w:r>
      <w:r w:rsidRPr="00364E00">
        <w:t xml:space="preserve"> model described by Minto incorporating covariates for age and LBM ... has been shown to predict measured concentrations with an acceptable degree of accuracy".</w:t>
      </w:r>
    </w:p>
    <w:p w:rsidR="00926784" w:rsidRPr="00A01896" w:rsidRDefault="00926784" w:rsidP="00926784">
      <w:pPr>
        <w:pStyle w:val="Heading6"/>
      </w:pPr>
      <w:bookmarkStart w:id="60" w:name="_Toc299195970"/>
      <w:r w:rsidRPr="00A01896">
        <w:t>Study of Minto et al. (1997)</w:t>
      </w:r>
      <w:bookmarkEnd w:id="60"/>
      <w:r w:rsidR="008E7840">
        <w:rPr>
          <w:rStyle w:val="FootnoteReference"/>
        </w:rPr>
        <w:footnoteReference w:id="7"/>
      </w:r>
    </w:p>
    <w:p w:rsidR="00926784" w:rsidRDefault="00926784" w:rsidP="00926784">
      <w:r>
        <w:t>Thi</w:t>
      </w:r>
      <w:r w:rsidR="008E7840">
        <w:t xml:space="preserve">s </w:t>
      </w:r>
      <w:r>
        <w:t>was a s</w:t>
      </w:r>
      <w:r w:rsidR="00095BE6">
        <w:t>tudy of 65 normal subjects (38 males</w:t>
      </w:r>
      <w:r>
        <w:t xml:space="preserve"> </w:t>
      </w:r>
      <w:r w:rsidR="00095BE6">
        <w:t>and 27 females,</w:t>
      </w:r>
      <w:r>
        <w:t xml:space="preserve"> age</w:t>
      </w:r>
      <w:r w:rsidR="00095BE6">
        <w:t>s</w:t>
      </w:r>
      <w:r>
        <w:t xml:space="preserve"> 20-85), each of whom re</w:t>
      </w:r>
      <w:r w:rsidR="00095BE6">
        <w:t xml:space="preserve">ceived remifentanil by constant </w:t>
      </w:r>
      <w:r>
        <w:t xml:space="preserve">rate infusion of 1-8 µg/kg/min for 4-20 min. </w:t>
      </w:r>
      <w:r w:rsidR="00095BE6">
        <w:t>B</w:t>
      </w:r>
      <w:r>
        <w:t>lood samples we</w:t>
      </w:r>
      <w:r w:rsidR="00095BE6">
        <w:t>re frequently drawn for remifentanil assay</w:t>
      </w:r>
      <w:r>
        <w:t xml:space="preserve"> and </w:t>
      </w:r>
      <w:r w:rsidR="00B131CA">
        <w:t>PD</w:t>
      </w:r>
      <w:r>
        <w:t xml:space="preserve"> observations were made. Population </w:t>
      </w:r>
      <w:r w:rsidR="00B131CA">
        <w:t>PK</w:t>
      </w:r>
      <w:r>
        <w:t xml:space="preserve"> and </w:t>
      </w:r>
      <w:r w:rsidR="00B131CA">
        <w:t>PD</w:t>
      </w:r>
      <w:r>
        <w:t xml:space="preserve"> modelling was performed using the software package NONMEM. It was found that the </w:t>
      </w:r>
      <w:r w:rsidR="00B131CA">
        <w:t>PK</w:t>
      </w:r>
      <w:r w:rsidR="000C2377">
        <w:t xml:space="preserve"> were best described using a three compartment (rather than a two </w:t>
      </w:r>
      <w:r>
        <w:t>compartment) model. Several covariates (age, gender, weight, height, body surface area, lean body mass) were examined for significance using a generalised additive model, a</w:t>
      </w:r>
      <w:r w:rsidR="000C2377">
        <w:t>nd both age and LBM</w:t>
      </w:r>
      <w:r>
        <w:t xml:space="preserve"> were found to be significant, where LBM was estimated as follows from gender, weight (kg) and height (cm):</w:t>
      </w:r>
    </w:p>
    <w:p w:rsidR="00926784" w:rsidRPr="00926784" w:rsidRDefault="00926784" w:rsidP="00926784">
      <w:pPr>
        <w:ind w:left="720"/>
      </w:pPr>
      <w:r w:rsidRPr="00926784">
        <w:t>Males:          LBM = 1.1 x weight - 128 x (weight/height)</w:t>
      </w:r>
      <w:r w:rsidRPr="00926784">
        <w:rPr>
          <w:vertAlign w:val="superscript"/>
        </w:rPr>
        <w:t>2</w:t>
      </w:r>
    </w:p>
    <w:p w:rsidR="00926784" w:rsidRPr="00EF028B" w:rsidRDefault="00926784" w:rsidP="00926784">
      <w:pPr>
        <w:ind w:left="720"/>
        <w:rPr>
          <w:sz w:val="20"/>
          <w:szCs w:val="20"/>
        </w:rPr>
      </w:pPr>
      <w:r w:rsidRPr="00926784">
        <w:t>Females:     LBM = 1.07 x weight - 148 x (weight/height)</w:t>
      </w:r>
      <w:r w:rsidRPr="00926784">
        <w:rPr>
          <w:vertAlign w:val="superscript"/>
        </w:rPr>
        <w:t>2</w:t>
      </w:r>
    </w:p>
    <w:p w:rsidR="00926784" w:rsidRDefault="00926784" w:rsidP="00926784">
      <w:r>
        <w:t>Although the predictive performances of the selected models were tested on a further 15 normal subjects,</w:t>
      </w:r>
      <w:r w:rsidR="000C2377">
        <w:t xml:space="preserve"> no numerical data on predicted versus </w:t>
      </w:r>
      <w:r>
        <w:t>measured drug blood concentrations were reported.</w:t>
      </w:r>
    </w:p>
    <w:p w:rsidR="00926784" w:rsidRDefault="00926784" w:rsidP="00926784">
      <w:pPr>
        <w:pStyle w:val="Heading6"/>
      </w:pPr>
      <w:bookmarkStart w:id="61" w:name="_Toc299195971"/>
      <w:r>
        <w:t xml:space="preserve">Comment on </w:t>
      </w:r>
      <w:r w:rsidRPr="00351DFA">
        <w:t>Clinica</w:t>
      </w:r>
      <w:r w:rsidR="000C2377">
        <w:t xml:space="preserve">l Overview – </w:t>
      </w:r>
      <w:r w:rsidR="00B131CA">
        <w:t>PK</w:t>
      </w:r>
      <w:r w:rsidR="000C2377">
        <w:t xml:space="preserve"> of r</w:t>
      </w:r>
      <w:r>
        <w:t>emifentanil</w:t>
      </w:r>
      <w:bookmarkEnd w:id="61"/>
    </w:p>
    <w:p w:rsidR="00C90CF3" w:rsidRDefault="00926784" w:rsidP="00926784">
      <w:r>
        <w:t xml:space="preserve">As </w:t>
      </w:r>
      <w:r w:rsidR="000C2377">
        <w:t>the sponsor notes</w:t>
      </w:r>
      <w:r w:rsidR="00C90CF3">
        <w:t>:</w:t>
      </w:r>
    </w:p>
    <w:p w:rsidR="00C90CF3" w:rsidRPr="00C90CF3" w:rsidRDefault="00926784" w:rsidP="00C90CF3">
      <w:pPr>
        <w:ind w:left="720"/>
      </w:pPr>
      <w:r w:rsidRPr="00C90CF3">
        <w:t xml:space="preserve">"With TCI systems, the amount of drug delivered at a particular target setting is dependent on the parameters of the </w:t>
      </w:r>
      <w:r w:rsidR="00B131CA">
        <w:t>PK</w:t>
      </w:r>
      <w:r w:rsidRPr="00C90CF3">
        <w:t xml:space="preserve"> model incorporated in the pump."</w:t>
      </w:r>
    </w:p>
    <w:p w:rsidR="00926784" w:rsidRDefault="00926784" w:rsidP="00926784">
      <w:r>
        <w:t xml:space="preserve">It is also dependent on </w:t>
      </w:r>
      <w:r w:rsidR="000C2377">
        <w:t xml:space="preserve">the algorithm used by the pump (that is, </w:t>
      </w:r>
      <w:r>
        <w:t>the way in which the associated software uses the model to govern infusion rates). Much of the discussion relating to different (specified) models is beside the point in the absence of information on the sofware and hardware to be used. Most of the text is not interpretable in th</w:t>
      </w:r>
      <w:r w:rsidR="000C2377">
        <w:t xml:space="preserve">e absence of the cited document, </w:t>
      </w:r>
      <w:r w:rsidR="00B131CA">
        <w:rPr>
          <w:i/>
        </w:rPr>
        <w:t>PK</w:t>
      </w:r>
      <w:r w:rsidRPr="00D5630F">
        <w:rPr>
          <w:i/>
        </w:rPr>
        <w:t xml:space="preserve"> Simulation Report</w:t>
      </w:r>
      <w:r>
        <w:t>.</w:t>
      </w:r>
    </w:p>
    <w:p w:rsidR="00926784" w:rsidRDefault="00926784" w:rsidP="00926784">
      <w:r>
        <w:t>Predictive performance is discussed, commencing with the assertion:</w:t>
      </w:r>
    </w:p>
    <w:p w:rsidR="00926784" w:rsidRPr="00926784" w:rsidRDefault="00926784" w:rsidP="00926784">
      <w:pPr>
        <w:spacing w:before="60" w:after="60"/>
        <w:ind w:left="720"/>
      </w:pPr>
      <w:r w:rsidRPr="00926784">
        <w:t>"For the performance of a TCI system to be clinically acceptable, it has been proposed that the difference between measured drug concentrations and those ca</w:t>
      </w:r>
      <w:r w:rsidR="008C2D70">
        <w:t>lculated by the TCI system, that is,</w:t>
      </w:r>
      <w:r w:rsidRPr="00926784">
        <w:t xml:space="preserve"> the bias of</w:t>
      </w:r>
      <w:r w:rsidR="008C2D70">
        <w:t xml:space="preserve"> the system (</w:t>
      </w:r>
      <w:r w:rsidRPr="00926784">
        <w:t xml:space="preserve">MDPE), should be no </w:t>
      </w:r>
      <w:r w:rsidRPr="00926784">
        <w:lastRenderedPageBreak/>
        <w:t xml:space="preserve">greater than ± 10 to 20% and that inaccuracy, (MDAPE, independent of arithmetic sign), should be no greater </w:t>
      </w:r>
      <w:r w:rsidR="008C2D70">
        <w:t>than 20 to 30%</w:t>
      </w:r>
      <w:r w:rsidRPr="00926784">
        <w:t>.</w:t>
      </w:r>
      <w:r w:rsidR="008C2D70">
        <w:rPr>
          <w:rStyle w:val="FootnoteReference"/>
        </w:rPr>
        <w:footnoteReference w:id="8"/>
      </w:r>
      <w:r w:rsidRPr="00926784">
        <w:t>"</w:t>
      </w:r>
      <w:r w:rsidR="008C2D70" w:rsidRPr="008C2D70">
        <w:t xml:space="preserve"> </w:t>
      </w:r>
    </w:p>
    <w:p w:rsidR="00926784" w:rsidRDefault="00926784" w:rsidP="00926784">
      <w:pPr>
        <w:spacing w:before="60" w:after="60"/>
      </w:pPr>
      <w:r>
        <w:t xml:space="preserve">The opinion of </w:t>
      </w:r>
      <w:r w:rsidRPr="00E149B9">
        <w:t>Schüttler</w:t>
      </w:r>
      <w:r w:rsidR="00AE15F6">
        <w:t xml:space="preserve"> and colleagues</w:t>
      </w:r>
      <w:r w:rsidR="00AE15F6">
        <w:rPr>
          <w:rStyle w:val="FootnoteReference"/>
        </w:rPr>
        <w:footnoteReference w:id="9"/>
      </w:r>
      <w:r w:rsidR="00AE15F6">
        <w:t xml:space="preserve"> </w:t>
      </w:r>
      <w:r>
        <w:t>as expressed in their article appeared to relate specifically to the drugs they were studying (propofol and alfentanil), and was as follows:</w:t>
      </w:r>
    </w:p>
    <w:p w:rsidR="00926784" w:rsidRPr="00926784" w:rsidRDefault="00926784" w:rsidP="00926784">
      <w:pPr>
        <w:ind w:left="720"/>
      </w:pPr>
      <w:r w:rsidRPr="00926784">
        <w:t>"The performance of the system is acceptable when the mean variation of measured concen</w:t>
      </w:r>
      <w:r w:rsidRPr="00926784">
        <w:softHyphen/>
        <w:t xml:space="preserve">trations around the predicted values is about 20-30% and when the maximal variation does not exceed 50-60%. Under these conditions the blood level selected by the anaesthetist will be achieved </w:t>
      </w:r>
      <w:r w:rsidR="00576141">
        <w:t>in every case. If patient varia</w:t>
      </w:r>
      <w:r w:rsidRPr="00926784">
        <w:t>bility causes deviations of this magnitude</w:t>
      </w:r>
      <w:r w:rsidR="00576141">
        <w:t>,</w:t>
      </w:r>
      <w:r w:rsidRPr="00926784">
        <w:t xml:space="preserve"> the ability of the device to respond allowed the blood level to be adjusted easily and as necessary. The </w:t>
      </w:r>
      <w:r w:rsidR="00B131CA">
        <w:t>PK</w:t>
      </w:r>
      <w:r w:rsidRPr="00926784">
        <w:t xml:space="preserve"> data set provided to the delivery system should be modified, how</w:t>
      </w:r>
      <w:r w:rsidRPr="00926784">
        <w:softHyphen/>
        <w:t>ever, if the variability becomes greater and if the total bias exceeds 10-20%."</w:t>
      </w:r>
    </w:p>
    <w:p w:rsidR="00926784" w:rsidRDefault="00926784" w:rsidP="00926784">
      <w:r>
        <w:t>Details of m</w:t>
      </w:r>
      <w:r w:rsidR="00576141">
        <w:t>ethods in this paper were brief</w:t>
      </w:r>
      <w:r>
        <w:t xml:space="preserve"> and it is not clear how the "pr</w:t>
      </w:r>
      <w:r w:rsidR="00576141">
        <w:t xml:space="preserve">edicted" values were derived. </w:t>
      </w:r>
      <w:r>
        <w:t>I do not know whether there are any agreed standards in these terms for the performance of TCI systems, but as no particular system (model-algorithm-hardware) has been specified in this application, the question appears to be moot.</w:t>
      </w:r>
    </w:p>
    <w:p w:rsidR="00900FBD" w:rsidRDefault="00576141" w:rsidP="00926784">
      <w:r>
        <w:t>The sponsor refers</w:t>
      </w:r>
      <w:r w:rsidR="00926784">
        <w:t xml:space="preserve"> to a comparative study</w:t>
      </w:r>
      <w:r>
        <w:rPr>
          <w:rStyle w:val="FootnoteReference"/>
        </w:rPr>
        <w:footnoteReference w:id="10"/>
      </w:r>
      <w:r w:rsidR="00926784">
        <w:t xml:space="preserve"> </w:t>
      </w:r>
      <w:r w:rsidR="00D73F3E">
        <w:t>of different TCI systems</w:t>
      </w:r>
      <w:r w:rsidR="00926784">
        <w:t xml:space="preserve"> done in 30 women undergoing Caesare</w:t>
      </w:r>
      <w:r w:rsidR="00D73F3E">
        <w:t>an section. In this study, the five</w:t>
      </w:r>
      <w:r w:rsidR="00926784">
        <w:t xml:space="preserve"> </w:t>
      </w:r>
      <w:r w:rsidR="00B131CA">
        <w:t>PK</w:t>
      </w:r>
      <w:r w:rsidR="00926784">
        <w:t xml:space="preserve"> models studied, which incl</w:t>
      </w:r>
      <w:r w:rsidR="00D73F3E">
        <w:t>uded that of Minto and colleagues</w:t>
      </w:r>
      <w:r w:rsidR="00926784">
        <w:t>,</w:t>
      </w:r>
      <w:r w:rsidR="00D73F3E">
        <w:rPr>
          <w:rStyle w:val="FootnoteReference"/>
        </w:rPr>
        <w:footnoteReference w:id="11"/>
      </w:r>
      <w:r w:rsidR="00926784">
        <w:t xml:space="preserve"> and also the algorithm used, were specified. However, although details provided in the article were </w:t>
      </w:r>
      <w:r w:rsidR="00F55F2D">
        <w:t>imprecise</w:t>
      </w:r>
      <w:r w:rsidR="00926784">
        <w:t>, it appears that</w:t>
      </w:r>
      <w:r w:rsidR="00C90CF3">
        <w:t xml:space="preserve"> the trialists' concept of </w:t>
      </w:r>
      <w:r w:rsidR="00926784">
        <w:t xml:space="preserve">"predictive performance" </w:t>
      </w:r>
      <w:r w:rsidR="00F55F2D">
        <w:t xml:space="preserve">effectively </w:t>
      </w:r>
      <w:r w:rsidR="00926784">
        <w:t xml:space="preserve">related only to the </w:t>
      </w:r>
      <w:r w:rsidR="00B131CA">
        <w:t>PK</w:t>
      </w:r>
      <w:r w:rsidR="00926784">
        <w:t xml:space="preserve"> model</w:t>
      </w:r>
      <w:r w:rsidR="00F55F2D">
        <w:t xml:space="preserve">s, not to the whole TCI system. </w:t>
      </w:r>
      <w:r w:rsidR="00926784">
        <w:t>The "predicted" blood concentrations to be compared to actual measurements were der</w:t>
      </w:r>
      <w:r w:rsidR="00900FBD">
        <w:t xml:space="preserve">ived from actual infusion data </w:t>
      </w:r>
      <w:r w:rsidR="00926784">
        <w:t>from which "predicted" concentrations were calculated using the equations derived from each model. The role of the TCI device in the study was not of central importance − in f</w:t>
      </w:r>
      <w:r w:rsidR="00900FBD">
        <w:t xml:space="preserve">act, it appears that in the set </w:t>
      </w:r>
      <w:r w:rsidR="00926784">
        <w:t>up used, the TCI was always controlled on the basis of the Minto model, regardless of the model whose "predictive performance" was being tested.</w:t>
      </w:r>
      <w:r w:rsidR="0078076B">
        <w:t xml:space="preserve"> </w:t>
      </w:r>
      <w:r w:rsidR="00900FBD">
        <w:t>The sponsor remarks that:</w:t>
      </w:r>
    </w:p>
    <w:p w:rsidR="00926784" w:rsidRDefault="00E3475B" w:rsidP="00900FBD">
      <w:pPr>
        <w:ind w:left="720"/>
      </w:pPr>
      <w:r>
        <w:t>"The values obtained with (</w:t>
      </w:r>
      <w:r w:rsidR="00926784">
        <w:t>the 4 models o</w:t>
      </w:r>
      <w:r>
        <w:t>ther than that of Drover and colleagues</w:t>
      </w:r>
      <w:r>
        <w:rPr>
          <w:rStyle w:val="FootnoteReference"/>
        </w:rPr>
        <w:footnoteReference w:id="12"/>
      </w:r>
      <w:r>
        <w:t>)</w:t>
      </w:r>
      <w:r w:rsidR="00926784">
        <w:t xml:space="preserve"> would all meet the performance criteria proposed by </w:t>
      </w:r>
      <w:r w:rsidR="000F6A34">
        <w:t>Schu</w:t>
      </w:r>
      <w:r>
        <w:t>ttler and colleagues</w:t>
      </w:r>
      <w:r>
        <w:rPr>
          <w:rStyle w:val="FootnoteReference"/>
        </w:rPr>
        <w:footnoteReference w:id="13"/>
      </w:r>
      <w:r w:rsidR="00926784">
        <w:t>", but as explained above I have reservations about the general applicability of these criteria.</w:t>
      </w:r>
      <w:r w:rsidR="0078076B">
        <w:t xml:space="preserve"> </w:t>
      </w:r>
      <w:r w:rsidR="00926784">
        <w:t xml:space="preserve"> </w:t>
      </w:r>
    </w:p>
    <w:p w:rsidR="00926784" w:rsidRDefault="00D57A1E" w:rsidP="00926784">
      <w:pPr>
        <w:pStyle w:val="Heading4"/>
      </w:pPr>
      <w:bookmarkStart w:id="62" w:name="_Toc299195972"/>
      <w:r>
        <w:br w:type="page"/>
      </w:r>
      <w:r w:rsidR="00926784">
        <w:lastRenderedPageBreak/>
        <w:t xml:space="preserve">Evaluator’s overall conclusions on </w:t>
      </w:r>
      <w:r w:rsidR="00B131CA">
        <w:t>PK</w:t>
      </w:r>
      <w:bookmarkEnd w:id="62"/>
    </w:p>
    <w:p w:rsidR="00926784" w:rsidRDefault="00D33D88" w:rsidP="00926784">
      <w:r>
        <w:t>The model of Minto and colleagues</w:t>
      </w:r>
      <w:r>
        <w:rPr>
          <w:rStyle w:val="FootnoteReference"/>
        </w:rPr>
        <w:footnoteReference w:id="14"/>
      </w:r>
      <w:r w:rsidR="00926784">
        <w:t xml:space="preserve"> may well be appropriate for use in a TCI system planned for further extensive study. Ultimately, as explained elsewhere in this </w:t>
      </w:r>
      <w:r w:rsidR="00926784" w:rsidRPr="00D35027">
        <w:rPr>
          <w:i/>
        </w:rPr>
        <w:t>C</w:t>
      </w:r>
      <w:r w:rsidR="000F6A34">
        <w:rPr>
          <w:i/>
        </w:rPr>
        <w:t>linical Evaluation Report</w:t>
      </w:r>
      <w:r w:rsidR="00926784">
        <w:t>, acceptability of a TCI system depends upon clinic</w:t>
      </w:r>
      <w:r w:rsidR="000F6A34">
        <w:t>al study of efficacy and safety (see below).</w:t>
      </w:r>
    </w:p>
    <w:p w:rsidR="008E7846" w:rsidRDefault="008E7846" w:rsidP="008E7846">
      <w:pPr>
        <w:pStyle w:val="Heading3"/>
      </w:pPr>
      <w:bookmarkStart w:id="63" w:name="_Toc196046481"/>
      <w:bookmarkStart w:id="64" w:name="_Toc247691520"/>
      <w:bookmarkStart w:id="65" w:name="_Toc314842503"/>
      <w:bookmarkStart w:id="66" w:name="_Toc347231104"/>
      <w:r w:rsidRPr="00254787">
        <w:t>Pharmacodynamics</w:t>
      </w:r>
      <w:bookmarkEnd w:id="29"/>
      <w:bookmarkEnd w:id="63"/>
      <w:bookmarkEnd w:id="64"/>
      <w:bookmarkEnd w:id="65"/>
      <w:bookmarkEnd w:id="66"/>
    </w:p>
    <w:p w:rsidR="00C90CF3" w:rsidRDefault="00C90CF3" w:rsidP="00C90CF3">
      <w:pPr>
        <w:pStyle w:val="Heading4"/>
      </w:pPr>
      <w:bookmarkStart w:id="67" w:name="_Toc272414637"/>
      <w:bookmarkStart w:id="68" w:name="_Toc290846260"/>
      <w:bookmarkStart w:id="69" w:name="_Toc299195974"/>
      <w:r>
        <w:t xml:space="preserve">Studies providing </w:t>
      </w:r>
      <w:r w:rsidR="00B131CA">
        <w:t>PD</w:t>
      </w:r>
      <w:r>
        <w:t xml:space="preserve"> data</w:t>
      </w:r>
      <w:bookmarkEnd w:id="67"/>
      <w:bookmarkEnd w:id="68"/>
      <w:bookmarkEnd w:id="69"/>
    </w:p>
    <w:p w:rsidR="00C90CF3" w:rsidRDefault="00C90CF3" w:rsidP="00C90CF3">
      <w:r>
        <w:t>No specific studies.</w:t>
      </w:r>
    </w:p>
    <w:p w:rsidR="00C90CF3" w:rsidRDefault="00C90CF3" w:rsidP="00C90CF3">
      <w:pPr>
        <w:pStyle w:val="Heading4"/>
      </w:pPr>
      <w:bookmarkStart w:id="70" w:name="_Ref269119989"/>
      <w:bookmarkStart w:id="71" w:name="_Toc272414639"/>
      <w:bookmarkStart w:id="72" w:name="_Toc290846261"/>
      <w:bookmarkStart w:id="73" w:name="_Toc299195975"/>
      <w:r>
        <w:t xml:space="preserve">Summary of </w:t>
      </w:r>
      <w:r w:rsidR="00B131CA">
        <w:t>PD</w:t>
      </w:r>
      <w:bookmarkEnd w:id="70"/>
      <w:bookmarkEnd w:id="71"/>
      <w:bookmarkEnd w:id="72"/>
      <w:bookmarkEnd w:id="73"/>
    </w:p>
    <w:p w:rsidR="00C90CF3" w:rsidRDefault="00C90CF3" w:rsidP="00C90CF3">
      <w:r>
        <w:t>Not applicable.</w:t>
      </w:r>
    </w:p>
    <w:p w:rsidR="00C90CF3" w:rsidRDefault="00C90CF3" w:rsidP="00C90CF3">
      <w:pPr>
        <w:pStyle w:val="Heading4"/>
      </w:pPr>
      <w:bookmarkStart w:id="74" w:name="_Ref269983272"/>
      <w:bookmarkStart w:id="75" w:name="_Toc272414648"/>
      <w:bookmarkStart w:id="76" w:name="_Toc290846270"/>
      <w:bookmarkStart w:id="77" w:name="_Toc299195976"/>
      <w:r>
        <w:t xml:space="preserve">Evaluator’s overall conclusions on </w:t>
      </w:r>
      <w:r w:rsidR="00B131CA">
        <w:t>PD</w:t>
      </w:r>
      <w:bookmarkEnd w:id="74"/>
      <w:bookmarkEnd w:id="75"/>
      <w:bookmarkEnd w:id="76"/>
      <w:bookmarkEnd w:id="77"/>
    </w:p>
    <w:p w:rsidR="00C90CF3" w:rsidRDefault="00C90CF3" w:rsidP="00C90CF3">
      <w:r>
        <w:t>Not applicable.</w:t>
      </w:r>
    </w:p>
    <w:p w:rsidR="00C90CF3" w:rsidRPr="00254787" w:rsidRDefault="00C90CF3" w:rsidP="00C90CF3">
      <w:pPr>
        <w:pStyle w:val="Heading3"/>
      </w:pPr>
      <w:bookmarkStart w:id="78" w:name="_Toc163441372"/>
      <w:bookmarkStart w:id="79" w:name="_Toc196046485"/>
      <w:bookmarkStart w:id="80" w:name="_Toc247691521"/>
      <w:bookmarkStart w:id="81" w:name="_Toc314842504"/>
      <w:bookmarkStart w:id="82" w:name="_Toc347231105"/>
      <w:r>
        <w:t>Dosage selection for the pivotal studies</w:t>
      </w:r>
      <w:bookmarkEnd w:id="82"/>
    </w:p>
    <w:p w:rsidR="00C90CF3" w:rsidRDefault="00C90CF3" w:rsidP="00C90CF3">
      <w:r>
        <w:t>No pivotal studies.</w:t>
      </w:r>
    </w:p>
    <w:p w:rsidR="008E7846" w:rsidRPr="00254787" w:rsidRDefault="008E7846" w:rsidP="008E7846">
      <w:pPr>
        <w:pStyle w:val="Heading3"/>
      </w:pPr>
      <w:bookmarkStart w:id="83" w:name="_Toc347231106"/>
      <w:r w:rsidRPr="00254787">
        <w:t>Efficacy</w:t>
      </w:r>
      <w:bookmarkEnd w:id="78"/>
      <w:bookmarkEnd w:id="79"/>
      <w:bookmarkEnd w:id="80"/>
      <w:bookmarkEnd w:id="81"/>
      <w:bookmarkEnd w:id="83"/>
    </w:p>
    <w:p w:rsidR="00264259" w:rsidRDefault="00104120" w:rsidP="00264259">
      <w:bookmarkStart w:id="84" w:name="_Toc184439992"/>
      <w:bookmarkStart w:id="85" w:name="_Toc184440279"/>
      <w:bookmarkStart w:id="86" w:name="_Toc184444657"/>
      <w:bookmarkStart w:id="87" w:name="_Toc196046487"/>
      <w:r>
        <w:t>Few of the 27 published articles</w:t>
      </w:r>
      <w:r w:rsidR="00C466AA">
        <w:t xml:space="preserve"> (Table 3)</w:t>
      </w:r>
      <w:r>
        <w:t xml:space="preserve"> selected by the sponsor </w:t>
      </w:r>
      <w:r w:rsidR="00BF2DB8">
        <w:t xml:space="preserve">for inclusion in the literature </w:t>
      </w:r>
      <w:r>
        <w:t>based component of the application</w:t>
      </w:r>
      <w:r w:rsidR="00264259">
        <w:t xml:space="preserve"> contribute useful comparative data releva</w:t>
      </w:r>
      <w:r w:rsidR="00EE551F">
        <w:t xml:space="preserve">nt to the present application – that is, </w:t>
      </w:r>
      <w:r w:rsidR="00264259">
        <w:t>on whether remifentanil administered by TCI, with the aid of specified software using the Minto model, is as efficacious and safe as remifentanil administered without usin</w:t>
      </w:r>
      <w:r w:rsidR="00EE551F">
        <w:t xml:space="preserve">g TCI. </w:t>
      </w:r>
      <w:r w:rsidR="00264259">
        <w:t xml:space="preserve">I note that my information on the software used in each study (which I derived from the published articles) often differs from that which the sponsor has provided in the </w:t>
      </w:r>
      <w:r w:rsidR="00264259" w:rsidRPr="007E52B8">
        <w:rPr>
          <w:i/>
        </w:rPr>
        <w:t>Clinical Overview</w:t>
      </w:r>
      <w:r w:rsidR="00264259">
        <w:t xml:space="preserve">. This may be because the information contained in the published articles was often </w:t>
      </w:r>
      <w:r w:rsidR="00BF2DB8">
        <w:t>imprecise</w:t>
      </w:r>
      <w:r w:rsidR="00264259">
        <w:t xml:space="preserve"> and subject to interpretation.</w:t>
      </w:r>
    </w:p>
    <w:p w:rsidR="00C466AA" w:rsidRDefault="001E787D" w:rsidP="00C466AA">
      <w:pPr>
        <w:pStyle w:val="FigureTitle"/>
        <w:rPr>
          <w:lang w:val="en-GB"/>
        </w:rPr>
      </w:pPr>
      <w:r>
        <w:br w:type="page"/>
      </w:r>
      <w:r w:rsidR="00C466AA">
        <w:lastRenderedPageBreak/>
        <w:t>Table</w:t>
      </w:r>
      <w:r w:rsidR="00C466AA" w:rsidRPr="004C5C28">
        <w:t xml:space="preserve"> </w:t>
      </w:r>
      <w:r w:rsidR="00C466AA">
        <w:t>3:</w:t>
      </w:r>
      <w:r w:rsidR="00C466AA" w:rsidRPr="004C5C28">
        <w:t xml:space="preserve"> </w:t>
      </w:r>
      <w:r w:rsidR="00C466AA" w:rsidRPr="00C466AA">
        <w:t>Published articles − Summary of patient and volunteer numbers and study objectives</w:t>
      </w:r>
      <w:r w:rsidR="00C466AA">
        <w:t>.</w:t>
      </w:r>
    </w:p>
    <w:p w:rsidR="00C466AA" w:rsidRDefault="004F5A3C" w:rsidP="001E787D">
      <w:pPr>
        <w:jc w:val="center"/>
      </w:pPr>
      <w:r>
        <w:rPr>
          <w:noProof/>
          <w:lang w:eastAsia="en-AU"/>
        </w:rPr>
        <w:drawing>
          <wp:inline distT="0" distB="0" distL="0" distR="0">
            <wp:extent cx="5106035" cy="6496050"/>
            <wp:effectExtent l="19050" t="0" r="0" b="0"/>
            <wp:docPr id="4" name="Picture 4" descr="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3"/>
                    <pic:cNvPicPr>
                      <a:picLocks noChangeAspect="1" noChangeArrowheads="1"/>
                    </pic:cNvPicPr>
                  </pic:nvPicPr>
                  <pic:blipFill>
                    <a:blip r:embed="rId17" cstate="print"/>
                    <a:srcRect/>
                    <a:stretch>
                      <a:fillRect/>
                    </a:stretch>
                  </pic:blipFill>
                  <pic:spPr bwMode="auto">
                    <a:xfrm>
                      <a:off x="0" y="0"/>
                      <a:ext cx="5106035" cy="6496050"/>
                    </a:xfrm>
                    <a:prstGeom prst="rect">
                      <a:avLst/>
                    </a:prstGeom>
                    <a:noFill/>
                    <a:ln w="9525">
                      <a:noFill/>
                      <a:miter lim="800000"/>
                      <a:headEnd/>
                      <a:tailEnd/>
                    </a:ln>
                  </pic:spPr>
                </pic:pic>
              </a:graphicData>
            </a:graphic>
          </wp:inline>
        </w:drawing>
      </w:r>
    </w:p>
    <w:p w:rsidR="00264259" w:rsidRDefault="00D57EC6" w:rsidP="00264259">
      <w:r>
        <w:t>Of the articles reporting efficacy data with a TCI system, only e</w:t>
      </w:r>
      <w:r w:rsidR="0044368B">
        <w:t>ight</w:t>
      </w:r>
      <w:r w:rsidR="00935F4E">
        <w:rPr>
          <w:rStyle w:val="FootnoteReference"/>
        </w:rPr>
        <w:footnoteReference w:id="15"/>
      </w:r>
      <w:r>
        <w:t xml:space="preserve"> </w:t>
      </w:r>
      <w:r w:rsidR="001E787D">
        <w:t xml:space="preserve">(numbers 2, 5, 6, 7, 17, 22, 25 and 27) </w:t>
      </w:r>
      <w:r w:rsidR="0044368B">
        <w:t>used</w:t>
      </w:r>
      <w:r>
        <w:t xml:space="preserve"> the Minto model with specified branded software</w:t>
      </w:r>
      <w:r w:rsidR="004012F9">
        <w:t xml:space="preserve"> (Table 4)</w:t>
      </w:r>
      <w:r>
        <w:t>.</w:t>
      </w:r>
      <w:r w:rsidR="001E787D">
        <w:t xml:space="preserve"> </w:t>
      </w:r>
      <w:r w:rsidR="00264259">
        <w:t xml:space="preserve">Even </w:t>
      </w:r>
      <w:r w:rsidR="00264259">
        <w:lastRenderedPageBreak/>
        <w:t>for these articles, further discussion seems pointless unless the sponsor chooses to specify software.</w:t>
      </w:r>
      <w:r w:rsidR="0078076B">
        <w:t xml:space="preserve"> </w:t>
      </w:r>
      <w:r w:rsidR="00264259">
        <w:t>Even if the sponsor were able to argue successfully that the software used was unimportant, on</w:t>
      </w:r>
      <w:r w:rsidR="00935F4E">
        <w:t>ly one of these studies</w:t>
      </w:r>
      <w:r w:rsidR="00935F4E">
        <w:rPr>
          <w:rStyle w:val="FootnoteReference"/>
        </w:rPr>
        <w:footnoteReference w:id="16"/>
      </w:r>
      <w:r w:rsidR="00264259">
        <w:t xml:space="preserve"> presented eff</w:t>
      </w:r>
      <w:r w:rsidR="001E787D">
        <w:t xml:space="preserve">icacy data comparing TCI to non </w:t>
      </w:r>
      <w:r w:rsidR="00264259">
        <w:t>TCI administration.</w:t>
      </w:r>
    </w:p>
    <w:p w:rsidR="004012F9" w:rsidRDefault="004012F9" w:rsidP="004012F9">
      <w:pPr>
        <w:pStyle w:val="FigureTitle"/>
        <w:rPr>
          <w:lang w:val="en-GB"/>
        </w:rPr>
      </w:pPr>
      <w:r>
        <w:t>Table</w:t>
      </w:r>
      <w:r w:rsidRPr="004C5C28">
        <w:t xml:space="preserve"> </w:t>
      </w:r>
      <w:r>
        <w:t>4:</w:t>
      </w:r>
      <w:r w:rsidRPr="004C5C28">
        <w:t xml:space="preserve"> </w:t>
      </w:r>
      <w:r w:rsidRPr="004012F9">
        <w:t xml:space="preserve">Some features </w:t>
      </w:r>
      <w:r>
        <w:t>of the studies listed in Table 3.</w:t>
      </w:r>
    </w:p>
    <w:p w:rsidR="004012F9" w:rsidRDefault="004F5A3C" w:rsidP="004012F9">
      <w:pPr>
        <w:jc w:val="center"/>
      </w:pPr>
      <w:r>
        <w:rPr>
          <w:noProof/>
          <w:lang w:eastAsia="en-AU"/>
        </w:rPr>
        <w:drawing>
          <wp:inline distT="0" distB="0" distL="0" distR="0">
            <wp:extent cx="4652645" cy="4718050"/>
            <wp:effectExtent l="19050" t="0" r="0" b="0"/>
            <wp:docPr id="5" name="Picture 5" descr="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4"/>
                    <pic:cNvPicPr>
                      <a:picLocks noChangeAspect="1" noChangeArrowheads="1"/>
                    </pic:cNvPicPr>
                  </pic:nvPicPr>
                  <pic:blipFill>
                    <a:blip r:embed="rId18" cstate="print"/>
                    <a:srcRect/>
                    <a:stretch>
                      <a:fillRect/>
                    </a:stretch>
                  </pic:blipFill>
                  <pic:spPr bwMode="auto">
                    <a:xfrm>
                      <a:off x="0" y="0"/>
                      <a:ext cx="4652645" cy="4718050"/>
                    </a:xfrm>
                    <a:prstGeom prst="rect">
                      <a:avLst/>
                    </a:prstGeom>
                    <a:noFill/>
                    <a:ln w="9525">
                      <a:noFill/>
                      <a:miter lim="800000"/>
                      <a:headEnd/>
                      <a:tailEnd/>
                    </a:ln>
                  </pic:spPr>
                </pic:pic>
              </a:graphicData>
            </a:graphic>
          </wp:inline>
        </w:drawing>
      </w:r>
    </w:p>
    <w:p w:rsidR="00264259" w:rsidRDefault="00264259" w:rsidP="00264259">
      <w:r>
        <w:t xml:space="preserve">In my opinion, the 12 abstracts selected by the sponsor for inclusion in the </w:t>
      </w:r>
      <w:r w:rsidR="004135C0">
        <w:t xml:space="preserve">LBS were not </w:t>
      </w:r>
      <w:r>
        <w:t>evaluable for efficacy on the grounds of brevity alone.</w:t>
      </w:r>
    </w:p>
    <w:p w:rsidR="00264259" w:rsidRDefault="00264259" w:rsidP="00264259">
      <w:pPr>
        <w:pStyle w:val="Heading4"/>
      </w:pPr>
      <w:bookmarkStart w:id="88" w:name="_Ref271037274"/>
      <w:bookmarkStart w:id="89" w:name="_Toc272414652"/>
      <w:bookmarkStart w:id="90" w:name="_Toc290846274"/>
      <w:bookmarkStart w:id="91" w:name="_Toc299195980"/>
      <w:r>
        <w:t>Pivotal efficacy studies</w:t>
      </w:r>
      <w:bookmarkEnd w:id="88"/>
      <w:bookmarkEnd w:id="89"/>
      <w:bookmarkEnd w:id="90"/>
      <w:bookmarkEnd w:id="91"/>
    </w:p>
    <w:p w:rsidR="00264259" w:rsidRDefault="00264259" w:rsidP="00264259">
      <w:r>
        <w:t>None submitted.</w:t>
      </w:r>
    </w:p>
    <w:p w:rsidR="00264259" w:rsidRDefault="003B0F9B" w:rsidP="00264259">
      <w:pPr>
        <w:pStyle w:val="Heading4"/>
      </w:pPr>
      <w:bookmarkStart w:id="92" w:name="_Ref271037188"/>
      <w:bookmarkStart w:id="93" w:name="_Ref271037210"/>
      <w:bookmarkStart w:id="94" w:name="_Toc272414655"/>
      <w:bookmarkStart w:id="95" w:name="_Toc290846277"/>
      <w:bookmarkStart w:id="96" w:name="_Toc299195981"/>
      <w:bookmarkStart w:id="97" w:name="_Toc241374311"/>
      <w:bookmarkStart w:id="98" w:name="_Ref243294291"/>
      <w:r>
        <w:br w:type="page"/>
      </w:r>
      <w:r w:rsidR="00264259">
        <w:lastRenderedPageBreak/>
        <w:t>Other efficacy studies</w:t>
      </w:r>
      <w:bookmarkEnd w:id="92"/>
      <w:bookmarkEnd w:id="93"/>
      <w:bookmarkEnd w:id="94"/>
      <w:bookmarkEnd w:id="95"/>
      <w:bookmarkEnd w:id="96"/>
    </w:p>
    <w:bookmarkEnd w:id="97"/>
    <w:bookmarkEnd w:id="98"/>
    <w:p w:rsidR="00264259" w:rsidRPr="00C31D1A" w:rsidRDefault="00264259" w:rsidP="00264259">
      <w:pPr>
        <w:autoSpaceDE w:val="0"/>
        <w:autoSpaceDN w:val="0"/>
        <w:adjustRightInd w:val="0"/>
      </w:pPr>
      <w:r>
        <w:t>None presented.</w:t>
      </w:r>
    </w:p>
    <w:p w:rsidR="00264259" w:rsidRDefault="00264259" w:rsidP="00264259">
      <w:pPr>
        <w:pStyle w:val="Heading4"/>
      </w:pPr>
      <w:bookmarkStart w:id="99" w:name="_Toc241374312"/>
      <w:bookmarkStart w:id="100" w:name="_Toc272414656"/>
      <w:bookmarkStart w:id="101" w:name="_Toc290846281"/>
      <w:bookmarkStart w:id="102" w:name="_Toc299195982"/>
      <w:r>
        <w:t>Analyses performed across trials (pooled analyses and meta-analyses)</w:t>
      </w:r>
      <w:bookmarkEnd w:id="99"/>
      <w:bookmarkEnd w:id="100"/>
      <w:bookmarkEnd w:id="101"/>
      <w:bookmarkEnd w:id="102"/>
    </w:p>
    <w:p w:rsidR="00264259" w:rsidRPr="00C31D1A" w:rsidRDefault="00264259" w:rsidP="00264259">
      <w:pPr>
        <w:autoSpaceDE w:val="0"/>
        <w:autoSpaceDN w:val="0"/>
        <w:adjustRightInd w:val="0"/>
      </w:pPr>
      <w:r>
        <w:t>None presented.</w:t>
      </w:r>
    </w:p>
    <w:p w:rsidR="00264259" w:rsidRPr="003C0A48" w:rsidRDefault="00264259" w:rsidP="00264259">
      <w:pPr>
        <w:pStyle w:val="Heading4"/>
      </w:pPr>
      <w:bookmarkStart w:id="103" w:name="_Ref271126605"/>
      <w:bookmarkStart w:id="104" w:name="_Toc272414657"/>
      <w:bookmarkStart w:id="105" w:name="_Toc290846282"/>
      <w:bookmarkStart w:id="106" w:name="_Toc299195983"/>
      <w:r w:rsidRPr="003C0A48">
        <w:t>Evaluator’s conclusions on clinical efficacy</w:t>
      </w:r>
      <w:bookmarkEnd w:id="103"/>
      <w:bookmarkEnd w:id="104"/>
      <w:bookmarkEnd w:id="105"/>
      <w:bookmarkEnd w:id="106"/>
    </w:p>
    <w:p w:rsidR="00264259" w:rsidRDefault="00264259" w:rsidP="00264259">
      <w:r>
        <w:t>No useful clinical efficacy data were presented.</w:t>
      </w:r>
    </w:p>
    <w:p w:rsidR="008E7846" w:rsidRPr="002E238E" w:rsidRDefault="008E7846" w:rsidP="008E7846">
      <w:pPr>
        <w:pStyle w:val="Heading3"/>
      </w:pPr>
      <w:bookmarkStart w:id="107" w:name="_Toc163441378"/>
      <w:bookmarkStart w:id="108" w:name="_Toc196046495"/>
      <w:bookmarkStart w:id="109" w:name="_Toc247691522"/>
      <w:bookmarkStart w:id="110" w:name="_Toc314842505"/>
      <w:bookmarkStart w:id="111" w:name="_Toc347231107"/>
      <w:bookmarkEnd w:id="84"/>
      <w:bookmarkEnd w:id="85"/>
      <w:bookmarkEnd w:id="86"/>
      <w:bookmarkEnd w:id="87"/>
      <w:r w:rsidRPr="002E238E">
        <w:t>Safety</w:t>
      </w:r>
      <w:bookmarkEnd w:id="107"/>
      <w:bookmarkEnd w:id="108"/>
      <w:bookmarkEnd w:id="109"/>
      <w:bookmarkEnd w:id="110"/>
      <w:bookmarkEnd w:id="111"/>
    </w:p>
    <w:p w:rsidR="00305850" w:rsidRPr="004B259C" w:rsidRDefault="00305850" w:rsidP="00305850">
      <w:pPr>
        <w:pStyle w:val="Heading4"/>
      </w:pPr>
      <w:bookmarkStart w:id="112" w:name="_Toc163441387"/>
      <w:bookmarkStart w:id="113" w:name="_Toc272414659"/>
      <w:bookmarkStart w:id="114" w:name="_Toc290846284"/>
      <w:bookmarkStart w:id="115" w:name="_Toc299195985"/>
      <w:r>
        <w:t>Studies providing evaluable safety data</w:t>
      </w:r>
      <w:bookmarkEnd w:id="113"/>
      <w:bookmarkEnd w:id="114"/>
      <w:bookmarkEnd w:id="115"/>
    </w:p>
    <w:p w:rsidR="00305850" w:rsidRDefault="00305850" w:rsidP="00305850">
      <w:bookmarkStart w:id="116" w:name="_Ref268776745"/>
      <w:r>
        <w:t>None of the material presented provided safety data which could be properly evaluated in</w:t>
      </w:r>
      <w:r w:rsidR="00CF6DE1">
        <w:t xml:space="preserve"> the context of the application</w:t>
      </w:r>
      <w:r>
        <w:t>.</w:t>
      </w:r>
    </w:p>
    <w:bookmarkEnd w:id="116"/>
    <w:p w:rsidR="00305850" w:rsidRDefault="00305850" w:rsidP="00E50D99">
      <w:pPr>
        <w:pStyle w:val="Heading5"/>
      </w:pPr>
      <w:r>
        <w:t>Other studies evaluable for safety only</w:t>
      </w:r>
    </w:p>
    <w:p w:rsidR="005516BF" w:rsidRDefault="005516BF" w:rsidP="005516BF">
      <w:r>
        <w:t xml:space="preserve">Studies USA-103 and USA-220 in this section of the </w:t>
      </w:r>
      <w:r w:rsidRPr="00DA4242">
        <w:rPr>
          <w:i/>
        </w:rPr>
        <w:t>C</w:t>
      </w:r>
      <w:r>
        <w:rPr>
          <w:i/>
        </w:rPr>
        <w:t>linical Evaluation Report</w:t>
      </w:r>
      <w:r>
        <w:t xml:space="preserve"> are cited several times in connection with safety in the </w:t>
      </w:r>
      <w:r w:rsidRPr="0010586F">
        <w:rPr>
          <w:i/>
        </w:rPr>
        <w:t>Clinical Overview</w:t>
      </w:r>
      <w:r>
        <w:t xml:space="preserve">. However, it is not clear why the sponsor included these studies in the dossier. </w:t>
      </w:r>
    </w:p>
    <w:p w:rsidR="005516BF" w:rsidRPr="00872461" w:rsidRDefault="005516BF" w:rsidP="005516BF">
      <w:pPr>
        <w:pStyle w:val="Heading6"/>
      </w:pPr>
      <w:r>
        <w:t>Study USA-103</w:t>
      </w:r>
    </w:p>
    <w:p w:rsidR="005516BF" w:rsidRDefault="005516BF" w:rsidP="005516BF">
      <w:r>
        <w:t xml:space="preserve">This was a small study (15 normal subjects received remifentanil by TCI), done in 1991. The </w:t>
      </w:r>
      <w:r w:rsidRPr="00936D45">
        <w:rPr>
          <w:i/>
        </w:rPr>
        <w:t>Clinical Overview</w:t>
      </w:r>
      <w:r>
        <w:t xml:space="preserve"> states:</w:t>
      </w:r>
    </w:p>
    <w:p w:rsidR="005516BF" w:rsidRPr="000064B0" w:rsidRDefault="005516BF" w:rsidP="005516BF">
      <w:pPr>
        <w:ind w:left="720"/>
      </w:pPr>
      <w:r w:rsidRPr="000064B0">
        <w:t xml:space="preserve">"... the </w:t>
      </w:r>
      <w:r>
        <w:t>PK</w:t>
      </w:r>
      <w:r w:rsidRPr="000064B0">
        <w:t xml:space="preserve"> parameters used in Studies USA-103 and USA-220 were derived from only 4 volunteers who received a single dose of 2 </w:t>
      </w:r>
      <w:r>
        <w:t>mcg/kg over 1 min.</w:t>
      </w:r>
      <w:r>
        <w:rPr>
          <w:rStyle w:val="FootnoteReference"/>
        </w:rPr>
        <w:footnoteReference w:id="17"/>
      </w:r>
      <w:r w:rsidRPr="000064B0">
        <w:t>"</w:t>
      </w:r>
    </w:p>
    <w:p w:rsidR="005516BF" w:rsidRPr="00C74A70" w:rsidRDefault="005516BF" w:rsidP="005516BF">
      <w:r w:rsidRPr="00C74A70">
        <w:t xml:space="preserve">However, </w:t>
      </w:r>
      <w:r>
        <w:t xml:space="preserve">no mention of the above </w:t>
      </w:r>
      <w:r w:rsidRPr="00C74A70">
        <w:t xml:space="preserve">listed </w:t>
      </w:r>
      <w:r>
        <w:t>PK</w:t>
      </w:r>
      <w:r w:rsidRPr="00C74A70">
        <w:t xml:space="preserve"> parameters </w:t>
      </w:r>
      <w:r>
        <w:t>was</w:t>
      </w:r>
      <w:r w:rsidRPr="00C74A70">
        <w:t xml:space="preserve"> cited </w:t>
      </w:r>
      <w:r>
        <w:t xml:space="preserve">in the </w:t>
      </w:r>
      <w:r w:rsidRPr="00C74A70">
        <w:t xml:space="preserve">paper. </w:t>
      </w:r>
      <w:r>
        <w:t xml:space="preserve">Also, the claim that the above listed values derive from the cited study appears to be inconsistent with data presented in the </w:t>
      </w:r>
      <w:r w:rsidRPr="00936D45">
        <w:rPr>
          <w:i/>
        </w:rPr>
        <w:t>Clinical Overview</w:t>
      </w:r>
      <w:r>
        <w:t>.</w:t>
      </w:r>
    </w:p>
    <w:p w:rsidR="005516BF" w:rsidRDefault="005516BF" w:rsidP="005516BF">
      <w:r>
        <w:t xml:space="preserve">No information was located in </w:t>
      </w:r>
      <w:r w:rsidRPr="00C74A70">
        <w:t xml:space="preserve">the </w:t>
      </w:r>
      <w:r w:rsidRPr="00C74A70">
        <w:rPr>
          <w:i/>
        </w:rPr>
        <w:t>Protocol</w:t>
      </w:r>
      <w:r w:rsidRPr="00C74A70">
        <w:t xml:space="preserve"> about the device or its associated so</w:t>
      </w:r>
      <w:r>
        <w:t xml:space="preserve">ftware, but the sponsor states in the </w:t>
      </w:r>
      <w:r w:rsidRPr="00C74A70">
        <w:rPr>
          <w:i/>
        </w:rPr>
        <w:t>Clinical Overview</w:t>
      </w:r>
      <w:r w:rsidRPr="00C74A70">
        <w:t xml:space="preserve"> that it used a </w:t>
      </w:r>
      <w:r>
        <w:t>PK</w:t>
      </w:r>
      <w:r w:rsidRPr="00C74A70">
        <w:t xml:space="preserve"> model described by Glass</w:t>
      </w:r>
      <w:r>
        <w:t xml:space="preserve"> and colleagues.</w:t>
      </w:r>
      <w:r>
        <w:rPr>
          <w:rStyle w:val="FootnoteReference"/>
        </w:rPr>
        <w:footnoteReference w:id="18"/>
      </w:r>
      <w:r>
        <w:t xml:space="preserve"> This could not be verified from the cited paper − unless the reference is simply to the fact that the compartmental analysis of Glass and colleagues was </w:t>
      </w:r>
    </w:p>
    <w:p w:rsidR="005516BF" w:rsidRPr="00E5490C" w:rsidRDefault="005516BF" w:rsidP="005516BF">
      <w:pPr>
        <w:spacing w:before="60" w:after="60"/>
        <w:ind w:left="720"/>
      </w:pPr>
      <w:r w:rsidRPr="00E5490C">
        <w:t>"done using a nonlinear weighted (1/[observed concentration]</w:t>
      </w:r>
      <w:r w:rsidRPr="00E5490C">
        <w:rPr>
          <w:vertAlign w:val="superscript"/>
        </w:rPr>
        <w:t>2</w:t>
      </w:r>
      <w:r>
        <w:t xml:space="preserve">) least </w:t>
      </w:r>
      <w:r w:rsidRPr="00E5490C">
        <w:t xml:space="preserve">squares regression method to estimate </w:t>
      </w:r>
      <w:r>
        <w:t>PK</w:t>
      </w:r>
      <w:r w:rsidRPr="00E5490C">
        <w:t xml:space="preserve"> parameters (A</w:t>
      </w:r>
      <w:r w:rsidRPr="00E5490C">
        <w:rPr>
          <w:vertAlign w:val="subscript"/>
        </w:rPr>
        <w:t>i</w:t>
      </w:r>
      <w:r w:rsidRPr="00E5490C">
        <w:t xml:space="preserve">, </w:t>
      </w:r>
      <w:r>
        <w:t>λ</w:t>
      </w:r>
      <w:r w:rsidRPr="00E5490C">
        <w:rPr>
          <w:vertAlign w:val="subscript"/>
        </w:rPr>
        <w:t>i</w:t>
      </w:r>
      <w:r w:rsidRPr="00E5490C">
        <w:t>) using PCNONLIN (Version 3.0; SCI Software, Lexington, KY)."</w:t>
      </w:r>
    </w:p>
    <w:p w:rsidR="005516BF" w:rsidRDefault="005516BF" w:rsidP="005516BF">
      <w:r>
        <w:t>Study USA-103 did not use the injection algorithm now proposed − that is, the one stipulated in the draft PI with citation of Minto and colleagues</w:t>
      </w:r>
      <w:r>
        <w:rPr>
          <w:rStyle w:val="FootnoteReference"/>
        </w:rPr>
        <w:footnoteReference w:id="19"/>
      </w:r>
      <w:r>
        <w:t xml:space="preserve"> − but used an algorithm based on an earlier model, and PK</w:t>
      </w:r>
      <w:r w:rsidRPr="00C74A70">
        <w:t xml:space="preserve"> parameters</w:t>
      </w:r>
      <w:r>
        <w:t xml:space="preserve"> the origin of which is unclear.</w:t>
      </w:r>
    </w:p>
    <w:p w:rsidR="005516BF" w:rsidRDefault="005516BF" w:rsidP="005516BF">
      <w:r>
        <w:lastRenderedPageBreak/>
        <w:t>In the opinion of the clinical evalutor, this study is of no relevance to the present application, as the study did not involve use of the proposed injection algorithm.</w:t>
      </w:r>
    </w:p>
    <w:p w:rsidR="005516BF" w:rsidRPr="00872461" w:rsidRDefault="005516BF" w:rsidP="005516BF">
      <w:pPr>
        <w:pStyle w:val="Heading6"/>
      </w:pPr>
      <w:r w:rsidRPr="00872461">
        <w:t xml:space="preserve">Study </w:t>
      </w:r>
      <w:r w:rsidRPr="00376421">
        <w:t>USA</w:t>
      </w:r>
      <w:r>
        <w:t>-220</w:t>
      </w:r>
    </w:p>
    <w:p w:rsidR="005516BF" w:rsidRDefault="005516BF" w:rsidP="005516BF">
      <w:r>
        <w:t xml:space="preserve">In this study completed in 1994, 194 elective surgery patients received remifentanil. According to the </w:t>
      </w:r>
      <w:r w:rsidRPr="00F10128">
        <w:rPr>
          <w:i/>
        </w:rPr>
        <w:t>C</w:t>
      </w:r>
      <w:r>
        <w:rPr>
          <w:i/>
        </w:rPr>
        <w:t>linical Safety Report</w:t>
      </w:r>
      <w:r>
        <w:t>:</w:t>
      </w:r>
    </w:p>
    <w:p w:rsidR="005516BF" w:rsidRDefault="005516BF" w:rsidP="005516BF">
      <w:pPr>
        <w:ind w:left="720"/>
      </w:pPr>
      <w:r>
        <w:t>"a CACI device was used to administer remifentanil in order to achieve a target blood concentration".</w:t>
      </w:r>
    </w:p>
    <w:p w:rsidR="005516BF" w:rsidRDefault="005516BF" w:rsidP="005516BF">
      <w:r>
        <w:t>The PK parameters used by the software (V</w:t>
      </w:r>
      <w:r w:rsidRPr="008058E8">
        <w:rPr>
          <w:vertAlign w:val="subscript"/>
        </w:rPr>
        <w:t>C</w:t>
      </w:r>
      <w:r>
        <w:t>, K</w:t>
      </w:r>
      <w:r w:rsidRPr="008058E8">
        <w:rPr>
          <w:vertAlign w:val="subscript"/>
        </w:rPr>
        <w:t>10</w:t>
      </w:r>
      <w:r>
        <w:t>, K</w:t>
      </w:r>
      <w:r w:rsidRPr="008058E8">
        <w:rPr>
          <w:vertAlign w:val="subscript"/>
        </w:rPr>
        <w:t>21</w:t>
      </w:r>
      <w:r>
        <w:t xml:space="preserve"> and K</w:t>
      </w:r>
      <w:r w:rsidRPr="008058E8">
        <w:rPr>
          <w:vertAlign w:val="subscript"/>
        </w:rPr>
        <w:t>12</w:t>
      </w:r>
      <w:r>
        <w:t>) were the same as those listed above for Study USA-103 (</w:t>
      </w:r>
      <w:r w:rsidRPr="00EA4B53">
        <w:rPr>
          <w:i/>
        </w:rPr>
        <w:t>Protocol</w:t>
      </w:r>
      <w:r>
        <w:t>).</w:t>
      </w:r>
    </w:p>
    <w:p w:rsidR="005516BF" w:rsidRDefault="005516BF" w:rsidP="005516BF">
      <w:r>
        <w:t xml:space="preserve">No information was located by the clinical evaluator in the </w:t>
      </w:r>
      <w:r w:rsidRPr="00B94538">
        <w:rPr>
          <w:i/>
        </w:rPr>
        <w:t>Protocol</w:t>
      </w:r>
      <w:r>
        <w:t xml:space="preserve"> about the device or the associated software. The sponsor states in the </w:t>
      </w:r>
      <w:r w:rsidRPr="008058E8">
        <w:rPr>
          <w:i/>
        </w:rPr>
        <w:t>Clinical Overview</w:t>
      </w:r>
      <w:r>
        <w:t xml:space="preserve"> that it used a PK model described by Kapila and colleagues.</w:t>
      </w:r>
      <w:r>
        <w:rPr>
          <w:rStyle w:val="FootnoteReference"/>
        </w:rPr>
        <w:footnoteReference w:id="20"/>
      </w:r>
      <w:r>
        <w:t xml:space="preserve"> However,  no account was located in the cited article of the development of a model suitable for implementation in a TCI algorithm. The modelling described in that article related to estimation of context sensitive half times at the end of the drug infusions.</w:t>
      </w:r>
    </w:p>
    <w:p w:rsidR="005516BF" w:rsidRDefault="005516BF" w:rsidP="005516BF">
      <w:r>
        <w:t>The last two paragraphs under Study USA-103 apply here also.</w:t>
      </w:r>
    </w:p>
    <w:p w:rsidR="00305850" w:rsidRDefault="00305850" w:rsidP="00305850">
      <w:pPr>
        <w:pStyle w:val="Heading4"/>
      </w:pPr>
      <w:bookmarkStart w:id="117" w:name="_Ref269204367"/>
      <w:bookmarkStart w:id="118" w:name="_Ref271195835"/>
      <w:bookmarkStart w:id="119" w:name="_Ref271195841"/>
      <w:bookmarkStart w:id="120" w:name="_Toc272414660"/>
      <w:bookmarkStart w:id="121" w:name="_Toc290846285"/>
      <w:bookmarkStart w:id="122" w:name="_Toc299195986"/>
      <w:r>
        <w:t xml:space="preserve">Pivotal studies </w:t>
      </w:r>
      <w:r w:rsidRPr="00027276">
        <w:t xml:space="preserve">that assessed </w:t>
      </w:r>
      <w:r>
        <w:t>safety as a primary outcome</w:t>
      </w:r>
      <w:bookmarkEnd w:id="117"/>
      <w:bookmarkEnd w:id="118"/>
      <w:bookmarkEnd w:id="119"/>
      <w:bookmarkEnd w:id="120"/>
      <w:bookmarkEnd w:id="121"/>
      <w:bookmarkEnd w:id="122"/>
    </w:p>
    <w:p w:rsidR="00305850" w:rsidRDefault="00305850" w:rsidP="00305850">
      <w:pPr>
        <w:autoSpaceDE w:val="0"/>
        <w:autoSpaceDN w:val="0"/>
        <w:adjustRightInd w:val="0"/>
      </w:pPr>
      <w:r>
        <w:t>None.</w:t>
      </w:r>
    </w:p>
    <w:p w:rsidR="00305850" w:rsidRDefault="00305850" w:rsidP="00305850">
      <w:pPr>
        <w:pStyle w:val="Heading4"/>
      </w:pPr>
      <w:bookmarkStart w:id="123" w:name="_Toc241374318"/>
      <w:bookmarkStart w:id="124" w:name="_Ref271196630"/>
      <w:bookmarkStart w:id="125" w:name="_Toc272414662"/>
      <w:bookmarkStart w:id="126" w:name="_Toc290846300"/>
      <w:bookmarkStart w:id="127" w:name="_Toc299195987"/>
      <w:r>
        <w:t>Patient exposure</w:t>
      </w:r>
      <w:bookmarkEnd w:id="123"/>
      <w:bookmarkEnd w:id="124"/>
      <w:bookmarkEnd w:id="125"/>
      <w:bookmarkEnd w:id="126"/>
      <w:bookmarkEnd w:id="127"/>
    </w:p>
    <w:p w:rsidR="00305850" w:rsidRDefault="00305850" w:rsidP="00305850">
      <w:pPr>
        <w:autoSpaceDE w:val="0"/>
        <w:autoSpaceDN w:val="0"/>
        <w:adjustRightInd w:val="0"/>
      </w:pPr>
      <w:r>
        <w:t>No relevant material on patient exposure.</w:t>
      </w:r>
    </w:p>
    <w:p w:rsidR="00305850" w:rsidRDefault="00305850" w:rsidP="00305850">
      <w:pPr>
        <w:pStyle w:val="Heading4"/>
      </w:pPr>
      <w:bookmarkStart w:id="128" w:name="_Toc241374319"/>
      <w:bookmarkStart w:id="129" w:name="_Ref271044764"/>
      <w:bookmarkStart w:id="130" w:name="_Toc272414663"/>
      <w:bookmarkStart w:id="131" w:name="_Toc290846301"/>
      <w:bookmarkStart w:id="132" w:name="_Toc299195988"/>
      <w:r>
        <w:t>Adverse events</w:t>
      </w:r>
      <w:bookmarkEnd w:id="128"/>
      <w:bookmarkEnd w:id="129"/>
      <w:bookmarkEnd w:id="130"/>
      <w:bookmarkEnd w:id="131"/>
      <w:bookmarkEnd w:id="132"/>
    </w:p>
    <w:p w:rsidR="00305850" w:rsidRPr="00C27CB6" w:rsidRDefault="00305850" w:rsidP="00AF60BA">
      <w:pPr>
        <w:pStyle w:val="Heading5"/>
      </w:pPr>
      <w:bookmarkStart w:id="133" w:name="_Ref272317284"/>
      <w:bookmarkStart w:id="134" w:name="_Ref272333565"/>
      <w:bookmarkStart w:id="135" w:name="_Toc272414664"/>
      <w:bookmarkStart w:id="136" w:name="_Toc290846302"/>
      <w:bookmarkStart w:id="137" w:name="_Toc299195989"/>
      <w:r>
        <w:t>All adverse events (irrespective of relationship to study treatment)</w:t>
      </w:r>
      <w:bookmarkEnd w:id="133"/>
      <w:bookmarkEnd w:id="134"/>
      <w:bookmarkEnd w:id="135"/>
      <w:bookmarkEnd w:id="136"/>
      <w:bookmarkEnd w:id="137"/>
    </w:p>
    <w:p w:rsidR="00305850" w:rsidRDefault="00305850" w:rsidP="00AF60BA">
      <w:pPr>
        <w:pStyle w:val="Heading6"/>
      </w:pPr>
      <w:r>
        <w:t>Pivotal studies</w:t>
      </w:r>
    </w:p>
    <w:p w:rsidR="00305850" w:rsidRDefault="00305850" w:rsidP="00305850">
      <w:r>
        <w:t>No such studies.</w:t>
      </w:r>
    </w:p>
    <w:p w:rsidR="00305850" w:rsidRDefault="00305850" w:rsidP="00AF60BA">
      <w:pPr>
        <w:pStyle w:val="Heading6"/>
      </w:pPr>
      <w:r>
        <w:t>Other studies</w:t>
      </w:r>
    </w:p>
    <w:p w:rsidR="00305850" w:rsidRDefault="00305850" w:rsidP="00305850">
      <w:r>
        <w:t xml:space="preserve">AEs reported in </w:t>
      </w:r>
      <w:r w:rsidR="00E30B76">
        <w:t>S</w:t>
      </w:r>
      <w:r>
        <w:t>tudies USA-103 and USA-220, as well as in the 27 published articles and 12 abstracts w</w:t>
      </w:r>
      <w:r w:rsidR="00E30B76">
        <w:t xml:space="preserve">hich formed the literature </w:t>
      </w:r>
      <w:r>
        <w:t>based component of the submission</w:t>
      </w:r>
      <w:r w:rsidR="00E30B76">
        <w:t>,</w:t>
      </w:r>
      <w:r>
        <w:t xml:space="preserve"> are considered below.</w:t>
      </w:r>
    </w:p>
    <w:p w:rsidR="00305850" w:rsidRDefault="00305850" w:rsidP="00AF60BA">
      <w:pPr>
        <w:pStyle w:val="Heading6"/>
      </w:pPr>
      <w:r>
        <w:t>Studies USA-103 and USA-220</w:t>
      </w:r>
    </w:p>
    <w:p w:rsidR="002360DF" w:rsidRDefault="002360DF" w:rsidP="002360DF">
      <w:r>
        <w:t xml:space="preserve">These have been evaluated previously by TGA and have not been reassessed. However, the reports of those studies (including case narratives of SAEs) were checked for any AE specifically clearly associated with the TCI aspects. None were found. </w:t>
      </w:r>
    </w:p>
    <w:p w:rsidR="002360DF" w:rsidRDefault="002360DF" w:rsidP="002360DF">
      <w:pPr>
        <w:pStyle w:val="Heading6"/>
      </w:pPr>
      <w:r>
        <w:t>Published articles</w:t>
      </w:r>
    </w:p>
    <w:p w:rsidR="002360DF" w:rsidRDefault="002360DF" w:rsidP="002360DF">
      <w:r>
        <w:t xml:space="preserve">See Table 5. The information in the last column of the table is copied from the </w:t>
      </w:r>
      <w:r w:rsidRPr="0052460E">
        <w:rPr>
          <w:i/>
        </w:rPr>
        <w:t>Clinical Overview</w:t>
      </w:r>
      <w:r>
        <w:t>.</w:t>
      </w:r>
    </w:p>
    <w:p w:rsidR="00F57BF3" w:rsidRDefault="002360DF" w:rsidP="00F57BF3">
      <w:pPr>
        <w:pStyle w:val="FigureTitle"/>
        <w:rPr>
          <w:lang w:val="en-GB"/>
        </w:rPr>
      </w:pPr>
      <w:r>
        <w:br w:type="page"/>
      </w:r>
      <w:r w:rsidR="00F57BF3">
        <w:lastRenderedPageBreak/>
        <w:t>Table</w:t>
      </w:r>
      <w:r w:rsidR="00F57BF3" w:rsidRPr="004C5C28">
        <w:t xml:space="preserve"> </w:t>
      </w:r>
      <w:r w:rsidR="00F57BF3">
        <w:t>5:</w:t>
      </w:r>
      <w:r w:rsidR="00F57BF3" w:rsidRPr="004C5C28">
        <w:t xml:space="preserve"> </w:t>
      </w:r>
      <w:r w:rsidR="00512D42" w:rsidRPr="00512D42">
        <w:t>Published articles − AEs reported</w:t>
      </w:r>
      <w:r w:rsidR="00F57BF3">
        <w:t>.</w:t>
      </w:r>
    </w:p>
    <w:p w:rsidR="00F57BF3" w:rsidRDefault="004F5A3C" w:rsidP="00F57BF3">
      <w:pPr>
        <w:jc w:val="center"/>
      </w:pPr>
      <w:r>
        <w:rPr>
          <w:noProof/>
          <w:lang w:eastAsia="en-AU"/>
        </w:rPr>
        <w:drawing>
          <wp:inline distT="0" distB="0" distL="0" distR="0">
            <wp:extent cx="4330700" cy="6715125"/>
            <wp:effectExtent l="19050" t="0" r="0" b="0"/>
            <wp:docPr id="6" name="Picture 6"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5"/>
                    <pic:cNvPicPr>
                      <a:picLocks noChangeAspect="1" noChangeArrowheads="1"/>
                    </pic:cNvPicPr>
                  </pic:nvPicPr>
                  <pic:blipFill>
                    <a:blip r:embed="rId19" cstate="print"/>
                    <a:srcRect/>
                    <a:stretch>
                      <a:fillRect/>
                    </a:stretch>
                  </pic:blipFill>
                  <pic:spPr bwMode="auto">
                    <a:xfrm>
                      <a:off x="0" y="0"/>
                      <a:ext cx="4330700" cy="6715125"/>
                    </a:xfrm>
                    <a:prstGeom prst="rect">
                      <a:avLst/>
                    </a:prstGeom>
                    <a:noFill/>
                    <a:ln w="9525">
                      <a:noFill/>
                      <a:miter lim="800000"/>
                      <a:headEnd/>
                      <a:tailEnd/>
                    </a:ln>
                  </pic:spPr>
                </pic:pic>
              </a:graphicData>
            </a:graphic>
          </wp:inline>
        </w:drawing>
      </w:r>
    </w:p>
    <w:p w:rsidR="00345D85" w:rsidRDefault="00345D85" w:rsidP="00345D85">
      <w:pPr>
        <w:pStyle w:val="FigureTitle"/>
        <w:rPr>
          <w:lang w:val="en-GB"/>
        </w:rPr>
      </w:pPr>
      <w:r>
        <w:br w:type="page"/>
      </w:r>
      <w:r>
        <w:lastRenderedPageBreak/>
        <w:t>Table</w:t>
      </w:r>
      <w:r w:rsidRPr="004C5C28">
        <w:t xml:space="preserve"> </w:t>
      </w:r>
      <w:r>
        <w:t>5 (continued):</w:t>
      </w:r>
      <w:r w:rsidRPr="004C5C28">
        <w:t xml:space="preserve"> </w:t>
      </w:r>
      <w:r w:rsidRPr="00512D42">
        <w:t>Published articles − AEs reported</w:t>
      </w:r>
      <w:r>
        <w:t>.</w:t>
      </w:r>
    </w:p>
    <w:p w:rsidR="00345D85" w:rsidRDefault="004F5A3C" w:rsidP="00F57BF3">
      <w:pPr>
        <w:jc w:val="center"/>
      </w:pPr>
      <w:r>
        <w:rPr>
          <w:noProof/>
          <w:lang w:eastAsia="en-AU"/>
        </w:rPr>
        <w:drawing>
          <wp:inline distT="0" distB="0" distL="0" distR="0">
            <wp:extent cx="4301490" cy="3175000"/>
            <wp:effectExtent l="19050" t="0" r="3810" b="0"/>
            <wp:docPr id="7" name="Picture 7" descr="Tab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5"/>
                    <pic:cNvPicPr>
                      <a:picLocks noChangeAspect="1" noChangeArrowheads="1"/>
                    </pic:cNvPicPr>
                  </pic:nvPicPr>
                  <pic:blipFill>
                    <a:blip r:embed="rId20" cstate="print"/>
                    <a:srcRect/>
                    <a:stretch>
                      <a:fillRect/>
                    </a:stretch>
                  </pic:blipFill>
                  <pic:spPr bwMode="auto">
                    <a:xfrm>
                      <a:off x="0" y="0"/>
                      <a:ext cx="4301490" cy="3175000"/>
                    </a:xfrm>
                    <a:prstGeom prst="rect">
                      <a:avLst/>
                    </a:prstGeom>
                    <a:noFill/>
                    <a:ln w="9525">
                      <a:noFill/>
                      <a:miter lim="800000"/>
                      <a:headEnd/>
                      <a:tailEnd/>
                    </a:ln>
                  </pic:spPr>
                </pic:pic>
              </a:graphicData>
            </a:graphic>
          </wp:inline>
        </w:drawing>
      </w:r>
    </w:p>
    <w:p w:rsidR="00986126" w:rsidRDefault="00986126" w:rsidP="00986126">
      <w:r>
        <w:t>In general, it appears from the published articles that AEs were not rigorously sought in the studies reported. Further, the spon</w:t>
      </w:r>
      <w:r w:rsidR="00345D85">
        <w:t>sor's comment on Bouillon and colleagues</w:t>
      </w:r>
      <w:r w:rsidR="00345D85">
        <w:rPr>
          <w:rStyle w:val="FootnoteReference"/>
        </w:rPr>
        <w:footnoteReference w:id="21"/>
      </w:r>
      <w:r>
        <w:t xml:space="preserve"> illustrates the difficulty in assessing AE experience accurately from the brief data presented in such articles. In that article, frequencies of AEs are not given. The frequencies stated</w:t>
      </w:r>
      <w:r w:rsidR="00345D85">
        <w:t xml:space="preserve"> in the first c</w:t>
      </w:r>
      <w:r>
        <w:t>omment in Table 5 are taken from the article's table headed "Additional drugs administered during the study", so the only AEs counted there are those treated with drugs.</w:t>
      </w:r>
    </w:p>
    <w:p w:rsidR="00BA7D36" w:rsidRDefault="00BA7D36" w:rsidP="00AF60BA">
      <w:pPr>
        <w:pStyle w:val="Heading6"/>
        <w:rPr>
          <w:rFonts w:eastAsia="Cambria"/>
          <w:bCs w:val="0"/>
          <w:i w:val="0"/>
          <w:szCs w:val="22"/>
        </w:rPr>
      </w:pPr>
      <w:r w:rsidRPr="00BA7D36">
        <w:rPr>
          <w:rFonts w:eastAsia="Cambria"/>
          <w:bCs w:val="0"/>
          <w:i w:val="0"/>
          <w:szCs w:val="22"/>
        </w:rPr>
        <w:t>The published articles were considered of very little value in the safety assessment relevant to the present submission.</w:t>
      </w:r>
    </w:p>
    <w:p w:rsidR="00305850" w:rsidRDefault="00305850" w:rsidP="00AF60BA">
      <w:pPr>
        <w:pStyle w:val="Heading6"/>
      </w:pPr>
      <w:r>
        <w:t>Abstracts</w:t>
      </w:r>
    </w:p>
    <w:p w:rsidR="007F362B" w:rsidRDefault="00305850" w:rsidP="00305850">
      <w:r>
        <w:t>Only 2 of the 12 abstracts presented in the dossier rep</w:t>
      </w:r>
      <w:r w:rsidR="007F362B">
        <w:t>orted any AEs at all:</w:t>
      </w:r>
    </w:p>
    <w:p w:rsidR="007F362B" w:rsidRDefault="00305850" w:rsidP="004F27D1">
      <w:pPr>
        <w:numPr>
          <w:ilvl w:val="0"/>
          <w:numId w:val="21"/>
        </w:numPr>
      </w:pPr>
      <w:r>
        <w:t xml:space="preserve">Olivier </w:t>
      </w:r>
      <w:r w:rsidR="00E17397">
        <w:t>and colleagues</w:t>
      </w:r>
      <w:r w:rsidR="00E17397">
        <w:rPr>
          <w:rStyle w:val="FootnoteReference"/>
        </w:rPr>
        <w:footnoteReference w:id="22"/>
      </w:r>
      <w:r w:rsidR="00E17397">
        <w:t xml:space="preserve"> reported "o</w:t>
      </w:r>
      <w:r>
        <w:t>nly 5 episodes of hemodynamic instability required vasoac</w:t>
      </w:r>
      <w:r w:rsidR="00E17397">
        <w:t>tive therapy"</w:t>
      </w:r>
      <w:r w:rsidR="007F362B">
        <w:t>; and</w:t>
      </w:r>
    </w:p>
    <w:p w:rsidR="007F362B" w:rsidRDefault="00E17397" w:rsidP="004F27D1">
      <w:pPr>
        <w:numPr>
          <w:ilvl w:val="0"/>
          <w:numId w:val="21"/>
        </w:numPr>
      </w:pPr>
      <w:r>
        <w:t>Stuart and colleagues</w:t>
      </w:r>
      <w:r>
        <w:rPr>
          <w:rStyle w:val="FootnoteReference"/>
        </w:rPr>
        <w:footnoteReference w:id="23"/>
      </w:r>
      <w:r w:rsidR="00305850">
        <w:t xml:space="preserve"> mentioned that one of the patients</w:t>
      </w:r>
      <w:r w:rsidR="007F362B">
        <w:t xml:space="preserve"> received supplementary oxygen.</w:t>
      </w:r>
    </w:p>
    <w:p w:rsidR="00305850" w:rsidRDefault="00BA7D36" w:rsidP="00305850">
      <w:r>
        <w:t xml:space="preserve">The clinical evaluator considered </w:t>
      </w:r>
      <w:r w:rsidR="00305850">
        <w:t>the abstracts of no value in the safety assessment.</w:t>
      </w:r>
    </w:p>
    <w:p w:rsidR="00305850" w:rsidRPr="00D12012" w:rsidRDefault="00E17397" w:rsidP="00AF60BA">
      <w:pPr>
        <w:pStyle w:val="Heading5"/>
      </w:pPr>
      <w:bookmarkStart w:id="138" w:name="_Ref272333567"/>
      <w:bookmarkStart w:id="139" w:name="_Toc272414665"/>
      <w:bookmarkStart w:id="140" w:name="_Toc290846303"/>
      <w:bookmarkStart w:id="141" w:name="_Toc299195990"/>
      <w:r>
        <w:t xml:space="preserve">Treatment </w:t>
      </w:r>
      <w:r w:rsidR="00305850">
        <w:t xml:space="preserve">related </w:t>
      </w:r>
      <w:r w:rsidR="007D6ECA">
        <w:t>AEs</w:t>
      </w:r>
      <w:r w:rsidR="00305850">
        <w:t xml:space="preserve"> (adverse drug reactions)</w:t>
      </w:r>
      <w:bookmarkEnd w:id="138"/>
      <w:bookmarkEnd w:id="139"/>
      <w:bookmarkEnd w:id="140"/>
      <w:bookmarkEnd w:id="141"/>
    </w:p>
    <w:p w:rsidR="00305850" w:rsidRDefault="00305850" w:rsidP="00AF60BA">
      <w:pPr>
        <w:pStyle w:val="Heading6"/>
      </w:pPr>
      <w:r>
        <w:t>Pivotal studies</w:t>
      </w:r>
    </w:p>
    <w:p w:rsidR="00305850" w:rsidRDefault="00305850" w:rsidP="00305850">
      <w:r>
        <w:t>No such studies.</w:t>
      </w:r>
    </w:p>
    <w:p w:rsidR="00305850" w:rsidRPr="00213E77" w:rsidRDefault="00305850" w:rsidP="00AF60BA">
      <w:pPr>
        <w:pStyle w:val="Heading5"/>
      </w:pPr>
      <w:bookmarkStart w:id="142" w:name="_Toc241374320"/>
      <w:bookmarkStart w:id="143" w:name="_Ref272333507"/>
      <w:bookmarkStart w:id="144" w:name="_Toc272414666"/>
      <w:bookmarkStart w:id="145" w:name="_Toc290846304"/>
      <w:bookmarkStart w:id="146" w:name="_Toc299195991"/>
      <w:r>
        <w:lastRenderedPageBreak/>
        <w:t xml:space="preserve">Deaths and other </w:t>
      </w:r>
      <w:bookmarkEnd w:id="142"/>
      <w:bookmarkEnd w:id="143"/>
      <w:bookmarkEnd w:id="144"/>
      <w:bookmarkEnd w:id="145"/>
      <w:bookmarkEnd w:id="146"/>
      <w:r w:rsidR="007D6ECA">
        <w:t>SAEs</w:t>
      </w:r>
    </w:p>
    <w:p w:rsidR="00305850" w:rsidRDefault="00305850" w:rsidP="00AF60BA">
      <w:pPr>
        <w:pStyle w:val="Heading6"/>
      </w:pPr>
      <w:r>
        <w:t>Pivotal studies</w:t>
      </w:r>
    </w:p>
    <w:p w:rsidR="00305850" w:rsidRDefault="00305850" w:rsidP="00305850">
      <w:r>
        <w:t>No such studies.</w:t>
      </w:r>
    </w:p>
    <w:p w:rsidR="00305850" w:rsidRDefault="00305850" w:rsidP="00AF60BA">
      <w:pPr>
        <w:pStyle w:val="Heading6"/>
      </w:pPr>
      <w:r>
        <w:t>Other studies</w:t>
      </w:r>
    </w:p>
    <w:p w:rsidR="00305850" w:rsidRDefault="00305850" w:rsidP="00305850">
      <w:pPr>
        <w:autoSpaceDE w:val="0"/>
        <w:autoSpaceDN w:val="0"/>
        <w:adjustRightInd w:val="0"/>
      </w:pPr>
      <w:r>
        <w:t>No deaths were recorded in the studies, apart from one death 6 months after ca</w:t>
      </w:r>
      <w:r w:rsidR="00141CB6">
        <w:t>rdiac surgery</w:t>
      </w:r>
      <w:r>
        <w:t>.</w:t>
      </w:r>
      <w:r w:rsidR="00141CB6">
        <w:rPr>
          <w:rStyle w:val="FootnoteReference"/>
        </w:rPr>
        <w:footnoteReference w:id="24"/>
      </w:r>
    </w:p>
    <w:p w:rsidR="00305850" w:rsidRPr="008F73B4" w:rsidRDefault="00305850" w:rsidP="00AF60BA">
      <w:pPr>
        <w:pStyle w:val="Heading5"/>
      </w:pPr>
      <w:bookmarkStart w:id="147" w:name="_Toc241374325"/>
      <w:bookmarkStart w:id="148" w:name="_Ref272333477"/>
      <w:bookmarkStart w:id="149" w:name="_Toc272414667"/>
      <w:bookmarkStart w:id="150" w:name="_Toc290846305"/>
      <w:bookmarkStart w:id="151" w:name="_Toc299195992"/>
      <w:r>
        <w:t xml:space="preserve">Discontinuation due to </w:t>
      </w:r>
      <w:bookmarkEnd w:id="147"/>
      <w:bookmarkEnd w:id="148"/>
      <w:bookmarkEnd w:id="149"/>
      <w:bookmarkEnd w:id="150"/>
      <w:bookmarkEnd w:id="151"/>
      <w:r w:rsidR="007D6ECA">
        <w:t>AEs</w:t>
      </w:r>
    </w:p>
    <w:p w:rsidR="00305850" w:rsidRDefault="00305850" w:rsidP="00AF60BA">
      <w:pPr>
        <w:pStyle w:val="Heading6"/>
      </w:pPr>
      <w:r>
        <w:t>Pivotal studies</w:t>
      </w:r>
    </w:p>
    <w:p w:rsidR="00305850" w:rsidRDefault="00305850" w:rsidP="00305850">
      <w:r>
        <w:t>No such studies.</w:t>
      </w:r>
    </w:p>
    <w:p w:rsidR="00305850" w:rsidRDefault="00305850" w:rsidP="00AF60BA">
      <w:pPr>
        <w:pStyle w:val="Heading6"/>
      </w:pPr>
      <w:r>
        <w:t>Other studies</w:t>
      </w:r>
    </w:p>
    <w:p w:rsidR="00305850" w:rsidRDefault="00305850" w:rsidP="00305850">
      <w:pPr>
        <w:autoSpaceDE w:val="0"/>
        <w:autoSpaceDN w:val="0"/>
        <w:adjustRightInd w:val="0"/>
      </w:pPr>
      <w:r>
        <w:t>No useful data.</w:t>
      </w:r>
    </w:p>
    <w:p w:rsidR="00305850" w:rsidRDefault="00305850" w:rsidP="00AF60BA">
      <w:pPr>
        <w:pStyle w:val="Heading4"/>
      </w:pPr>
      <w:bookmarkStart w:id="152" w:name="_Toc241374321"/>
      <w:bookmarkStart w:id="153" w:name="_Ref271044780"/>
      <w:bookmarkStart w:id="154" w:name="_Ref271196640"/>
      <w:bookmarkStart w:id="155" w:name="_Ref272333085"/>
      <w:bookmarkStart w:id="156" w:name="_Toc272414668"/>
      <w:bookmarkStart w:id="157" w:name="_Toc290846306"/>
      <w:bookmarkStart w:id="158" w:name="_Toc299195993"/>
      <w:r>
        <w:t>Laboratory tests</w:t>
      </w:r>
      <w:bookmarkEnd w:id="152"/>
      <w:bookmarkEnd w:id="153"/>
      <w:bookmarkEnd w:id="154"/>
      <w:bookmarkEnd w:id="155"/>
      <w:bookmarkEnd w:id="156"/>
      <w:bookmarkEnd w:id="157"/>
      <w:bookmarkEnd w:id="158"/>
    </w:p>
    <w:p w:rsidR="00305850" w:rsidRDefault="00305850" w:rsidP="00305850">
      <w:pPr>
        <w:autoSpaceDE w:val="0"/>
        <w:autoSpaceDN w:val="0"/>
        <w:adjustRightInd w:val="0"/>
      </w:pPr>
      <w:r>
        <w:t>No useful data.</w:t>
      </w:r>
    </w:p>
    <w:p w:rsidR="00305850" w:rsidRDefault="00141CB6" w:rsidP="00AF60BA">
      <w:pPr>
        <w:pStyle w:val="Heading4"/>
      </w:pPr>
      <w:bookmarkStart w:id="159" w:name="_Toc241374326"/>
      <w:bookmarkStart w:id="160" w:name="_Ref272333048"/>
      <w:bookmarkStart w:id="161" w:name="_Toc272414679"/>
      <w:bookmarkStart w:id="162" w:name="_Toc290846317"/>
      <w:bookmarkStart w:id="163" w:name="_Toc299195994"/>
      <w:r>
        <w:t xml:space="preserve">Post </w:t>
      </w:r>
      <w:r w:rsidR="00305850">
        <w:t>marketing experience</w:t>
      </w:r>
      <w:bookmarkEnd w:id="159"/>
      <w:bookmarkEnd w:id="160"/>
      <w:bookmarkEnd w:id="161"/>
      <w:bookmarkEnd w:id="162"/>
      <w:bookmarkEnd w:id="163"/>
    </w:p>
    <w:p w:rsidR="00305850" w:rsidRDefault="00305850" w:rsidP="00305850">
      <w:pPr>
        <w:autoSpaceDE w:val="0"/>
        <w:autoSpaceDN w:val="0"/>
        <w:adjustRightInd w:val="0"/>
      </w:pPr>
      <w:r>
        <w:t>No data.</w:t>
      </w:r>
    </w:p>
    <w:p w:rsidR="00305850" w:rsidRDefault="00305850" w:rsidP="00AF60BA">
      <w:pPr>
        <w:pStyle w:val="Heading4"/>
      </w:pPr>
      <w:bookmarkStart w:id="164" w:name="_Toc299195995"/>
      <w:r>
        <w:t>Comment on the Safety section of the Clinical Overview</w:t>
      </w:r>
      <w:bookmarkEnd w:id="164"/>
    </w:p>
    <w:p w:rsidR="00305850" w:rsidRDefault="00305850" w:rsidP="00AF60BA">
      <w:pPr>
        <w:pStyle w:val="Heading5"/>
      </w:pPr>
      <w:bookmarkStart w:id="165" w:name="_Toc299195996"/>
      <w:r>
        <w:t>Dot points at the beginning of the section</w:t>
      </w:r>
      <w:bookmarkEnd w:id="165"/>
    </w:p>
    <w:p w:rsidR="00305850" w:rsidRDefault="00305850" w:rsidP="00305850">
      <w:r>
        <w:t>These are as follows:</w:t>
      </w:r>
    </w:p>
    <w:p w:rsidR="00AF60BA" w:rsidRDefault="00AF60BA" w:rsidP="004F27D1">
      <w:pPr>
        <w:numPr>
          <w:ilvl w:val="0"/>
          <w:numId w:val="18"/>
        </w:numPr>
      </w:pPr>
      <w:r>
        <w:t>The safety of remifentanil administered by TCI has been evaluated in a total of 2,650 subjects in 41 studies. This consisted of 2,593 patients and 57 volunteers. The safety profile of remifentanil administered by TCI is consistent with that in the original MAA and consistent with the known pharmacology of a potent and selective µ-opioid agonist. No increase in drug exposure occurs with the TCI mode of administration.</w:t>
      </w:r>
    </w:p>
    <w:p w:rsidR="00AF60BA" w:rsidRDefault="00AF60BA" w:rsidP="004F27D1">
      <w:pPr>
        <w:numPr>
          <w:ilvl w:val="0"/>
          <w:numId w:val="18"/>
        </w:numPr>
      </w:pPr>
      <w:r>
        <w:t>At the target concentrations recommended for remifentanil TCI, infusion rates fall within the range described in the current SPC for MCI. Limited information is available to compare remifentanil TCI with remifentanil MCI but in one comparative study, the frequency of intra</w:t>
      </w:r>
      <w:r w:rsidR="00470031">
        <w:t xml:space="preserve"> </w:t>
      </w:r>
      <w:r>
        <w:t>operative hypotension was significantly reduced in the remifentanil TCI group (p</w:t>
      </w:r>
      <w:r w:rsidR="00637420">
        <w:t xml:space="preserve"> </w:t>
      </w:r>
      <w:r>
        <w:t>&lt;</w:t>
      </w:r>
      <w:r w:rsidR="00B430CC">
        <w:t xml:space="preserve"> </w:t>
      </w:r>
      <w:r>
        <w:t>0.001). At worse the incidence of haemodynamic effects should be similar to that observed with current doses used by MCI.</w:t>
      </w:r>
    </w:p>
    <w:p w:rsidR="00AF60BA" w:rsidRDefault="00AF60BA" w:rsidP="004F27D1">
      <w:pPr>
        <w:numPr>
          <w:ilvl w:val="0"/>
          <w:numId w:val="18"/>
        </w:numPr>
      </w:pPr>
      <w:r>
        <w:t>With the calculation of LBM as used in the Minto model for remifentanil TCI, LBM is likely to be underestimated in female</w:t>
      </w:r>
      <w:r w:rsidR="00470031">
        <w:t xml:space="preserve"> patients with BMI</w:t>
      </w:r>
      <w:r>
        <w:t xml:space="preserve"> greater than 35 kg/m</w:t>
      </w:r>
      <w:r w:rsidRPr="00470031">
        <w:rPr>
          <w:vertAlign w:val="superscript"/>
        </w:rPr>
        <w:t>2</w:t>
      </w:r>
      <w:r>
        <w:t xml:space="preserve"> and in male patients with BMI greater than 40 kg/m</w:t>
      </w:r>
      <w:r w:rsidRPr="00470031">
        <w:rPr>
          <w:vertAlign w:val="superscript"/>
        </w:rPr>
        <w:t>2</w:t>
      </w:r>
      <w:r>
        <w:t>. To avoid underdosing in these patients</w:t>
      </w:r>
      <w:r w:rsidR="00470031">
        <w:t>,</w:t>
      </w:r>
      <w:r>
        <w:t xml:space="preserve"> remifentanil TCI should be carefully titrated to individual response.</w:t>
      </w:r>
    </w:p>
    <w:p w:rsidR="00305850" w:rsidRDefault="00BA7D36" w:rsidP="00AF60BA">
      <w:r>
        <w:t xml:space="preserve">The clinical evaluator </w:t>
      </w:r>
      <w:r w:rsidR="00305850">
        <w:t>consider</w:t>
      </w:r>
      <w:r>
        <w:t>ed</w:t>
      </w:r>
      <w:r w:rsidR="00305850">
        <w:t xml:space="preserve"> it inappropriate to simply pool the data from the 41 studies mentio</w:t>
      </w:r>
      <w:r w:rsidR="00470031">
        <w:t>ned, for the following reasons:</w:t>
      </w:r>
      <w:r w:rsidR="00305850">
        <w:t xml:space="preserve"> </w:t>
      </w:r>
    </w:p>
    <w:p w:rsidR="00712912" w:rsidRDefault="00712912" w:rsidP="004F27D1">
      <w:pPr>
        <w:pStyle w:val="ListParagraph"/>
        <w:numPr>
          <w:ilvl w:val="0"/>
          <w:numId w:val="19"/>
        </w:numPr>
      </w:pPr>
      <w:r>
        <w:lastRenderedPageBreak/>
        <w:t>The 41 studies have not been systematically selected. Thus, any comparative information among the pooled data may be biased.</w:t>
      </w:r>
    </w:p>
    <w:p w:rsidR="00305850" w:rsidRDefault="00712912" w:rsidP="004F27D1">
      <w:pPr>
        <w:pStyle w:val="ListParagraph"/>
        <w:numPr>
          <w:ilvl w:val="0"/>
          <w:numId w:val="19"/>
        </w:numPr>
      </w:pPr>
      <w:r>
        <w:t>Safety and efficacy of TCI administration depends upon the equipment used to control the rate of infusion – in particular, the software. This</w:t>
      </w:r>
      <w:r w:rsidR="00470031">
        <w:t>,</w:t>
      </w:r>
      <w:r>
        <w:t xml:space="preserve"> in turn</w:t>
      </w:r>
      <w:r w:rsidR="00470031">
        <w:t>,</w:t>
      </w:r>
      <w:r>
        <w:t xml:space="preserve"> is dependent upon the </w:t>
      </w:r>
      <w:r w:rsidR="00B131CA">
        <w:t>PK</w:t>
      </w:r>
      <w:r>
        <w:t xml:space="preserve"> model used.</w:t>
      </w:r>
    </w:p>
    <w:p w:rsidR="00470031" w:rsidRDefault="00470031" w:rsidP="00305850">
      <w:r>
        <w:t>The statement</w:t>
      </w:r>
    </w:p>
    <w:p w:rsidR="00470031" w:rsidRDefault="00305850" w:rsidP="00470031">
      <w:pPr>
        <w:ind w:left="720"/>
      </w:pPr>
      <w:r>
        <w:t>"</w:t>
      </w:r>
      <w:r w:rsidRPr="00EE2A19">
        <w:t>The safety profile of remifentanil administered by TCI is consistent with that in the</w:t>
      </w:r>
      <w:r>
        <w:t xml:space="preserve"> </w:t>
      </w:r>
      <w:r w:rsidRPr="00EE2A19">
        <w:t>original MAA and consistent with the known pharmacology of a potent and</w:t>
      </w:r>
      <w:r>
        <w:t xml:space="preserve"> </w:t>
      </w:r>
      <w:r w:rsidRPr="00EE2A19">
        <w:t>selective µ-opioid agonist</w:t>
      </w:r>
      <w:r w:rsidR="00470031">
        <w:t>"</w:t>
      </w:r>
    </w:p>
    <w:p w:rsidR="00305850" w:rsidRDefault="00305850" w:rsidP="00305850">
      <w:r>
        <w:t>is too vague to be useful.</w:t>
      </w:r>
    </w:p>
    <w:p w:rsidR="00470031" w:rsidRDefault="00470031" w:rsidP="00305850">
      <w:r>
        <w:t>As stated</w:t>
      </w:r>
    </w:p>
    <w:p w:rsidR="00470031" w:rsidRDefault="00305850" w:rsidP="00470031">
      <w:pPr>
        <w:ind w:left="709"/>
      </w:pPr>
      <w:r>
        <w:t>"</w:t>
      </w:r>
      <w:r w:rsidRPr="005E4FC4">
        <w:t>Limited information is</w:t>
      </w:r>
      <w:r>
        <w:t xml:space="preserve"> </w:t>
      </w:r>
      <w:r w:rsidRPr="005E4FC4">
        <w:t>available to compare rem</w:t>
      </w:r>
      <w:r w:rsidR="00470031">
        <w:t xml:space="preserve">ifentanil TCI with remifentanil </w:t>
      </w:r>
      <w:r w:rsidRPr="005E4FC4">
        <w:t>MCI</w:t>
      </w:r>
      <w:r w:rsidR="00470031">
        <w:t>".</w:t>
      </w:r>
    </w:p>
    <w:p w:rsidR="00305850" w:rsidRDefault="00305850" w:rsidP="00305850">
      <w:r>
        <w:t xml:space="preserve">In the </w:t>
      </w:r>
      <w:r w:rsidR="00863688">
        <w:t>one relevant article presented</w:t>
      </w:r>
      <w:r>
        <w:t>,</w:t>
      </w:r>
      <w:r w:rsidR="00863688">
        <w:rPr>
          <w:rStyle w:val="FootnoteReference"/>
        </w:rPr>
        <w:footnoteReference w:id="25"/>
      </w:r>
      <w:r>
        <w:t xml:space="preserve"> Rugloop software was used.</w:t>
      </w:r>
    </w:p>
    <w:p w:rsidR="00F810C8" w:rsidRDefault="00F810C8" w:rsidP="00305850">
      <w:r>
        <w:t>It is claimed</w:t>
      </w:r>
    </w:p>
    <w:p w:rsidR="00F810C8" w:rsidRDefault="00305850" w:rsidP="00F810C8">
      <w:pPr>
        <w:ind w:left="720"/>
      </w:pPr>
      <w:r>
        <w:t>"</w:t>
      </w:r>
      <w:r w:rsidRPr="003A77AF">
        <w:t xml:space="preserve">At the target concentrations recommended for remifentanil TCI, </w:t>
      </w:r>
      <w:r>
        <w:t>i</w:t>
      </w:r>
      <w:r w:rsidRPr="003A77AF">
        <w:t>nfusion rates fall</w:t>
      </w:r>
      <w:r>
        <w:t xml:space="preserve"> </w:t>
      </w:r>
      <w:r w:rsidRPr="003A77AF">
        <w:t>within the range described in the current SPC for MCI</w:t>
      </w:r>
      <w:r w:rsidR="00F810C8">
        <w:t>"</w:t>
      </w:r>
    </w:p>
    <w:p w:rsidR="0066740E" w:rsidRDefault="0066740E" w:rsidP="0066740E">
      <w:r>
        <w:t xml:space="preserve">but the evidence for this is unclear. The assertion appears to be based upon computer simulation studies. </w:t>
      </w:r>
    </w:p>
    <w:p w:rsidR="0066740E" w:rsidRDefault="0066740E" w:rsidP="0066740E">
      <w:r>
        <w:t>Regarding AEs, the simple collection of reports of AEs from non comparative TCI studies contributes very little to this application. The reports are not comprehensive so there is no way of knowing the extent to which these data overlap with the data on which the AE section of the currently approved PI is based.</w:t>
      </w:r>
    </w:p>
    <w:p w:rsidR="00305850" w:rsidRDefault="00305850" w:rsidP="00305850">
      <w:r>
        <w:t>Useful information would be:</w:t>
      </w:r>
    </w:p>
    <w:p w:rsidR="00712912" w:rsidRDefault="00712912" w:rsidP="004F27D1">
      <w:pPr>
        <w:numPr>
          <w:ilvl w:val="0"/>
          <w:numId w:val="20"/>
        </w:numPr>
      </w:pPr>
      <w:bookmarkStart w:id="166" w:name="_Toc299195997"/>
      <w:r>
        <w:t>Comparative frequency data from studies in which a specific TCI system proposed by the sponsor was compared with another mode of administration; and</w:t>
      </w:r>
    </w:p>
    <w:p w:rsidR="00712912" w:rsidRDefault="00712912" w:rsidP="004F27D1">
      <w:pPr>
        <w:numPr>
          <w:ilvl w:val="0"/>
          <w:numId w:val="20"/>
        </w:numPr>
      </w:pPr>
      <w:r>
        <w:t xml:space="preserve">Reports of any AEs which could have occurred because of the TCI mode </w:t>
      </w:r>
      <w:r w:rsidR="00EF3156">
        <w:t>of administration (for example,</w:t>
      </w:r>
      <w:r>
        <w:t xml:space="preserve"> because the model may have been inappropriate, or the software faulty, or because of some other system failure).</w:t>
      </w:r>
    </w:p>
    <w:p w:rsidR="00305850" w:rsidRDefault="00305850" w:rsidP="00DD1182">
      <w:pPr>
        <w:pStyle w:val="Heading5"/>
      </w:pPr>
      <w:r>
        <w:t>Clinical Overview section headed "Safety of Equipment for Remifentanil TCI"</w:t>
      </w:r>
      <w:bookmarkEnd w:id="166"/>
    </w:p>
    <w:p w:rsidR="00305850" w:rsidRDefault="00305850" w:rsidP="00305850">
      <w:pPr>
        <w:autoSpaceDE w:val="0"/>
        <w:autoSpaceDN w:val="0"/>
        <w:adjustRightInd w:val="0"/>
      </w:pPr>
      <w:r>
        <w:t>The sponsor s</w:t>
      </w:r>
      <w:r w:rsidR="00623D6E">
        <w:t>tates (</w:t>
      </w:r>
      <w:r w:rsidR="00623D6E" w:rsidRPr="00623D6E">
        <w:rPr>
          <w:i/>
        </w:rPr>
        <w:t>Clinical Overview</w:t>
      </w:r>
      <w:r>
        <w:t>):</w:t>
      </w:r>
    </w:p>
    <w:p w:rsidR="00305850" w:rsidRPr="00712912" w:rsidRDefault="00305850" w:rsidP="00712912">
      <w:pPr>
        <w:autoSpaceDE w:val="0"/>
        <w:autoSpaceDN w:val="0"/>
        <w:adjustRightInd w:val="0"/>
        <w:spacing w:before="60" w:after="60"/>
        <w:ind w:left="720"/>
      </w:pPr>
      <w:r w:rsidRPr="00712912">
        <w:t>"Validation of TCI control software wil</w:t>
      </w:r>
      <w:r w:rsidR="00712912">
        <w:t xml:space="preserve">l be the responsibility of pump </w:t>
      </w:r>
      <w:r w:rsidRPr="00712912">
        <w:t>manufacturers",</w:t>
      </w:r>
    </w:p>
    <w:p w:rsidR="00305850" w:rsidRDefault="00305850" w:rsidP="00305850">
      <w:pPr>
        <w:autoSpaceDE w:val="0"/>
        <w:autoSpaceDN w:val="0"/>
        <w:adjustRightInd w:val="0"/>
      </w:pPr>
      <w:r>
        <w:t>yet in the draft PI, advice is given that:</w:t>
      </w:r>
    </w:p>
    <w:p w:rsidR="00305850" w:rsidRPr="00712912" w:rsidRDefault="00305850" w:rsidP="00712912">
      <w:pPr>
        <w:autoSpaceDE w:val="0"/>
        <w:autoSpaceDN w:val="0"/>
        <w:adjustRightInd w:val="0"/>
        <w:spacing w:before="60" w:after="60"/>
        <w:ind w:left="720"/>
      </w:pPr>
      <w:r w:rsidRPr="00712912">
        <w:t>"... adequate analgesia for induction of anaesthesia and surgery can generally be achieved with target blood remifentanil concentrations ranging from 3 to 8 ng/mL. Ultiva should be titrated to individual patient response. For particularly stimulating surgical procedures</w:t>
      </w:r>
      <w:r w:rsidR="003E5D83">
        <w:t>,</w:t>
      </w:r>
      <w:r w:rsidRPr="00712912">
        <w:t xml:space="preserve"> target blood concentrations up to 15 ng/mL may be required."</w:t>
      </w:r>
    </w:p>
    <w:p w:rsidR="00305850" w:rsidRDefault="00305850" w:rsidP="00305850">
      <w:pPr>
        <w:autoSpaceDE w:val="0"/>
        <w:autoSpaceDN w:val="0"/>
        <w:adjustRightInd w:val="0"/>
      </w:pPr>
      <w:r>
        <w:lastRenderedPageBreak/>
        <w:t>If this advice (and similar advice elsewhere in the draft PI) has been derived from clinical trials using approved software and hardware, why not state the trade name(s) of the equipment and arrange for the trial data to be submitted for evaluation? If on the other hand the advice has not been derived from such trials, how can it properly be endorsed by the regulator?</w:t>
      </w:r>
    </w:p>
    <w:p w:rsidR="00305850" w:rsidRDefault="00305850" w:rsidP="00DD1182">
      <w:pPr>
        <w:pStyle w:val="Heading5"/>
      </w:pPr>
      <w:bookmarkStart w:id="167" w:name="_Toc299195998"/>
      <w:r>
        <w:t>Clinical Overview section headed "Conclusions on Safety of Remifentanil TCI"</w:t>
      </w:r>
      <w:bookmarkEnd w:id="167"/>
    </w:p>
    <w:p w:rsidR="00305850" w:rsidRDefault="00305850" w:rsidP="00305850">
      <w:pPr>
        <w:autoSpaceDE w:val="0"/>
        <w:autoSpaceDN w:val="0"/>
        <w:adjustRightInd w:val="0"/>
      </w:pPr>
      <w:r>
        <w:t>The sponsor states:</w:t>
      </w:r>
    </w:p>
    <w:p w:rsidR="00305850" w:rsidRPr="00195077" w:rsidRDefault="00305850" w:rsidP="00195077">
      <w:pPr>
        <w:autoSpaceDE w:val="0"/>
        <w:autoSpaceDN w:val="0"/>
        <w:adjustRightInd w:val="0"/>
        <w:spacing w:before="60" w:after="60"/>
        <w:ind w:left="720"/>
      </w:pPr>
      <w:r w:rsidRPr="00195077">
        <w:t>"There is evidence from studies and literature publications that the frequency of hypotension increases at target concentrations of 16 ng/ml and above."</w:t>
      </w:r>
    </w:p>
    <w:p w:rsidR="00305850" w:rsidRDefault="00305850" w:rsidP="00305850">
      <w:pPr>
        <w:autoSpaceDE w:val="0"/>
        <w:autoSpaceDN w:val="0"/>
        <w:adjustRightInd w:val="0"/>
      </w:pPr>
      <w:r>
        <w:t>One of the main points to be assessed in any TCI system is the extent to which specified "target" concentration settings result in similar actual bl</w:t>
      </w:r>
      <w:r w:rsidR="003E5D83">
        <w:t>ood concentrations.</w:t>
      </w:r>
    </w:p>
    <w:p w:rsidR="00DD1182" w:rsidRDefault="00DD1182" w:rsidP="00DD1182">
      <w:pPr>
        <w:pStyle w:val="Heading3"/>
      </w:pPr>
      <w:bookmarkStart w:id="168" w:name="_Toc255919423"/>
      <w:bookmarkStart w:id="169" w:name="_Toc241374329"/>
      <w:bookmarkStart w:id="170" w:name="_Toc270320087"/>
      <w:bookmarkStart w:id="171" w:name="_Toc314842506"/>
      <w:bookmarkStart w:id="172" w:name="_Toc347231108"/>
      <w:r>
        <w:t>List of questions</w:t>
      </w:r>
      <w:bookmarkEnd w:id="168"/>
      <w:bookmarkEnd w:id="169"/>
      <w:bookmarkEnd w:id="170"/>
      <w:bookmarkEnd w:id="171"/>
      <w:bookmarkEnd w:id="172"/>
    </w:p>
    <w:p w:rsidR="0037043D" w:rsidRDefault="0037043D" w:rsidP="0037043D">
      <w:bookmarkStart w:id="173" w:name="_Toc247691523"/>
      <w:bookmarkStart w:id="174" w:name="_Toc314842507"/>
      <w:bookmarkStart w:id="175" w:name="_Toc184440295"/>
      <w:bookmarkStart w:id="176" w:name="_Toc184444673"/>
      <w:bookmarkStart w:id="177" w:name="_Toc196046503"/>
      <w:r>
        <w:t>The clinical evaluator considered there was little value in submitting questions to the applicant.</w:t>
      </w:r>
    </w:p>
    <w:p w:rsidR="00651480" w:rsidRPr="00A303B7" w:rsidRDefault="00651480" w:rsidP="00651480">
      <w:pPr>
        <w:pStyle w:val="Heading3"/>
      </w:pPr>
      <w:bookmarkStart w:id="178" w:name="_Toc347231109"/>
      <w:bookmarkEnd w:id="173"/>
      <w:bookmarkEnd w:id="174"/>
      <w:bookmarkEnd w:id="175"/>
      <w:bookmarkEnd w:id="176"/>
      <w:bookmarkEnd w:id="177"/>
      <w:r>
        <w:t xml:space="preserve">First </w:t>
      </w:r>
      <w:r w:rsidR="005F3CFC">
        <w:t>r</w:t>
      </w:r>
      <w:r>
        <w:t xml:space="preserve">ound </w:t>
      </w:r>
      <w:r w:rsidR="005F3CFC">
        <w:t>b</w:t>
      </w:r>
      <w:r>
        <w:t>enefit-</w:t>
      </w:r>
      <w:r w:rsidR="005F3CFC">
        <w:t>r</w:t>
      </w:r>
      <w:r>
        <w:t xml:space="preserve">isk </w:t>
      </w:r>
      <w:r w:rsidR="005F3CFC">
        <w:t>a</w:t>
      </w:r>
      <w:r>
        <w:t>ssessment</w:t>
      </w:r>
      <w:bookmarkEnd w:id="178"/>
    </w:p>
    <w:p w:rsidR="00651480" w:rsidRDefault="00651480" w:rsidP="00651480">
      <w:pPr>
        <w:pStyle w:val="Heading4"/>
      </w:pPr>
      <w:bookmarkStart w:id="179" w:name="_Toc236802592"/>
      <w:bookmarkStart w:id="180" w:name="_Toc241374331"/>
      <w:bookmarkStart w:id="181" w:name="_Ref272160836"/>
      <w:bookmarkStart w:id="182" w:name="_Toc272414693"/>
      <w:bookmarkStart w:id="183" w:name="_Toc290846331"/>
      <w:bookmarkStart w:id="184" w:name="_Toc299196000"/>
      <w:r>
        <w:t>First round assessment of benefits</w:t>
      </w:r>
      <w:bookmarkEnd w:id="179"/>
      <w:bookmarkEnd w:id="180"/>
      <w:bookmarkEnd w:id="181"/>
      <w:bookmarkEnd w:id="182"/>
      <w:bookmarkEnd w:id="183"/>
      <w:bookmarkEnd w:id="184"/>
    </w:p>
    <w:p w:rsidR="00651480" w:rsidRDefault="00651480" w:rsidP="00651480">
      <w:r>
        <w:t>No benefits of the proposed usage have been demonstrated.</w:t>
      </w:r>
    </w:p>
    <w:p w:rsidR="00651480" w:rsidRDefault="00651480" w:rsidP="00651480">
      <w:pPr>
        <w:pStyle w:val="Heading4"/>
      </w:pPr>
      <w:bookmarkStart w:id="185" w:name="_Toc236802596"/>
      <w:bookmarkStart w:id="186" w:name="_Toc241374334"/>
      <w:bookmarkStart w:id="187" w:name="_Ref272160964"/>
      <w:bookmarkStart w:id="188" w:name="_Toc272414694"/>
      <w:bookmarkStart w:id="189" w:name="_Toc290846332"/>
      <w:bookmarkStart w:id="190" w:name="_Toc299196001"/>
      <w:r>
        <w:t>First round assessment of risks</w:t>
      </w:r>
      <w:bookmarkEnd w:id="185"/>
      <w:bookmarkEnd w:id="186"/>
      <w:bookmarkEnd w:id="187"/>
      <w:bookmarkEnd w:id="188"/>
      <w:bookmarkEnd w:id="189"/>
      <w:bookmarkEnd w:id="190"/>
    </w:p>
    <w:p w:rsidR="00651480" w:rsidRDefault="00651480" w:rsidP="00651480">
      <w:r>
        <w:t>Due to lack of relevant data, risks of the proposed usage cannot be properly assessed on the basis of the present dossier.</w:t>
      </w:r>
    </w:p>
    <w:p w:rsidR="00651480" w:rsidRDefault="00651480" w:rsidP="00651480">
      <w:pPr>
        <w:pStyle w:val="Heading4"/>
      </w:pPr>
      <w:bookmarkStart w:id="191" w:name="_Toc236802597"/>
      <w:bookmarkStart w:id="192" w:name="_Toc241374335"/>
      <w:bookmarkStart w:id="193" w:name="_Toc272414695"/>
      <w:bookmarkStart w:id="194" w:name="_Toc290846333"/>
      <w:bookmarkStart w:id="195" w:name="_Toc299196002"/>
      <w:r>
        <w:t>First round assessment of benefit-risk balance</w:t>
      </w:r>
      <w:bookmarkEnd w:id="191"/>
      <w:bookmarkEnd w:id="192"/>
      <w:bookmarkEnd w:id="193"/>
      <w:bookmarkEnd w:id="194"/>
      <w:bookmarkEnd w:id="195"/>
    </w:p>
    <w:p w:rsidR="00651480" w:rsidRDefault="0037043D" w:rsidP="00651480">
      <w:r>
        <w:t>In view of the</w:t>
      </w:r>
      <w:r w:rsidR="006F1C1C">
        <w:t xml:space="preserve"> findings</w:t>
      </w:r>
      <w:r>
        <w:t xml:space="preserve"> of the clinical evaluator</w:t>
      </w:r>
      <w:r w:rsidR="00651480">
        <w:t>, the benefit-risk balance of the proposed usage must be regarded as unfavourable.</w:t>
      </w:r>
    </w:p>
    <w:p w:rsidR="004C2704" w:rsidRPr="001279D6" w:rsidRDefault="004C2704" w:rsidP="004C2704">
      <w:pPr>
        <w:pStyle w:val="Heading4"/>
      </w:pPr>
      <w:r>
        <w:t>First round recommendation regarding authorisation</w:t>
      </w:r>
    </w:p>
    <w:p w:rsidR="004C2704" w:rsidRDefault="0037043D" w:rsidP="004C2704">
      <w:r>
        <w:t xml:space="preserve">The clinical evaluator </w:t>
      </w:r>
      <w:r w:rsidR="004C2704">
        <w:t>recommend</w:t>
      </w:r>
      <w:r>
        <w:t>ed</w:t>
      </w:r>
      <w:r w:rsidR="004C2704">
        <w:t xml:space="preserve"> against authorisation.</w:t>
      </w:r>
    </w:p>
    <w:p w:rsidR="004C2704" w:rsidRDefault="004C2704" w:rsidP="004C2704">
      <w:pPr>
        <w:pStyle w:val="Heading4"/>
      </w:pPr>
      <w:bookmarkStart w:id="196" w:name="_Ref290645401"/>
      <w:bookmarkStart w:id="197" w:name="_Toc290849963"/>
      <w:bookmarkStart w:id="198" w:name="_Toc290850114"/>
      <w:bookmarkStart w:id="199" w:name="_Toc299196007"/>
      <w:r>
        <w:t xml:space="preserve">First round comments on clinical aspects of the Safety Specification in the draft </w:t>
      </w:r>
      <w:bookmarkEnd w:id="196"/>
      <w:bookmarkEnd w:id="197"/>
      <w:bookmarkEnd w:id="198"/>
      <w:bookmarkEnd w:id="199"/>
      <w:r w:rsidR="00CE6C35">
        <w:t>Risk Management Plan</w:t>
      </w:r>
    </w:p>
    <w:p w:rsidR="004C2704" w:rsidRDefault="004C2704" w:rsidP="004C2704">
      <w:r>
        <w:t>No Risk Management Plan was submitted. Instead, the sponsor submitted the following stateme</w:t>
      </w:r>
      <w:r w:rsidR="0096213B">
        <w:t>nt</w:t>
      </w:r>
      <w:r>
        <w:t>:</w:t>
      </w:r>
    </w:p>
    <w:p w:rsidR="004C2704" w:rsidRPr="004C2704" w:rsidRDefault="004C2704" w:rsidP="004C2704">
      <w:pPr>
        <w:autoSpaceDE w:val="0"/>
        <w:autoSpaceDN w:val="0"/>
        <w:adjustRightInd w:val="0"/>
        <w:ind w:left="720"/>
        <w:rPr>
          <w:rFonts w:cs="Calibri"/>
          <w:color w:val="000000"/>
        </w:rPr>
      </w:pPr>
      <w:r w:rsidRPr="004C2704">
        <w:rPr>
          <w:rFonts w:cs="Calibri"/>
          <w:color w:val="000000"/>
        </w:rPr>
        <w:t>"A review of the GSK safety database and literature searches (covered the period of 1 Jan 2004 - 19 May 2011) since the availability of TCI in 2004 has shown that there has been no safety issues related to the TCI mode of delivery.</w:t>
      </w:r>
    </w:p>
    <w:p w:rsidR="004C2704" w:rsidRPr="004C2704" w:rsidRDefault="00AE2720" w:rsidP="004C2704">
      <w:pPr>
        <w:ind w:left="720"/>
        <w:rPr>
          <w:rFonts w:cs="Calibri"/>
        </w:rPr>
      </w:pPr>
      <w:r w:rsidRPr="00303B51">
        <w:t>GlaxoSmithKline</w:t>
      </w:r>
      <w:r w:rsidR="004C2704" w:rsidRPr="004C2704">
        <w:rPr>
          <w:rFonts w:cs="Calibri"/>
          <w:color w:val="000000"/>
        </w:rPr>
        <w:t xml:space="preserve"> believe that a RMP is not required as part of the submission to include TCI as the patient population has not changed and the TCI dose is within the range of that approved for the use in manual administration."</w:t>
      </w:r>
    </w:p>
    <w:p w:rsidR="004C2704" w:rsidRDefault="005A52FB" w:rsidP="004C2704">
      <w:r>
        <w:lastRenderedPageBreak/>
        <w:t xml:space="preserve">This was rejected by the clinical evaluator who indicated that in addition to the possibility of malfunction in a complex computer controlled system, evidence is lacking that (quoting from the </w:t>
      </w:r>
      <w:r w:rsidRPr="003B3984">
        <w:rPr>
          <w:i/>
        </w:rPr>
        <w:t>Clinical Overview</w:t>
      </w:r>
      <w:r>
        <w:t>):</w:t>
      </w:r>
      <w:r w:rsidR="004C2704">
        <w:t xml:space="preserve"> </w:t>
      </w:r>
    </w:p>
    <w:p w:rsidR="004C2704" w:rsidRPr="004C2704" w:rsidRDefault="004C2704" w:rsidP="004C2704">
      <w:pPr>
        <w:spacing w:before="60" w:after="60"/>
        <w:ind w:left="720"/>
      </w:pPr>
      <w:r w:rsidRPr="004C2704">
        <w:t>"the infusion rate delivered, at the target settings proposed, fall within those recommended in the current SPC.</w:t>
      </w:r>
      <w:r w:rsidRPr="004C2704">
        <w:rPr>
          <w:rStyle w:val="FootnoteReference"/>
        </w:rPr>
        <w:footnoteReference w:id="26"/>
      </w:r>
      <w:r w:rsidRPr="004C2704">
        <w:t xml:space="preserve">" </w:t>
      </w:r>
    </w:p>
    <w:p w:rsidR="008E7846" w:rsidRPr="00E41208" w:rsidRDefault="008E7846" w:rsidP="008E7846">
      <w:pPr>
        <w:pStyle w:val="Heading2"/>
      </w:pPr>
      <w:bookmarkStart w:id="200" w:name="_Toc196046504"/>
      <w:bookmarkStart w:id="201" w:name="_Toc163441390"/>
      <w:bookmarkStart w:id="202" w:name="_Toc247691524"/>
      <w:bookmarkStart w:id="203" w:name="_Toc314842508"/>
      <w:bookmarkStart w:id="204" w:name="_Toc347231110"/>
      <w:bookmarkEnd w:id="112"/>
      <w:r w:rsidRPr="00E41208">
        <w:t xml:space="preserve">V. Pharmacovigilance </w:t>
      </w:r>
      <w:r>
        <w:t>f</w:t>
      </w:r>
      <w:r w:rsidRPr="00E41208">
        <w:t>indings</w:t>
      </w:r>
      <w:bookmarkEnd w:id="202"/>
      <w:bookmarkEnd w:id="203"/>
      <w:bookmarkEnd w:id="204"/>
    </w:p>
    <w:p w:rsidR="008E7846" w:rsidRDefault="00386150" w:rsidP="008E7846">
      <w:pPr>
        <w:pStyle w:val="Heading3"/>
        <w:rPr>
          <w:lang w:eastAsia="en-AU"/>
        </w:rPr>
      </w:pPr>
      <w:bookmarkStart w:id="205" w:name="_Toc247691526"/>
      <w:bookmarkStart w:id="206" w:name="_Toc314842509"/>
      <w:bookmarkStart w:id="207" w:name="_Toc347231111"/>
      <w:r>
        <w:rPr>
          <w:lang w:eastAsia="en-AU"/>
        </w:rPr>
        <w:t>Risk m</w:t>
      </w:r>
      <w:r w:rsidR="008E7846">
        <w:rPr>
          <w:lang w:eastAsia="en-AU"/>
        </w:rPr>
        <w:t xml:space="preserve">anagement </w:t>
      </w:r>
      <w:r>
        <w:rPr>
          <w:lang w:eastAsia="en-AU"/>
        </w:rPr>
        <w:t>p</w:t>
      </w:r>
      <w:r w:rsidR="008E7846">
        <w:rPr>
          <w:lang w:eastAsia="en-AU"/>
        </w:rPr>
        <w:t>lan</w:t>
      </w:r>
      <w:bookmarkEnd w:id="205"/>
      <w:bookmarkEnd w:id="206"/>
      <w:bookmarkEnd w:id="207"/>
    </w:p>
    <w:p w:rsidR="003050CC" w:rsidRDefault="006203A5" w:rsidP="003050CC">
      <w:r>
        <w:t>No Risk Management Plan was submitted</w:t>
      </w:r>
      <w:r w:rsidR="003050CC">
        <w:t>.</w:t>
      </w:r>
    </w:p>
    <w:p w:rsidR="008E7846" w:rsidRPr="00792A32" w:rsidRDefault="008E7846" w:rsidP="008E7846">
      <w:pPr>
        <w:pStyle w:val="Heading2"/>
      </w:pPr>
      <w:bookmarkStart w:id="208" w:name="_Toc247691527"/>
      <w:bookmarkStart w:id="209" w:name="_Toc314842510"/>
      <w:bookmarkStart w:id="210" w:name="_Toc34723111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200"/>
      <w:bookmarkEnd w:id="208"/>
      <w:bookmarkEnd w:id="209"/>
      <w:bookmarkEnd w:id="210"/>
    </w:p>
    <w:p w:rsidR="008E7846" w:rsidRDefault="008E7846" w:rsidP="008E7846">
      <w:bookmarkStart w:id="211"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212" w:name="_Toc314842511"/>
      <w:bookmarkStart w:id="213" w:name="_Toc347231113"/>
      <w:r>
        <w:t>Quality</w:t>
      </w:r>
      <w:bookmarkEnd w:id="211"/>
      <w:bookmarkEnd w:id="212"/>
      <w:bookmarkEnd w:id="213"/>
    </w:p>
    <w:p w:rsidR="00E45619" w:rsidRDefault="008E7846" w:rsidP="003A7F6C">
      <w:r>
        <w:t>There was no requirement for a quality evaluation in a submission of this type.</w:t>
      </w:r>
    </w:p>
    <w:p w:rsidR="008E7846" w:rsidRDefault="008E7846" w:rsidP="008E7846">
      <w:pPr>
        <w:pStyle w:val="Heading3"/>
      </w:pPr>
      <w:bookmarkStart w:id="214" w:name="_Toc314842512"/>
      <w:bookmarkStart w:id="215" w:name="_Toc347231114"/>
      <w:r>
        <w:t>Nonclinical</w:t>
      </w:r>
      <w:bookmarkEnd w:id="214"/>
      <w:bookmarkEnd w:id="215"/>
    </w:p>
    <w:p w:rsidR="008E7846" w:rsidRDefault="008E7846" w:rsidP="008E7846">
      <w:r>
        <w:t>There was no requirement for a nonclinical evaluation in a submission of this type.</w:t>
      </w:r>
    </w:p>
    <w:p w:rsidR="008E7846" w:rsidRDefault="008E7846" w:rsidP="008E7846">
      <w:pPr>
        <w:pStyle w:val="Heading3"/>
      </w:pPr>
      <w:bookmarkStart w:id="216" w:name="_Toc247691530"/>
      <w:bookmarkStart w:id="217" w:name="_Toc314842513"/>
      <w:bookmarkStart w:id="218" w:name="_Toc347231115"/>
      <w:r>
        <w:t>Clinical</w:t>
      </w:r>
      <w:bookmarkEnd w:id="216"/>
      <w:bookmarkEnd w:id="217"/>
      <w:bookmarkEnd w:id="218"/>
    </w:p>
    <w:p w:rsidR="00CB113F" w:rsidRPr="002B0BCF" w:rsidRDefault="00CB113F" w:rsidP="00CB113F">
      <w:pPr>
        <w:pStyle w:val="Heading4"/>
      </w:pPr>
      <w:r w:rsidRPr="002B0BCF">
        <w:t>Pharmacology</w:t>
      </w:r>
    </w:p>
    <w:p w:rsidR="00CB113F" w:rsidRPr="002B0BCF" w:rsidRDefault="00CB113F" w:rsidP="00CB113F">
      <w:pPr>
        <w:rPr>
          <w:color w:val="000000"/>
        </w:rPr>
      </w:pPr>
      <w:r w:rsidRPr="002B0BCF">
        <w:rPr>
          <w:color w:val="000000"/>
        </w:rPr>
        <w:t xml:space="preserve">The sponsor has noted that the amount of remifentanil delivered at a particular target setting with TCI can vary depending on the </w:t>
      </w:r>
      <w:r w:rsidR="00B131CA">
        <w:rPr>
          <w:color w:val="000000"/>
        </w:rPr>
        <w:t>PK</w:t>
      </w:r>
      <w:r w:rsidRPr="002B0BCF">
        <w:rPr>
          <w:color w:val="000000"/>
        </w:rPr>
        <w:t xml:space="preserve"> model incorporated in a TCI pump. This occurs because within the range of published parameters there are some differences in the estimates of volumes of distribution and clearance of remifentanil. By recommending a particular </w:t>
      </w:r>
      <w:r w:rsidR="00B131CA">
        <w:rPr>
          <w:color w:val="000000"/>
        </w:rPr>
        <w:t>PK</w:t>
      </w:r>
      <w:r w:rsidRPr="002B0BCF">
        <w:rPr>
          <w:color w:val="000000"/>
        </w:rPr>
        <w:t xml:space="preserve"> model for remifentanil for incorporation in all commercial TCI systems, standardisation of delivery of remifentanil by TCI will be achieved. Guidance on recommended target concentration settings for remifentanil in the PI can then be linked to the delivery of remifentanil by these TCI systems.</w:t>
      </w:r>
    </w:p>
    <w:p w:rsidR="00CB113F" w:rsidRPr="002B0BCF" w:rsidRDefault="00CB113F" w:rsidP="00CB113F">
      <w:pPr>
        <w:rPr>
          <w:color w:val="000000"/>
        </w:rPr>
      </w:pPr>
      <w:r w:rsidRPr="002B0BCF">
        <w:rPr>
          <w:color w:val="000000"/>
        </w:rPr>
        <w:t xml:space="preserve">The sponsor has recommended the </w:t>
      </w:r>
      <w:r w:rsidR="00B131CA">
        <w:rPr>
          <w:color w:val="000000"/>
        </w:rPr>
        <w:t>PK</w:t>
      </w:r>
      <w:r w:rsidR="00FD47F0">
        <w:rPr>
          <w:color w:val="000000"/>
        </w:rPr>
        <w:t xml:space="preserve"> model described by Minto and colleagues</w:t>
      </w:r>
      <w:r w:rsidR="00FD47F0">
        <w:rPr>
          <w:rStyle w:val="FootnoteReference"/>
          <w:color w:val="000000"/>
        </w:rPr>
        <w:footnoteReference w:id="27"/>
      </w:r>
      <w:r w:rsidRPr="002B0BCF">
        <w:rPr>
          <w:color w:val="000000"/>
        </w:rPr>
        <w:t xml:space="preserve"> be recommended as the only PK model for deliv</w:t>
      </w:r>
      <w:r w:rsidR="00213FA2">
        <w:rPr>
          <w:color w:val="000000"/>
        </w:rPr>
        <w:t xml:space="preserve">ery of remifentanil using TCI. </w:t>
      </w:r>
      <w:r w:rsidRPr="002B0BCF">
        <w:rPr>
          <w:color w:val="000000"/>
        </w:rPr>
        <w:t xml:space="preserve">The sponsor claims this model has the advantage that covariates are incorporated to take account of the known effects of patient age and LBM on the </w:t>
      </w:r>
      <w:r w:rsidR="00B131CA">
        <w:rPr>
          <w:color w:val="000000"/>
        </w:rPr>
        <w:t>PK</w:t>
      </w:r>
      <w:r w:rsidRPr="002B0BCF">
        <w:rPr>
          <w:color w:val="000000"/>
        </w:rPr>
        <w:t xml:space="preserve"> of remifentanil. In this way, the amount of remifentanil delivered at a particular target setting is automatically adjusted, based on the characteristics of each patient. </w:t>
      </w:r>
    </w:p>
    <w:p w:rsidR="00CB113F" w:rsidRDefault="00CB113F" w:rsidP="00CB113F">
      <w:pPr>
        <w:rPr>
          <w:color w:val="000000"/>
        </w:rPr>
      </w:pPr>
      <w:r w:rsidRPr="002B0BCF">
        <w:rPr>
          <w:color w:val="000000"/>
        </w:rPr>
        <w:lastRenderedPageBreak/>
        <w:t>The Minto mode</w:t>
      </w:r>
      <w:r w:rsidR="00CB659D">
        <w:rPr>
          <w:color w:val="000000"/>
        </w:rPr>
        <w:t>l development was described in two</w:t>
      </w:r>
      <w:r w:rsidRPr="002B0BCF">
        <w:rPr>
          <w:color w:val="000000"/>
        </w:rPr>
        <w:t xml:space="preserve"> papers included in this submission.</w:t>
      </w:r>
      <w:r w:rsidR="0078076B">
        <w:rPr>
          <w:color w:val="000000"/>
        </w:rPr>
        <w:t xml:space="preserve"> </w:t>
      </w:r>
      <w:r w:rsidRPr="002B0BCF">
        <w:rPr>
          <w:color w:val="000000"/>
        </w:rPr>
        <w:t>The initial remifentanil blood concentration relative to infusion rate data were obtained in an open PK/PD study in which 65 healthy subjects aged from 18 to 84 y</w:t>
      </w:r>
      <w:r w:rsidR="007E1AE9">
        <w:rPr>
          <w:color w:val="000000"/>
        </w:rPr>
        <w:t>ears</w:t>
      </w:r>
      <w:r w:rsidRPr="002B0BCF">
        <w:rPr>
          <w:color w:val="000000"/>
        </w:rPr>
        <w:t xml:space="preserve"> (38</w:t>
      </w:r>
      <w:r w:rsidR="007E1AE9">
        <w:rPr>
          <w:color w:val="000000"/>
        </w:rPr>
        <w:t xml:space="preserve"> males,</w:t>
      </w:r>
      <w:r w:rsidRPr="002B0BCF">
        <w:rPr>
          <w:color w:val="000000"/>
        </w:rPr>
        <w:t xml:space="preserve"> </w:t>
      </w:r>
      <w:r w:rsidR="007E1AE9">
        <w:rPr>
          <w:color w:val="000000"/>
        </w:rPr>
        <w:t xml:space="preserve">27 </w:t>
      </w:r>
      <w:r w:rsidR="003C0D9F">
        <w:rPr>
          <w:color w:val="000000"/>
        </w:rPr>
        <w:t xml:space="preserve">females; </w:t>
      </w:r>
      <w:r w:rsidRPr="002B0BCF">
        <w:rPr>
          <w:color w:val="000000"/>
        </w:rPr>
        <w:t>17 subjects &gt; 65 y</w:t>
      </w:r>
      <w:r w:rsidR="007E1AE9">
        <w:rPr>
          <w:color w:val="000000"/>
        </w:rPr>
        <w:t>ears</w:t>
      </w:r>
      <w:r w:rsidRPr="002B0BCF">
        <w:rPr>
          <w:color w:val="000000"/>
        </w:rPr>
        <w:t>) re</w:t>
      </w:r>
      <w:r w:rsidR="007E1AE9">
        <w:rPr>
          <w:color w:val="000000"/>
        </w:rPr>
        <w:t xml:space="preserve">ceived remifentanil by constant </w:t>
      </w:r>
      <w:r w:rsidRPr="002B0BCF">
        <w:rPr>
          <w:color w:val="000000"/>
        </w:rPr>
        <w:t>rate i</w:t>
      </w:r>
      <w:r w:rsidR="007E1AE9">
        <w:rPr>
          <w:color w:val="000000"/>
        </w:rPr>
        <w:t>nfusion of 1-</w:t>
      </w:r>
      <w:r w:rsidRPr="002B0BCF">
        <w:rPr>
          <w:color w:val="000000"/>
        </w:rPr>
        <w:t xml:space="preserve">8 µg/kg/min for </w:t>
      </w:r>
      <w:r w:rsidR="007E1AE9">
        <w:rPr>
          <w:color w:val="000000"/>
        </w:rPr>
        <w:t>4-</w:t>
      </w:r>
      <w:r w:rsidRPr="002B0BCF">
        <w:rPr>
          <w:color w:val="000000"/>
        </w:rPr>
        <w:t>20 minutes.</w:t>
      </w:r>
      <w:r w:rsidR="0078076B">
        <w:rPr>
          <w:color w:val="000000"/>
        </w:rPr>
        <w:t xml:space="preserve"> </w:t>
      </w:r>
    </w:p>
    <w:p w:rsidR="00CB113F" w:rsidRDefault="00CB113F" w:rsidP="00CB113F">
      <w:pPr>
        <w:rPr>
          <w:color w:val="000000"/>
        </w:rPr>
      </w:pPr>
      <w:r w:rsidRPr="002B0BCF">
        <w:rPr>
          <w:color w:val="000000"/>
        </w:rPr>
        <w:t>Arterial blood samples were drawn and assayed for remifentanil concentration to assess the relationship between infusion rate and blood concentration.</w:t>
      </w:r>
      <w:r w:rsidR="0078076B">
        <w:rPr>
          <w:color w:val="000000"/>
        </w:rPr>
        <w:t xml:space="preserve"> </w:t>
      </w:r>
      <w:r w:rsidRPr="002B0BCF">
        <w:rPr>
          <w:color w:val="000000"/>
        </w:rPr>
        <w:t>The timing and frequency of sampling was not provided in that paper.</w:t>
      </w:r>
      <w:r w:rsidR="0078076B">
        <w:rPr>
          <w:color w:val="000000"/>
        </w:rPr>
        <w:t xml:space="preserve"> </w:t>
      </w:r>
      <w:r w:rsidRPr="002B0BCF">
        <w:rPr>
          <w:color w:val="000000"/>
        </w:rPr>
        <w:t>The absence of data on the number of samples and time sequence limits further comments that could be made on the raw data that was subsequently used for model development.</w:t>
      </w:r>
      <w:r w:rsidR="0078076B">
        <w:rPr>
          <w:color w:val="000000"/>
        </w:rPr>
        <w:t xml:space="preserve"> </w:t>
      </w:r>
    </w:p>
    <w:p w:rsidR="00CB113F" w:rsidRPr="002B0BCF" w:rsidRDefault="00CB113F" w:rsidP="00CB113F">
      <w:pPr>
        <w:rPr>
          <w:color w:val="000000"/>
        </w:rPr>
      </w:pPr>
      <w:r w:rsidRPr="002B0BCF">
        <w:rPr>
          <w:color w:val="000000"/>
        </w:rPr>
        <w:t>Of note this study included a PD assessment in which the effect of remifentanil on the brain was assessed using a spectral edge EEG</w:t>
      </w:r>
      <w:r w:rsidR="00213FA2">
        <w:rPr>
          <w:color w:val="000000"/>
        </w:rPr>
        <w:t xml:space="preserve">. </w:t>
      </w:r>
      <w:r w:rsidRPr="002B0BCF">
        <w:rPr>
          <w:color w:val="000000"/>
        </w:rPr>
        <w:t>Modelling of that data showed a doubling of the t</w:t>
      </w:r>
      <w:r w:rsidRPr="004C12FD">
        <w:rPr>
          <w:color w:val="000000"/>
          <w:vertAlign w:val="subscript"/>
        </w:rPr>
        <w:t>½</w:t>
      </w:r>
      <w:r w:rsidRPr="002B0BCF">
        <w:rPr>
          <w:color w:val="000000"/>
        </w:rPr>
        <w:t xml:space="preserve"> and k</w:t>
      </w:r>
      <w:r w:rsidRPr="002B0BCF">
        <w:rPr>
          <w:color w:val="000000"/>
          <w:vertAlign w:val="subscript"/>
        </w:rPr>
        <w:t>eo</w:t>
      </w:r>
      <w:r w:rsidRPr="002B0BCF">
        <w:rPr>
          <w:color w:val="000000"/>
        </w:rPr>
        <w:t xml:space="preserve"> for remifentanil and </w:t>
      </w:r>
      <w:r w:rsidR="00213FA2">
        <w:rPr>
          <w:color w:val="000000"/>
        </w:rPr>
        <w:t xml:space="preserve">a </w:t>
      </w:r>
      <w:r w:rsidRPr="002B0BCF">
        <w:rPr>
          <w:color w:val="000000"/>
        </w:rPr>
        <w:t>halving of the EC</w:t>
      </w:r>
      <w:r w:rsidRPr="002B0BCF">
        <w:rPr>
          <w:color w:val="000000"/>
          <w:vertAlign w:val="subscript"/>
        </w:rPr>
        <w:t>50</w:t>
      </w:r>
      <w:r w:rsidR="00213FA2">
        <w:rPr>
          <w:color w:val="000000"/>
        </w:rPr>
        <w:t xml:space="preserve"> from ages 20-85.</w:t>
      </w:r>
      <w:r w:rsidRPr="002B0BCF">
        <w:rPr>
          <w:color w:val="000000"/>
        </w:rPr>
        <w:t xml:space="preserve"> This was the basis of the proposed 50% reduction in target range for remifentanil for patients aged over 65 years.</w:t>
      </w:r>
      <w:r w:rsidR="0078076B">
        <w:rPr>
          <w:color w:val="000000"/>
        </w:rPr>
        <w:t xml:space="preserve"> </w:t>
      </w:r>
    </w:p>
    <w:p w:rsidR="00CB113F" w:rsidRPr="002B0BCF" w:rsidRDefault="00CB113F" w:rsidP="00CB113F">
      <w:pPr>
        <w:rPr>
          <w:color w:val="000000"/>
        </w:rPr>
      </w:pPr>
      <w:r w:rsidRPr="002B0BCF">
        <w:rPr>
          <w:color w:val="000000"/>
        </w:rPr>
        <w:t>Dose adjustments are also recommended for obese patients.</w:t>
      </w:r>
      <w:r w:rsidR="0078076B">
        <w:rPr>
          <w:color w:val="000000"/>
        </w:rPr>
        <w:t xml:space="preserve"> </w:t>
      </w:r>
      <w:r w:rsidRPr="002B0BCF">
        <w:rPr>
          <w:color w:val="000000"/>
        </w:rPr>
        <w:t>The Minto model proposed for adoption has based dosing on LBM such that no further amendment of target settings should be required. However, the sponsor has submitted a letter to the editor by Green and Duffell from the School of Pharmacy Uni</w:t>
      </w:r>
      <w:r w:rsidR="00066B78">
        <w:rPr>
          <w:color w:val="000000"/>
        </w:rPr>
        <w:t>versity</w:t>
      </w:r>
      <w:r w:rsidRPr="002B0BCF">
        <w:rPr>
          <w:color w:val="000000"/>
        </w:rPr>
        <w:t xml:space="preserve"> of Q</w:t>
      </w:r>
      <w:r w:rsidR="00066B78">
        <w:rPr>
          <w:color w:val="000000"/>
        </w:rPr>
        <w:t>ueens</w:t>
      </w:r>
      <w:r w:rsidRPr="002B0BCF">
        <w:rPr>
          <w:color w:val="000000"/>
        </w:rPr>
        <w:t>l</w:t>
      </w:r>
      <w:r w:rsidR="00066B78">
        <w:rPr>
          <w:color w:val="000000"/>
        </w:rPr>
        <w:t>an</w:t>
      </w:r>
      <w:r w:rsidRPr="002B0BCF">
        <w:rPr>
          <w:color w:val="000000"/>
        </w:rPr>
        <w:t xml:space="preserve">d published in </w:t>
      </w:r>
      <w:r w:rsidRPr="002B0BCF">
        <w:rPr>
          <w:i/>
          <w:color w:val="000000"/>
        </w:rPr>
        <w:t>Clinical Pharmacology and Therapeutics</w:t>
      </w:r>
      <w:r w:rsidRPr="002B0BCF">
        <w:rPr>
          <w:color w:val="000000"/>
        </w:rPr>
        <w:t xml:space="preserve"> December 2002.</w:t>
      </w:r>
      <w:r w:rsidR="0078076B">
        <w:rPr>
          <w:color w:val="000000"/>
        </w:rPr>
        <w:t xml:space="preserve"> </w:t>
      </w:r>
      <w:r w:rsidRPr="002B0BCF">
        <w:rPr>
          <w:color w:val="000000"/>
        </w:rPr>
        <w:t>This letter notes the LBM calculations were derived from 1976 population data.</w:t>
      </w:r>
      <w:r w:rsidR="0078076B">
        <w:rPr>
          <w:color w:val="000000"/>
        </w:rPr>
        <w:t xml:space="preserve"> </w:t>
      </w:r>
      <w:r w:rsidRPr="002B0BCF">
        <w:rPr>
          <w:color w:val="000000"/>
        </w:rPr>
        <w:t>With that model, at</w:t>
      </w:r>
      <w:r w:rsidR="003F7764">
        <w:rPr>
          <w:color w:val="000000"/>
        </w:rPr>
        <w:t xml:space="preserve"> extremes of BMI the estimated percentage</w:t>
      </w:r>
      <w:r w:rsidRPr="002B0BCF">
        <w:rPr>
          <w:color w:val="000000"/>
        </w:rPr>
        <w:t xml:space="preserve"> of body fat becomes artific</w:t>
      </w:r>
      <w:r w:rsidR="003F7764">
        <w:rPr>
          <w:color w:val="000000"/>
        </w:rPr>
        <w:t>ially high, leading to an under</w:t>
      </w:r>
      <w:r w:rsidRPr="002B0BCF">
        <w:rPr>
          <w:color w:val="000000"/>
        </w:rPr>
        <w:t>estimation of LBM in morbidly obese individuals.</w:t>
      </w:r>
      <w:r w:rsidR="0078076B">
        <w:rPr>
          <w:color w:val="000000"/>
        </w:rPr>
        <w:t xml:space="preserve"> </w:t>
      </w:r>
      <w:r w:rsidRPr="002B0BCF">
        <w:rPr>
          <w:color w:val="000000"/>
        </w:rPr>
        <w:t xml:space="preserve"> </w:t>
      </w:r>
    </w:p>
    <w:p w:rsidR="00CB113F" w:rsidRPr="002B0BCF" w:rsidRDefault="00CB113F" w:rsidP="00CB113F">
      <w:pPr>
        <w:rPr>
          <w:color w:val="000000"/>
        </w:rPr>
      </w:pPr>
      <w:r w:rsidRPr="002B0BCF">
        <w:rPr>
          <w:color w:val="000000"/>
        </w:rPr>
        <w:t xml:space="preserve">The sponsor’s </w:t>
      </w:r>
      <w:r w:rsidRPr="006E04CE">
        <w:rPr>
          <w:i/>
          <w:color w:val="000000"/>
        </w:rPr>
        <w:t>Clinical Overview</w:t>
      </w:r>
      <w:r w:rsidRPr="002B0BCF">
        <w:rPr>
          <w:color w:val="000000"/>
        </w:rPr>
        <w:t xml:space="preserve"> revi</w:t>
      </w:r>
      <w:r w:rsidR="006E04CE">
        <w:rPr>
          <w:color w:val="000000"/>
        </w:rPr>
        <w:t>ewed information obtained from two</w:t>
      </w:r>
      <w:r w:rsidRPr="002B0BCF">
        <w:rPr>
          <w:color w:val="000000"/>
        </w:rPr>
        <w:t xml:space="preserve"> company sponsored studies that did not use the Minto model and data from a further 27 peer reviewed published studies in which remifentanil was given by TCI to a total of 2,031 patients and 42 volunteers. Some additional information is provided in 12 published abstracts, which refer to use of</w:t>
      </w:r>
      <w:r>
        <w:rPr>
          <w:color w:val="000000"/>
        </w:rPr>
        <w:t xml:space="preserve"> </w:t>
      </w:r>
      <w:r w:rsidRPr="002B0BCF">
        <w:rPr>
          <w:color w:val="000000"/>
        </w:rPr>
        <w:t>remifentanil by TCI in a further 368 patients. That review grouped TCI without regard to the PK model used for delivery.</w:t>
      </w:r>
      <w:r w:rsidR="0078076B">
        <w:rPr>
          <w:color w:val="000000"/>
        </w:rPr>
        <w:t xml:space="preserve"> </w:t>
      </w:r>
    </w:p>
    <w:p w:rsidR="00CB113F" w:rsidRPr="002B0BCF" w:rsidRDefault="00CB113F" w:rsidP="00CB113F">
      <w:r w:rsidRPr="002B0BCF">
        <w:t xml:space="preserve">The Minto </w:t>
      </w:r>
      <w:r w:rsidR="00B131CA">
        <w:t>PK</w:t>
      </w:r>
      <w:r w:rsidRPr="002B0BCF">
        <w:t xml:space="preserve"> model proposed for inclusion in the PI is described in a published paper discussed in </w:t>
      </w:r>
      <w:r w:rsidR="004A51FB">
        <w:t xml:space="preserve">the </w:t>
      </w:r>
      <w:r w:rsidR="004A51FB" w:rsidRPr="004A51FB">
        <w:rPr>
          <w:i/>
        </w:rPr>
        <w:t>Clinical Evaluation Report</w:t>
      </w:r>
      <w:r w:rsidRPr="002B0BCF">
        <w:t>.</w:t>
      </w:r>
      <w:r w:rsidR="0078076B">
        <w:t xml:space="preserve"> </w:t>
      </w:r>
      <w:r w:rsidRPr="002B0BCF">
        <w:t>The clinical evaluator was concerned that it could not be confirmed from the submission that the model used in the majority of published studies was the Minto model.</w:t>
      </w:r>
      <w:r w:rsidR="0078076B">
        <w:t xml:space="preserve"> </w:t>
      </w:r>
      <w:r w:rsidRPr="002B0BCF">
        <w:t>He also noted that as no systematic search of the literature had apparently been conducted it was not possible to determine whether other literature, less favourable to either the Minto PK model or TCI in general was available.</w:t>
      </w:r>
      <w:r w:rsidR="0078076B">
        <w:t xml:space="preserve"> </w:t>
      </w:r>
    </w:p>
    <w:p w:rsidR="00CB113F" w:rsidRPr="002B0BCF" w:rsidRDefault="00CB113F" w:rsidP="00CB113F">
      <w:r w:rsidRPr="002B0BCF">
        <w:t xml:space="preserve">The Minto PK model is reported in reference </w:t>
      </w:r>
      <w:r w:rsidR="002E52C1">
        <w:t xml:space="preserve">to a second paper by </w:t>
      </w:r>
      <w:r w:rsidRPr="002B0BCF">
        <w:t xml:space="preserve">Minto </w:t>
      </w:r>
      <w:r w:rsidR="002E52C1">
        <w:t>and colleagues.</w:t>
      </w:r>
      <w:r w:rsidR="002E52C1">
        <w:rPr>
          <w:rStyle w:val="FootnoteReference"/>
        </w:rPr>
        <w:footnoteReference w:id="28"/>
      </w:r>
      <w:r w:rsidR="002E52C1">
        <w:t xml:space="preserve"> </w:t>
      </w:r>
      <w:r w:rsidRPr="002B0BCF">
        <w:t>In that study</w:t>
      </w:r>
      <w:r w:rsidR="00D95525">
        <w:t>,</w:t>
      </w:r>
      <w:r w:rsidRPr="002B0BCF">
        <w:t xml:space="preserve"> 65 healthy subject</w:t>
      </w:r>
      <w:r w:rsidR="003C0D9F">
        <w:t>s (35 male, 27 female; age 20-</w:t>
      </w:r>
      <w:r w:rsidRPr="002B0BCF">
        <w:t>85 years) received remifentanil by co</w:t>
      </w:r>
      <w:r w:rsidR="002E52C1">
        <w:t xml:space="preserve">nstant </w:t>
      </w:r>
      <w:r w:rsidR="003C0D9F">
        <w:t>rate infusion of from 1-8 µg/kg/min for 4-</w:t>
      </w:r>
      <w:r w:rsidRPr="002B0BCF">
        <w:t>20 min</w:t>
      </w:r>
      <w:r w:rsidR="003C0D9F">
        <w:t>utes</w:t>
      </w:r>
      <w:r w:rsidRPr="002B0BCF">
        <w:t>.</w:t>
      </w:r>
      <w:r w:rsidR="0078076B">
        <w:t xml:space="preserve"> </w:t>
      </w:r>
      <w:r w:rsidRPr="002B0BCF">
        <w:t xml:space="preserve">Blood samples for assessment of remifentanil concentration were taken and </w:t>
      </w:r>
      <w:r w:rsidR="00B131CA">
        <w:t>PD</w:t>
      </w:r>
      <w:r w:rsidRPr="002B0BCF">
        <w:t xml:space="preserve"> observations made. The primary measure of </w:t>
      </w:r>
      <w:r w:rsidR="00B131CA">
        <w:t>PD</w:t>
      </w:r>
      <w:r w:rsidRPr="002B0BCF">
        <w:t xml:space="preserve"> effect was spectral edge EEG.</w:t>
      </w:r>
      <w:r w:rsidR="0078076B">
        <w:t xml:space="preserve"> </w:t>
      </w:r>
      <w:r w:rsidRPr="002B0BCF">
        <w:t>Blood samples taken during this study provided the data used to develop the Minto model</w:t>
      </w:r>
      <w:r w:rsidR="004A74C3">
        <w:rPr>
          <w:rStyle w:val="FootnoteReference"/>
        </w:rPr>
        <w:footnoteReference w:id="29"/>
      </w:r>
      <w:r w:rsidRPr="002B0BCF">
        <w:t xml:space="preserve"> described in </w:t>
      </w:r>
      <w:r>
        <w:t xml:space="preserve">the </w:t>
      </w:r>
      <w:r w:rsidR="00B42EEC">
        <w:t>second Minto and colleague</w:t>
      </w:r>
      <w:r w:rsidR="00063E56">
        <w:t>s</w:t>
      </w:r>
      <w:r w:rsidRPr="002B0BCF">
        <w:t xml:space="preserve"> paper</w:t>
      </w:r>
      <w:r w:rsidR="00063E56">
        <w:rPr>
          <w:rStyle w:val="FootnoteReference"/>
        </w:rPr>
        <w:footnoteReference w:id="30"/>
      </w:r>
      <w:r w:rsidRPr="002B0BCF">
        <w:t xml:space="preserve"> and proposed for inclusion in the PI as the only model to be used with TCI</w:t>
      </w:r>
      <w:r>
        <w:t xml:space="preserve"> of remifentanil</w:t>
      </w:r>
      <w:r w:rsidRPr="002B0BCF">
        <w:t>.</w:t>
      </w:r>
      <w:r w:rsidR="0078076B">
        <w:t xml:space="preserve"> </w:t>
      </w:r>
    </w:p>
    <w:p w:rsidR="00CB113F" w:rsidRDefault="00CB113F" w:rsidP="00CB113F">
      <w:pPr>
        <w:rPr>
          <w:color w:val="000000"/>
        </w:rPr>
      </w:pPr>
      <w:r w:rsidRPr="002B0BCF">
        <w:rPr>
          <w:color w:val="000000"/>
        </w:rPr>
        <w:lastRenderedPageBreak/>
        <w:t xml:space="preserve">A </w:t>
      </w:r>
      <w:r w:rsidR="00B131CA">
        <w:rPr>
          <w:color w:val="000000"/>
        </w:rPr>
        <w:t>PK</w:t>
      </w:r>
      <w:r w:rsidRPr="002B0BCF">
        <w:rPr>
          <w:color w:val="000000"/>
        </w:rPr>
        <w:t xml:space="preserve"> Simulation Report describing the Minto PK model was inadvertently omitted from the </w:t>
      </w:r>
      <w:r w:rsidR="003423B4">
        <w:rPr>
          <w:color w:val="000000"/>
        </w:rPr>
        <w:t>clinical</w:t>
      </w:r>
      <w:r w:rsidRPr="002B0BCF">
        <w:rPr>
          <w:color w:val="000000"/>
        </w:rPr>
        <w:t xml:space="preserve"> data </w:t>
      </w:r>
      <w:r w:rsidR="003423B4">
        <w:rPr>
          <w:color w:val="000000"/>
        </w:rPr>
        <w:t xml:space="preserve">submission </w:t>
      </w:r>
      <w:r w:rsidRPr="002B0BCF">
        <w:rPr>
          <w:color w:val="000000"/>
        </w:rPr>
        <w:t>but was subsequen</w:t>
      </w:r>
      <w:r w:rsidR="00236963">
        <w:rPr>
          <w:color w:val="000000"/>
        </w:rPr>
        <w:t xml:space="preserve">tly supplied by the sponsor. These data </w:t>
      </w:r>
      <w:r w:rsidRPr="002B0BCF">
        <w:rPr>
          <w:color w:val="000000"/>
        </w:rPr>
        <w:t xml:space="preserve">did not provide details of how each of the </w:t>
      </w:r>
      <w:r w:rsidR="002808E3" w:rsidRPr="002B0BCF">
        <w:rPr>
          <w:color w:val="000000"/>
        </w:rPr>
        <w:t xml:space="preserve">simulated </w:t>
      </w:r>
      <w:r w:rsidRPr="002B0BCF">
        <w:rPr>
          <w:color w:val="000000"/>
        </w:rPr>
        <w:t>mode</w:t>
      </w:r>
      <w:r w:rsidR="002808E3">
        <w:rPr>
          <w:color w:val="000000"/>
        </w:rPr>
        <w:t xml:space="preserve">ls </w:t>
      </w:r>
      <w:r w:rsidRPr="002B0BCF">
        <w:rPr>
          <w:color w:val="000000"/>
        </w:rPr>
        <w:t>were derived.</w:t>
      </w:r>
      <w:r w:rsidR="00FD5991">
        <w:rPr>
          <w:color w:val="000000"/>
        </w:rPr>
        <w:t xml:space="preserve"> </w:t>
      </w:r>
      <w:r w:rsidRPr="002B0BCF">
        <w:rPr>
          <w:color w:val="000000"/>
        </w:rPr>
        <w:t>The objective of the PK simulation report was to provide data to support an application to add guidance on target blood remifentanil concentration sett</w:t>
      </w:r>
      <w:r w:rsidR="00AC3022">
        <w:rPr>
          <w:color w:val="000000"/>
        </w:rPr>
        <w:t>ings to the PI for remifentanil, and ultimately</w:t>
      </w:r>
      <w:r w:rsidRPr="002B0BCF">
        <w:rPr>
          <w:color w:val="000000"/>
        </w:rPr>
        <w:t xml:space="preserve"> facilitate the administration of remifentanil by TCI. In particular, simulations were provided to illustrate the concept and advantages of TCI, and to explain the terminology associated with this mode of drug administration. The simulations were also intended to provide an illustration of the influence of different published </w:t>
      </w:r>
      <w:r w:rsidR="00B131CA">
        <w:rPr>
          <w:color w:val="000000"/>
        </w:rPr>
        <w:t>PK</w:t>
      </w:r>
      <w:r w:rsidRPr="002B0BCF">
        <w:rPr>
          <w:color w:val="000000"/>
        </w:rPr>
        <w:t xml:space="preserve"> models for remifentanil on the amount of remifentanil delivered at a particular remifentanil target setting. </w:t>
      </w:r>
    </w:p>
    <w:p w:rsidR="00CB113F" w:rsidRPr="002B0BCF" w:rsidRDefault="00CB113F" w:rsidP="00CB113F">
      <w:r w:rsidRPr="002B0BCF">
        <w:rPr>
          <w:color w:val="000000"/>
        </w:rPr>
        <w:t>A key objective of this document was to compare TCI dosage with that currently recommended in remifentanil’s PI for administration by bolus and/or infusion. Results from other TCI models were compared with the Minto model in simulations.</w:t>
      </w:r>
      <w:r w:rsidR="0078076B">
        <w:rPr>
          <w:color w:val="000000"/>
        </w:rPr>
        <w:t xml:space="preserve"> </w:t>
      </w:r>
      <w:r w:rsidRPr="002B0BCF">
        <w:rPr>
          <w:color w:val="000000"/>
        </w:rPr>
        <w:t xml:space="preserve">This model involved </w:t>
      </w:r>
      <w:r w:rsidR="00B131CA">
        <w:rPr>
          <w:color w:val="000000"/>
        </w:rPr>
        <w:t>PK</w:t>
      </w:r>
      <w:r w:rsidRPr="002B0BCF">
        <w:rPr>
          <w:color w:val="000000"/>
        </w:rPr>
        <w:t xml:space="preserve"> computer simulation using</w:t>
      </w:r>
      <w:r w:rsidR="0078076B">
        <w:rPr>
          <w:color w:val="000000"/>
        </w:rPr>
        <w:t xml:space="preserve"> </w:t>
      </w:r>
      <w:r w:rsidRPr="002B0BCF">
        <w:rPr>
          <w:color w:val="000000"/>
        </w:rPr>
        <w:t xml:space="preserve">infusion rates and the </w:t>
      </w:r>
      <w:r w:rsidR="00B131CA">
        <w:rPr>
          <w:color w:val="000000"/>
        </w:rPr>
        <w:t>PK</w:t>
      </w:r>
      <w:r w:rsidRPr="002B0BCF">
        <w:rPr>
          <w:color w:val="000000"/>
        </w:rPr>
        <w:t xml:space="preserve"> parameters o</w:t>
      </w:r>
      <w:r w:rsidR="002F030F">
        <w:rPr>
          <w:color w:val="000000"/>
        </w:rPr>
        <w:t>f the Minto model</w:t>
      </w:r>
      <w:r w:rsidR="002F030F">
        <w:rPr>
          <w:rStyle w:val="FootnoteReference"/>
          <w:color w:val="000000"/>
        </w:rPr>
        <w:footnoteReference w:id="31"/>
      </w:r>
      <w:r w:rsidRPr="002B0BCF">
        <w:rPr>
          <w:color w:val="000000"/>
        </w:rPr>
        <w:t xml:space="preserve"> for remifentanil as inputs to determine the calculated blood remifentanil concentration/time profiles which these infusion rates achieve.</w:t>
      </w:r>
      <w:r w:rsidR="0078076B">
        <w:rPr>
          <w:color w:val="000000"/>
        </w:rPr>
        <w:t xml:space="preserve"> </w:t>
      </w:r>
      <w:r w:rsidRPr="002B0BCF">
        <w:rPr>
          <w:color w:val="000000"/>
        </w:rPr>
        <w:t>These simulations showed that the calculated (predicted) values approach steady state after 25 min</w:t>
      </w:r>
      <w:r w:rsidR="00F72BDB">
        <w:rPr>
          <w:color w:val="000000"/>
        </w:rPr>
        <w:t>utes</w:t>
      </w:r>
      <w:r w:rsidRPr="002B0BCF">
        <w:rPr>
          <w:color w:val="000000"/>
        </w:rPr>
        <w:t xml:space="preserve"> with blood remifentanil concentrations of 6.3 and 12.6 ng/ml with </w:t>
      </w:r>
      <w:r w:rsidR="00F72BDB">
        <w:rPr>
          <w:color w:val="000000"/>
        </w:rPr>
        <w:t>infusion rates of 0.25 and 0.5 µ</w:t>
      </w:r>
      <w:r w:rsidRPr="002B0BCF">
        <w:rPr>
          <w:color w:val="000000"/>
        </w:rPr>
        <w:t>/kg/min respectively. These concentrations are consistent with the range of target blood remifentanil concentrations</w:t>
      </w:r>
      <w:r w:rsidR="00F72BDB">
        <w:rPr>
          <w:color w:val="000000"/>
        </w:rPr>
        <w:t>,</w:t>
      </w:r>
      <w:r w:rsidRPr="002B0BCF">
        <w:rPr>
          <w:color w:val="000000"/>
        </w:rPr>
        <w:t xml:space="preserve"> which have been used in clinical studies with TCI.</w:t>
      </w:r>
      <w:r w:rsidRPr="002B0BCF">
        <w:t xml:space="preserve"> </w:t>
      </w:r>
    </w:p>
    <w:p w:rsidR="00CB113F" w:rsidRPr="002B0BCF" w:rsidRDefault="00CB113F" w:rsidP="00CB113F">
      <w:r w:rsidRPr="002B0BCF">
        <w:t>One of the published papers</w:t>
      </w:r>
      <w:r w:rsidR="00F72BDB">
        <w:rPr>
          <w:rStyle w:val="FootnoteReference"/>
        </w:rPr>
        <w:footnoteReference w:id="32"/>
      </w:r>
      <w:r w:rsidRPr="002B0BCF">
        <w:t xml:space="preserve"> stated that for the performance of a TCI system to be clinically acceptable, the difference between measured drug concentrations and those calcula</w:t>
      </w:r>
      <w:r w:rsidR="008B1ACD">
        <w:t xml:space="preserve">ted by the TCI system, that is, </w:t>
      </w:r>
      <w:r w:rsidRPr="002B0BCF">
        <w:t>the bias of the system (</w:t>
      </w:r>
      <w:r w:rsidR="008B1ACD">
        <w:t>MDPE)</w:t>
      </w:r>
      <w:r w:rsidRPr="002B0BCF">
        <w:t xml:space="preserve"> should be no greater than </w:t>
      </w:r>
      <w:r w:rsidR="008B1ACD">
        <w:t>± 10 to 20%, and that inaccuracy</w:t>
      </w:r>
      <w:r w:rsidRPr="002B0BCF">
        <w:t xml:space="preserve"> (MDAPE, </w:t>
      </w:r>
      <w:r w:rsidR="008B1ACD">
        <w:t>independent of arithmetic sign)</w:t>
      </w:r>
      <w:r w:rsidRPr="002B0BCF">
        <w:t xml:space="preserve"> should be no greater than 20 to 30%.</w:t>
      </w:r>
    </w:p>
    <w:p w:rsidR="00CB113F" w:rsidRPr="002B0BCF" w:rsidRDefault="00CB113F" w:rsidP="00CB113F">
      <w:r>
        <w:t>Five</w:t>
      </w:r>
      <w:r w:rsidRPr="002B0BCF">
        <w:t xml:space="preserve"> PK models, including the Minto model were assessed for bias, inaccuracy and divergence in a paper by Mertens</w:t>
      </w:r>
      <w:r w:rsidR="008B1ACD">
        <w:t xml:space="preserve"> and colleagues</w:t>
      </w:r>
      <w:r w:rsidRPr="002B0BCF">
        <w:t>.</w:t>
      </w:r>
      <w:r w:rsidR="008B1ACD">
        <w:rPr>
          <w:rStyle w:val="FootnoteReference"/>
        </w:rPr>
        <w:footnoteReference w:id="33"/>
      </w:r>
      <w:r w:rsidR="0078076B">
        <w:t xml:space="preserve"> </w:t>
      </w:r>
      <w:r w:rsidRPr="002B0BCF">
        <w:t>This study u</w:t>
      </w:r>
      <w:r w:rsidR="00830E84">
        <w:t>sed remifentanil concentration/</w:t>
      </w:r>
      <w:r w:rsidRPr="002B0BCF">
        <w:t>time data obtained from a previous interaction study of propofol and remifentanil conducted in 30</w:t>
      </w:r>
      <w:r w:rsidR="00EC6BE4">
        <w:t xml:space="preserve"> ASA</w:t>
      </w:r>
      <w:r w:rsidR="00830E84">
        <w:t xml:space="preserve"> I-</w:t>
      </w:r>
      <w:r w:rsidRPr="002B0BCF">
        <w:t>II female patients aged 20 to 65 years who were undergoing lower abdominal surgery.</w:t>
      </w:r>
      <w:r w:rsidR="0078076B">
        <w:t xml:space="preserve"> </w:t>
      </w:r>
      <w:r w:rsidRPr="002B0BCF">
        <w:t>These women received target propof</w:t>
      </w:r>
      <w:r w:rsidR="00BF3AB4">
        <w:t>ol concentrations of 2, 4 or 6 µ</w:t>
      </w:r>
      <w:r w:rsidRPr="002B0BCF">
        <w:t>g/mL in combination with remifentanil delivered by TCI.</w:t>
      </w:r>
      <w:r w:rsidR="0078076B">
        <w:t xml:space="preserve"> </w:t>
      </w:r>
      <w:r w:rsidRPr="002B0BCF">
        <w:t>Whereas the target concentration of propofol was constant during the surgical procedure</w:t>
      </w:r>
      <w:r w:rsidR="00BF3AB4">
        <w:t>,</w:t>
      </w:r>
      <w:r w:rsidRPr="002B0BCF">
        <w:t xml:space="preserve"> the target concentration of remifentanil was changed in response to the presence or absence of signs of inadequate anaesthesia.</w:t>
      </w:r>
      <w:r w:rsidR="0078076B">
        <w:t xml:space="preserve"> </w:t>
      </w:r>
    </w:p>
    <w:p w:rsidR="00CB113F" w:rsidRPr="002B0BCF" w:rsidRDefault="00CB113F" w:rsidP="00CB113F">
      <w:r w:rsidRPr="002B0BCF">
        <w:t>The remifentanil c</w:t>
      </w:r>
      <w:r w:rsidR="00BF3AB4">
        <w:t>oncentrations predicted by the five</w:t>
      </w:r>
      <w:r w:rsidRPr="002B0BCF">
        <w:t xml:space="preserve"> parameter sets were calculated on the basis of the TCI devi</w:t>
      </w:r>
      <w:r w:rsidR="00D930DD">
        <w:t>ce record of the infusion rate/</w:t>
      </w:r>
      <w:r w:rsidRPr="002B0BCF">
        <w:t>time profile that had actually been administered to each individual.</w:t>
      </w:r>
      <w:r w:rsidR="0078076B">
        <w:t xml:space="preserve"> </w:t>
      </w:r>
      <w:r w:rsidRPr="002B0BCF">
        <w:t>The individual and pooled bias, inaccuracy</w:t>
      </w:r>
      <w:r w:rsidR="009C06D0">
        <w:t>,</w:t>
      </w:r>
      <w:r w:rsidRPr="002B0BCF">
        <w:t xml:space="preserve"> and divergence of the remifentanil TCI device were deter</w:t>
      </w:r>
      <w:r w:rsidR="00D930DD">
        <w:t xml:space="preserve">mined from the pooled and intra </w:t>
      </w:r>
      <w:r w:rsidRPr="002B0BCF">
        <w:t>subject performance errors.</w:t>
      </w:r>
      <w:r w:rsidR="0078076B">
        <w:t xml:space="preserve"> </w:t>
      </w:r>
      <w:r w:rsidRPr="002B0BCF">
        <w:t xml:space="preserve">A total of </w:t>
      </w:r>
      <w:r>
        <w:t>4</w:t>
      </w:r>
      <w:r w:rsidRPr="002B0BCF">
        <w:t>44 remifentanil blood samples were analysed.</w:t>
      </w:r>
      <w:r w:rsidR="0078076B">
        <w:t xml:space="preserve"> </w:t>
      </w:r>
      <w:r w:rsidRPr="002B0BCF">
        <w:t>Blood remifentanil co</w:t>
      </w:r>
      <w:r w:rsidR="00D930DD">
        <w:t xml:space="preserve">ncentrations ranged from 0.1 to </w:t>
      </w:r>
      <w:r w:rsidRPr="002B0BCF">
        <w:t>19.6 ng/m</w:t>
      </w:r>
      <w:r w:rsidR="00B86753">
        <w:t xml:space="preserve">L. Table </w:t>
      </w:r>
      <w:r w:rsidR="00EB7E37">
        <w:t>6</w:t>
      </w:r>
      <w:r w:rsidRPr="002B0BCF">
        <w:t xml:space="preserve"> compares the performance of these models:</w:t>
      </w:r>
      <w:r w:rsidR="0078076B">
        <w:t xml:space="preserve"> </w:t>
      </w:r>
    </w:p>
    <w:p w:rsidR="00C705F5" w:rsidRDefault="003B0F9B" w:rsidP="00C705F5">
      <w:pPr>
        <w:pStyle w:val="FigureTitle"/>
        <w:rPr>
          <w:lang w:val="en-GB"/>
        </w:rPr>
      </w:pPr>
      <w:r>
        <w:br w:type="page"/>
      </w:r>
      <w:r w:rsidR="00C705F5">
        <w:lastRenderedPageBreak/>
        <w:t>Table</w:t>
      </w:r>
      <w:r w:rsidR="00C705F5" w:rsidRPr="004C5C28">
        <w:t xml:space="preserve"> </w:t>
      </w:r>
      <w:r w:rsidR="00EB7E37">
        <w:t>6</w:t>
      </w:r>
      <w:r w:rsidR="00C705F5">
        <w:t>:</w:t>
      </w:r>
      <w:r w:rsidR="00C705F5" w:rsidRPr="004C5C28">
        <w:t xml:space="preserve"> </w:t>
      </w:r>
      <w:r w:rsidR="00D930DD">
        <w:t xml:space="preserve">A comparison of </w:t>
      </w:r>
      <w:r w:rsidR="009F5A09">
        <w:t>five parameter sets</w:t>
      </w:r>
      <w:r w:rsidR="00282D59">
        <w:rPr>
          <w:rStyle w:val="FootnoteReference"/>
        </w:rPr>
        <w:footnoteReference w:id="34"/>
      </w:r>
      <w:r w:rsidR="009F5A09">
        <w:t xml:space="preserve"> measuring </w:t>
      </w:r>
      <w:r w:rsidR="002328A9" w:rsidRPr="002328A9">
        <w:t>individual and pooled bias, inaccuracy</w:t>
      </w:r>
      <w:r w:rsidR="009C06D0">
        <w:t>,</w:t>
      </w:r>
      <w:r w:rsidR="002328A9" w:rsidRPr="002328A9">
        <w:t xml:space="preserve"> and divergence of the remifentanil TCI device</w:t>
      </w:r>
      <w:r w:rsidR="00C705F5">
        <w:t>.</w:t>
      </w:r>
    </w:p>
    <w:p w:rsidR="008E7846" w:rsidRDefault="004F5A3C" w:rsidP="000A2AF4">
      <w:pPr>
        <w:jc w:val="center"/>
      </w:pPr>
      <w:r>
        <w:rPr>
          <w:noProof/>
          <w:lang w:eastAsia="en-AU"/>
        </w:rPr>
        <w:drawing>
          <wp:inline distT="0" distB="0" distL="0" distR="0">
            <wp:extent cx="4345305" cy="1602105"/>
            <wp:effectExtent l="19050" t="0" r="0" b="0"/>
            <wp:docPr id="8" name="Picture 8" descr="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le 6"/>
                    <pic:cNvPicPr>
                      <a:picLocks noChangeAspect="1" noChangeArrowheads="1"/>
                    </pic:cNvPicPr>
                  </pic:nvPicPr>
                  <pic:blipFill>
                    <a:blip r:embed="rId21" cstate="print"/>
                    <a:srcRect/>
                    <a:stretch>
                      <a:fillRect/>
                    </a:stretch>
                  </pic:blipFill>
                  <pic:spPr bwMode="auto">
                    <a:xfrm>
                      <a:off x="0" y="0"/>
                      <a:ext cx="4345305" cy="1602105"/>
                    </a:xfrm>
                    <a:prstGeom prst="rect">
                      <a:avLst/>
                    </a:prstGeom>
                    <a:noFill/>
                    <a:ln w="9525">
                      <a:noFill/>
                      <a:miter lim="800000"/>
                      <a:headEnd/>
                      <a:tailEnd/>
                    </a:ln>
                  </pic:spPr>
                </pic:pic>
              </a:graphicData>
            </a:graphic>
          </wp:inline>
        </w:drawing>
      </w:r>
    </w:p>
    <w:p w:rsidR="00C705F5" w:rsidRDefault="00D930DD" w:rsidP="00C705F5">
      <w:r>
        <w:t>The three</w:t>
      </w:r>
      <w:r w:rsidR="00C705F5" w:rsidRPr="002B0BCF">
        <w:t xml:space="preserve"> models proposed by Egan provided </w:t>
      </w:r>
      <w:r w:rsidR="00C705F5">
        <w:t>similar accuracy and less bias than the Minto model.</w:t>
      </w:r>
      <w:r w:rsidR="0078076B">
        <w:t xml:space="preserve"> </w:t>
      </w:r>
      <w:r w:rsidR="00C705F5" w:rsidRPr="002B0BCF">
        <w:t>The authors of the paper note</w:t>
      </w:r>
      <w:r w:rsidR="009F5A09">
        <w:t>d that the true performance, that is,</w:t>
      </w:r>
      <w:r w:rsidR="00C705F5" w:rsidRPr="002B0BCF">
        <w:t xml:space="preserve"> the mismatch between the target remifentanil concentrations and the remifentanil c</w:t>
      </w:r>
      <w:r w:rsidR="001A30F1">
        <w:t>oncentrations actually measured</w:t>
      </w:r>
      <w:r w:rsidR="00C705F5" w:rsidRPr="002B0BCF">
        <w:t xml:space="preserve"> could only be determined for the data set of Minto</w:t>
      </w:r>
      <w:r w:rsidR="00C705F5">
        <w:t>.</w:t>
      </w:r>
      <w:r w:rsidR="0078076B">
        <w:t xml:space="preserve"> </w:t>
      </w:r>
      <w:r w:rsidR="00C705F5" w:rsidRPr="002B0BCF">
        <w:t>Had one of the other data sets been implemented</w:t>
      </w:r>
      <w:r w:rsidR="001A30F1">
        <w:t>,</w:t>
      </w:r>
      <w:r w:rsidR="00C705F5" w:rsidRPr="002B0BCF">
        <w:t xml:space="preserve"> the actually achieved (measured) concentrations would have been somewhat different.  </w:t>
      </w:r>
    </w:p>
    <w:p w:rsidR="00C705F5" w:rsidRPr="002B0BCF" w:rsidRDefault="00C705F5" w:rsidP="00C705F5">
      <w:r w:rsidRPr="002B0BCF">
        <w:t>However, the true performance of that data set would most likely be very similar to the expected performance calculated on the basis of the volumes per unit of time actually delivered.</w:t>
      </w:r>
      <w:r w:rsidR="0078076B">
        <w:t xml:space="preserve"> </w:t>
      </w:r>
      <w:r w:rsidRPr="002B0BCF">
        <w:t xml:space="preserve">Remifentanil was delivered using TCI in </w:t>
      </w:r>
      <w:r w:rsidR="00995ED1">
        <w:t>S</w:t>
      </w:r>
      <w:r w:rsidRPr="002B0BCF">
        <w:t>tudies USA-103 and USA-220 that were included in this submission.</w:t>
      </w:r>
      <w:r w:rsidR="0078076B">
        <w:t xml:space="preserve"> </w:t>
      </w:r>
      <w:r w:rsidRPr="002B0BCF">
        <w:t>These studies had been previously submitted to the TGA.</w:t>
      </w:r>
      <w:r w:rsidR="0078076B">
        <w:t xml:space="preserve"> </w:t>
      </w:r>
      <w:r w:rsidRPr="002B0BCF">
        <w:t xml:space="preserve">The PK model used for TCI </w:t>
      </w:r>
      <w:r>
        <w:t xml:space="preserve">in these studies </w:t>
      </w:r>
      <w:r w:rsidR="009F5A09">
        <w:t>was proposed by Glass and colleagues;</w:t>
      </w:r>
      <w:r w:rsidR="009F5A09">
        <w:rPr>
          <w:rStyle w:val="FootnoteReference"/>
        </w:rPr>
        <w:footnoteReference w:id="35"/>
      </w:r>
      <w:r w:rsidRPr="002B0BCF">
        <w:t xml:space="preserve"> the Minto model was not used in these studies.</w:t>
      </w:r>
      <w:r w:rsidR="0078076B">
        <w:t xml:space="preserve"> </w:t>
      </w:r>
      <w:r w:rsidRPr="002B0BCF">
        <w:t>The Glass model was derived from only 4 volunteers who received a single remifentanil dose of 2 µg/kg over 1 min</w:t>
      </w:r>
      <w:r w:rsidR="00995ED1">
        <w:t>ute</w:t>
      </w:r>
      <w:r w:rsidRPr="002B0BCF">
        <w:t>. In studies the measured blood remifentanil concentrations showed a positive bias with values exceeding the targete</w:t>
      </w:r>
      <w:r>
        <w:t xml:space="preserve">d concentrations by 26% and 36%, </w:t>
      </w:r>
      <w:r w:rsidRPr="002B0BCF">
        <w:t xml:space="preserve">respectively. </w:t>
      </w:r>
    </w:p>
    <w:p w:rsidR="00C705F5" w:rsidRPr="00C705F5" w:rsidRDefault="00C705F5" w:rsidP="00C705F5">
      <w:pPr>
        <w:pStyle w:val="Heading4"/>
      </w:pPr>
      <w:r w:rsidRPr="00C705F5">
        <w:t>Efficacy</w:t>
      </w:r>
    </w:p>
    <w:p w:rsidR="00DF4C96" w:rsidRDefault="00C705F5" w:rsidP="00C705F5">
      <w:r w:rsidRPr="002B0BCF">
        <w:t>T</w:t>
      </w:r>
      <w:r w:rsidR="00086829">
        <w:t>he two</w:t>
      </w:r>
      <w:r w:rsidRPr="002B0BCF">
        <w:t xml:space="preserve"> efficacy and safety studies included in this submission did</w:t>
      </w:r>
      <w:r w:rsidR="00222C28">
        <w:t xml:space="preserve"> not use the proposed TCI model;</w:t>
      </w:r>
      <w:r w:rsidRPr="002B0BCF">
        <w:t xml:space="preserve"> the Glass model was used</w:t>
      </w:r>
      <w:r w:rsidR="00222C28">
        <w:t xml:space="preserve">, and has </w:t>
      </w:r>
      <w:r w:rsidRPr="002B0BCF">
        <w:t>been previously evaluated for safety and efficacy.</w:t>
      </w:r>
      <w:r w:rsidR="0078076B">
        <w:t xml:space="preserve"> </w:t>
      </w:r>
      <w:r w:rsidRPr="002B0BCF">
        <w:t>They wer</w:t>
      </w:r>
      <w:r w:rsidR="001D7EA2">
        <w:t>e not re</w:t>
      </w:r>
      <w:r w:rsidR="00222C28">
        <w:t>-evaluated in this submission;</w:t>
      </w:r>
      <w:r w:rsidRPr="002B0BCF">
        <w:t xml:space="preserve"> however</w:t>
      </w:r>
      <w:r w:rsidR="00222C28">
        <w:t>,</w:t>
      </w:r>
      <w:r w:rsidRPr="002B0BCF">
        <w:t xml:space="preserve"> safety and efficacy were considered acceptable in the previous evaluation.</w:t>
      </w:r>
      <w:r w:rsidR="00FD5991">
        <w:t xml:space="preserve"> </w:t>
      </w:r>
      <w:r w:rsidRPr="002B0BCF">
        <w:t xml:space="preserve">Evidence of efficacy and safety of TCI when given using the Minto model was available from some of the published papers. </w:t>
      </w:r>
    </w:p>
    <w:p w:rsidR="00C705F5" w:rsidRPr="00DF4C96" w:rsidRDefault="00DF4C96" w:rsidP="00C705F5">
      <w:r>
        <w:t>A r</w:t>
      </w:r>
      <w:r w:rsidR="00C705F5" w:rsidRPr="002B0BCF">
        <w:t>eview of these papers has shown that of the 63 literature references, the Minto system was specified as the system used to administer TCI in 15 studies.</w:t>
      </w:r>
      <w:r w:rsidR="00FD5991">
        <w:t xml:space="preserve"> </w:t>
      </w:r>
      <w:r w:rsidR="00C705F5" w:rsidRPr="002B0BCF">
        <w:t>These did not include the study used to develop the Minto system.</w:t>
      </w:r>
      <w:r w:rsidR="00FD5991">
        <w:t xml:space="preserve"> </w:t>
      </w:r>
      <w:r w:rsidR="00C705F5" w:rsidRPr="002B0BCF">
        <w:t xml:space="preserve">The reference, number of patients, patient ASA grade, surgical procedure and TCI target level described in these studies are summarised </w:t>
      </w:r>
      <w:r w:rsidR="00EB7E37">
        <w:t>in Table 7</w:t>
      </w:r>
      <w:r w:rsidR="00B86753">
        <w:t>.</w:t>
      </w:r>
    </w:p>
    <w:p w:rsidR="003977AC" w:rsidRDefault="003977AC" w:rsidP="003977AC">
      <w:pPr>
        <w:pStyle w:val="FigureTitle"/>
        <w:rPr>
          <w:lang w:val="en-GB"/>
        </w:rPr>
      </w:pPr>
      <w:r>
        <w:lastRenderedPageBreak/>
        <w:t>Table</w:t>
      </w:r>
      <w:r w:rsidRPr="004C5C28">
        <w:t xml:space="preserve"> </w:t>
      </w:r>
      <w:r w:rsidR="00EB7E37">
        <w:t>7</w:t>
      </w:r>
      <w:r>
        <w:t>:</w:t>
      </w:r>
      <w:r w:rsidRPr="004C5C28">
        <w:t xml:space="preserve"> </w:t>
      </w:r>
      <w:r w:rsidR="0048250C">
        <w:t xml:space="preserve">The </w:t>
      </w:r>
      <w:r w:rsidR="00BE46ED">
        <w:t>15 studies using the Minto system to administer TCI</w:t>
      </w:r>
      <w:r>
        <w:t>.</w:t>
      </w:r>
    </w:p>
    <w:p w:rsidR="003977AC" w:rsidRDefault="004F5A3C" w:rsidP="000A2AF4">
      <w:pPr>
        <w:jc w:val="center"/>
      </w:pPr>
      <w:r>
        <w:rPr>
          <w:noProof/>
          <w:lang w:eastAsia="en-AU"/>
        </w:rPr>
        <w:drawing>
          <wp:inline distT="0" distB="0" distL="0" distR="0">
            <wp:extent cx="4864735" cy="4316095"/>
            <wp:effectExtent l="19050" t="0" r="0" b="0"/>
            <wp:docPr id="9" name="Picture 9" descr="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7"/>
                    <pic:cNvPicPr>
                      <a:picLocks noChangeAspect="1" noChangeArrowheads="1"/>
                    </pic:cNvPicPr>
                  </pic:nvPicPr>
                  <pic:blipFill>
                    <a:blip r:embed="rId22" cstate="print"/>
                    <a:srcRect/>
                    <a:stretch>
                      <a:fillRect/>
                    </a:stretch>
                  </pic:blipFill>
                  <pic:spPr bwMode="auto">
                    <a:xfrm>
                      <a:off x="0" y="0"/>
                      <a:ext cx="4864735" cy="4316095"/>
                    </a:xfrm>
                    <a:prstGeom prst="rect">
                      <a:avLst/>
                    </a:prstGeom>
                    <a:noFill/>
                    <a:ln w="9525">
                      <a:noFill/>
                      <a:miter lim="800000"/>
                      <a:headEnd/>
                      <a:tailEnd/>
                    </a:ln>
                  </pic:spPr>
                </pic:pic>
              </a:graphicData>
            </a:graphic>
          </wp:inline>
        </w:drawing>
      </w:r>
    </w:p>
    <w:p w:rsidR="003977AC" w:rsidRPr="002B0BCF" w:rsidRDefault="003977AC" w:rsidP="003977AC">
      <w:r w:rsidRPr="002B0BCF">
        <w:t>Comparat</w:t>
      </w:r>
      <w:r w:rsidR="0048250C">
        <w:t>ive data for manual infusion versus</w:t>
      </w:r>
      <w:r w:rsidRPr="002B0BCF">
        <w:t xml:space="preserve"> TCI (Minto model) remifentanil w</w:t>
      </w:r>
      <w:r>
        <w:t>ere</w:t>
      </w:r>
      <w:r w:rsidRPr="002B0BCF">
        <w:t xml:space="preserve"> available only from the </w:t>
      </w:r>
      <w:r w:rsidR="0048250C">
        <w:t xml:space="preserve">paper by </w:t>
      </w:r>
      <w:r w:rsidRPr="002B0BCF">
        <w:t xml:space="preserve">De Castro </w:t>
      </w:r>
      <w:r w:rsidR="0048250C">
        <w:t>and colleagues</w:t>
      </w:r>
      <w:r w:rsidRPr="002B0BCF">
        <w:t>.</w:t>
      </w:r>
      <w:r w:rsidR="0048250C">
        <w:rPr>
          <w:rStyle w:val="FootnoteReference"/>
        </w:rPr>
        <w:footnoteReference w:id="36"/>
      </w:r>
      <w:r w:rsidR="00FD5991">
        <w:t xml:space="preserve"> </w:t>
      </w:r>
      <w:r w:rsidRPr="002B0BCF">
        <w:t>That paper described a prospective, randomised stud</w:t>
      </w:r>
      <w:r w:rsidR="00924C3F">
        <w:t xml:space="preserve">y comparing the intra and post </w:t>
      </w:r>
      <w:r w:rsidRPr="002B0BCF">
        <w:t>operative haemodynamics, remifentanil requireme</w:t>
      </w:r>
      <w:r w:rsidR="00924C3F">
        <w:t xml:space="preserve">nt during anaesthesia, and post </w:t>
      </w:r>
      <w:r w:rsidRPr="002B0BCF">
        <w:t>operative morphine requirement in patients scheduled for carotid surgery.</w:t>
      </w:r>
      <w:r w:rsidR="00FD5991">
        <w:t xml:space="preserve"> </w:t>
      </w:r>
      <w:r w:rsidR="00924C3F">
        <w:t xml:space="preserve">A total of </w:t>
      </w:r>
      <w:r w:rsidRPr="002B0BCF">
        <w:t>46 adult patients received either continuo</w:t>
      </w:r>
      <w:r w:rsidR="00924C3F">
        <w:t xml:space="preserve">us IV weight </w:t>
      </w:r>
      <w:r w:rsidRPr="002B0BCF">
        <w:t>adj</w:t>
      </w:r>
      <w:r w:rsidR="00E76EDB">
        <w:t>usted infusion of RIVA</w:t>
      </w:r>
      <w:r w:rsidRPr="002B0BCF">
        <w:t xml:space="preserve"> </w:t>
      </w:r>
      <w:r w:rsidR="00C72AB2">
        <w:t>(</w:t>
      </w:r>
      <w:r w:rsidR="00C72AB2" w:rsidRPr="00C72AB2">
        <w:t>remifentanil</w:t>
      </w:r>
      <w:r w:rsidR="00C72AB2">
        <w:t xml:space="preserve">) </w:t>
      </w:r>
      <w:r w:rsidRPr="002B0BCF">
        <w:t xml:space="preserve">or </w:t>
      </w:r>
      <w:r w:rsidR="00E76EDB">
        <w:t>TCIR</w:t>
      </w:r>
      <w:r w:rsidR="00C72AB2">
        <w:t xml:space="preserve"> (</w:t>
      </w:r>
      <w:r w:rsidR="00C72AB2" w:rsidRPr="00C72AB2">
        <w:t>Target Controlled Infusion for remifentanil</w:t>
      </w:r>
      <w:r w:rsidR="00C72AB2">
        <w:t>)</w:t>
      </w:r>
      <w:r w:rsidRPr="002B0BCF">
        <w:t>. All patients were anesthet</w:t>
      </w:r>
      <w:r w:rsidR="00650851">
        <w:t>ised by using TCI for propofol.</w:t>
      </w:r>
    </w:p>
    <w:p w:rsidR="003977AC" w:rsidRPr="002B0BCF" w:rsidRDefault="00C44E96" w:rsidP="003977AC">
      <w:r>
        <w:t>A total of 23</w:t>
      </w:r>
      <w:r w:rsidR="003977AC">
        <w:t xml:space="preserve"> patients</w:t>
      </w:r>
      <w:r w:rsidR="003977AC" w:rsidRPr="002B0BCF">
        <w:t xml:space="preserve"> received RIVA (0.5 μg/kg/min) for the induction of anaesthesia and endotracheal intubation, with the infusion rate decreased to 0.25 μg/kg/min after intubation, then adapted by step of 0.05 μg/kg/min according to haemodynamics. </w:t>
      </w:r>
      <w:r w:rsidR="00D819DB">
        <w:t>A total of 23 patients</w:t>
      </w:r>
      <w:r w:rsidR="00D819DB" w:rsidRPr="002B0BCF">
        <w:t xml:space="preserve"> </w:t>
      </w:r>
      <w:r w:rsidR="003977AC" w:rsidRPr="002B0BCF">
        <w:t xml:space="preserve">received TCIR (Minto </w:t>
      </w:r>
      <w:r w:rsidR="00B430CC">
        <w:t xml:space="preserve">model, Rugloop), with an effect </w:t>
      </w:r>
      <w:r w:rsidR="003977AC" w:rsidRPr="002B0BCF">
        <w:t>site concentration at 4 ng/mL during induction, then adapted by step of 1 ng/mL according to haemodynamics. All patients received atracurium and a 50% mixture of N</w:t>
      </w:r>
      <w:r w:rsidR="003977AC" w:rsidRPr="00B430CC">
        <w:rPr>
          <w:vertAlign w:val="subscript"/>
        </w:rPr>
        <w:t>2</w:t>
      </w:r>
      <w:r w:rsidR="003977AC" w:rsidRPr="002B0BCF">
        <w:t>O/O</w:t>
      </w:r>
      <w:r w:rsidR="003977AC" w:rsidRPr="00B430CC">
        <w:rPr>
          <w:vertAlign w:val="subscript"/>
        </w:rPr>
        <w:t>2</w:t>
      </w:r>
      <w:r w:rsidR="003977AC" w:rsidRPr="002B0BCF">
        <w:t xml:space="preserve">. Haemodynamic variables were recorded each minute. The number and duration of hemodynamic events were collected, and total doses of anaesthetics (remifentanil and propofol) and vasoactive drugs were noted in both groups of patients. </w:t>
      </w:r>
    </w:p>
    <w:p w:rsidR="003977AC" w:rsidRPr="002B0BCF" w:rsidRDefault="003977AC" w:rsidP="003977AC">
      <w:r w:rsidRPr="002B0BCF">
        <w:t xml:space="preserve">Data were analysed by using unpaired </w:t>
      </w:r>
      <w:r w:rsidRPr="002B0BCF">
        <w:rPr>
          <w:i/>
          <w:iCs/>
        </w:rPr>
        <w:t>t</w:t>
      </w:r>
      <w:r w:rsidRPr="002B0BCF">
        <w:t xml:space="preserve">-tests. RIVA was significantly associated with more frequent episodes of intraoperative hypotension (16 versus 6, </w:t>
      </w:r>
      <w:r w:rsidR="00B430CC" w:rsidRPr="00B430CC">
        <w:rPr>
          <w:iCs/>
        </w:rPr>
        <w:t>p</w:t>
      </w:r>
      <w:r w:rsidRPr="00B430CC">
        <w:rPr>
          <w:iCs/>
        </w:rPr>
        <w:t xml:space="preserve"> </w:t>
      </w:r>
      <w:r w:rsidRPr="00B430CC">
        <w:t>&lt; 0.001) and more frequent episodes of postoperative hypertension and/or tachycardia requiring mo</w:t>
      </w:r>
      <w:r w:rsidR="00B430CC" w:rsidRPr="00B430CC">
        <w:t>re frequent administration of β adrenergic blockers (16 versus</w:t>
      </w:r>
      <w:r w:rsidRPr="00B430CC">
        <w:t xml:space="preserve"> 10, </w:t>
      </w:r>
      <w:r w:rsidR="00B430CC" w:rsidRPr="00B430CC">
        <w:rPr>
          <w:iCs/>
        </w:rPr>
        <w:t>p</w:t>
      </w:r>
      <w:r w:rsidRPr="00B430CC">
        <w:rPr>
          <w:iCs/>
        </w:rPr>
        <w:t xml:space="preserve"> </w:t>
      </w:r>
      <w:r w:rsidRPr="00B430CC">
        <w:t>&lt;</w:t>
      </w:r>
      <w:r w:rsidRPr="002B0BCF">
        <w:t xml:space="preserve"> 0.04) in comparison </w:t>
      </w:r>
      <w:r w:rsidRPr="002B0BCF">
        <w:lastRenderedPageBreak/>
        <w:t xml:space="preserve">with TCIR. The need for morphine titration was not significantly different between groups. TCIR led to a significantly smaller requirement of remifentanil (700 ± 290 versus 1390 ± 555 μg, p &lt; 0.001) without difference in propofol requirement. </w:t>
      </w:r>
    </w:p>
    <w:p w:rsidR="00C705F5" w:rsidRDefault="00BA550E" w:rsidP="003977AC">
      <w:r>
        <w:t>The author</w:t>
      </w:r>
      <w:r w:rsidR="003977AC" w:rsidRPr="002B0BCF">
        <w:t>s concluded th</w:t>
      </w:r>
      <w:r>
        <w:t>at this study demonstrated that</w:t>
      </w:r>
      <w:r w:rsidR="003977AC" w:rsidRPr="002B0BCF">
        <w:t xml:space="preserve"> during carotid endarterectomy, in comparison with patients receiving remifentanil using continuous RIVA, TCI resulted in fewer hypotensive episodes during the induction of anaesthesia, fewer episodes of tachycardia and/or hypertension, a smaller </w:t>
      </w:r>
      <w:r w:rsidRPr="00B430CC">
        <w:t xml:space="preserve">β adrenergic </w:t>
      </w:r>
      <w:r w:rsidR="003977AC" w:rsidRPr="002B0BCF">
        <w:t xml:space="preserve">blocker requirement during recovery, and a decrease in remifentanil requirement. </w:t>
      </w:r>
      <w:r w:rsidR="00B86753">
        <w:t>Table</w:t>
      </w:r>
      <w:r w:rsidR="00EB7E37">
        <w:t xml:space="preserve"> 8</w:t>
      </w:r>
      <w:r w:rsidR="003977AC" w:rsidRPr="002B0BCF">
        <w:t xml:space="preserve"> shows the doses of propofol and remifentanil given to each group in that</w:t>
      </w:r>
      <w:r w:rsidR="003977AC">
        <w:t xml:space="preserve"> study.</w:t>
      </w:r>
    </w:p>
    <w:p w:rsidR="003977AC" w:rsidRDefault="003977AC" w:rsidP="003977AC">
      <w:pPr>
        <w:pStyle w:val="FigureTitle"/>
        <w:rPr>
          <w:lang w:val="en-GB"/>
        </w:rPr>
      </w:pPr>
      <w:r>
        <w:t>Table</w:t>
      </w:r>
      <w:r w:rsidRPr="004C5C28">
        <w:t xml:space="preserve"> </w:t>
      </w:r>
      <w:r w:rsidR="00EB7E37">
        <w:t>8</w:t>
      </w:r>
      <w:r>
        <w:t>:</w:t>
      </w:r>
      <w:r w:rsidRPr="004C5C28">
        <w:t xml:space="preserve"> </w:t>
      </w:r>
      <w:r w:rsidR="00936A57">
        <w:t>Anaesthesia characteristics</w:t>
      </w:r>
      <w:r>
        <w:t>.</w:t>
      </w:r>
    </w:p>
    <w:p w:rsidR="003977AC" w:rsidRDefault="004F5A3C" w:rsidP="00936A57">
      <w:pPr>
        <w:jc w:val="center"/>
      </w:pPr>
      <w:r>
        <w:rPr>
          <w:noProof/>
          <w:lang w:eastAsia="en-AU"/>
        </w:rPr>
        <w:drawing>
          <wp:inline distT="0" distB="0" distL="0" distR="0">
            <wp:extent cx="3738245" cy="1748155"/>
            <wp:effectExtent l="19050" t="0" r="0" b="0"/>
            <wp:docPr id="10" name="Picture 10" descr="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8"/>
                    <pic:cNvPicPr>
                      <a:picLocks noChangeAspect="1" noChangeArrowheads="1"/>
                    </pic:cNvPicPr>
                  </pic:nvPicPr>
                  <pic:blipFill>
                    <a:blip r:embed="rId23" cstate="print"/>
                    <a:srcRect/>
                    <a:stretch>
                      <a:fillRect/>
                    </a:stretch>
                  </pic:blipFill>
                  <pic:spPr bwMode="auto">
                    <a:xfrm>
                      <a:off x="0" y="0"/>
                      <a:ext cx="3738245" cy="1748155"/>
                    </a:xfrm>
                    <a:prstGeom prst="rect">
                      <a:avLst/>
                    </a:prstGeom>
                    <a:noFill/>
                    <a:ln w="9525">
                      <a:noFill/>
                      <a:miter lim="800000"/>
                      <a:headEnd/>
                      <a:tailEnd/>
                    </a:ln>
                  </pic:spPr>
                </pic:pic>
              </a:graphicData>
            </a:graphic>
          </wp:inline>
        </w:drawing>
      </w:r>
    </w:p>
    <w:p w:rsidR="003977AC" w:rsidRPr="002B0BCF" w:rsidRDefault="003977AC" w:rsidP="003977AC">
      <w:r w:rsidRPr="002B0BCF">
        <w:t>Other submitted papers described similarly successful outcomes where the remifentanil TCI was administered using some other PK model.</w:t>
      </w:r>
      <w:r w:rsidR="00FD5991">
        <w:t xml:space="preserve"> </w:t>
      </w:r>
    </w:p>
    <w:p w:rsidR="003977AC" w:rsidRPr="002B0BCF" w:rsidRDefault="003977AC" w:rsidP="003977AC">
      <w:pPr>
        <w:rPr>
          <w:b/>
        </w:rPr>
      </w:pPr>
      <w:r w:rsidRPr="002B0BCF">
        <w:t>The sponsor has proposed that the initial target concentration for general anaesthesia in adults aged over 65 year</w:t>
      </w:r>
      <w:r w:rsidR="00EC6BE4">
        <w:t>s should be reduced by 50% (that is, from 3-</w:t>
      </w:r>
      <w:r w:rsidRPr="002B0BCF">
        <w:t>8 ng/mL to 1.5 to 4 ng/mL).</w:t>
      </w:r>
      <w:r w:rsidR="00FD5991">
        <w:t xml:space="preserve"> </w:t>
      </w:r>
      <w:r w:rsidRPr="002B0BCF">
        <w:t xml:space="preserve">In the sponsor’s </w:t>
      </w:r>
      <w:r w:rsidRPr="00EC6BE4">
        <w:rPr>
          <w:i/>
        </w:rPr>
        <w:t>Overview</w:t>
      </w:r>
      <w:r w:rsidRPr="002B0BCF">
        <w:t xml:space="preserve"> of the submission</w:t>
      </w:r>
      <w:r w:rsidR="00EC6BE4">
        <w:t>,</w:t>
      </w:r>
      <w:r w:rsidRPr="002B0BCF">
        <w:t xml:space="preserve"> it was acknowledged that t</w:t>
      </w:r>
      <w:r w:rsidRPr="002B0BCF">
        <w:rPr>
          <w:color w:val="000000"/>
        </w:rPr>
        <w:t>here is no study which</w:t>
      </w:r>
      <w:r>
        <w:rPr>
          <w:color w:val="000000"/>
        </w:rPr>
        <w:t xml:space="preserve"> </w:t>
      </w:r>
      <w:r w:rsidRPr="002B0BCF">
        <w:rPr>
          <w:color w:val="000000"/>
        </w:rPr>
        <w:t xml:space="preserve">specifically addresses the target concentrations required in patients aged over 65 years. The basis for that </w:t>
      </w:r>
      <w:r>
        <w:rPr>
          <w:color w:val="000000"/>
        </w:rPr>
        <w:t>r</w:t>
      </w:r>
      <w:r w:rsidRPr="002B0BCF">
        <w:rPr>
          <w:color w:val="000000"/>
        </w:rPr>
        <w:t>ecommendation was a published paper</w:t>
      </w:r>
      <w:r w:rsidR="00EC6BE4">
        <w:rPr>
          <w:rStyle w:val="FootnoteReference"/>
          <w:color w:val="000000"/>
        </w:rPr>
        <w:footnoteReference w:id="37"/>
      </w:r>
      <w:r w:rsidRPr="002B0BCF">
        <w:rPr>
          <w:color w:val="000000"/>
        </w:rPr>
        <w:t xml:space="preserve"> showing that the susceptibility of elderly patients to remifentanil is increased with a 50% reduction in the EC</w:t>
      </w:r>
      <w:r w:rsidRPr="00E76EDB">
        <w:rPr>
          <w:color w:val="000000"/>
          <w:vertAlign w:val="subscript"/>
        </w:rPr>
        <w:t>50</w:t>
      </w:r>
      <w:r w:rsidRPr="002B0BCF">
        <w:rPr>
          <w:color w:val="000000"/>
        </w:rPr>
        <w:t xml:space="preserve"> for EEG effects over the age range 20 to 80 years.</w:t>
      </w:r>
    </w:p>
    <w:p w:rsidR="003977AC" w:rsidRPr="002B0BCF" w:rsidRDefault="003977AC" w:rsidP="003977AC">
      <w:r w:rsidRPr="002B0BCF">
        <w:t>No papers addressed dose reduction for ASA III patients however a 50% reduction in target concentration has been recommended for TCI delivery.</w:t>
      </w:r>
      <w:r w:rsidR="00FD5991">
        <w:t xml:space="preserve">  </w:t>
      </w:r>
    </w:p>
    <w:p w:rsidR="003977AC" w:rsidRPr="002B0BCF" w:rsidRDefault="003977AC" w:rsidP="003977AC">
      <w:pPr>
        <w:pStyle w:val="Heading4"/>
      </w:pPr>
      <w:r w:rsidRPr="002B0BCF">
        <w:t>Safety</w:t>
      </w:r>
    </w:p>
    <w:p w:rsidR="003977AC" w:rsidRPr="002B0BCF" w:rsidRDefault="003977AC" w:rsidP="003977AC">
      <w:r w:rsidRPr="002B0BCF">
        <w:t>Safety data from the published studies were not evaluable.</w:t>
      </w:r>
      <w:r w:rsidR="00FD5991">
        <w:t xml:space="preserve"> </w:t>
      </w:r>
      <w:r w:rsidRPr="002B0BCF">
        <w:t xml:space="preserve">No new </w:t>
      </w:r>
      <w:r w:rsidR="00E76EDB">
        <w:t>AEs</w:t>
      </w:r>
      <w:r w:rsidRPr="002B0BCF">
        <w:t xml:space="preserve"> associated with remifentanil would be anticipated given this submission concerns a method of administration rather than a change in recommended total doses of remifentanil.</w:t>
      </w:r>
      <w:r w:rsidR="00FD5991">
        <w:t xml:space="preserve"> </w:t>
      </w:r>
    </w:p>
    <w:p w:rsidR="003977AC" w:rsidRPr="002B0BCF" w:rsidRDefault="003977AC" w:rsidP="003977AC">
      <w:r w:rsidRPr="002B0BCF">
        <w:t>The major safety issue is whether the TCI method of administration results in a worse outcome in terms of adverse events than the current manual method of infusion with adjustment according to response.</w:t>
      </w:r>
      <w:r w:rsidR="00FD5991">
        <w:t xml:space="preserve"> </w:t>
      </w:r>
      <w:r w:rsidRPr="002B0BCF">
        <w:t>This could not be determined from the data presented.</w:t>
      </w:r>
      <w:r w:rsidR="00FD5991">
        <w:t xml:space="preserve"> </w:t>
      </w:r>
    </w:p>
    <w:p w:rsidR="003977AC" w:rsidRPr="002B0BCF" w:rsidRDefault="003977AC" w:rsidP="003977AC">
      <w:pPr>
        <w:pStyle w:val="Heading4"/>
      </w:pPr>
      <w:r w:rsidRPr="002B0BCF">
        <w:t>RMP evaluation</w:t>
      </w:r>
    </w:p>
    <w:p w:rsidR="003977AC" w:rsidRDefault="003977AC" w:rsidP="003977AC">
      <w:pPr>
        <w:rPr>
          <w:b/>
        </w:rPr>
      </w:pPr>
      <w:r w:rsidRPr="002B0BCF">
        <w:t>No RMP was required by the TGA.</w:t>
      </w:r>
    </w:p>
    <w:p w:rsidR="008E7846" w:rsidRPr="003977AC" w:rsidRDefault="00AA0ED0" w:rsidP="003977AC">
      <w:pPr>
        <w:pStyle w:val="Heading3"/>
      </w:pPr>
      <w:bookmarkStart w:id="219" w:name="_Toc247691531"/>
      <w:bookmarkStart w:id="220" w:name="_Toc314842515"/>
      <w:bookmarkStart w:id="221" w:name="_Toc196046505"/>
      <w:bookmarkStart w:id="222" w:name="_Toc196046949"/>
      <w:bookmarkStart w:id="223" w:name="_Toc347231116"/>
      <w:r w:rsidRPr="003977AC">
        <w:lastRenderedPageBreak/>
        <w:t>Risk-benefit a</w:t>
      </w:r>
      <w:r w:rsidR="008E7846" w:rsidRPr="003977AC">
        <w:t>nalysis</w:t>
      </w:r>
      <w:bookmarkEnd w:id="219"/>
      <w:bookmarkEnd w:id="220"/>
      <w:bookmarkEnd w:id="223"/>
    </w:p>
    <w:p w:rsidR="003977AC" w:rsidRPr="002B0BCF" w:rsidRDefault="003977AC" w:rsidP="003977AC">
      <w:pPr>
        <w:pStyle w:val="Heading4"/>
      </w:pPr>
      <w:r w:rsidRPr="002B0BCF">
        <w:t>Discussion</w:t>
      </w:r>
    </w:p>
    <w:p w:rsidR="00036EBE" w:rsidRDefault="003977AC" w:rsidP="00036EBE">
      <w:pPr>
        <w:pStyle w:val="Heading5"/>
      </w:pPr>
      <w:r w:rsidRPr="002B0BCF">
        <w:t>Pharmacology</w:t>
      </w:r>
    </w:p>
    <w:p w:rsidR="003977AC" w:rsidRPr="002B0BCF" w:rsidRDefault="003977AC" w:rsidP="003977AC">
      <w:r w:rsidRPr="002B0BCF">
        <w:t xml:space="preserve">The </w:t>
      </w:r>
      <w:r w:rsidR="00F52F8D">
        <w:t xml:space="preserve">paper by </w:t>
      </w:r>
      <w:r w:rsidRPr="002B0BCF">
        <w:t>Mert</w:t>
      </w:r>
      <w:r w:rsidR="00F52F8D">
        <w:t>ens and colleagues</w:t>
      </w:r>
      <w:r w:rsidR="00F52F8D">
        <w:rPr>
          <w:rStyle w:val="FootnoteReference"/>
        </w:rPr>
        <w:footnoteReference w:id="38"/>
      </w:r>
      <w:r w:rsidRPr="002B0BCF">
        <w:t xml:space="preserve"> provides the major PK support for the use of any TCI PK models for infusion of remifentanil.</w:t>
      </w:r>
      <w:r w:rsidR="00FD5991">
        <w:t xml:space="preserve"> </w:t>
      </w:r>
      <w:r w:rsidRPr="002B0BCF">
        <w:t xml:space="preserve">The sponsor has not </w:t>
      </w:r>
      <w:r w:rsidR="00C273D7">
        <w:t xml:space="preserve">proposed one of the Egan models; </w:t>
      </w:r>
      <w:r w:rsidRPr="002B0BCF">
        <w:t>however</w:t>
      </w:r>
      <w:r w:rsidR="00C273D7">
        <w:t>,</w:t>
      </w:r>
      <w:r w:rsidRPr="002B0BCF">
        <w:t xml:space="preserve"> these were generally more predictive of the blood concentration than the Minto model for use with TCI, at least in female patients undergoing gynaecological surgery.</w:t>
      </w:r>
      <w:r w:rsidR="00FD5991">
        <w:t xml:space="preserve"> </w:t>
      </w:r>
      <w:r w:rsidRPr="002B0BCF">
        <w:t>The PK model used to administer the TCI in the interaction study described in the Mertens paper was not the Minto model that is proposed but rather was an earlier model that did not allow for covariates of age and lean body mass.</w:t>
      </w:r>
      <w:r w:rsidR="00FD5991">
        <w:t xml:space="preserve"> </w:t>
      </w:r>
      <w:r w:rsidRPr="002B0BCF">
        <w:t>This paper suggests there is no firm bas</w:t>
      </w:r>
      <w:r w:rsidR="003D7822">
        <w:t>is for recommending any of the five</w:t>
      </w:r>
      <w:r w:rsidRPr="002B0BCF">
        <w:t xml:space="preserve"> tested PK modelling systems for TCI over another.</w:t>
      </w:r>
      <w:r w:rsidR="00FD5991">
        <w:t xml:space="preserve"> </w:t>
      </w:r>
      <w:r w:rsidRPr="002B0BCF">
        <w:t>In addition, data for these assessments were obtained from a fairly homogeneous population.</w:t>
      </w:r>
      <w:r w:rsidR="00FD5991">
        <w:t xml:space="preserve"> </w:t>
      </w:r>
      <w:r w:rsidRPr="002B0BCF">
        <w:t>Different outcomes are likely to have been obtained if the testing had</w:t>
      </w:r>
      <w:r w:rsidR="003D7822">
        <w:t xml:space="preserve"> been performed with older and/</w:t>
      </w:r>
      <w:r w:rsidRPr="002B0BCF">
        <w:t>or more severely ill surgical patients.</w:t>
      </w:r>
      <w:r w:rsidR="00FD5991">
        <w:t xml:space="preserve"> </w:t>
      </w:r>
      <w:r w:rsidRPr="002B0BCF">
        <w:t>All the tested PK models had accuracy that was within the clinically acceptable limits suggested in the pape</w:t>
      </w:r>
      <w:r w:rsidR="00F85F0A">
        <w:t>r by Schuttler and colleagues</w:t>
      </w:r>
      <w:r w:rsidRPr="002B0BCF">
        <w:t>.</w:t>
      </w:r>
      <w:r w:rsidR="00F85F0A">
        <w:rPr>
          <w:rStyle w:val="FootnoteReference"/>
        </w:rPr>
        <w:footnoteReference w:id="39"/>
      </w:r>
      <w:r w:rsidR="00FD5991">
        <w:t xml:space="preserve"> </w:t>
      </w:r>
    </w:p>
    <w:p w:rsidR="003977AC" w:rsidRPr="002B0BCF" w:rsidRDefault="003977AC" w:rsidP="003977AC">
      <w:r w:rsidRPr="002B0BCF">
        <w:t xml:space="preserve">As noted in the </w:t>
      </w:r>
      <w:r w:rsidR="00C273D7">
        <w:t xml:space="preserve">paper by </w:t>
      </w:r>
      <w:r w:rsidR="00C273D7" w:rsidRPr="002B0BCF">
        <w:t>Mert</w:t>
      </w:r>
      <w:r w:rsidR="00C273D7">
        <w:t>ens and colleagues</w:t>
      </w:r>
      <w:r w:rsidRPr="002B0BCF">
        <w:t xml:space="preserve">, the PK </w:t>
      </w:r>
      <w:r w:rsidR="003D7822">
        <w:t xml:space="preserve">of remifentanil is linear (that is, </w:t>
      </w:r>
      <w:r w:rsidRPr="002B0BCF">
        <w:t>independent of dose or infusion rate) over a large dose range. Because remifentanil is cle</w:t>
      </w:r>
      <w:r w:rsidR="003D7822">
        <w:t xml:space="preserve">ared rapidly, most of the inter </w:t>
      </w:r>
      <w:r w:rsidRPr="002B0BCF">
        <w:t>individual variability in concentration during a continuous infusion will reflect variability in metabolic clearance.</w:t>
      </w:r>
      <w:r w:rsidR="00FD5991">
        <w:t xml:space="preserve">  </w:t>
      </w:r>
    </w:p>
    <w:p w:rsidR="00036EBE" w:rsidRDefault="003977AC" w:rsidP="00036EBE">
      <w:pPr>
        <w:pStyle w:val="Heading5"/>
      </w:pPr>
      <w:r w:rsidRPr="002B0BCF">
        <w:t>Efficacy</w:t>
      </w:r>
    </w:p>
    <w:p w:rsidR="003977AC" w:rsidRDefault="003977AC" w:rsidP="003977AC">
      <w:r w:rsidRPr="002B0BCF">
        <w:t>The sponsor has provided published papers where the proposed Minto model was used in TCI for surgical procedures, including cardiac surgery in patients who were ASA I-III.</w:t>
      </w:r>
      <w:r w:rsidR="00FD5991">
        <w:t xml:space="preserve"> </w:t>
      </w:r>
      <w:r w:rsidRPr="002B0BCF">
        <w:t>These studies did not compare TCI with the currently used manual method of administration of remifentanil.</w:t>
      </w:r>
      <w:r w:rsidR="00FD5991">
        <w:t xml:space="preserve"> </w:t>
      </w:r>
    </w:p>
    <w:p w:rsidR="003977AC" w:rsidRPr="002B0BCF" w:rsidRDefault="003977AC" w:rsidP="003977AC">
      <w:r w:rsidRPr="002B0BCF">
        <w:t>The only study that allowed a comparison used a fixed infusion rate of remifentanil that delivered a higher total dose of remifentanil than the TCI dose.</w:t>
      </w:r>
      <w:r w:rsidR="00FD5991">
        <w:t xml:space="preserve"> </w:t>
      </w:r>
      <w:r w:rsidRPr="002B0BCF">
        <w:t>This resulted in fewer hypotensive episodes during the induction of anaesthesia, fewer episodes of tachycardia and/or h</w:t>
      </w:r>
      <w:r w:rsidR="00F52F8D">
        <w:t xml:space="preserve">ypertension and a smaller β </w:t>
      </w:r>
      <w:r w:rsidRPr="002B0BCF">
        <w:t>adrenergic blocker requirement during recovery for patients given TCI.</w:t>
      </w:r>
      <w:r w:rsidR="00FD5991">
        <w:t xml:space="preserve"> </w:t>
      </w:r>
    </w:p>
    <w:p w:rsidR="003977AC" w:rsidRPr="002B0BCF" w:rsidRDefault="003977AC" w:rsidP="003977AC">
      <w:r w:rsidRPr="002B0BCF">
        <w:t>As anaesthetists generally adjust infusion rates in response to patient’s responses including haemodynamic responses the results of this study are of limited value because the method of administration of the continuous infusion allowed for less flexibility in remifentanil dosing than would be the case in routine clinical practice.</w:t>
      </w:r>
      <w:r w:rsidR="00FD5991">
        <w:t xml:space="preserve"> </w:t>
      </w:r>
    </w:p>
    <w:p w:rsidR="003977AC" w:rsidRPr="002B0BCF" w:rsidRDefault="003977AC" w:rsidP="003977AC">
      <w:r w:rsidRPr="002B0BCF">
        <w:t>The papers generally described small, open studies</w:t>
      </w:r>
      <w:r w:rsidR="004A3C84">
        <w:t>,</w:t>
      </w:r>
      <w:r w:rsidRPr="002B0BCF">
        <w:t xml:space="preserve"> and generally factors other than remifentanil TCI were the focus of the study. They do serve to show that remifentanil can be given safely via TCI with the Minto model in conjunction with general anaesthetics.</w:t>
      </w:r>
    </w:p>
    <w:p w:rsidR="003977AC" w:rsidRPr="002B0BCF" w:rsidRDefault="003977AC" w:rsidP="003977AC">
      <w:pPr>
        <w:rPr>
          <w:b/>
        </w:rPr>
      </w:pPr>
      <w:r w:rsidRPr="002B0BCF">
        <w:t xml:space="preserve">There </w:t>
      </w:r>
      <w:r>
        <w:t>were</w:t>
      </w:r>
      <w:r w:rsidRPr="002B0BCF">
        <w:t xml:space="preserve"> no data on the delivery of remifentanil using TCI for children, post</w:t>
      </w:r>
      <w:r w:rsidR="004A3C84">
        <w:t xml:space="preserve"> </w:t>
      </w:r>
      <w:r w:rsidRPr="002B0BCF">
        <w:t>operative analgesia or manageme</w:t>
      </w:r>
      <w:r w:rsidR="004A3C84">
        <w:t>nt of ventilated patients in the intensive care unit</w:t>
      </w:r>
      <w:r>
        <w:t>.</w:t>
      </w:r>
      <w:r w:rsidR="00FD5991">
        <w:t xml:space="preserve"> </w:t>
      </w:r>
      <w:r w:rsidRPr="002B0BCF">
        <w:t xml:space="preserve">TCI </w:t>
      </w:r>
      <w:r>
        <w:t xml:space="preserve">delivery of remifentanil </w:t>
      </w:r>
      <w:r w:rsidRPr="002B0BCF">
        <w:t>has not been proposed for these patients.</w:t>
      </w:r>
      <w:r w:rsidR="00FD5991">
        <w:t xml:space="preserve">   </w:t>
      </w:r>
    </w:p>
    <w:p w:rsidR="003977AC" w:rsidRPr="002B0BCF" w:rsidRDefault="003977AC" w:rsidP="003977AC">
      <w:r w:rsidRPr="002B0BCF">
        <w:lastRenderedPageBreak/>
        <w:t>It is reasonable to conclude from the data presented that any PK model that has been validated could be used to deliver remifentanil using TCI.</w:t>
      </w:r>
      <w:r w:rsidR="00FD5991">
        <w:t xml:space="preserve"> </w:t>
      </w:r>
      <w:r w:rsidRPr="002B0BCF">
        <w:t>The sponsor has not demonstrated that the Minto model is superior to other models.</w:t>
      </w:r>
      <w:r w:rsidR="00FD5991">
        <w:t xml:space="preserve"> </w:t>
      </w:r>
      <w:r w:rsidRPr="002B0BCF">
        <w:t>The sponsor’s primary justification for recommending the Minto model appears to be that some</w:t>
      </w:r>
      <w:r w:rsidR="00FC28A6">
        <w:t xml:space="preserve"> standardised model is required, </w:t>
      </w:r>
      <w:r w:rsidRPr="002B0BCF">
        <w:t xml:space="preserve">and </w:t>
      </w:r>
      <w:r w:rsidR="00FC28A6">
        <w:t xml:space="preserve">that </w:t>
      </w:r>
      <w:r w:rsidRPr="002B0BCF">
        <w:t>the Minto model is acceptable.</w:t>
      </w:r>
      <w:r w:rsidR="00FD5991">
        <w:t xml:space="preserve"> </w:t>
      </w:r>
    </w:p>
    <w:p w:rsidR="003977AC" w:rsidRPr="002B0BCF" w:rsidRDefault="003977AC" w:rsidP="003977AC">
      <w:r w:rsidRPr="002B0BCF">
        <w:t xml:space="preserve">Any of the TCI models </w:t>
      </w:r>
      <w:r>
        <w:t xml:space="preserve">discussed </w:t>
      </w:r>
      <w:r w:rsidRPr="002B0BCF">
        <w:t>would deliver remifentanil at infusion rates that are within the current dose recommendations.</w:t>
      </w:r>
      <w:r w:rsidR="00FD5991">
        <w:t xml:space="preserve"> </w:t>
      </w:r>
      <w:r w:rsidRPr="002B0BCF">
        <w:t>I consider that it would be helpful for practitioners to have information on the suggested dilutions of remifentanil and target bloo</w:t>
      </w:r>
      <w:r w:rsidR="00FC28A6">
        <w:t xml:space="preserve">d levels for various procedures, </w:t>
      </w:r>
      <w:r w:rsidRPr="002B0BCF">
        <w:t>but that it should be clear that this is guidance</w:t>
      </w:r>
      <w:r>
        <w:t xml:space="preserve"> only.</w:t>
      </w:r>
      <w:r w:rsidR="00FD5991">
        <w:t xml:space="preserve"> </w:t>
      </w:r>
      <w:r>
        <w:t>T</w:t>
      </w:r>
      <w:r w:rsidRPr="002B0BCF">
        <w:t>here is wide variability in sensitivity to all opioids, including remifentanil</w:t>
      </w:r>
      <w:r w:rsidR="00FC28A6">
        <w:t>,</w:t>
      </w:r>
      <w:r w:rsidRPr="002B0BCF">
        <w:t xml:space="preserve"> and the use of TCI is no substitute for close monitoring of the patient during anaesthe</w:t>
      </w:r>
      <w:r>
        <w:t>sia</w:t>
      </w:r>
      <w:r w:rsidRPr="002B0BCF">
        <w:t xml:space="preserve"> with adjustment of the target remifentanil level according to patient response.</w:t>
      </w:r>
      <w:r w:rsidR="00FD5991">
        <w:t xml:space="preserve"> </w:t>
      </w:r>
    </w:p>
    <w:p w:rsidR="00036EBE" w:rsidRDefault="003977AC" w:rsidP="00036EBE">
      <w:pPr>
        <w:pStyle w:val="Heading5"/>
      </w:pPr>
      <w:r w:rsidRPr="002B0BCF">
        <w:t>Safety</w:t>
      </w:r>
    </w:p>
    <w:p w:rsidR="003977AC" w:rsidRPr="002B0BCF" w:rsidRDefault="003977AC" w:rsidP="003977AC">
      <w:r w:rsidRPr="002B0BCF">
        <w:t xml:space="preserve">Both </w:t>
      </w:r>
      <w:r w:rsidR="00FC28A6">
        <w:t>MCI</w:t>
      </w:r>
      <w:r w:rsidRPr="002B0BCF">
        <w:t xml:space="preserve"> and TCI have potential for adverse reactions due to over and under dosing in relation to the individual patient, the surgical procedure being performed</w:t>
      </w:r>
      <w:r>
        <w:t>,</w:t>
      </w:r>
      <w:r w:rsidRPr="002B0BCF">
        <w:t xml:space="preserve"> and other agents co-administered with remifentanil.</w:t>
      </w:r>
      <w:r w:rsidR="00FD5991">
        <w:t xml:space="preserve"> </w:t>
      </w:r>
      <w:r w:rsidRPr="002B0BCF">
        <w:t xml:space="preserve">Whether patients experience clinically significant </w:t>
      </w:r>
      <w:r w:rsidR="001F32DD">
        <w:t>AEs</w:t>
      </w:r>
      <w:r w:rsidRPr="002B0BCF">
        <w:t xml:space="preserve"> from relative over or under exposure to remifentanil depends </w:t>
      </w:r>
      <w:r>
        <w:t>to a large extent</w:t>
      </w:r>
      <w:r w:rsidRPr="002B0BCF">
        <w:t xml:space="preserve"> on the anaesthetist monitoring the patient.</w:t>
      </w:r>
      <w:r w:rsidR="00FD5991">
        <w:t xml:space="preserve"> </w:t>
      </w:r>
      <w:r w:rsidRPr="002B0BCF">
        <w:t>The TCI method of administration should be considered an aid in the selection of dosage which must then be further adjusted according to the individual patient’s response.</w:t>
      </w:r>
    </w:p>
    <w:p w:rsidR="003977AC" w:rsidRPr="002B0BCF" w:rsidRDefault="003977AC" w:rsidP="003977AC">
      <w:r w:rsidRPr="002B0BCF">
        <w:t>While no papers were submitted to support the proposed initial target TCI range for ASA III or IV patients</w:t>
      </w:r>
      <w:r w:rsidR="001F32DD">
        <w:t>,</w:t>
      </w:r>
      <w:r>
        <w:t xml:space="preserve"> t</w:t>
      </w:r>
      <w:r w:rsidRPr="002B0BCF">
        <w:t>he current PI recommends caution in administration of U</w:t>
      </w:r>
      <w:r w:rsidR="001F32DD">
        <w:t>ltiva</w:t>
      </w:r>
      <w:r w:rsidRPr="002B0BCF">
        <w:t xml:space="preserve"> (by </w:t>
      </w:r>
      <w:r w:rsidR="001F32DD">
        <w:t>MCI</w:t>
      </w:r>
      <w:r w:rsidRPr="002B0BCF">
        <w:t>) and an initial dose reduction and subsequent titration</w:t>
      </w:r>
      <w:r w:rsidR="00FF3534">
        <w:t>,</w:t>
      </w:r>
      <w:r w:rsidRPr="002B0BCF">
        <w:t xml:space="preserve"> but does not specify a dose reduction of 50%. There is no firm basis for the proposed 50% initial target reduction.</w:t>
      </w:r>
      <w:r w:rsidR="00FD5991">
        <w:t xml:space="preserve"> </w:t>
      </w:r>
      <w:r w:rsidRPr="002B0BCF">
        <w:t>The most important aspect of dosing is that the initial dose not be so high as to precipitate hemodynamic changes and that it be titrated according to the patient’s response.</w:t>
      </w:r>
      <w:r w:rsidR="00FD5991">
        <w:t xml:space="preserve"> </w:t>
      </w:r>
    </w:p>
    <w:p w:rsidR="003977AC" w:rsidRPr="002B0BCF" w:rsidRDefault="003977AC" w:rsidP="003977AC">
      <w:pPr>
        <w:pStyle w:val="Heading4"/>
      </w:pPr>
      <w:r w:rsidRPr="002B0BCF">
        <w:t>Conclusion and recommendation</w:t>
      </w:r>
    </w:p>
    <w:p w:rsidR="00236963" w:rsidRPr="002B0BCF" w:rsidRDefault="00236963" w:rsidP="00236963">
      <w:r w:rsidRPr="002B0BCF">
        <w:t>I</w:t>
      </w:r>
      <w:r>
        <w:t xml:space="preserve">t is </w:t>
      </w:r>
      <w:r w:rsidRPr="002B0BCF">
        <w:t>propose</w:t>
      </w:r>
      <w:r>
        <w:t>d</w:t>
      </w:r>
      <w:r w:rsidRPr="002B0BCF">
        <w:t xml:space="preserve"> to approve the inclusion in the PI of information regarding the use of TCI for delivery of remifentanil during induction and/or maintenance of general anaesthesia during surgical procedures including cardiac surgery in adults. </w:t>
      </w:r>
      <w:r>
        <w:t xml:space="preserve">Within the above indications, the proposed use in ASA III/IV patients is not recommended. </w:t>
      </w:r>
    </w:p>
    <w:p w:rsidR="00236963" w:rsidRPr="002B0BCF" w:rsidRDefault="00236963" w:rsidP="00236963">
      <w:r w:rsidRPr="002B0BCF">
        <w:t>I</w:t>
      </w:r>
      <w:r>
        <w:t>t is</w:t>
      </w:r>
      <w:r w:rsidRPr="002B0BCF">
        <w:t xml:space="preserve"> not propose</w:t>
      </w:r>
      <w:r>
        <w:t>d</w:t>
      </w:r>
      <w:r w:rsidRPr="002B0BCF">
        <w:t xml:space="preserve"> to approve a specific PK model to be used with devices to deliver remifentanil using </w:t>
      </w:r>
      <w:r>
        <w:t>TCI. Any software/</w:t>
      </w:r>
      <w:r w:rsidRPr="002B0BCF">
        <w:t>model recommendation is likely to be overly restrictive and may quickly become out of date should subsequent modelling software become available.</w:t>
      </w:r>
      <w:r>
        <w:t xml:space="preserve"> </w:t>
      </w:r>
    </w:p>
    <w:p w:rsidR="003977AC" w:rsidRPr="002B0BCF" w:rsidRDefault="003977AC" w:rsidP="003977AC">
      <w:r w:rsidRPr="002B0BCF">
        <w:t>The advice of the ACPM is requested concerning whether:</w:t>
      </w:r>
    </w:p>
    <w:p w:rsidR="003977AC" w:rsidRPr="002B0BCF" w:rsidRDefault="003977AC" w:rsidP="004F27D1">
      <w:pPr>
        <w:numPr>
          <w:ilvl w:val="0"/>
          <w:numId w:val="13"/>
        </w:numPr>
      </w:pPr>
      <w:r w:rsidRPr="002B0BCF">
        <w:t xml:space="preserve">a comparative study using remifentanil administered via </w:t>
      </w:r>
      <w:r w:rsidR="00FF3534">
        <w:t>MCI</w:t>
      </w:r>
      <w:r w:rsidR="00036EBE">
        <w:t xml:space="preserve"> versus</w:t>
      </w:r>
      <w:r w:rsidRPr="002B0BCF">
        <w:t xml:space="preserve"> TCI should be required prior to accepting a description of TCI in the </w:t>
      </w:r>
      <w:r w:rsidR="00FF3534">
        <w:t>PI</w:t>
      </w:r>
      <w:r w:rsidRPr="002B0BCF">
        <w:t xml:space="preserve"> for U</w:t>
      </w:r>
      <w:r w:rsidR="00FF3534">
        <w:t>ltiva</w:t>
      </w:r>
      <w:r w:rsidRPr="002B0BCF">
        <w:t xml:space="preserve"> (remifentanil);</w:t>
      </w:r>
    </w:p>
    <w:p w:rsidR="003977AC" w:rsidRPr="002B0BCF" w:rsidRDefault="003977AC" w:rsidP="004F27D1">
      <w:pPr>
        <w:numPr>
          <w:ilvl w:val="0"/>
          <w:numId w:val="13"/>
        </w:numPr>
      </w:pPr>
      <w:r>
        <w:t xml:space="preserve">if </w:t>
      </w:r>
      <w:r w:rsidRPr="002B0BCF">
        <w:t xml:space="preserve">it is appropriate to recommend remifentanil if delivered using TCI that the Minto PK model be </w:t>
      </w:r>
      <w:r>
        <w:t>specified in the PI;</w:t>
      </w:r>
      <w:r w:rsidR="00FD5991">
        <w:t xml:space="preserve"> </w:t>
      </w:r>
    </w:p>
    <w:p w:rsidR="003977AC" w:rsidRPr="002B0BCF" w:rsidRDefault="00FF3534" w:rsidP="004F27D1">
      <w:pPr>
        <w:numPr>
          <w:ilvl w:val="0"/>
          <w:numId w:val="13"/>
        </w:numPr>
      </w:pPr>
      <w:r>
        <w:t>i</w:t>
      </w:r>
      <w:r w:rsidR="003977AC" w:rsidRPr="002B0BCF">
        <w:t>t is appropriate to exclude ASA III/IV patients from TCI</w:t>
      </w:r>
      <w:r w:rsidR="003977AC">
        <w:t xml:space="preserve"> of remifentanil</w:t>
      </w:r>
      <w:r w:rsidR="003977AC" w:rsidRPr="002B0BCF">
        <w:t>.</w:t>
      </w:r>
      <w:r w:rsidR="00FD5991">
        <w:t xml:space="preserve"> </w:t>
      </w:r>
    </w:p>
    <w:p w:rsidR="008E7846" w:rsidRDefault="008E7846" w:rsidP="008E7846">
      <w:pPr>
        <w:pStyle w:val="Heading4"/>
      </w:pPr>
      <w:r>
        <w:t xml:space="preserve">Response from </w:t>
      </w:r>
      <w:r w:rsidR="00D57A1E">
        <w:t>s</w:t>
      </w:r>
      <w:r>
        <w:t>ponsor</w:t>
      </w:r>
    </w:p>
    <w:p w:rsidR="00F57625" w:rsidRDefault="00F57625" w:rsidP="00F57625">
      <w:r>
        <w:t xml:space="preserve">Purpose of Application: Category 1 application to amend the </w:t>
      </w:r>
      <w:r w:rsidRPr="00FF3534">
        <w:rPr>
          <w:i/>
        </w:rPr>
        <w:t>Dosage and Administration</w:t>
      </w:r>
      <w:r>
        <w:t xml:space="preserve"> section of the PI to provide guidance on use via TCI.</w:t>
      </w:r>
    </w:p>
    <w:p w:rsidR="00F57625" w:rsidRDefault="00F57625" w:rsidP="00F57625">
      <w:r>
        <w:lastRenderedPageBreak/>
        <w:t>The primary aim of this application was to provide guidance on administration of remifentanil via TCI, which is an established alternative to the manually controlled mode of delivering drugs via infusion.</w:t>
      </w:r>
    </w:p>
    <w:p w:rsidR="00F57625" w:rsidRDefault="00F57625" w:rsidP="00F57625">
      <w:r>
        <w:t>The application does not seek to extend the indication or increase the use of remifentanil, or to change the approved dose range for achieving the required anaesthetic effect.</w:t>
      </w:r>
    </w:p>
    <w:p w:rsidR="007F1A72" w:rsidRDefault="00F57625" w:rsidP="00F57625">
      <w:r>
        <w:t>TCI of anaesthetic agents is an established mode of delivery of anaesthetic agents worldwide and in Australia</w:t>
      </w:r>
      <w:r w:rsidR="00F019C4">
        <w:t>. There are currently at least four</w:t>
      </w:r>
      <w:r>
        <w:t xml:space="preserve"> devices approved by the TGA for delivery of anaesthetic agents via TCI, which include relevant software and</w:t>
      </w:r>
      <w:r w:rsidR="007F1A72">
        <w:t xml:space="preserve"> </w:t>
      </w:r>
      <w:r>
        <w:t>PK models for TCI of remifent</w:t>
      </w:r>
      <w:r w:rsidR="007F1A72">
        <w:t>anil</w:t>
      </w:r>
      <w:r w:rsidR="00F06265">
        <w:t xml:space="preserve"> (Table </w:t>
      </w:r>
      <w:r w:rsidR="00080A4F">
        <w:t>1</w:t>
      </w:r>
      <w:r w:rsidR="00F06265">
        <w:t>).</w:t>
      </w:r>
    </w:p>
    <w:p w:rsidR="00F61707" w:rsidRDefault="00F61707" w:rsidP="00F61707">
      <w:r>
        <w:t>Devices for TCI of anaesthetic agents are available and used within many hospitals in Australia. Therefore this mode of delivery of anaesthetic agents is not novel and the inclusion of relevant guidance relating to the administration of remifentanil via TCI is intended to assist the anaesthetist and is in the spirit of ensuring quality use of medicines.</w:t>
      </w:r>
    </w:p>
    <w:p w:rsidR="00F61707" w:rsidRDefault="00F61707" w:rsidP="00F61707">
      <w:r>
        <w:t>Guidance on TCI of remifentanil has been approved in Europe since 2004.</w:t>
      </w:r>
    </w:p>
    <w:p w:rsidR="00297403" w:rsidRDefault="00F61707" w:rsidP="00F61707">
      <w:r>
        <w:t>The company agrees with t</w:t>
      </w:r>
      <w:r w:rsidR="00297403">
        <w:t xml:space="preserve">he </w:t>
      </w:r>
      <w:r w:rsidR="00EF418B">
        <w:t>D</w:t>
      </w:r>
      <w:r w:rsidR="00297403">
        <w:t>elegate’s recommendation to</w:t>
      </w:r>
    </w:p>
    <w:p w:rsidR="00297403" w:rsidRPr="00297403" w:rsidRDefault="00F61707" w:rsidP="00297403">
      <w:pPr>
        <w:ind w:left="720"/>
        <w:rPr>
          <w:i/>
        </w:rPr>
      </w:pPr>
      <w:r w:rsidRPr="00297403">
        <w:rPr>
          <w:i/>
        </w:rPr>
        <w:t xml:space="preserve">“Approve the inclusion in the PI of information regarding use of TCI for delivery of remifentanil during induction and/or maintenance of general anaesthesia during surgical procedures, including cardiac surgery in </w:t>
      </w:r>
      <w:r w:rsidR="00297403" w:rsidRPr="00297403">
        <w:rPr>
          <w:i/>
        </w:rPr>
        <w:t>adults”</w:t>
      </w:r>
    </w:p>
    <w:p w:rsidR="009B2CE7" w:rsidRDefault="00F61707" w:rsidP="00F61707">
      <w:r>
        <w:t>and supports this position on the grounds that:</w:t>
      </w:r>
    </w:p>
    <w:p w:rsidR="00371F4A" w:rsidRDefault="00371F4A" w:rsidP="004F27D1">
      <w:pPr>
        <w:numPr>
          <w:ilvl w:val="0"/>
          <w:numId w:val="7"/>
        </w:numPr>
      </w:pPr>
      <w:r>
        <w:t>This mode of administration delivers remifentanil within the dose range recommended</w:t>
      </w:r>
      <w:r w:rsidR="00297403">
        <w:t>.</w:t>
      </w:r>
    </w:p>
    <w:p w:rsidR="00371F4A" w:rsidRDefault="00371F4A" w:rsidP="004F27D1">
      <w:pPr>
        <w:numPr>
          <w:ilvl w:val="0"/>
          <w:numId w:val="7"/>
        </w:numPr>
      </w:pPr>
      <w:r>
        <w:t>IV infusion is the approved route of administration and TCI is an alternative mode of IV infusion supported by the available literature and company studies.</w:t>
      </w:r>
    </w:p>
    <w:p w:rsidR="00371F4A" w:rsidRDefault="00371F4A" w:rsidP="004F27D1">
      <w:pPr>
        <w:numPr>
          <w:ilvl w:val="0"/>
          <w:numId w:val="7"/>
        </w:numPr>
      </w:pPr>
      <w:r>
        <w:t>The relevant device and software for this mode of IV infusions is already available via TGA approved devices and validated software within the Australian health system.</w:t>
      </w:r>
    </w:p>
    <w:p w:rsidR="00371F4A" w:rsidRDefault="00371F4A" w:rsidP="004F27D1">
      <w:pPr>
        <w:numPr>
          <w:ilvl w:val="0"/>
          <w:numId w:val="7"/>
        </w:numPr>
      </w:pPr>
      <w:r>
        <w:t>The available literature indicates that adequate sedative effect is achieved via either MCI or TCI when administered in a controlled and monitored environment, that the consumption of remifentanil is reduced via TCI and the monitored side effects for TCI and MCI are comparable.</w:t>
      </w:r>
    </w:p>
    <w:p w:rsidR="00F61707" w:rsidRDefault="00371F4A" w:rsidP="004F27D1">
      <w:pPr>
        <w:numPr>
          <w:ilvl w:val="0"/>
          <w:numId w:val="7"/>
        </w:numPr>
      </w:pPr>
      <w:r>
        <w:t xml:space="preserve">The available </w:t>
      </w:r>
      <w:r w:rsidR="00EF418B">
        <w:t>AE</w:t>
      </w:r>
      <w:r>
        <w:t xml:space="preserve"> data from the </w:t>
      </w:r>
      <w:r w:rsidR="00297403" w:rsidRPr="00297403">
        <w:t>GlaxoSmithKline</w:t>
      </w:r>
      <w:r>
        <w:t xml:space="preserve"> safety database does not indicate a change to the safety profile of remifentanil over 15 years of post market surveillance.</w:t>
      </w:r>
    </w:p>
    <w:p w:rsidR="00CC78C4" w:rsidRDefault="00D37C79" w:rsidP="00D37C79">
      <w:pPr>
        <w:pStyle w:val="Heading5"/>
      </w:pPr>
      <w:r>
        <w:t xml:space="preserve">1. </w:t>
      </w:r>
      <w:r w:rsidR="00CC78C4">
        <w:t xml:space="preserve">Requirement for a comparative study of remifentanil via MCI versus TCI prior to inclusion of a description of TCI in the </w:t>
      </w:r>
      <w:r>
        <w:t>PI</w:t>
      </w:r>
      <w:r w:rsidR="00CC78C4">
        <w:t>.</w:t>
      </w:r>
    </w:p>
    <w:p w:rsidR="00CC78C4" w:rsidRDefault="00CC78C4" w:rsidP="00CC78C4">
      <w:r>
        <w:t>The company does not believe that an additional comparative stud</w:t>
      </w:r>
      <w:r w:rsidR="00F019C4">
        <w:t>y of MCI versus</w:t>
      </w:r>
      <w:r>
        <w:t xml:space="preserve"> TCI delivery of</w:t>
      </w:r>
      <w:r w:rsidR="00D37C79">
        <w:t xml:space="preserve"> </w:t>
      </w:r>
      <w:r>
        <w:t>remifentanil would provide any new information that is not already available via the existing</w:t>
      </w:r>
      <w:r w:rsidR="002F430F">
        <w:t xml:space="preserve"> </w:t>
      </w:r>
      <w:r>
        <w:t>body of evidence.</w:t>
      </w:r>
    </w:p>
    <w:p w:rsidR="00CC78C4" w:rsidRDefault="00CC78C4" w:rsidP="00CC78C4">
      <w:r>
        <w:t>The company acknowledges that the information on the clinical use of remifentanil TCI is not</w:t>
      </w:r>
      <w:r w:rsidR="002F430F">
        <w:t xml:space="preserve"> </w:t>
      </w:r>
      <w:r>
        <w:t>supported by a structured clinical program. However, there is sufficient published clinical</w:t>
      </w:r>
      <w:r w:rsidR="002F430F">
        <w:t xml:space="preserve"> </w:t>
      </w:r>
      <w:r>
        <w:t>information available to support guidance for use of remifentanil TCI and as such does not</w:t>
      </w:r>
      <w:r w:rsidR="002F430F">
        <w:t xml:space="preserve"> </w:t>
      </w:r>
      <w:r>
        <w:t>compromise the quality of the guidance provided to the anaesthetist.</w:t>
      </w:r>
    </w:p>
    <w:p w:rsidR="00CC78C4" w:rsidRDefault="00CC78C4" w:rsidP="00CC78C4">
      <w:r>
        <w:t>The clinical studies submitted with this application while not including large subject numbers</w:t>
      </w:r>
      <w:r w:rsidR="002F430F">
        <w:t xml:space="preserve"> </w:t>
      </w:r>
      <w:r>
        <w:t>(Study USA‐103, n</w:t>
      </w:r>
      <w:r w:rsidR="002F430F">
        <w:t xml:space="preserve"> </w:t>
      </w:r>
      <w:r>
        <w:t>=</w:t>
      </w:r>
      <w:r w:rsidR="002F430F">
        <w:t xml:space="preserve"> </w:t>
      </w:r>
      <w:r>
        <w:t>15; Study USA‐220, n</w:t>
      </w:r>
      <w:r w:rsidR="002F430F">
        <w:t xml:space="preserve"> </w:t>
      </w:r>
      <w:r>
        <w:t>=</w:t>
      </w:r>
      <w:r w:rsidR="002F430F">
        <w:t xml:space="preserve"> </w:t>
      </w:r>
      <w:r>
        <w:t>194) nevertheless demonstrated acceptable efficacy</w:t>
      </w:r>
      <w:r w:rsidR="002F430F">
        <w:t xml:space="preserve"> </w:t>
      </w:r>
      <w:r>
        <w:t>and safety when remifentanil was administration via TCI.</w:t>
      </w:r>
    </w:p>
    <w:p w:rsidR="00371F4A" w:rsidRDefault="00CC78C4" w:rsidP="00CC78C4">
      <w:r>
        <w:lastRenderedPageBreak/>
        <w:t>The clinical evaluator’s comments on the lack of complianc</w:t>
      </w:r>
      <w:r w:rsidR="002F430F">
        <w:t xml:space="preserve">e of submitted literature based </w:t>
      </w:r>
      <w:r>
        <w:t>component are noted. The company wishes to highlight th</w:t>
      </w:r>
      <w:r w:rsidR="002F430F">
        <w:t xml:space="preserve">at the </w:t>
      </w:r>
      <w:r w:rsidR="00531687">
        <w:t xml:space="preserve">relevant </w:t>
      </w:r>
      <w:r w:rsidR="002F430F">
        <w:t xml:space="preserve">TGA </w:t>
      </w:r>
      <w:r w:rsidR="00531687">
        <w:t>guidance document</w:t>
      </w:r>
      <w:r w:rsidR="00531687">
        <w:rPr>
          <w:rStyle w:val="FootnoteReference"/>
        </w:rPr>
        <w:footnoteReference w:id="40"/>
      </w:r>
      <w:r w:rsidR="00531687">
        <w:t xml:space="preserve"> </w:t>
      </w:r>
      <w:r>
        <w:t xml:space="preserve">is </w:t>
      </w:r>
      <w:r w:rsidR="00531687">
        <w:t>for</w:t>
      </w:r>
      <w:r w:rsidR="002F430F">
        <w:t xml:space="preserve"> industry and is primarily </w:t>
      </w:r>
      <w:r>
        <w:t>recommended for changes to the PI associated with cha</w:t>
      </w:r>
      <w:r w:rsidR="002F430F">
        <w:t xml:space="preserve">nges to the claimed indication, </w:t>
      </w:r>
      <w:r>
        <w:t>contraindications, dosage and route of administration.</w:t>
      </w:r>
      <w:r w:rsidR="002F430F">
        <w:t xml:space="preserve"> No changes are proposed to the </w:t>
      </w:r>
      <w:r>
        <w:t>claimed</w:t>
      </w:r>
      <w:r w:rsidR="002F430F">
        <w:t xml:space="preserve"> </w:t>
      </w:r>
      <w:r>
        <w:t>indication, contraindications, dosage and route of administration via this application. The</w:t>
      </w:r>
      <w:r w:rsidR="002F430F">
        <w:t xml:space="preserve"> </w:t>
      </w:r>
      <w:r>
        <w:t>submitted peer reviewed literature was intended to provide a critical review of the available</w:t>
      </w:r>
      <w:r w:rsidR="002F430F">
        <w:t xml:space="preserve"> </w:t>
      </w:r>
      <w:r>
        <w:t>information on the TCI mode of administration as an analgesic agent in the approved surgical</w:t>
      </w:r>
      <w:r w:rsidR="002F430F">
        <w:t xml:space="preserve"> </w:t>
      </w:r>
      <w:r>
        <w:t>settings.</w:t>
      </w:r>
    </w:p>
    <w:p w:rsidR="006A664F" w:rsidRDefault="006A664F" w:rsidP="006A664F">
      <w:r>
        <w:t xml:space="preserve">The literature submitted with the application was limited to information published prior to 2003. A recent review of available published information </w:t>
      </w:r>
      <w:r w:rsidR="00266D1A">
        <w:t xml:space="preserve">since 2003 </w:t>
      </w:r>
      <w:r>
        <w:t>identified in excess of 344 publications on remifentanil TCI, indicating that there is a substantial body of evidence for this mode of administration.</w:t>
      </w:r>
    </w:p>
    <w:p w:rsidR="00CC78C4" w:rsidRDefault="006A664F" w:rsidP="006A664F">
      <w:r>
        <w:t>In a revised search undert</w:t>
      </w:r>
      <w:r w:rsidR="004D16B1">
        <w:t xml:space="preserve">aken by the </w:t>
      </w:r>
      <w:r w:rsidR="00BB1DCB">
        <w:t>sponsor</w:t>
      </w:r>
      <w:r w:rsidR="004D16B1">
        <w:t xml:space="preserve"> since 2003</w:t>
      </w:r>
      <w:r w:rsidR="00BB1DCB">
        <w:t>, five</w:t>
      </w:r>
      <w:r>
        <w:t xml:space="preserve"> studies comparing MCI to T</w:t>
      </w:r>
      <w:r w:rsidR="003317FF">
        <w:t>CI have been identified</w:t>
      </w:r>
      <w:r>
        <w:t xml:space="preserve">. A summary of the patient numbers, clinical setting and doses used are shown (Table </w:t>
      </w:r>
      <w:r w:rsidR="00EB7E37">
        <w:t>9</w:t>
      </w:r>
      <w:r>
        <w:t>).</w:t>
      </w:r>
    </w:p>
    <w:p w:rsidR="006A664F" w:rsidRDefault="006A664F" w:rsidP="006A664F">
      <w:pPr>
        <w:pStyle w:val="FigureTitle"/>
        <w:rPr>
          <w:lang w:val="en-GB"/>
        </w:rPr>
      </w:pPr>
      <w:r>
        <w:t>Table</w:t>
      </w:r>
      <w:r w:rsidRPr="004C5C28">
        <w:t xml:space="preserve"> </w:t>
      </w:r>
      <w:r w:rsidR="00EB7E37">
        <w:t>9</w:t>
      </w:r>
      <w:r>
        <w:t>:</w:t>
      </w:r>
      <w:r w:rsidRPr="004C5C28">
        <w:t xml:space="preserve"> </w:t>
      </w:r>
      <w:r w:rsidR="00DC6943" w:rsidRPr="00DC6943">
        <w:t xml:space="preserve">Summary of comparative clinical </w:t>
      </w:r>
      <w:r w:rsidR="00DC6943">
        <w:t>studies for remifentanil TCI versus</w:t>
      </w:r>
      <w:r w:rsidR="00DC6943" w:rsidRPr="00DC6943">
        <w:t xml:space="preserve"> MCI</w:t>
      </w:r>
      <w:r w:rsidR="00DC6943">
        <w:t>.</w:t>
      </w:r>
    </w:p>
    <w:p w:rsidR="006A664F" w:rsidRDefault="004F5A3C" w:rsidP="00245BE2">
      <w:pPr>
        <w:jc w:val="center"/>
      </w:pPr>
      <w:r>
        <w:rPr>
          <w:noProof/>
          <w:lang w:eastAsia="en-AU"/>
        </w:rPr>
        <w:drawing>
          <wp:inline distT="0" distB="0" distL="0" distR="0">
            <wp:extent cx="5391150" cy="2728595"/>
            <wp:effectExtent l="19050" t="0" r="0" b="0"/>
            <wp:docPr id="11" name="Picture 11" descr="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9"/>
                    <pic:cNvPicPr>
                      <a:picLocks noChangeAspect="1" noChangeArrowheads="1"/>
                    </pic:cNvPicPr>
                  </pic:nvPicPr>
                  <pic:blipFill>
                    <a:blip r:embed="rId24" cstate="print"/>
                    <a:srcRect/>
                    <a:stretch>
                      <a:fillRect/>
                    </a:stretch>
                  </pic:blipFill>
                  <pic:spPr bwMode="auto">
                    <a:xfrm>
                      <a:off x="0" y="0"/>
                      <a:ext cx="5391150" cy="2728595"/>
                    </a:xfrm>
                    <a:prstGeom prst="rect">
                      <a:avLst/>
                    </a:prstGeom>
                    <a:noFill/>
                    <a:ln w="9525">
                      <a:noFill/>
                      <a:miter lim="800000"/>
                      <a:headEnd/>
                      <a:tailEnd/>
                    </a:ln>
                  </pic:spPr>
                </pic:pic>
              </a:graphicData>
            </a:graphic>
          </wp:inline>
        </w:drawing>
      </w:r>
    </w:p>
    <w:p w:rsidR="000E3C80" w:rsidRDefault="000E3C80" w:rsidP="000E3C80">
      <w:r>
        <w:t>The first study, discussed in the submission and Delegate’s summary by De Castro and colleagues</w:t>
      </w:r>
      <w:r>
        <w:rPr>
          <w:rStyle w:val="FootnoteReference"/>
        </w:rPr>
        <w:footnoteReference w:id="41"/>
      </w:r>
      <w:r>
        <w:t xml:space="preserve"> was conducted on patients scheduled for carotid surgery. The aim of the study was to compare</w:t>
      </w:r>
      <w:r w:rsidR="00BB1DCB">
        <w:t xml:space="preserve"> intra</w:t>
      </w:r>
      <w:r>
        <w:t xml:space="preserve"> and postoperative haemodynamics, remifentanil requirement during anaesthesia, and postoperative morphine requirement in patients receiving eithe</w:t>
      </w:r>
      <w:r w:rsidR="00BB1DCB">
        <w:t xml:space="preserve">r MCI or TCI remifentanil. A total of </w:t>
      </w:r>
      <w:r>
        <w:t>46 patients were enrolled in this study: all re</w:t>
      </w:r>
      <w:r w:rsidR="00A9469A">
        <w:t xml:space="preserve">ceiving propofol by TCI. Twenty </w:t>
      </w:r>
      <w:r>
        <w:t>three recei</w:t>
      </w:r>
      <w:r w:rsidR="00BB1DCB">
        <w:t>ved MCI of remifentanil (0.5 μg</w:t>
      </w:r>
      <w:r>
        <w:t xml:space="preserve">/kg/min) for the induction of anaesthesia and endotracheal intubation, with the infusion rate decreased to 0.25 μg/kg/min after intubation, then adapted by step of 0.05 μg/kg/min according to haemodynamics. </w:t>
      </w:r>
      <w:r w:rsidR="00BB1DCB">
        <w:t>A total of 23</w:t>
      </w:r>
      <w:r>
        <w:t xml:space="preserve"> patients received TCI of remifentanil with an effect‐site concentration at 4</w:t>
      </w:r>
      <w:r w:rsidR="00BB1DCB">
        <w:t xml:space="preserve"> </w:t>
      </w:r>
      <w:r>
        <w:t>ng/mL during induction, then adapted by step of 1 ng/mL according to haemodynamics. The results indicated that patients in the TCI group required significantly lesser amount of remifentanil than the MCI group (p</w:t>
      </w:r>
      <w:r w:rsidR="00BB1DCB">
        <w:t xml:space="preserve"> </w:t>
      </w:r>
      <w:r>
        <w:t>&lt;</w:t>
      </w:r>
      <w:r w:rsidR="00BB1DCB">
        <w:t xml:space="preserve"> </w:t>
      </w:r>
      <w:r>
        <w:t xml:space="preserve">0.05) and the incidence of episodes </w:t>
      </w:r>
      <w:r>
        <w:lastRenderedPageBreak/>
        <w:t>of int</w:t>
      </w:r>
      <w:r w:rsidR="00AA0BC5">
        <w:t>ra operative hypotension (16 versus</w:t>
      </w:r>
      <w:r>
        <w:t xml:space="preserve"> 6; p</w:t>
      </w:r>
      <w:r w:rsidR="00BB1DCB">
        <w:t xml:space="preserve"> </w:t>
      </w:r>
      <w:r>
        <w:t>&lt;</w:t>
      </w:r>
      <w:r w:rsidR="00BB1DCB">
        <w:t xml:space="preserve"> </w:t>
      </w:r>
      <w:r>
        <w:t>0.001) and pos</w:t>
      </w:r>
      <w:r w:rsidR="00BB1DCB">
        <w:t>t operative hypertension (16 versus</w:t>
      </w:r>
      <w:r>
        <w:t xml:space="preserve"> 10; p</w:t>
      </w:r>
      <w:r w:rsidR="00BB1DCB">
        <w:t xml:space="preserve"> </w:t>
      </w:r>
      <w:r>
        <w:t>&lt;</w:t>
      </w:r>
      <w:r w:rsidR="00BB1DCB">
        <w:t xml:space="preserve"> </w:t>
      </w:r>
      <w:r>
        <w:t>0.04) were more frequent with MCI than TCI.</w:t>
      </w:r>
    </w:p>
    <w:p w:rsidR="00BB1DCB" w:rsidRDefault="000E3C80" w:rsidP="000E3C80">
      <w:r>
        <w:t>The second study</w:t>
      </w:r>
      <w:r w:rsidR="00464571">
        <w:t xml:space="preserve"> (n</w:t>
      </w:r>
      <w:r w:rsidR="00AA0BC5">
        <w:t xml:space="preserve"> </w:t>
      </w:r>
      <w:r w:rsidR="00464571">
        <w:t>=</w:t>
      </w:r>
      <w:r w:rsidR="00AA0BC5">
        <w:t xml:space="preserve"> </w:t>
      </w:r>
      <w:r w:rsidR="00464571">
        <w:t>60) by Moerman and colleagues</w:t>
      </w:r>
      <w:r w:rsidR="00464571">
        <w:rPr>
          <w:rStyle w:val="FootnoteReference"/>
        </w:rPr>
        <w:footnoteReference w:id="42"/>
      </w:r>
      <w:r w:rsidR="00464571">
        <w:t xml:space="preserve"> </w:t>
      </w:r>
      <w:r>
        <w:t>was conducted in patients undergoing elective colonoscopy. The primary outcomes investigated were to examine whether the addition of remifentanil to propofol TCI would result in more beneficial conditions during procedural deep sedation and to determine if there was further benefit if remifentanil was delivered via TCI compared to MCI. Patients were randomi</w:t>
      </w:r>
      <w:r w:rsidR="00BB1DCB">
        <w:t>sed to three groups:</w:t>
      </w:r>
    </w:p>
    <w:p w:rsidR="00BB1DCB" w:rsidRDefault="00BB1DCB" w:rsidP="004F27D1">
      <w:pPr>
        <w:numPr>
          <w:ilvl w:val="0"/>
          <w:numId w:val="22"/>
        </w:numPr>
      </w:pPr>
      <w:r>
        <w:t>MCI plus propofol TCI;</w:t>
      </w:r>
    </w:p>
    <w:p w:rsidR="00BB1DCB" w:rsidRDefault="00BB1DCB" w:rsidP="004F27D1">
      <w:pPr>
        <w:numPr>
          <w:ilvl w:val="0"/>
          <w:numId w:val="22"/>
        </w:numPr>
      </w:pPr>
      <w:r>
        <w:t>TCI plus propofol TCI; or</w:t>
      </w:r>
    </w:p>
    <w:p w:rsidR="00BB1DCB" w:rsidRDefault="00BB1DCB" w:rsidP="004F27D1">
      <w:pPr>
        <w:numPr>
          <w:ilvl w:val="0"/>
          <w:numId w:val="22"/>
        </w:numPr>
      </w:pPr>
      <w:r>
        <w:t>placebo plus propofol TCI.</w:t>
      </w:r>
    </w:p>
    <w:p w:rsidR="006A664F" w:rsidRDefault="000E3C80" w:rsidP="000E3C80">
      <w:r>
        <w:t xml:space="preserve">The TCI group received remifentanil 1 ng/mL (effect site target) and the MCI group received 0.125 μg/kg/min for 2 minutes followed by continuous infusion of 0.05 μg/kg/min. All patients received TCI propofol, adjusted to a target concentration level that provided deep sedation. Significantly more patients in the placebo group showed movement and hiccup </w:t>
      </w:r>
      <w:r w:rsidR="00E345D2">
        <w:t>that</w:t>
      </w:r>
      <w:r>
        <w:t xml:space="preserve"> transiently interfered with the colonoscopy examination. There were no clinically significant differences in haemodynamic or recovery variables among the three groups. Remifentanil administered via TCI resulted in a decrease in propofol requirements and in a lower incidence of apnea and respiratory depression.</w:t>
      </w:r>
    </w:p>
    <w:p w:rsidR="00A9469A" w:rsidRDefault="00A9469A" w:rsidP="00A9469A">
      <w:r>
        <w:t>In a study by Yeganeh and colleagues</w:t>
      </w:r>
      <w:r>
        <w:rPr>
          <w:rStyle w:val="FootnoteReference"/>
        </w:rPr>
        <w:footnoteReference w:id="43"/>
      </w:r>
      <w:r>
        <w:t xml:space="preserve"> in 22 patients requiring fibreoptic tracheal intubation who had cervical trauma and semielective maxillofacial surgery, remifentanil TCI was compared with MCI. The TCI group (n</w:t>
      </w:r>
      <w:r w:rsidR="00E345D2">
        <w:t xml:space="preserve"> </w:t>
      </w:r>
      <w:r>
        <w:t>=</w:t>
      </w:r>
      <w:r w:rsidR="00E345D2">
        <w:t xml:space="preserve"> </w:t>
      </w:r>
      <w:r>
        <w:t>11) received 0.8 ng/mL remifentanil (effect site target) and the MCI group (n</w:t>
      </w:r>
      <w:r w:rsidR="00E345D2">
        <w:t xml:space="preserve"> </w:t>
      </w:r>
      <w:r>
        <w:t>=</w:t>
      </w:r>
      <w:r w:rsidR="00E345D2">
        <w:t xml:space="preserve"> </w:t>
      </w:r>
      <w:r>
        <w:t>11) received a loading dose of 0.75 μg/kg and 0.075 μg/kg/min as maintenance dose. Preparation time was significantly shorter in the TCI group (6 min</w:t>
      </w:r>
      <w:r w:rsidR="00E345D2">
        <w:t>ute</w:t>
      </w:r>
      <w:r w:rsidR="00D55E1D">
        <w:t>s versus</w:t>
      </w:r>
      <w:r>
        <w:t xml:space="preserve"> 12 </w:t>
      </w:r>
      <w:r w:rsidR="00E345D2">
        <w:t>minutes</w:t>
      </w:r>
      <w:r>
        <w:t>; p</w:t>
      </w:r>
      <w:r w:rsidR="00E345D2">
        <w:t xml:space="preserve"> </w:t>
      </w:r>
      <w:r>
        <w:t>&lt;</w:t>
      </w:r>
      <w:r w:rsidR="00E345D2">
        <w:t xml:space="preserve"> </w:t>
      </w:r>
      <w:r>
        <w:t>0.05) and effect site targets were higher and vital signs were more stable in the TCI group, although not significant. Levels of sedation were comparable in both groups; however, recall and pain during endoscopy were more common in the MCI group.</w:t>
      </w:r>
    </w:p>
    <w:p w:rsidR="00A9469A" w:rsidRDefault="00A9469A" w:rsidP="00A9469A">
      <w:r>
        <w:t>A second study by Yeganeh and colleagues</w:t>
      </w:r>
      <w:r>
        <w:rPr>
          <w:rStyle w:val="FootnoteReference"/>
        </w:rPr>
        <w:footnoteReference w:id="44"/>
      </w:r>
      <w:r>
        <w:t xml:space="preserve"> in 60 patients undergoing mastoidectomy, propofol and remifentanil MCI was compared to propofol and remifentanil TCI. The MCI group received propofol via a slow bolus dose of 1 mg/kg and after that 170 μg/kg/min for 10 minutes, and then 130 μg/kg/min for 10 minutes and finally 100 μg/kg/min for maintenance of anaesthesia. Remifentanil MCI was delivered as a slow bolus dose of 1 μg/kg and then was continued with 0.5 μg/kg/min. For the TCI group</w:t>
      </w:r>
      <w:r w:rsidR="00671871">
        <w:t>,</w:t>
      </w:r>
      <w:r>
        <w:t xml:space="preserve"> the initial effect site target of propofol was set at 4 μg/ml, titrated against clinical effect and BIS values, and the initial effect site target of remifentanil was 4 ng/ml. Duration of PACU residence was significantly less in TCI group, similarly the postoperative side effects (nausea and vomiting) were also significantly less in the TCI group. The quantity of opioid consumption was significantly higher in the MCI group compared with the TCI group.</w:t>
      </w:r>
    </w:p>
    <w:p w:rsidR="00181C0A" w:rsidRDefault="00181C0A" w:rsidP="00181C0A">
      <w:r>
        <w:lastRenderedPageBreak/>
        <w:t>A study by Richeb</w:t>
      </w:r>
      <w:r w:rsidR="0001796F">
        <w:t>e</w:t>
      </w:r>
      <w:r>
        <w:t xml:space="preserve"> and colleagues</w:t>
      </w:r>
      <w:r w:rsidR="0001796F">
        <w:rPr>
          <w:rStyle w:val="FootnoteReference"/>
        </w:rPr>
        <w:footnoteReference w:id="45"/>
      </w:r>
      <w:r>
        <w:t xml:space="preserve"> compared TCI to MCI during cardiac surgery to investigate occurr</w:t>
      </w:r>
      <w:r w:rsidR="00671871">
        <w:t>ence of hyperalgesia. A total of 40</w:t>
      </w:r>
      <w:r>
        <w:t xml:space="preserve"> ASA II to III patients scheduled for elective cardiac surgery were enrolled and 38 completed the study (TCI</w:t>
      </w:r>
      <w:r w:rsidR="006C3A3A">
        <w:t>,</w:t>
      </w:r>
      <w:r>
        <w:t xml:space="preserve"> n</w:t>
      </w:r>
      <w:r w:rsidR="00671871">
        <w:t xml:space="preserve"> </w:t>
      </w:r>
      <w:r>
        <w:t>=</w:t>
      </w:r>
      <w:r w:rsidR="00671871">
        <w:t xml:space="preserve"> </w:t>
      </w:r>
      <w:r>
        <w:t>19; MCI, n</w:t>
      </w:r>
      <w:r w:rsidR="00671871">
        <w:t xml:space="preserve"> </w:t>
      </w:r>
      <w:r>
        <w:t>=</w:t>
      </w:r>
      <w:r w:rsidR="00671871">
        <w:t xml:space="preserve"> </w:t>
      </w:r>
      <w:r>
        <w:t>19). The TCI group received 7 ng/mL (effect site target) and the MCI group received a slow bolus of 1</w:t>
      </w:r>
      <w:r w:rsidR="006C3A3A">
        <w:t xml:space="preserve"> µ</w:t>
      </w:r>
      <w:r>
        <w:t xml:space="preserve">g/kg at induction followed by continuous infusion at a rate of 0.3 μg/kg/min. The anaesthetic protocol and post operative pain management were the same in both groups. Remifentanil use was significantly less in the TCI group than MCI group. Over the first 44 hours post operation, there was no difference in morphine consumption, visual analog scale (VAS) and verbal rating scale (VRS). The extent of hyperalgesia was significantly lower on post operative </w:t>
      </w:r>
      <w:r w:rsidR="00F663BD">
        <w:t>D</w:t>
      </w:r>
      <w:r>
        <w:t>ays 1,</w:t>
      </w:r>
      <w:r w:rsidR="00F663BD">
        <w:t xml:space="preserve"> 2 and</w:t>
      </w:r>
      <w:r>
        <w:t xml:space="preserve"> 4 in the TCI group, indicating that the decrease in the intraoperative use of remifentanil via TCI may result in less opioid</w:t>
      </w:r>
      <w:r w:rsidR="002C2F98">
        <w:t xml:space="preserve"> </w:t>
      </w:r>
      <w:r>
        <w:t>induced</w:t>
      </w:r>
      <w:r w:rsidR="002C2F98">
        <w:t xml:space="preserve"> </w:t>
      </w:r>
      <w:r>
        <w:t>hyperalgesia after cardiac surgery and as a consequence a reduction in post operative morphine use.</w:t>
      </w:r>
    </w:p>
    <w:p w:rsidR="00181C0A" w:rsidRDefault="00181C0A" w:rsidP="00181C0A">
      <w:r>
        <w:t>The information above demonstrates that remifentanil TCI, when administered under appropriate anaesthetic monitoring</w:t>
      </w:r>
      <w:r w:rsidR="00DD265D">
        <w:t xml:space="preserve"> in various surgical procedures</w:t>
      </w:r>
      <w:r>
        <w:t xml:space="preserve"> </w:t>
      </w:r>
      <w:r w:rsidR="00DD265D">
        <w:t>(including cardiac surgery)</w:t>
      </w:r>
      <w:r>
        <w:t xml:space="preserve"> achieves similar sedation outcomes to MCI and is associated with reduced remifentanil usage and a favourable side effect profile.</w:t>
      </w:r>
    </w:p>
    <w:p w:rsidR="00A9469A" w:rsidRDefault="00181C0A" w:rsidP="00181C0A">
      <w:r>
        <w:t xml:space="preserve">To further assist anaesthetists, the sponsor proposes to amend the PI to include the information generated via the submitted PK simulation report to provide guidance on target blood concentrations relative to continuous infusion rate (Table </w:t>
      </w:r>
      <w:r w:rsidR="00EB7E37">
        <w:t>10</w:t>
      </w:r>
      <w:r>
        <w:t>).</w:t>
      </w:r>
    </w:p>
    <w:p w:rsidR="00181C0A" w:rsidRDefault="00181C0A" w:rsidP="00181C0A">
      <w:pPr>
        <w:pStyle w:val="FigureTitle"/>
        <w:rPr>
          <w:lang w:val="en-GB"/>
        </w:rPr>
      </w:pPr>
      <w:r>
        <w:t>Table</w:t>
      </w:r>
      <w:r w:rsidRPr="004C5C28">
        <w:t xml:space="preserve"> </w:t>
      </w:r>
      <w:r w:rsidR="00EB7E37">
        <w:t>10</w:t>
      </w:r>
      <w:r>
        <w:t>:</w:t>
      </w:r>
      <w:r w:rsidRPr="004C5C28">
        <w:t xml:space="preserve"> </w:t>
      </w:r>
      <w:r w:rsidR="00EB436A" w:rsidRPr="00EB436A">
        <w:t>Blood concentrations achieved at steady state with MCI in a 70 kg, 170 cm, 40 year old, male patient (using Minto PK model)</w:t>
      </w:r>
      <w:r>
        <w:t>.</w:t>
      </w:r>
    </w:p>
    <w:p w:rsidR="00181C0A" w:rsidRDefault="004F5A3C" w:rsidP="00EB436A">
      <w:pPr>
        <w:jc w:val="center"/>
      </w:pPr>
      <w:r>
        <w:rPr>
          <w:noProof/>
          <w:lang w:eastAsia="en-AU"/>
        </w:rPr>
        <w:drawing>
          <wp:inline distT="0" distB="0" distL="0" distR="0">
            <wp:extent cx="4023360" cy="1477645"/>
            <wp:effectExtent l="19050" t="0" r="0" b="0"/>
            <wp:docPr id="12" name="Picture 12" descr="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10"/>
                    <pic:cNvPicPr>
                      <a:picLocks noChangeAspect="1" noChangeArrowheads="1"/>
                    </pic:cNvPicPr>
                  </pic:nvPicPr>
                  <pic:blipFill>
                    <a:blip r:embed="rId25" cstate="print"/>
                    <a:srcRect/>
                    <a:stretch>
                      <a:fillRect/>
                    </a:stretch>
                  </pic:blipFill>
                  <pic:spPr bwMode="auto">
                    <a:xfrm>
                      <a:off x="0" y="0"/>
                      <a:ext cx="4023360" cy="1477645"/>
                    </a:xfrm>
                    <a:prstGeom prst="rect">
                      <a:avLst/>
                    </a:prstGeom>
                    <a:noFill/>
                    <a:ln w="9525">
                      <a:noFill/>
                      <a:miter lim="800000"/>
                      <a:headEnd/>
                      <a:tailEnd/>
                    </a:ln>
                  </pic:spPr>
                </pic:pic>
              </a:graphicData>
            </a:graphic>
          </wp:inline>
        </w:drawing>
      </w:r>
    </w:p>
    <w:p w:rsidR="00EB436A" w:rsidRDefault="00EB436A" w:rsidP="00EB436A">
      <w:pPr>
        <w:pStyle w:val="Heading5"/>
      </w:pPr>
      <w:r>
        <w:t>2. Recommendation of specific Minto PK model if remifentanil is delivered via TCI</w:t>
      </w:r>
    </w:p>
    <w:p w:rsidR="00EB436A" w:rsidRDefault="00EB436A" w:rsidP="00EB436A">
      <w:r>
        <w:t>The Delegate’s recommendation that nominating a specific PK model or device would be overly restrictive is acknowledged by the company.</w:t>
      </w:r>
    </w:p>
    <w:p w:rsidR="00EB436A" w:rsidRDefault="00EB436A" w:rsidP="00EB436A">
      <w:r>
        <w:t xml:space="preserve">The PK models used in the company </w:t>
      </w:r>
      <w:r w:rsidR="00414558">
        <w:t>S</w:t>
      </w:r>
      <w:r>
        <w:t xml:space="preserve">tudy USA‐103 utilised the </w:t>
      </w:r>
      <w:r w:rsidR="001B6C6C">
        <w:t xml:space="preserve">model by </w:t>
      </w:r>
      <w:r>
        <w:t xml:space="preserve">Glass </w:t>
      </w:r>
      <w:r w:rsidR="001B6C6C">
        <w:t>and colleagues</w:t>
      </w:r>
      <w:r w:rsidR="001B6C6C">
        <w:rPr>
          <w:rStyle w:val="FootnoteReference"/>
        </w:rPr>
        <w:footnoteReference w:id="46"/>
      </w:r>
      <w:r w:rsidR="001B6C6C">
        <w:t xml:space="preserve"> </w:t>
      </w:r>
      <w:r>
        <w:t xml:space="preserve">and Study USA‐220 utilised the </w:t>
      </w:r>
      <w:r w:rsidR="001B6C6C">
        <w:t>model by Kapila model and colleagues</w:t>
      </w:r>
      <w:r>
        <w:t>,</w:t>
      </w:r>
      <w:r w:rsidR="001B6C6C">
        <w:rPr>
          <w:rStyle w:val="FootnoteReference"/>
        </w:rPr>
        <w:footnoteReference w:id="47"/>
      </w:r>
      <w:r>
        <w:t xml:space="preserve"> with both studies considered to demonstrate satisfactory efficacy when reviewed by the TGA with the original application for registration. As note</w:t>
      </w:r>
      <w:r w:rsidR="001B6C6C">
        <w:t>d in the clinical overview and D</w:t>
      </w:r>
      <w:r>
        <w:t>elegate’s summary, the Egan PK models</w:t>
      </w:r>
      <w:r w:rsidR="001911FD">
        <w:rPr>
          <w:rStyle w:val="FootnoteReference"/>
        </w:rPr>
        <w:footnoteReference w:id="48"/>
      </w:r>
      <w:r>
        <w:t xml:space="preserve"> for remifentanil have also been reported to be similar to the Minto PK model</w:t>
      </w:r>
      <w:r w:rsidR="001911FD">
        <w:rPr>
          <w:rStyle w:val="FootnoteReference"/>
        </w:rPr>
        <w:footnoteReference w:id="49"/>
      </w:r>
      <w:r>
        <w:t xml:space="preserve"> for delivery of remifentanil TCI.</w:t>
      </w:r>
    </w:p>
    <w:p w:rsidR="00181C0A" w:rsidRDefault="00EB436A" w:rsidP="00EB436A">
      <w:r>
        <w:lastRenderedPageBreak/>
        <w:t>However, while the available information does suggest that other PK models would be suitable for remifentanil TCI, the Minto model is currently the most widely used PK model for delivery of remifentanil via TCI. This is supported by the fact that:</w:t>
      </w:r>
    </w:p>
    <w:p w:rsidR="00EB436A" w:rsidRDefault="00AA0BC5" w:rsidP="004F27D1">
      <w:pPr>
        <w:numPr>
          <w:ilvl w:val="0"/>
          <w:numId w:val="8"/>
        </w:numPr>
      </w:pPr>
      <w:r>
        <w:t>A</w:t>
      </w:r>
      <w:r w:rsidRPr="00AA0BC5">
        <w:t>ll available TCI devices, on the Australian market and approved by the TGA, incorporate the Minto PK model in available validated software</w:t>
      </w:r>
      <w:r>
        <w:t>.</w:t>
      </w:r>
    </w:p>
    <w:p w:rsidR="00AA0BC5" w:rsidRDefault="00AA0BC5" w:rsidP="004F27D1">
      <w:pPr>
        <w:numPr>
          <w:ilvl w:val="0"/>
          <w:numId w:val="8"/>
        </w:numPr>
      </w:pPr>
      <w:r>
        <w:t>The m</w:t>
      </w:r>
      <w:r w:rsidRPr="00AA0BC5">
        <w:t>ajority of published literature (249/344 papers) used the Minto model in remifentanil TCI</w:t>
      </w:r>
      <w:r>
        <w:t>.</w:t>
      </w:r>
    </w:p>
    <w:p w:rsidR="00AA0BC5" w:rsidRDefault="00AA0BC5" w:rsidP="00EB436A">
      <w:r w:rsidRPr="00AA0BC5">
        <w:t xml:space="preserve">The </w:t>
      </w:r>
      <w:r>
        <w:t>D</w:t>
      </w:r>
      <w:r w:rsidRPr="00AA0BC5">
        <w:t>elegate’s concerns that this PK model could be superseded with new PK models over time, as has occurred with PK models used for Propofol TCI delivery, are valid and have been taken into consideration and revised wording is proposed</w:t>
      </w:r>
      <w:r>
        <w:t>:</w:t>
      </w:r>
    </w:p>
    <w:p w:rsidR="00AA0BC5" w:rsidRPr="00CB5C42" w:rsidRDefault="00AA0BC5" w:rsidP="00AA0BC5">
      <w:pPr>
        <w:ind w:left="720"/>
        <w:rPr>
          <w:b/>
        </w:rPr>
      </w:pPr>
      <w:r w:rsidRPr="00CB5C42">
        <w:rPr>
          <w:b/>
        </w:rPr>
        <w:t>Administration by Target‐Controlled Infusion</w:t>
      </w:r>
    </w:p>
    <w:p w:rsidR="00AA0BC5" w:rsidRDefault="00AA0BC5" w:rsidP="008D632D">
      <w:pPr>
        <w:ind w:left="720"/>
      </w:pPr>
      <w:r>
        <w:t xml:space="preserve">Ultiva may also be given by target‐controlled infusion (TCI) with an approved infusion device incorporating </w:t>
      </w:r>
      <w:r w:rsidRPr="008D632D">
        <w:rPr>
          <w:u w:val="single"/>
        </w:rPr>
        <w:t xml:space="preserve">a validated </w:t>
      </w:r>
      <w:r w:rsidR="00B131CA">
        <w:rPr>
          <w:u w:val="single"/>
        </w:rPr>
        <w:t>PK</w:t>
      </w:r>
      <w:r w:rsidRPr="008D632D">
        <w:rPr>
          <w:u w:val="single"/>
        </w:rPr>
        <w:t xml:space="preserve"> model (the</w:t>
      </w:r>
      <w:r>
        <w:t xml:space="preserve"> Minto </w:t>
      </w:r>
      <w:r w:rsidR="00B131CA">
        <w:t>PK</w:t>
      </w:r>
      <w:r w:rsidR="008D632D">
        <w:t xml:space="preserve"> </w:t>
      </w:r>
      <w:r>
        <w:t>model with covariates for age and lean body mass (LBM</w:t>
      </w:r>
      <w:r w:rsidRPr="008D632D">
        <w:rPr>
          <w:u w:val="single"/>
        </w:rPr>
        <w:t>) is an example of a model available with current devices)</w:t>
      </w:r>
      <w:r>
        <w:t xml:space="preserve"> </w:t>
      </w:r>
      <w:r w:rsidRPr="008D632D">
        <w:rPr>
          <w:strike/>
        </w:rPr>
        <w:t>(Anesthesiology 1997; 86: 10‐23).</w:t>
      </w:r>
      <w:r w:rsidR="008D632D" w:rsidRPr="008D632D">
        <w:rPr>
          <w:rStyle w:val="FootnoteReference"/>
          <w:strike/>
        </w:rPr>
        <w:footnoteReference w:id="50"/>
      </w:r>
    </w:p>
    <w:p w:rsidR="00AA0BC5" w:rsidRPr="008D632D" w:rsidRDefault="00AA0BC5" w:rsidP="00AA0BC5">
      <w:pPr>
        <w:ind w:left="720"/>
        <w:rPr>
          <w:u w:val="single"/>
        </w:rPr>
      </w:pPr>
      <w:r w:rsidRPr="008D632D">
        <w:rPr>
          <w:u w:val="single"/>
        </w:rPr>
        <w:t>TCI can be used for induction and maintenance of general and cardiac anaesthesia in adults. There are insufficient data to make recommendations for delivery of Ultiva by TCI for spontaneous ventilation anaesthesia, use in ICU sedation, monitored conscious sedation or in children.</w:t>
      </w:r>
    </w:p>
    <w:p w:rsidR="00AA0BC5" w:rsidRDefault="00AA0BC5" w:rsidP="00AA0BC5">
      <w:pPr>
        <w:ind w:left="720"/>
      </w:pPr>
      <w:r>
        <w:t xml:space="preserve">For TCI in adults the recommended dilution of Ultiva is </w:t>
      </w:r>
      <w:r w:rsidR="002D60D0">
        <w:t>20 to 50 µg</w:t>
      </w:r>
      <w:r w:rsidR="002D60D0" w:rsidRPr="00B57788">
        <w:t>/mL</w:t>
      </w:r>
      <w:r>
        <w:t>.</w:t>
      </w:r>
    </w:p>
    <w:p w:rsidR="001D14E1" w:rsidRDefault="001D14E1" w:rsidP="001D14E1">
      <w:pPr>
        <w:pStyle w:val="Heading5"/>
      </w:pPr>
      <w:r>
        <w:t>3. Exclusion of ASA III/IV patients from TCI remifentanil</w:t>
      </w:r>
    </w:p>
    <w:p w:rsidR="001D14E1" w:rsidRDefault="001D14E1" w:rsidP="001D14E1">
      <w:r>
        <w:t>It is acknowledged that there are no specific data to support the specified lower initial target of 1.5-4 ng/mL in ASA III/IV patients. However, the recommendation is consistent with the supported recommendation for reduction in initial dose in ASA III/IV patients via MCI and is</w:t>
      </w:r>
      <w:r w:rsidR="00CB5C42">
        <w:t xml:space="preserve"> </w:t>
      </w:r>
      <w:r>
        <w:t>approved in the UK SPC.</w:t>
      </w:r>
    </w:p>
    <w:p w:rsidR="001D14E1" w:rsidRDefault="001D14E1" w:rsidP="001D14E1">
      <w:r>
        <w:t>The company does not agree that use of TCI in this ASA III/IV patients would result in a different outcome to administration via MCI provided the same precautionary measures (initial lower dose and subsequent titration to effect) as specified for MCI are followed.</w:t>
      </w:r>
    </w:p>
    <w:p w:rsidR="00AA0BC5" w:rsidRDefault="001D14E1" w:rsidP="001D14E1">
      <w:r>
        <w:t>On this basis we propose to include the following dosing statement relating to TCI in ASA III/IV patients under general anaesthesia:</w:t>
      </w:r>
    </w:p>
    <w:p w:rsidR="00CB5C42" w:rsidRPr="00CB5C42" w:rsidRDefault="00CB5C42" w:rsidP="00CB5C42">
      <w:pPr>
        <w:ind w:firstLine="360"/>
        <w:rPr>
          <w:b/>
        </w:rPr>
      </w:pPr>
      <w:r w:rsidRPr="00CB5C42">
        <w:rPr>
          <w:b/>
        </w:rPr>
        <w:t>3.6 ASA III/IV patients</w:t>
      </w:r>
    </w:p>
    <w:p w:rsidR="00CB5C42" w:rsidRDefault="00CB5C42" w:rsidP="004F27D1">
      <w:pPr>
        <w:numPr>
          <w:ilvl w:val="0"/>
          <w:numId w:val="9"/>
        </w:numPr>
      </w:pPr>
      <w:r w:rsidRPr="00CB5C42">
        <w:rPr>
          <w:b/>
        </w:rPr>
        <w:t>General anaesthesia:</w:t>
      </w:r>
      <w:r>
        <w:t xml:space="preserve"> As the haemodynamic effects of potent opioids can be expected to be more pronounced in ASA III/IV patients, caution should be exercised in the administration of Ultiva in this population.</w:t>
      </w:r>
    </w:p>
    <w:p w:rsidR="00CB5C42" w:rsidRDefault="00CB5C42" w:rsidP="00CB5C42">
      <w:pPr>
        <w:ind w:left="720"/>
      </w:pPr>
      <w:r w:rsidRPr="00CB5C42">
        <w:rPr>
          <w:u w:val="single"/>
        </w:rPr>
        <w:t>Manually Controlled Infusion:</w:t>
      </w:r>
      <w:r>
        <w:t xml:space="preserve"> Initial dosage reduction and subsequent titration to effect is therefore recommended.</w:t>
      </w:r>
    </w:p>
    <w:p w:rsidR="00CB5C42" w:rsidRDefault="00CB5C42" w:rsidP="00CB5C42">
      <w:pPr>
        <w:ind w:left="720"/>
      </w:pPr>
      <w:r w:rsidRPr="00CB5C42">
        <w:rPr>
          <w:u w:val="single"/>
        </w:rPr>
        <w:lastRenderedPageBreak/>
        <w:t>Target‐Controlled Infusion:</w:t>
      </w:r>
      <w:r>
        <w:t xml:space="preserve"> a lower initial target </w:t>
      </w:r>
      <w:r w:rsidRPr="00CB5C42">
        <w:rPr>
          <w:strike/>
        </w:rPr>
        <w:t>of 1.5 to 4 ng/mL</w:t>
      </w:r>
      <w:r>
        <w:t xml:space="preserve"> should be used </w:t>
      </w:r>
      <w:r w:rsidRPr="00CB5C42">
        <w:rPr>
          <w:strike/>
        </w:rPr>
        <w:t>in ASA III or IV patients</w:t>
      </w:r>
      <w:r>
        <w:t xml:space="preserve"> and subsequent</w:t>
      </w:r>
      <w:r w:rsidRPr="00CB5C42">
        <w:rPr>
          <w:strike/>
        </w:rPr>
        <w:t>ly</w:t>
      </w:r>
      <w:r>
        <w:t xml:space="preserve"> titrat</w:t>
      </w:r>
      <w:r w:rsidRPr="00CB5C42">
        <w:rPr>
          <w:strike/>
        </w:rPr>
        <w:t>ed</w:t>
      </w:r>
      <w:r>
        <w:t xml:space="preserve">ion to </w:t>
      </w:r>
      <w:r w:rsidRPr="00CB5C42">
        <w:rPr>
          <w:strike/>
        </w:rPr>
        <w:t xml:space="preserve">response </w:t>
      </w:r>
      <w:r>
        <w:t>effect is recommended</w:t>
      </w:r>
    </w:p>
    <w:p w:rsidR="00CB5C42" w:rsidRDefault="00CB5C42" w:rsidP="004F27D1">
      <w:pPr>
        <w:numPr>
          <w:ilvl w:val="0"/>
          <w:numId w:val="9"/>
        </w:numPr>
      </w:pPr>
      <w:r w:rsidRPr="00CB5C42">
        <w:rPr>
          <w:b/>
        </w:rPr>
        <w:t>Cardiac anaesthesia:</w:t>
      </w:r>
      <w:r>
        <w:t xml:space="preserve"> No initial dose reduction is required (see Cardiac Anaesthesia –</w:t>
      </w:r>
      <w:r w:rsidR="00E43EA1">
        <w:t xml:space="preserve"> </w:t>
      </w:r>
      <w:r>
        <w:t>Dosing Guidelines for Cardiac Anaesthesia).</w:t>
      </w:r>
    </w:p>
    <w:p w:rsidR="001D14E1" w:rsidRDefault="00CB5C42" w:rsidP="004F27D1">
      <w:pPr>
        <w:numPr>
          <w:ilvl w:val="0"/>
          <w:numId w:val="9"/>
        </w:numPr>
      </w:pPr>
      <w:r w:rsidRPr="00CB5C42">
        <w:rPr>
          <w:b/>
        </w:rPr>
        <w:t>Intensive Care:</w:t>
      </w:r>
      <w:r>
        <w:t xml:space="preserve"> No initial dose reduction is required (see Use in Intensive Care).</w:t>
      </w:r>
    </w:p>
    <w:p w:rsidR="00E43EA1" w:rsidRDefault="00E43EA1" w:rsidP="00E43EA1">
      <w:pPr>
        <w:pStyle w:val="Heading5"/>
      </w:pPr>
      <w:r>
        <w:t>4. Safety Summary</w:t>
      </w:r>
    </w:p>
    <w:p w:rsidR="00E43EA1" w:rsidRDefault="00E43EA1" w:rsidP="00E43EA1">
      <w:r>
        <w:t xml:space="preserve">The premise for this application, to include guidance for use via TCI, as stated in the </w:t>
      </w:r>
      <w:r w:rsidR="00276B61" w:rsidRPr="00276B61">
        <w:rPr>
          <w:i/>
        </w:rPr>
        <w:t>C</w:t>
      </w:r>
      <w:r w:rsidRPr="00276B61">
        <w:rPr>
          <w:i/>
        </w:rPr>
        <w:t xml:space="preserve">linical </w:t>
      </w:r>
      <w:r w:rsidR="00276B61" w:rsidRPr="00276B61">
        <w:rPr>
          <w:i/>
        </w:rPr>
        <w:t>O</w:t>
      </w:r>
      <w:r w:rsidRPr="00276B61">
        <w:rPr>
          <w:i/>
        </w:rPr>
        <w:t>verview</w:t>
      </w:r>
      <w:r>
        <w:t xml:space="preserve"> and in the </w:t>
      </w:r>
      <w:r w:rsidR="00276B61">
        <w:t>D</w:t>
      </w:r>
      <w:r>
        <w:t>elegate’s summary</w:t>
      </w:r>
      <w:r w:rsidR="00276B61">
        <w:t>,</w:t>
      </w:r>
      <w:r>
        <w:t xml:space="preserve"> is that no new </w:t>
      </w:r>
      <w:r w:rsidR="008209A4">
        <w:t>AEs</w:t>
      </w:r>
      <w:r>
        <w:t xml:space="preserve"> would be anticipated as this change concerns a method of administration rather than a change in remifentanil dose or route of administration.</w:t>
      </w:r>
    </w:p>
    <w:p w:rsidR="00E43EA1" w:rsidRDefault="00E43EA1" w:rsidP="00E43EA1">
      <w:r>
        <w:t>Remifentanil was first approved on 17 May 1996 in Germany. It has been approved in 81</w:t>
      </w:r>
      <w:r w:rsidR="00CD73FD">
        <w:t xml:space="preserve"> </w:t>
      </w:r>
      <w:r>
        <w:t>countries and is currently marketed in 68 countries.</w:t>
      </w:r>
    </w:p>
    <w:p w:rsidR="00E43EA1" w:rsidRDefault="00E43EA1" w:rsidP="00E43EA1">
      <w:r>
        <w:t xml:space="preserve">A review of the data available in </w:t>
      </w:r>
      <w:r w:rsidRPr="00297403">
        <w:t>GlaxoSmithKline</w:t>
      </w:r>
      <w:r>
        <w:t>’s global safety database was performed so as to identify adverse events associated with the TCI route of administration. Very few cases were identified, where it was specified that remifentanil hydrochl</w:t>
      </w:r>
      <w:r w:rsidR="0079021C">
        <w:t>oride was given by TCI. The adverse drug reactions</w:t>
      </w:r>
      <w:r>
        <w:t xml:space="preserve"> reported were mostly consistent with the known safety profile of remifentanil.</w:t>
      </w:r>
    </w:p>
    <w:p w:rsidR="00E43EA1" w:rsidRDefault="00CD73FD" w:rsidP="00E43EA1">
      <w:r>
        <w:t xml:space="preserve">The safety profile is well </w:t>
      </w:r>
      <w:r w:rsidR="00E43EA1">
        <w:t>defined and suppo</w:t>
      </w:r>
      <w:r>
        <w:t xml:space="preserve">rted by over 15.5 years of post </w:t>
      </w:r>
      <w:r w:rsidR="00E43EA1">
        <w:t>marketing experience. The approved labelling states that Ultiva should be administered only in a setting fully equipped for the monitoring and support of respiratory and cardiovascular function and by persons trained in the use of anaesthetic drugs. The users of Ultiva should also be trained in the recognition and management of the expected adverse events of potent opioids.</w:t>
      </w:r>
    </w:p>
    <w:p w:rsidR="00E43EA1" w:rsidRDefault="00E43EA1" w:rsidP="00E43EA1">
      <w:r w:rsidRPr="00297403">
        <w:t>GlaxoSmithKline</w:t>
      </w:r>
      <w:r>
        <w:t xml:space="preserve"> will engage in routine </w:t>
      </w:r>
      <w:r w:rsidR="00414558">
        <w:t>p</w:t>
      </w:r>
      <w:r>
        <w:t>harmacovigilance activities as post marketing surveillance, routine signal detection, periodic safety update reports and literature reviews. No additional risk minimisation measures are considered necessary beyond the routine pharmacovigilance activities and information</w:t>
      </w:r>
      <w:r w:rsidR="002C22C9">
        <w:t xml:space="preserve"> i</w:t>
      </w:r>
      <w:r w:rsidR="00414558">
        <w:t>n the product labelling and PI l</w:t>
      </w:r>
      <w:r w:rsidR="002C22C9">
        <w:t>eaflet.</w:t>
      </w:r>
    </w:p>
    <w:p w:rsidR="008E7846" w:rsidRDefault="008E7846" w:rsidP="008E7846">
      <w:pPr>
        <w:pStyle w:val="Heading4"/>
      </w:pPr>
      <w:r>
        <w:t>Advisory Committee Considerations</w:t>
      </w:r>
    </w:p>
    <w:p w:rsidR="00B60F4C" w:rsidRDefault="00B60F4C" w:rsidP="00B60F4C">
      <w:pPr>
        <w:spacing w:after="240"/>
        <w:rPr>
          <w:rFonts w:cs="Calibri"/>
          <w:color w:val="000000"/>
        </w:rPr>
      </w:pPr>
      <w:r w:rsidRPr="00B57C67">
        <w:rPr>
          <w:rFonts w:cs="Calibri"/>
          <w:color w:val="000000"/>
        </w:rPr>
        <w:t xml:space="preserve">The </w:t>
      </w:r>
      <w:r w:rsidRPr="001C5DFC">
        <w:rPr>
          <w:bCs/>
        </w:rPr>
        <w:t>AC</w:t>
      </w:r>
      <w:r w:rsidR="00CD1367">
        <w:rPr>
          <w:bCs/>
        </w:rPr>
        <w:t>PM</w:t>
      </w:r>
      <w:r w:rsidRPr="00B57C67">
        <w:rPr>
          <w:rFonts w:cs="Calibri"/>
          <w:color w:val="000000"/>
        </w:rPr>
        <w:t xml:space="preserve">, taking into account the submitted evidence of efficacy, safety and quality, considered this product to have an overall </w:t>
      </w:r>
      <w:r w:rsidR="00CD1367" w:rsidRPr="00236963">
        <w:rPr>
          <w:rFonts w:cs="Calibri"/>
          <w:color w:val="000000"/>
        </w:rPr>
        <w:t>positive benefit-</w:t>
      </w:r>
      <w:r w:rsidRPr="00236963">
        <w:rPr>
          <w:rFonts w:cs="Calibri"/>
          <w:color w:val="000000"/>
        </w:rPr>
        <w:t>risk profile</w:t>
      </w:r>
      <w:r w:rsidRPr="00B57C67">
        <w:rPr>
          <w:rFonts w:cs="Calibri"/>
          <w:color w:val="000000"/>
        </w:rPr>
        <w:t xml:space="preserve"> for the currently approved indication for this new mode of administration.</w:t>
      </w:r>
    </w:p>
    <w:p w:rsidR="00B60F4C" w:rsidRPr="00B60F4C" w:rsidRDefault="00B60F4C" w:rsidP="00B60F4C">
      <w:pPr>
        <w:spacing w:after="240"/>
        <w:rPr>
          <w:rFonts w:cs="Calibri"/>
          <w:color w:val="000000"/>
        </w:rPr>
      </w:pPr>
      <w:r w:rsidRPr="00B57C67">
        <w:rPr>
          <w:bCs/>
        </w:rPr>
        <w:t xml:space="preserve">In making this recommendation, the ACPM agreed with the delegate that any model or software recommended is likely to be overly restrictive and may quickly become obsolete with future developments. Thus approval of a specific </w:t>
      </w:r>
      <w:r w:rsidR="00B131CA">
        <w:rPr>
          <w:bCs/>
        </w:rPr>
        <w:t>PK</w:t>
      </w:r>
      <w:r w:rsidRPr="00B57C67">
        <w:rPr>
          <w:bCs/>
        </w:rPr>
        <w:t xml:space="preserve"> model to be used with devices to delive</w:t>
      </w:r>
      <w:r w:rsidR="00782288">
        <w:rPr>
          <w:bCs/>
        </w:rPr>
        <w:t>r this product would be counter</w:t>
      </w:r>
      <w:r w:rsidRPr="00B57C67">
        <w:rPr>
          <w:bCs/>
        </w:rPr>
        <w:t>productive.</w:t>
      </w:r>
    </w:p>
    <w:p w:rsidR="00B60F4C" w:rsidRPr="00B57C67" w:rsidRDefault="00B60F4C" w:rsidP="00B60F4C">
      <w:pPr>
        <w:shd w:val="clear" w:color="auto" w:fill="FFFFFF"/>
        <w:spacing w:after="240"/>
        <w:rPr>
          <w:bCs/>
        </w:rPr>
      </w:pPr>
      <w:r w:rsidRPr="00B57C67">
        <w:rPr>
          <w:bCs/>
        </w:rPr>
        <w:t>The ACPM agreed with the delegate to the proposed amendme</w:t>
      </w:r>
      <w:r>
        <w:rPr>
          <w:bCs/>
        </w:rPr>
        <w:t>nts to the PI</w:t>
      </w:r>
      <w:r w:rsidRPr="00B57C67">
        <w:rPr>
          <w:bCs/>
        </w:rPr>
        <w:t xml:space="preserve"> and CMI and specifically advised on inclusion of the following;</w:t>
      </w:r>
    </w:p>
    <w:p w:rsidR="00B60F4C" w:rsidRPr="00B57C67" w:rsidRDefault="00B60F4C" w:rsidP="004F27D1">
      <w:pPr>
        <w:numPr>
          <w:ilvl w:val="0"/>
          <w:numId w:val="6"/>
        </w:numPr>
        <w:rPr>
          <w:lang w:val="en-GB"/>
        </w:rPr>
      </w:pPr>
      <w:r w:rsidRPr="00B57C67">
        <w:rPr>
          <w:lang w:val="en-GB"/>
        </w:rPr>
        <w:t xml:space="preserve">Include in the PI information regarding the use of TCI for delivery of this product during induction and/or maintenance of general anaesthesia during surgical procedures. </w:t>
      </w:r>
    </w:p>
    <w:p w:rsidR="00B60F4C" w:rsidRPr="00B57C67" w:rsidRDefault="00B60F4C" w:rsidP="004F27D1">
      <w:pPr>
        <w:numPr>
          <w:ilvl w:val="0"/>
          <w:numId w:val="6"/>
        </w:numPr>
        <w:rPr>
          <w:lang w:val="en-GB"/>
        </w:rPr>
      </w:pPr>
      <w:r w:rsidRPr="00B57C67">
        <w:rPr>
          <w:lang w:val="en-GB"/>
        </w:rPr>
        <w:t>That the TCI mode of administration has not been adequately assessed in ASA III/IV patients and include a statement that it is not recommended for these patients, including for cardiac surgery patients.</w:t>
      </w:r>
    </w:p>
    <w:p w:rsidR="00B60F4C" w:rsidRPr="00B57C67" w:rsidRDefault="00B60F4C" w:rsidP="00B60F4C">
      <w:pPr>
        <w:shd w:val="clear" w:color="auto" w:fill="FFFFFF"/>
        <w:spacing w:after="240"/>
        <w:rPr>
          <w:bCs/>
          <w:highlight w:val="yellow"/>
        </w:rPr>
      </w:pPr>
      <w:r w:rsidRPr="00B57C67">
        <w:rPr>
          <w:rFonts w:cs="Calibri"/>
          <w:color w:val="000000"/>
        </w:rPr>
        <w:lastRenderedPageBreak/>
        <w:t>T</w:t>
      </w:r>
      <w:r w:rsidRPr="00B57C67">
        <w:rPr>
          <w:bCs/>
        </w:rPr>
        <w:t xml:space="preserve">he ACPM agreed with the delegate on the proposed conditions of registration and particularly that the sponsor should be encouraged to increase prescriber education on the interpretation of </w:t>
      </w:r>
      <w:r w:rsidR="00B131CA">
        <w:rPr>
          <w:bCs/>
        </w:rPr>
        <w:t>PK</w:t>
      </w:r>
      <w:r w:rsidRPr="00B57C67">
        <w:rPr>
          <w:bCs/>
        </w:rPr>
        <w:t xml:space="preserve"> models for administration of anaesthetics.</w:t>
      </w:r>
    </w:p>
    <w:p w:rsidR="00B60F4C" w:rsidRPr="00A322B3" w:rsidRDefault="00B60F4C" w:rsidP="00B60F4C">
      <w:r w:rsidRPr="00B57C67">
        <w:rPr>
          <w:bCs/>
        </w:rPr>
        <w:t xml:space="preserve">The ACPM advised that the implementation by the sponsor of the recommendations outlined above to the satisfaction of the TGA, in addition to the evidence of efficacy and safety provided would support the </w:t>
      </w:r>
      <w:r w:rsidR="008A2D7C">
        <w:rPr>
          <w:bCs/>
        </w:rPr>
        <w:t xml:space="preserve">safe and effective use of these </w:t>
      </w:r>
      <w:r w:rsidRPr="00B57C67">
        <w:rPr>
          <w:bCs/>
        </w:rPr>
        <w:t>products</w:t>
      </w:r>
      <w:r>
        <w:rPr>
          <w:bCs/>
        </w:rPr>
        <w:t>.</w:t>
      </w:r>
    </w:p>
    <w:p w:rsidR="008E7846" w:rsidRPr="002E238E" w:rsidRDefault="008E7846" w:rsidP="008E7846">
      <w:pPr>
        <w:pStyle w:val="Heading3"/>
      </w:pPr>
      <w:bookmarkStart w:id="224" w:name="_Toc247691532"/>
      <w:bookmarkStart w:id="225" w:name="_Toc314842516"/>
      <w:bookmarkStart w:id="226" w:name="_Toc347231117"/>
      <w:bookmarkEnd w:id="201"/>
      <w:bookmarkEnd w:id="221"/>
      <w:bookmarkEnd w:id="222"/>
      <w:r>
        <w:t>Outcome</w:t>
      </w:r>
      <w:bookmarkEnd w:id="224"/>
      <w:bookmarkEnd w:id="225"/>
      <w:bookmarkEnd w:id="226"/>
    </w:p>
    <w:p w:rsidR="008E7846" w:rsidRDefault="008E7846" w:rsidP="008E7846">
      <w:pPr>
        <w:keepNext/>
        <w:keepLines/>
        <w:widowControl w:val="0"/>
      </w:pPr>
      <w:r>
        <w:t>Based on a review of quality, safety and efficacy, TGA approved:</w:t>
      </w:r>
    </w:p>
    <w:p w:rsidR="00213FA2" w:rsidRPr="00213FA2" w:rsidRDefault="00213FA2" w:rsidP="004F27D1">
      <w:pPr>
        <w:keepNext/>
        <w:keepLines/>
        <w:widowControl w:val="0"/>
        <w:numPr>
          <w:ilvl w:val="0"/>
          <w:numId w:val="14"/>
        </w:numPr>
        <w:rPr>
          <w:i/>
        </w:rPr>
      </w:pPr>
      <w:r w:rsidRPr="00213FA2">
        <w:rPr>
          <w:i/>
        </w:rPr>
        <w:t xml:space="preserve">the registration of </w:t>
      </w:r>
      <w:r>
        <w:rPr>
          <w:i/>
        </w:rPr>
        <w:t>T</w:t>
      </w:r>
      <w:r w:rsidRPr="00213FA2">
        <w:rPr>
          <w:i/>
        </w:rPr>
        <w:t xml:space="preserve">arget </w:t>
      </w:r>
      <w:r>
        <w:rPr>
          <w:i/>
        </w:rPr>
        <w:t>C</w:t>
      </w:r>
      <w:r w:rsidRPr="00213FA2">
        <w:rPr>
          <w:i/>
        </w:rPr>
        <w:t xml:space="preserve">ontrolled </w:t>
      </w:r>
      <w:r>
        <w:rPr>
          <w:i/>
        </w:rPr>
        <w:t>I</w:t>
      </w:r>
      <w:r w:rsidRPr="00213FA2">
        <w:rPr>
          <w:i/>
        </w:rPr>
        <w:t>nfusion as a new mode of administration for Ultiva (remifentanil); and</w:t>
      </w:r>
    </w:p>
    <w:p w:rsidR="008E7846" w:rsidRPr="00787A4A" w:rsidRDefault="00213FA2" w:rsidP="004F27D1">
      <w:pPr>
        <w:keepNext/>
        <w:keepLines/>
        <w:widowControl w:val="0"/>
        <w:numPr>
          <w:ilvl w:val="0"/>
          <w:numId w:val="14"/>
        </w:numPr>
        <w:rPr>
          <w:i/>
        </w:rPr>
      </w:pPr>
      <w:r w:rsidRPr="00213FA2">
        <w:rPr>
          <w:i/>
        </w:rPr>
        <w:t xml:space="preserve">the amendments of </w:t>
      </w:r>
      <w:r w:rsidR="00261A88">
        <w:rPr>
          <w:i/>
        </w:rPr>
        <w:t xml:space="preserve">the </w:t>
      </w:r>
      <w:r w:rsidR="00D875B1">
        <w:rPr>
          <w:i/>
        </w:rPr>
        <w:t>Product I</w:t>
      </w:r>
      <w:r w:rsidRPr="00213FA2">
        <w:rPr>
          <w:i/>
        </w:rPr>
        <w:t xml:space="preserve">nformation of Ultiva (remifentanil) to include instructions for administration by </w:t>
      </w:r>
      <w:r>
        <w:rPr>
          <w:i/>
        </w:rPr>
        <w:t>T</w:t>
      </w:r>
      <w:r w:rsidRPr="00213FA2">
        <w:rPr>
          <w:i/>
        </w:rPr>
        <w:t xml:space="preserve">arget </w:t>
      </w:r>
      <w:r>
        <w:rPr>
          <w:i/>
        </w:rPr>
        <w:t>C</w:t>
      </w:r>
      <w:r w:rsidRPr="00213FA2">
        <w:rPr>
          <w:i/>
        </w:rPr>
        <w:t xml:space="preserve">ontrolled </w:t>
      </w:r>
      <w:r>
        <w:rPr>
          <w:i/>
        </w:rPr>
        <w:t>I</w:t>
      </w:r>
      <w:r w:rsidRPr="00213FA2">
        <w:rPr>
          <w:i/>
        </w:rPr>
        <w:t>nfusion and other mi</w:t>
      </w:r>
      <w:r>
        <w:rPr>
          <w:i/>
        </w:rPr>
        <w:t>nor changes</w:t>
      </w:r>
      <w:r w:rsidR="00655C38">
        <w:rPr>
          <w:i/>
        </w:rPr>
        <w:t>.</w:t>
      </w:r>
    </w:p>
    <w:p w:rsidR="002B37CA" w:rsidRPr="00EE359A" w:rsidRDefault="002B37CA" w:rsidP="002B37CA">
      <w:pPr>
        <w:keepNext/>
        <w:keepLines/>
        <w:widowControl w:val="0"/>
        <w:rPr>
          <w:b/>
        </w:rPr>
      </w:pPr>
      <w:r w:rsidRPr="00EE359A">
        <w:rPr>
          <w:b/>
        </w:rPr>
        <w:t>Specific conditions of registration applying to these therapeutic goods:</w:t>
      </w:r>
    </w:p>
    <w:p w:rsidR="002B37CA" w:rsidRDefault="002B37CA" w:rsidP="004F27D1">
      <w:pPr>
        <w:keepNext/>
        <w:keepLines/>
        <w:widowControl w:val="0"/>
        <w:numPr>
          <w:ilvl w:val="0"/>
          <w:numId w:val="5"/>
        </w:numPr>
        <w:ind w:left="426" w:hanging="426"/>
      </w:pPr>
      <w:r w:rsidRPr="002B37CA">
        <w:t xml:space="preserve">Details of the distribution of the drug including quantities and forms of products distributed and related batch numbers should be supplied on request while the drug remains on the </w:t>
      </w:r>
      <w:r w:rsidRPr="00D4327C">
        <w:t>Australian Register of Therapeutic Goods</w:t>
      </w:r>
      <w:r>
        <w:t>.</w:t>
      </w:r>
    </w:p>
    <w:p w:rsidR="002B37CA" w:rsidRPr="003022A6" w:rsidRDefault="002B37CA" w:rsidP="008E7846">
      <w:pPr>
        <w:keepNext/>
        <w:keepLines/>
        <w:widowControl w:val="0"/>
      </w:pPr>
    </w:p>
    <w:p w:rsidR="008E7846" w:rsidRDefault="008E7846" w:rsidP="008E7846">
      <w:pPr>
        <w:pStyle w:val="Heading2"/>
      </w:pPr>
      <w:bookmarkStart w:id="227" w:name="_Toc247691533"/>
      <w:bookmarkStart w:id="228" w:name="_Toc314842517"/>
      <w:bookmarkStart w:id="229" w:name="_Toc347231118"/>
      <w:r>
        <w:t>Attachment 1.</w:t>
      </w:r>
      <w:r>
        <w:tab/>
        <w:t xml:space="preserve">Product </w:t>
      </w:r>
      <w:r w:rsidR="00AA0ED0">
        <w:t>I</w:t>
      </w:r>
      <w:r>
        <w:t>nformation</w:t>
      </w:r>
      <w:bookmarkEnd w:id="227"/>
      <w:bookmarkEnd w:id="228"/>
      <w:bookmarkEnd w:id="229"/>
    </w:p>
    <w:p w:rsidR="003D1E62" w:rsidRPr="00A12C42" w:rsidRDefault="008E7846" w:rsidP="00A12C42">
      <w:pPr>
        <w:autoSpaceDE w:val="0"/>
        <w:autoSpaceDN w:val="0"/>
        <w:adjustRightInd w:val="0"/>
        <w:spacing w:after="0"/>
        <w:rPr>
          <w:color w:val="000000"/>
          <w:lang w:eastAsia="en-AU"/>
        </w:rPr>
      </w:pPr>
      <w:r w:rsidRPr="0037352E">
        <w:t>The following Product Information was approved at the time this AusPAR was published. For the current Product Information please refer to the TGA website at</w:t>
      </w:r>
      <w:r w:rsidR="008F6943">
        <w:t xml:space="preserve"> &lt;</w:t>
      </w:r>
      <w:r w:rsidR="00722B57" w:rsidRPr="00722B57">
        <w:rPr>
          <w:rStyle w:val="Hyperlink"/>
        </w:rPr>
        <w:t>http://www.tga.gov.au/hp/information-medicines-pi.htm</w:t>
      </w:r>
      <w:hyperlink w:history="1"/>
      <w:r w:rsidR="008F6943">
        <w:rPr>
          <w:color w:val="000000"/>
          <w:lang w:eastAsia="en-AU"/>
        </w:rPr>
        <w:t>&gt;.</w:t>
      </w:r>
    </w:p>
    <w:p w:rsidR="003D1E62" w:rsidRPr="001D043B" w:rsidRDefault="003D1E62" w:rsidP="00973C1B">
      <w:pPr>
        <w:pStyle w:val="Heading4"/>
        <w:sectPr w:rsidR="003D1E62" w:rsidRPr="001D043B" w:rsidSect="00B452CE">
          <w:headerReference w:type="even" r:id="rId26"/>
          <w:headerReference w:type="default" r:id="rId27"/>
          <w:footerReference w:type="default" r:id="rId28"/>
          <w:headerReference w:type="first" r:id="rId29"/>
          <w:footerReference w:type="first" r:id="rId30"/>
          <w:pgSz w:w="11906" w:h="16838" w:code="9"/>
          <w:pgMar w:top="834" w:right="1701" w:bottom="1191" w:left="1701" w:header="907" w:footer="216" w:gutter="0"/>
          <w:cols w:space="708"/>
          <w:docGrid w:linePitch="360"/>
        </w:sectPr>
      </w:pPr>
    </w:p>
    <w:p w:rsidR="00774E1D" w:rsidRPr="008A5E0B" w:rsidRDefault="00774E1D" w:rsidP="00973C1B"/>
    <w:sectPr w:rsidR="00774E1D" w:rsidRPr="008A5E0B" w:rsidSect="00E45619">
      <w:headerReference w:type="even" r:id="rId31"/>
      <w:headerReference w:type="default" r:id="rId32"/>
      <w:footerReference w:type="default" r:id="rId33"/>
      <w:headerReference w:type="first" r:id="rId34"/>
      <w:footerReference w:type="first" r:id="rId35"/>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A6C" w:rsidRDefault="00B50A6C" w:rsidP="00C40A36">
      <w:pPr>
        <w:spacing w:after="0"/>
      </w:pPr>
      <w:r>
        <w:separator/>
      </w:r>
    </w:p>
  </w:endnote>
  <w:endnote w:type="continuationSeparator" w:id="0">
    <w:p w:rsidR="00B50A6C" w:rsidRDefault="00B50A6C"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CB13CC" w:rsidRPr="00487162" w:rsidTr="0053625B">
      <w:trPr>
        <w:trHeight w:val="269"/>
      </w:trPr>
      <w:tc>
        <w:tcPr>
          <w:tcW w:w="7938" w:type="dxa"/>
          <w:tcMar>
            <w:top w:w="142" w:type="dxa"/>
            <w:bottom w:w="0" w:type="dxa"/>
          </w:tcMar>
        </w:tcPr>
        <w:p w:rsidR="00CB13CC" w:rsidRPr="00487162" w:rsidRDefault="00CB13CC" w:rsidP="00D744F1">
          <w:pPr>
            <w:pStyle w:val="Footer"/>
          </w:pPr>
          <w:r w:rsidRPr="00487162">
            <w:t xml:space="preserve">AusPAR </w:t>
          </w:r>
          <w:r>
            <w:t xml:space="preserve">Ultiva </w:t>
          </w:r>
          <w:r w:rsidRPr="00303B51">
            <w:t>GlaxoSmithKline Australia Pty Ltd</w:t>
          </w:r>
          <w:r w:rsidRPr="00487162">
            <w:t xml:space="preserve"> </w:t>
          </w:r>
          <w:r w:rsidRPr="00303B51">
            <w:t>PM-2011-00909-3-1</w:t>
          </w:r>
          <w:r>
            <w:br/>
            <w:t>Final 29 January 2013</w:t>
          </w:r>
        </w:p>
      </w:tc>
      <w:tc>
        <w:tcPr>
          <w:tcW w:w="923" w:type="dxa"/>
          <w:tcMar>
            <w:top w:w="142" w:type="dxa"/>
            <w:bottom w:w="0" w:type="dxa"/>
          </w:tcMar>
        </w:tcPr>
        <w:p w:rsidR="00CB13CC" w:rsidRPr="00487162" w:rsidRDefault="00CB13CC" w:rsidP="00D855D4">
          <w:pPr>
            <w:pStyle w:val="Footer"/>
            <w:jc w:val="right"/>
          </w:pPr>
          <w:r w:rsidRPr="00487162">
            <w:t xml:space="preserve">Page </w:t>
          </w:r>
          <w:r>
            <w:t>2</w:t>
          </w:r>
          <w:r w:rsidRPr="00487162">
            <w:t xml:space="preserve"> of </w:t>
          </w:r>
          <w:fldSimple w:instr=" NUMPAGES  \* Arabic ">
            <w:r w:rsidR="004F5A3C">
              <w:rPr>
                <w:noProof/>
              </w:rPr>
              <w:t>40</w:t>
            </w:r>
          </w:fldSimple>
        </w:p>
      </w:tc>
    </w:tr>
  </w:tbl>
  <w:p w:rsidR="00CB13CC" w:rsidRDefault="00CB13CC" w:rsidP="003D1E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3CC" w:rsidRDefault="00CB13CC" w:rsidP="00165389"/>
  <w:p w:rsidR="00CB13CC" w:rsidRDefault="00CB13C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4519"/>
      <w:gridCol w:w="4342"/>
    </w:tblGrid>
    <w:tr w:rsidR="00CB13CC" w:rsidRPr="00487162" w:rsidTr="00E26130">
      <w:trPr>
        <w:trHeight w:val="269"/>
      </w:trPr>
      <w:tc>
        <w:tcPr>
          <w:tcW w:w="4519" w:type="dxa"/>
          <w:tcMar>
            <w:top w:w="142" w:type="dxa"/>
            <w:bottom w:w="0" w:type="dxa"/>
          </w:tcMar>
        </w:tcPr>
        <w:p w:rsidR="00CB13CC" w:rsidRPr="00487162" w:rsidRDefault="00CB13CC" w:rsidP="00D744F1">
          <w:pPr>
            <w:pStyle w:val="Footer"/>
          </w:pPr>
          <w:r w:rsidRPr="00487162">
            <w:t>Au</w:t>
          </w:r>
          <w:r w:rsidRPr="003B4D60">
            <w:t xml:space="preserve">sPAR </w:t>
          </w:r>
          <w:r>
            <w:t xml:space="preserve">Ultiva </w:t>
          </w:r>
          <w:r w:rsidRPr="00303B51">
            <w:t>GlaxoSmithKline Australia Pty Ltd</w:t>
          </w:r>
          <w:r w:rsidRPr="00487162">
            <w:t xml:space="preserve"> </w:t>
          </w:r>
          <w:r w:rsidRPr="00303B51">
            <w:t>PM-2011-00909-3-1</w:t>
          </w:r>
          <w:r>
            <w:t xml:space="preserve"> Final 29 January 2013</w:t>
          </w:r>
        </w:p>
      </w:tc>
      <w:tc>
        <w:tcPr>
          <w:tcW w:w="4342" w:type="dxa"/>
          <w:tcMar>
            <w:top w:w="142" w:type="dxa"/>
            <w:bottom w:w="0" w:type="dxa"/>
          </w:tcMar>
        </w:tcPr>
        <w:p w:rsidR="00CB13CC" w:rsidRPr="00487162" w:rsidRDefault="00CB13CC" w:rsidP="00E45619">
          <w:pPr>
            <w:pStyle w:val="Footer"/>
            <w:jc w:val="right"/>
          </w:pPr>
          <w:r w:rsidRPr="00487162">
            <w:t xml:space="preserve">Page </w:t>
          </w:r>
          <w:fldSimple w:instr="PAGE">
            <w:r w:rsidR="004F5A3C">
              <w:rPr>
                <w:noProof/>
              </w:rPr>
              <w:t>4</w:t>
            </w:r>
          </w:fldSimple>
          <w:r w:rsidRPr="00487162">
            <w:t xml:space="preserve"> of </w:t>
          </w:r>
          <w:fldSimple w:instr=" NUMPAGES  \* Arabic ">
            <w:r w:rsidR="004F5A3C">
              <w:rPr>
                <w:noProof/>
              </w:rPr>
              <w:t>40</w:t>
            </w:r>
          </w:fldSimple>
        </w:p>
      </w:tc>
    </w:tr>
  </w:tbl>
  <w:p w:rsidR="00CB13CC" w:rsidRDefault="00CB13CC" w:rsidP="00E2613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CB13CC" w:rsidRPr="00487162" w:rsidTr="00E45619">
      <w:trPr>
        <w:trHeight w:val="269"/>
      </w:trPr>
      <w:tc>
        <w:tcPr>
          <w:tcW w:w="4519" w:type="dxa"/>
          <w:tcBorders>
            <w:top w:val="single" w:sz="4" w:space="0" w:color="auto"/>
          </w:tcBorders>
          <w:tcMar>
            <w:top w:w="142" w:type="dxa"/>
            <w:bottom w:w="0" w:type="dxa"/>
          </w:tcMar>
        </w:tcPr>
        <w:p w:rsidR="00CB13CC" w:rsidRPr="00487162" w:rsidRDefault="00CB13CC" w:rsidP="00FE1DEE">
          <w:pPr>
            <w:pStyle w:val="Footer"/>
          </w:pPr>
          <w:r w:rsidRPr="00487162">
            <w:t>Document title, Part #, Section # - Section title</w:t>
          </w:r>
        </w:p>
        <w:p w:rsidR="00CB13CC" w:rsidRPr="00487162" w:rsidRDefault="00CB13CC" w:rsidP="00FE1DEE">
          <w:pPr>
            <w:pStyle w:val="Footer"/>
          </w:pPr>
          <w:r w:rsidRPr="00487162">
            <w:t>V1.0 October 2010</w:t>
          </w:r>
        </w:p>
      </w:tc>
      <w:tc>
        <w:tcPr>
          <w:tcW w:w="4342" w:type="dxa"/>
          <w:tcBorders>
            <w:top w:val="single" w:sz="4" w:space="0" w:color="auto"/>
          </w:tcBorders>
          <w:tcMar>
            <w:top w:w="142" w:type="dxa"/>
            <w:bottom w:w="0" w:type="dxa"/>
          </w:tcMar>
        </w:tcPr>
        <w:p w:rsidR="00CB13CC" w:rsidRPr="00487162" w:rsidRDefault="00CB13CC"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CB13CC" w:rsidRDefault="00CB13C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3CC" w:rsidRDefault="00CB13CC">
    <w:pPr>
      <w:pStyle w:val="Footer"/>
      <w:jc w:val="right"/>
    </w:pPr>
  </w:p>
  <w:tbl>
    <w:tblPr>
      <w:tblW w:w="9175" w:type="dxa"/>
      <w:tblInd w:w="-284" w:type="dxa"/>
      <w:tblLayout w:type="fixed"/>
      <w:tblCellMar>
        <w:left w:w="0" w:type="dxa"/>
        <w:right w:w="0" w:type="dxa"/>
      </w:tblCellMar>
      <w:tblLook w:val="04A0"/>
    </w:tblPr>
    <w:tblGrid>
      <w:gridCol w:w="9175"/>
    </w:tblGrid>
    <w:tr w:rsidR="00CB13CC" w:rsidRPr="00487162" w:rsidTr="00E45619">
      <w:trPr>
        <w:trHeight w:hRule="exact" w:val="704"/>
      </w:trPr>
      <w:tc>
        <w:tcPr>
          <w:tcW w:w="9175" w:type="dxa"/>
        </w:tcPr>
        <w:p w:rsidR="00CB13CC" w:rsidRPr="00487162" w:rsidRDefault="00CB13CC" w:rsidP="008E7846">
          <w:pPr>
            <w:pStyle w:val="TGASignoff"/>
          </w:pPr>
          <w:r w:rsidRPr="00487162">
            <w:t>Therapeutic Goods Administration</w:t>
          </w:r>
        </w:p>
      </w:tc>
    </w:tr>
    <w:tr w:rsidR="00CB13CC" w:rsidRPr="00487162" w:rsidTr="00E45619">
      <w:trPr>
        <w:trHeight w:val="1221"/>
      </w:trPr>
      <w:tc>
        <w:tcPr>
          <w:tcW w:w="9175" w:type="dxa"/>
          <w:tcMar>
            <w:top w:w="28" w:type="dxa"/>
          </w:tcMar>
        </w:tcPr>
        <w:p w:rsidR="00CB13CC" w:rsidRPr="00487162" w:rsidRDefault="00CB13CC" w:rsidP="00E45619">
          <w:pPr>
            <w:pStyle w:val="Address"/>
          </w:pPr>
          <w:r w:rsidRPr="00487162">
            <w:t>PO Box 100 Woden ACT 2606 Australia</w:t>
          </w:r>
        </w:p>
        <w:p w:rsidR="00CB13CC" w:rsidRPr="00487162" w:rsidRDefault="00CB13CC" w:rsidP="00E45619">
          <w:pPr>
            <w:pStyle w:val="Address"/>
          </w:pPr>
          <w:r w:rsidRPr="00487162">
            <w:t>Email: info@tga.gov.au  Phone: 1800 020 653  Fax: 02 6232 8605</w:t>
          </w:r>
        </w:p>
        <w:p w:rsidR="00CB13CC" w:rsidRPr="00112F56" w:rsidRDefault="00CB13CC" w:rsidP="00E45619">
          <w:pPr>
            <w:pStyle w:val="Address"/>
            <w:spacing w:line="260" w:lineRule="atLeast"/>
            <w:rPr>
              <w:rStyle w:val="Hyperlink"/>
              <w:b/>
            </w:rPr>
          </w:pPr>
          <w:hyperlink r:id="rId1" w:history="1">
            <w:r w:rsidRPr="00112F56">
              <w:rPr>
                <w:rStyle w:val="Hyperlink"/>
                <w:b/>
              </w:rPr>
              <w:t>www.tga.gov.au</w:t>
            </w:r>
          </w:hyperlink>
        </w:p>
        <w:p w:rsidR="00CB13CC" w:rsidRPr="00487162" w:rsidRDefault="00CB13CC" w:rsidP="00141469">
          <w:pPr>
            <w:pStyle w:val="Reference"/>
            <w:jc w:val="center"/>
          </w:pPr>
        </w:p>
      </w:tc>
    </w:tr>
  </w:tbl>
  <w:p w:rsidR="00CB13CC" w:rsidRDefault="00CB13CC" w:rsidP="008E7846">
    <w:pPr>
      <w:pStyle w:val="Notes"/>
    </w:pPr>
  </w:p>
  <w:p w:rsidR="00CB13CC" w:rsidRPr="008E7846" w:rsidRDefault="00CB13CC" w:rsidP="008E784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CB13CC" w:rsidTr="0010601F">
      <w:trPr>
        <w:trHeight w:val="108"/>
      </w:trPr>
      <w:tc>
        <w:tcPr>
          <w:tcW w:w="8875" w:type="dxa"/>
          <w:gridSpan w:val="2"/>
          <w:tcBorders>
            <w:bottom w:val="single" w:sz="4" w:space="0" w:color="auto"/>
          </w:tcBorders>
          <w:tcMar>
            <w:right w:w="284" w:type="dxa"/>
          </w:tcMar>
        </w:tcPr>
        <w:p w:rsidR="00CB13CC" w:rsidRDefault="00CB13CC" w:rsidP="006E08B3">
          <w:pPr>
            <w:pStyle w:val="Heading3"/>
          </w:pPr>
          <w:r>
            <w:t>Copyright</w:t>
          </w:r>
        </w:p>
        <w:p w:rsidR="00CB13CC" w:rsidRDefault="00CB13CC" w:rsidP="006E08B3">
          <w:r>
            <w:rPr>
              <w:rFonts w:cs="Arial"/>
            </w:rPr>
            <w:t>©</w:t>
          </w:r>
          <w:r>
            <w:t xml:space="preserve"> Commonwealth of Australia [add year]</w:t>
          </w:r>
        </w:p>
        <w:p w:rsidR="00CB13CC" w:rsidRDefault="00CB13CC" w:rsidP="006E08B3"/>
        <w:p w:rsidR="00CB13CC" w:rsidRDefault="00CB13C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B13CC" w:rsidRDefault="00CB13CC" w:rsidP="006E08B3"/>
        <w:p w:rsidR="00CB13CC" w:rsidRDefault="00CB13CC" w:rsidP="006E08B3">
          <w:pPr>
            <w:pStyle w:val="Heading3"/>
          </w:pPr>
          <w:r>
            <w:t>Confidentiality</w:t>
          </w:r>
        </w:p>
        <w:p w:rsidR="00CB13CC" w:rsidRDefault="00CB13CC"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B13CC" w:rsidRDefault="00CB13CC" w:rsidP="006E08B3"/>
        <w:p w:rsidR="00CB13CC" w:rsidRDefault="00CB13CC" w:rsidP="006E08B3">
          <w:r>
            <w:t>For submission made by individuals, all personal details, other than your name, will be removed from your submission before it is published on the TGA’s Internet site.</w:t>
          </w:r>
        </w:p>
        <w:p w:rsidR="00CB13CC" w:rsidRDefault="00CB13CC" w:rsidP="006E08B3"/>
        <w:p w:rsidR="00CB13CC" w:rsidRDefault="00CB13CC" w:rsidP="006E08B3">
          <w:r>
            <w:t>In addition, a list of parties making submissions will be published. If you do not wish to be identified with your submission you must specifically request this in the space provided ib the submission coversheet.</w:t>
          </w:r>
        </w:p>
      </w:tc>
    </w:tr>
    <w:tr w:rsidR="00CB13CC" w:rsidTr="0010601F">
      <w:trPr>
        <w:trHeight w:val="417"/>
      </w:trPr>
      <w:tc>
        <w:tcPr>
          <w:tcW w:w="4519" w:type="dxa"/>
          <w:tcBorders>
            <w:top w:val="single" w:sz="4" w:space="0" w:color="auto"/>
          </w:tcBorders>
          <w:tcMar>
            <w:top w:w="142" w:type="dxa"/>
            <w:bottom w:w="0" w:type="dxa"/>
          </w:tcMar>
        </w:tcPr>
        <w:p w:rsidR="00CB13CC" w:rsidRDefault="00CB13CC" w:rsidP="006E08B3">
          <w:r>
            <w:t>Document title, Part #, Section # - Section title</w:t>
          </w:r>
        </w:p>
        <w:p w:rsidR="00CB13CC" w:rsidRDefault="00CB13CC" w:rsidP="006E08B3">
          <w:r>
            <w:t>V1.0 October 2010</w:t>
          </w:r>
        </w:p>
      </w:tc>
      <w:tc>
        <w:tcPr>
          <w:tcW w:w="4356" w:type="dxa"/>
          <w:tcBorders>
            <w:top w:val="single" w:sz="4" w:space="0" w:color="auto"/>
          </w:tcBorders>
          <w:tcMar>
            <w:top w:w="142" w:type="dxa"/>
            <w:bottom w:w="0" w:type="dxa"/>
          </w:tcMar>
        </w:tcPr>
        <w:p w:rsidR="00CB13CC" w:rsidRDefault="00CB13CC" w:rsidP="006E08B3">
          <w:pPr>
            <w:jc w:val="right"/>
          </w:pPr>
          <w:r>
            <w:t xml:space="preserve">Page </w:t>
          </w:r>
          <w:fldSimple w:instr=" PAGE   \* MERGEFORMAT ">
            <w:r>
              <w:rPr>
                <w:noProof/>
              </w:rPr>
              <w:t>1</w:t>
            </w:r>
          </w:fldSimple>
          <w:r>
            <w:t xml:space="preserve"> of </w:t>
          </w:r>
          <w:fldSimple w:instr=" NUMPAGES  \* Arabic ">
            <w:r>
              <w:rPr>
                <w:noProof/>
              </w:rPr>
              <w:t>1</w:t>
            </w:r>
          </w:fldSimple>
          <w:r>
            <w:t xml:space="preserve">  </w:t>
          </w:r>
        </w:p>
      </w:tc>
    </w:tr>
  </w:tbl>
  <w:p w:rsidR="00CB13CC" w:rsidRDefault="00CB13C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A6C" w:rsidRDefault="00B50A6C" w:rsidP="00C40A36">
      <w:pPr>
        <w:spacing w:after="0"/>
      </w:pPr>
      <w:r>
        <w:separator/>
      </w:r>
    </w:p>
  </w:footnote>
  <w:footnote w:type="continuationSeparator" w:id="0">
    <w:p w:rsidR="00B50A6C" w:rsidRDefault="00B50A6C" w:rsidP="00C40A36">
      <w:pPr>
        <w:spacing w:after="0"/>
      </w:pPr>
      <w:r>
        <w:continuationSeparator/>
      </w:r>
    </w:p>
  </w:footnote>
  <w:footnote w:id="1">
    <w:p w:rsidR="00CB13CC" w:rsidRDefault="00CB13CC">
      <w:pPr>
        <w:pStyle w:val="FootnoteText"/>
      </w:pPr>
      <w:r>
        <w:rPr>
          <w:rStyle w:val="FootnoteReference"/>
        </w:rPr>
        <w:footnoteRef/>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w:t>
      </w:r>
    </w:p>
  </w:footnote>
  <w:footnote w:id="2">
    <w:p w:rsidR="00CB13CC" w:rsidRDefault="00CB13CC">
      <w:pPr>
        <w:pStyle w:val="FootnoteText"/>
      </w:pPr>
      <w:r>
        <w:rPr>
          <w:rStyle w:val="FootnoteReference"/>
        </w:rPr>
        <w:footnoteRef/>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w:t>
      </w:r>
    </w:p>
  </w:footnote>
  <w:footnote w:id="3">
    <w:p w:rsidR="00CB13CC" w:rsidRDefault="00CB13CC">
      <w:pPr>
        <w:pStyle w:val="FootnoteText"/>
      </w:pPr>
      <w:r>
        <w:rPr>
          <w:rStyle w:val="FootnoteReference"/>
        </w:rPr>
        <w:footnoteRef/>
      </w:r>
      <w:r>
        <w:t xml:space="preserve"> Therapeutic Goods Administration</w:t>
      </w:r>
      <w:r w:rsidRPr="00322BA0">
        <w:t>, “</w:t>
      </w:r>
      <w:r w:rsidRPr="00E74373">
        <w:t>Literature-based submissions: Points to consider</w:t>
      </w:r>
      <w:r w:rsidRPr="00322BA0">
        <w:t xml:space="preserve">”, </w:t>
      </w:r>
      <w:r>
        <w:t>April 2003</w:t>
      </w:r>
      <w:r w:rsidRPr="00322BA0">
        <w:t xml:space="preserve">, Web, accessed </w:t>
      </w:r>
      <w:r>
        <w:t>10 January 2013</w:t>
      </w:r>
      <w:r w:rsidRPr="00322BA0">
        <w:t xml:space="preserve"> &lt;</w:t>
      </w:r>
      <w:r w:rsidRPr="00E74373">
        <w:t>http://www.tga.gov.au/pdf/pm-literature-based-submissions.pdf</w:t>
      </w:r>
      <w:r w:rsidRPr="00322BA0">
        <w:t>&gt;.</w:t>
      </w:r>
    </w:p>
  </w:footnote>
  <w:footnote w:id="4">
    <w:p w:rsidR="00CB13CC" w:rsidRDefault="00CB13CC">
      <w:pPr>
        <w:pStyle w:val="FootnoteText"/>
      </w:pPr>
      <w:r>
        <w:rPr>
          <w:rStyle w:val="FootnoteReference"/>
        </w:rPr>
        <w:footnoteRef/>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w:t>
      </w:r>
    </w:p>
  </w:footnote>
  <w:footnote w:id="5">
    <w:p w:rsidR="00CB13CC" w:rsidRDefault="00CB13CC">
      <w:pPr>
        <w:pStyle w:val="FootnoteText"/>
      </w:pPr>
      <w:r>
        <w:rPr>
          <w:rStyle w:val="FootnoteReference"/>
        </w:rPr>
        <w:footnoteRef/>
      </w:r>
      <w:r>
        <w:t xml:space="preserve"> Kapila A, et al. (1995)</w:t>
      </w:r>
      <w:r w:rsidRPr="00E21BC6">
        <w:t xml:space="preserve"> Measured context-sensitive half-times of remifentanil and</w:t>
      </w:r>
      <w:r>
        <w:t xml:space="preserve"> alfentanil. </w:t>
      </w:r>
      <w:r w:rsidRPr="00E21BC6">
        <w:rPr>
          <w:i/>
        </w:rPr>
        <w:t>Anesthesiology</w:t>
      </w:r>
      <w:r>
        <w:t xml:space="preserve"> 83: </w:t>
      </w:r>
      <w:r w:rsidRPr="00E21BC6">
        <w:t>968-975</w:t>
      </w:r>
      <w:r>
        <w:t>.</w:t>
      </w:r>
    </w:p>
  </w:footnote>
  <w:footnote w:id="6">
    <w:p w:rsidR="00CB13CC" w:rsidRDefault="00CB13CC">
      <w:pPr>
        <w:pStyle w:val="FootnoteText"/>
      </w:pPr>
      <w:r>
        <w:rPr>
          <w:rStyle w:val="FootnoteReference"/>
        </w:rPr>
        <w:footnoteRef/>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w:t>
      </w:r>
    </w:p>
  </w:footnote>
  <w:footnote w:id="7">
    <w:p w:rsidR="00CB13CC" w:rsidRDefault="00CB13CC">
      <w:pPr>
        <w:pStyle w:val="FootnoteText"/>
      </w:pPr>
      <w:r>
        <w:rPr>
          <w:rStyle w:val="FootnoteReference"/>
        </w:rPr>
        <w:footnoteRef/>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w:t>
      </w:r>
    </w:p>
  </w:footnote>
  <w:footnote w:id="8">
    <w:p w:rsidR="00CB13CC" w:rsidRDefault="00CB13CC">
      <w:pPr>
        <w:pStyle w:val="FootnoteText"/>
      </w:pPr>
      <w:r>
        <w:rPr>
          <w:rStyle w:val="FootnoteReference"/>
        </w:rPr>
        <w:footnoteRef/>
      </w:r>
      <w:r>
        <w:t xml:space="preserve"> Schuttler J, et al.</w:t>
      </w:r>
      <w:r w:rsidRPr="00A33D6A">
        <w:t xml:space="preserve"> </w:t>
      </w:r>
      <w:r>
        <w:t xml:space="preserve">(1988) </w:t>
      </w:r>
      <w:r w:rsidRPr="00A33D6A">
        <w:t xml:space="preserve">Total intravenous anaesthesia with propofol and alfentanil by computer-assisted infusion. </w:t>
      </w:r>
      <w:r w:rsidRPr="00A33D6A">
        <w:rPr>
          <w:i/>
        </w:rPr>
        <w:t xml:space="preserve">Anaesthesia </w:t>
      </w:r>
      <w:r w:rsidRPr="00A33D6A">
        <w:t>43 Supp 1: 2-7</w:t>
      </w:r>
      <w:r>
        <w:t>.</w:t>
      </w:r>
    </w:p>
  </w:footnote>
  <w:footnote w:id="9">
    <w:p w:rsidR="00CB13CC" w:rsidRDefault="00CB13CC">
      <w:pPr>
        <w:pStyle w:val="FootnoteText"/>
      </w:pPr>
      <w:r>
        <w:rPr>
          <w:rStyle w:val="FootnoteReference"/>
        </w:rPr>
        <w:footnoteRef/>
      </w:r>
      <w:r>
        <w:t xml:space="preserve"> Schuttler J, et al.</w:t>
      </w:r>
      <w:r w:rsidRPr="00A33D6A">
        <w:t xml:space="preserve"> </w:t>
      </w:r>
      <w:r>
        <w:t xml:space="preserve">(1988) </w:t>
      </w:r>
      <w:r w:rsidRPr="00A33D6A">
        <w:t xml:space="preserve">Total intravenous anaesthesia with propofol and alfentanil by computer-assisted infusion. </w:t>
      </w:r>
      <w:r w:rsidRPr="00A33D6A">
        <w:rPr>
          <w:i/>
        </w:rPr>
        <w:t xml:space="preserve">Anaesthesia </w:t>
      </w:r>
      <w:r w:rsidRPr="00A33D6A">
        <w:t>43 Supp 1: 2-7</w:t>
      </w:r>
      <w:r>
        <w:t>.</w:t>
      </w:r>
    </w:p>
  </w:footnote>
  <w:footnote w:id="10">
    <w:p w:rsidR="00CB13CC" w:rsidRDefault="00CB13CC">
      <w:pPr>
        <w:pStyle w:val="FootnoteText"/>
      </w:pPr>
      <w:r>
        <w:rPr>
          <w:rStyle w:val="FootnoteReference"/>
        </w:rPr>
        <w:footnoteRef/>
      </w:r>
      <w:r>
        <w:t xml:space="preserve"> Mertens MJ, et al.</w:t>
      </w:r>
      <w:r w:rsidRPr="00576141">
        <w:t xml:space="preserve"> </w:t>
      </w:r>
      <w:r>
        <w:t>(</w:t>
      </w:r>
      <w:r w:rsidRPr="00576141">
        <w:t>2003</w:t>
      </w:r>
      <w:r>
        <w:t>)</w:t>
      </w:r>
      <w:r w:rsidRPr="00576141">
        <w:t xml:space="preserve">. Predictive performance of computer-controlled infusion of remifentanil during propofol/remifentanil anaesthesia. </w:t>
      </w:r>
      <w:r>
        <w:rPr>
          <w:i/>
        </w:rPr>
        <w:t>Br.</w:t>
      </w:r>
      <w:r w:rsidRPr="00576141">
        <w:rPr>
          <w:i/>
        </w:rPr>
        <w:t xml:space="preserve"> J</w:t>
      </w:r>
      <w:r>
        <w:rPr>
          <w:i/>
        </w:rPr>
        <w:t>.</w:t>
      </w:r>
      <w:r w:rsidRPr="00576141">
        <w:rPr>
          <w:i/>
        </w:rPr>
        <w:t xml:space="preserve"> Anaesthesia</w:t>
      </w:r>
      <w:r w:rsidRPr="00576141">
        <w:t xml:space="preserve"> 90: 132-141</w:t>
      </w:r>
      <w:r>
        <w:t>.</w:t>
      </w:r>
    </w:p>
  </w:footnote>
  <w:footnote w:id="11">
    <w:p w:rsidR="00CB13CC" w:rsidRDefault="00CB13CC">
      <w:pPr>
        <w:pStyle w:val="FootnoteText"/>
      </w:pPr>
      <w:r>
        <w:rPr>
          <w:rStyle w:val="FootnoteReference"/>
        </w:rPr>
        <w:footnoteRef/>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w:t>
      </w:r>
    </w:p>
  </w:footnote>
  <w:footnote w:id="12">
    <w:p w:rsidR="00CB13CC" w:rsidRDefault="00CB13CC">
      <w:pPr>
        <w:pStyle w:val="FootnoteText"/>
      </w:pPr>
      <w:r>
        <w:rPr>
          <w:rStyle w:val="FootnoteReference"/>
        </w:rPr>
        <w:footnoteRef/>
      </w:r>
      <w:r>
        <w:t xml:space="preserve"> Drover DR, et al. (1998)</w:t>
      </w:r>
      <w:r w:rsidRPr="000F6A34">
        <w:t xml:space="preserve"> Population pharmacodynamics and pharmacokinetics of remifentanil as a supplement to nitrous oxide anesthesia for elective abdominal surgery. </w:t>
      </w:r>
      <w:r w:rsidRPr="000F6A34">
        <w:rPr>
          <w:i/>
        </w:rPr>
        <w:t>Anesthesiology</w:t>
      </w:r>
      <w:r w:rsidRPr="000F6A34">
        <w:t xml:space="preserve"> 89: 869-877</w:t>
      </w:r>
      <w:r>
        <w:t>.</w:t>
      </w:r>
    </w:p>
  </w:footnote>
  <w:footnote w:id="13">
    <w:p w:rsidR="00CB13CC" w:rsidRDefault="00CB13CC">
      <w:pPr>
        <w:pStyle w:val="FootnoteText"/>
      </w:pPr>
      <w:r>
        <w:rPr>
          <w:rStyle w:val="FootnoteReference"/>
        </w:rPr>
        <w:footnoteRef/>
      </w:r>
      <w:r>
        <w:t xml:space="preserve"> Schuttler J, et al.</w:t>
      </w:r>
      <w:r w:rsidRPr="00A33D6A">
        <w:t xml:space="preserve"> </w:t>
      </w:r>
      <w:r>
        <w:t xml:space="preserve">(1988) </w:t>
      </w:r>
      <w:r w:rsidRPr="00A33D6A">
        <w:t xml:space="preserve">Total intravenous anaesthesia with propofol and alfentanil by computer-assisted infusion. </w:t>
      </w:r>
      <w:r w:rsidRPr="00A33D6A">
        <w:rPr>
          <w:i/>
        </w:rPr>
        <w:t xml:space="preserve">Anaesthesia </w:t>
      </w:r>
      <w:r w:rsidRPr="00A33D6A">
        <w:t>43 Supp 1: 2-7</w:t>
      </w:r>
      <w:r>
        <w:t>.</w:t>
      </w:r>
    </w:p>
  </w:footnote>
  <w:footnote w:id="14">
    <w:p w:rsidR="00CB13CC" w:rsidRDefault="00CB13CC">
      <w:pPr>
        <w:pStyle w:val="FootnoteText"/>
      </w:pPr>
      <w:r>
        <w:rPr>
          <w:rStyle w:val="FootnoteReference"/>
        </w:rPr>
        <w:footnoteRef/>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w:t>
      </w:r>
    </w:p>
  </w:footnote>
  <w:footnote w:id="15">
    <w:p w:rsidR="00CB13CC" w:rsidRDefault="00CB13CC">
      <w:pPr>
        <w:pStyle w:val="FootnoteText"/>
      </w:pPr>
      <w:r>
        <w:rPr>
          <w:rStyle w:val="FootnoteReference"/>
        </w:rPr>
        <w:footnoteRef/>
      </w:r>
      <w:r>
        <w:t xml:space="preserve"> Conway DH, et al. (2002)</w:t>
      </w:r>
      <w:r w:rsidRPr="00EB7E37">
        <w:t xml:space="preserve"> Target-controlled propofol requirements at induction of anaesthesia: effect of remi</w:t>
      </w:r>
      <w:r>
        <w:t xml:space="preserve">fentanil and midazolam. </w:t>
      </w:r>
      <w:r w:rsidRPr="00EB7E37">
        <w:rPr>
          <w:i/>
        </w:rPr>
        <w:t>Eur. J. Anesthesiology</w:t>
      </w:r>
      <w:r w:rsidRPr="00EB7E37">
        <w:t xml:space="preserve"> 19: 580-584; De Castro V</w:t>
      </w:r>
      <w:r>
        <w:t>, et al.</w:t>
      </w:r>
      <w:r w:rsidRPr="00EB7E37">
        <w:t xml:space="preserve"> </w:t>
      </w:r>
      <w:r>
        <w:t>(</w:t>
      </w:r>
      <w:r w:rsidRPr="00EB7E37">
        <w:t>2003</w:t>
      </w:r>
      <w:r>
        <w:t>)</w:t>
      </w:r>
      <w:r w:rsidRPr="00EB7E37">
        <w:t xml:space="preserve"> Target-controlled infusion for remifentanil in vascular patients improves hemodynamics and decreases remifentanil requirement. </w:t>
      </w:r>
      <w:r w:rsidRPr="000A495B">
        <w:rPr>
          <w:i/>
        </w:rPr>
        <w:t>Anesthesia and Analgesia</w:t>
      </w:r>
      <w:r w:rsidRPr="00EB7E37">
        <w:t xml:space="preserve"> 96: 33-38; Drover DR, et al. (1998) Population pharmacodynamics and pharmacokinetics of remifentanil as a supplement to nitrous oxide anesthesia for elective abdominal surgery. </w:t>
      </w:r>
      <w:r w:rsidRPr="000A495B">
        <w:rPr>
          <w:i/>
        </w:rPr>
        <w:t>Anesthesiology</w:t>
      </w:r>
      <w:r>
        <w:t xml:space="preserve"> 89: 869-877; Enlund M, </w:t>
      </w:r>
      <w:r w:rsidRPr="00EB7E37">
        <w:t>et al</w:t>
      </w:r>
      <w:r>
        <w:t>.</w:t>
      </w:r>
      <w:r w:rsidRPr="00EB7E37">
        <w:t xml:space="preserve"> </w:t>
      </w:r>
      <w:r>
        <w:t>(</w:t>
      </w:r>
      <w:r w:rsidRPr="00EB7E37">
        <w:t>2002a</w:t>
      </w:r>
      <w:r>
        <w:t>)</w:t>
      </w:r>
      <w:r w:rsidRPr="00EB7E37">
        <w:t xml:space="preserve">. Intraoperative awareness: detected by the structured Brice interview? </w:t>
      </w:r>
      <w:r w:rsidRPr="000A495B">
        <w:rPr>
          <w:i/>
        </w:rPr>
        <w:t>Acta</w:t>
      </w:r>
      <w:r>
        <w:rPr>
          <w:i/>
        </w:rPr>
        <w:t>.</w:t>
      </w:r>
      <w:r w:rsidRPr="000A495B">
        <w:rPr>
          <w:i/>
        </w:rPr>
        <w:t xml:space="preserve"> Anaesthesiol</w:t>
      </w:r>
      <w:r>
        <w:rPr>
          <w:i/>
        </w:rPr>
        <w:t>.</w:t>
      </w:r>
      <w:r w:rsidRPr="000A495B">
        <w:rPr>
          <w:i/>
        </w:rPr>
        <w:t xml:space="preserve"> Scand</w:t>
      </w:r>
      <w:r>
        <w:rPr>
          <w:i/>
        </w:rPr>
        <w:t>.</w:t>
      </w:r>
      <w:r>
        <w:t xml:space="preserve"> 46: 345-349; Lysakowski C, et al.</w:t>
      </w:r>
      <w:r w:rsidRPr="00EB7E37">
        <w:t xml:space="preserve"> </w:t>
      </w:r>
      <w:r>
        <w:t>(2001)</w:t>
      </w:r>
      <w:r w:rsidRPr="00EB7E37">
        <w:t xml:space="preserve"> Effects of fentanyl, alfentanil, remifentanil and sufentanil on loss of consciousness and bispectral index during propofol i</w:t>
      </w:r>
      <w:r>
        <w:t xml:space="preserve">nduction of anaesthesia. </w:t>
      </w:r>
      <w:r w:rsidRPr="000A495B">
        <w:rPr>
          <w:i/>
        </w:rPr>
        <w:t>Br. J. Anaesthesia</w:t>
      </w:r>
      <w:r>
        <w:t xml:space="preserve"> 86: 523-527; Nieuwenhuijs DJF, et al.</w:t>
      </w:r>
      <w:r w:rsidRPr="00EB7E37">
        <w:t xml:space="preserve"> </w:t>
      </w:r>
      <w:r>
        <w:t>(2003)</w:t>
      </w:r>
      <w:r w:rsidRPr="00EB7E37">
        <w:t xml:space="preserve"> Response surface modeling of remifentanil-propofol interaction on cardiorespiratory control and bispectral index. </w:t>
      </w:r>
      <w:r w:rsidRPr="000A495B">
        <w:rPr>
          <w:i/>
        </w:rPr>
        <w:t xml:space="preserve">Anesthesiology </w:t>
      </w:r>
      <w:r>
        <w:t xml:space="preserve">98: 312-322; Ropcke H, </w:t>
      </w:r>
      <w:r w:rsidRPr="00EB7E37">
        <w:t>et al</w:t>
      </w:r>
      <w:r>
        <w:t>.</w:t>
      </w:r>
      <w:r w:rsidRPr="00EB7E37">
        <w:t xml:space="preserve"> </w:t>
      </w:r>
      <w:r>
        <w:t>(2001)</w:t>
      </w:r>
      <w:r w:rsidRPr="00EB7E37">
        <w:t xml:space="preserve"> Propofol and remifentanil pharmacodynamic interaction during orthopedic surgical procedures as measured by effe</w:t>
      </w:r>
      <w:r>
        <w:t xml:space="preserve">cts on bispectral index. </w:t>
      </w:r>
      <w:r w:rsidRPr="000A495B">
        <w:rPr>
          <w:i/>
        </w:rPr>
        <w:t xml:space="preserve">J. Clin. Anesthesia </w:t>
      </w:r>
      <w:r>
        <w:t>13: 198-207; Troy AM, et al.</w:t>
      </w:r>
      <w:r w:rsidRPr="00EB7E37">
        <w:t xml:space="preserve"> </w:t>
      </w:r>
      <w:r>
        <w:t>(2002)</w:t>
      </w:r>
      <w:r w:rsidRPr="00EB7E37">
        <w:t xml:space="preserve"> Tracheal intubating conditions using propofol and remifentanil target-controlled infusions. </w:t>
      </w:r>
      <w:r w:rsidRPr="000A495B">
        <w:rPr>
          <w:i/>
        </w:rPr>
        <w:t>Anaesthesia</w:t>
      </w:r>
      <w:r w:rsidRPr="00EB7E37">
        <w:t xml:space="preserve"> 57: 1204-1207</w:t>
      </w:r>
      <w:r>
        <w:t>.</w:t>
      </w:r>
    </w:p>
  </w:footnote>
  <w:footnote w:id="16">
    <w:p w:rsidR="00CB13CC" w:rsidRDefault="00CB13CC">
      <w:pPr>
        <w:pStyle w:val="FootnoteText"/>
      </w:pPr>
      <w:r>
        <w:rPr>
          <w:rStyle w:val="FootnoteReference"/>
        </w:rPr>
        <w:footnoteRef/>
      </w:r>
      <w:r>
        <w:t xml:space="preserve"> Fechner J, et al. (</w:t>
      </w:r>
      <w:r w:rsidRPr="00935F4E">
        <w:t>2003</w:t>
      </w:r>
      <w:r>
        <w:t>)</w:t>
      </w:r>
      <w:r w:rsidRPr="00935F4E">
        <w:t xml:space="preserve"> Modelling the pharmacodynamic interaction between remifentanil and propofol by EEG-controlled dosing. </w:t>
      </w:r>
      <w:r>
        <w:rPr>
          <w:i/>
        </w:rPr>
        <w:t xml:space="preserve">Eur. J. </w:t>
      </w:r>
      <w:r w:rsidRPr="00935F4E">
        <w:rPr>
          <w:i/>
        </w:rPr>
        <w:t>Anaesthesiology</w:t>
      </w:r>
      <w:r w:rsidRPr="00935F4E">
        <w:t xml:space="preserve"> 20: 373-379</w:t>
      </w:r>
      <w:r>
        <w:t>.</w:t>
      </w:r>
    </w:p>
  </w:footnote>
  <w:footnote w:id="17">
    <w:p w:rsidR="00CB13CC" w:rsidRDefault="00CB13CC" w:rsidP="005516BF">
      <w:pPr>
        <w:pStyle w:val="FootnoteText"/>
      </w:pPr>
      <w:r>
        <w:rPr>
          <w:rStyle w:val="FootnoteReference"/>
        </w:rPr>
        <w:footnoteRef/>
      </w:r>
      <w:r>
        <w:t xml:space="preserve"> Glass PSA, et al. (1993) </w:t>
      </w:r>
      <w:r w:rsidRPr="005E50FA">
        <w:t xml:space="preserve">Preliminary pharmacokinetics and pharmacodynamics of an ultra-short-acting opioid: Remifentanil (GI87084B). </w:t>
      </w:r>
      <w:r w:rsidRPr="005E50FA">
        <w:rPr>
          <w:i/>
        </w:rPr>
        <w:t>Anesthesia and Analgesia</w:t>
      </w:r>
      <w:r w:rsidRPr="005E50FA">
        <w:t xml:space="preserve"> 77: 1031-1040.</w:t>
      </w:r>
    </w:p>
  </w:footnote>
  <w:footnote w:id="18">
    <w:p w:rsidR="00CB13CC" w:rsidRDefault="00CB13CC" w:rsidP="005516BF">
      <w:pPr>
        <w:pStyle w:val="FootnoteText"/>
      </w:pPr>
      <w:r>
        <w:rPr>
          <w:rStyle w:val="FootnoteReference"/>
        </w:rPr>
        <w:footnoteRef/>
      </w:r>
      <w:r>
        <w:t xml:space="preserve"> Glass PSA, et al. (1993) </w:t>
      </w:r>
      <w:r w:rsidRPr="005E50FA">
        <w:t xml:space="preserve">Preliminary pharmacokinetics and pharmacodynamics of an ultra-short-acting opioid: Remifentanil (GI87084B). </w:t>
      </w:r>
      <w:r w:rsidRPr="005E50FA">
        <w:rPr>
          <w:i/>
        </w:rPr>
        <w:t>Anesthesia and Analgesia</w:t>
      </w:r>
      <w:r w:rsidRPr="005E50FA">
        <w:t xml:space="preserve"> 77: 1031-1040</w:t>
      </w:r>
      <w:r>
        <w:t>.</w:t>
      </w:r>
    </w:p>
  </w:footnote>
  <w:footnote w:id="19">
    <w:p w:rsidR="00CB13CC" w:rsidRDefault="00CB13CC" w:rsidP="005516BF">
      <w:pPr>
        <w:pStyle w:val="FootnoteText"/>
      </w:pPr>
      <w:r>
        <w:rPr>
          <w:rStyle w:val="FootnoteReference"/>
        </w:rPr>
        <w:footnoteRef/>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w:t>
      </w:r>
    </w:p>
  </w:footnote>
  <w:footnote w:id="20">
    <w:p w:rsidR="00CB13CC" w:rsidRDefault="00CB13CC" w:rsidP="005516BF">
      <w:pPr>
        <w:pStyle w:val="FootnoteText"/>
      </w:pPr>
      <w:r>
        <w:rPr>
          <w:rStyle w:val="FootnoteReference"/>
        </w:rPr>
        <w:footnoteRef/>
      </w:r>
      <w:r>
        <w:t xml:space="preserve"> Kapila A, et al. (1995) </w:t>
      </w:r>
      <w:r w:rsidRPr="00F73147">
        <w:t xml:space="preserve">Measured context-sensitive half-times of remifentanil and alfentanil. </w:t>
      </w:r>
      <w:r w:rsidRPr="00F73147">
        <w:rPr>
          <w:i/>
        </w:rPr>
        <w:t>Anesthesiology</w:t>
      </w:r>
      <w:r w:rsidRPr="00F73147">
        <w:t xml:space="preserve"> 83: 968-975</w:t>
      </w:r>
      <w:r>
        <w:t>.</w:t>
      </w:r>
    </w:p>
  </w:footnote>
  <w:footnote w:id="21">
    <w:p w:rsidR="00CB13CC" w:rsidRDefault="00CB13CC">
      <w:pPr>
        <w:pStyle w:val="FootnoteText"/>
      </w:pPr>
      <w:r>
        <w:rPr>
          <w:rStyle w:val="FootnoteReference"/>
        </w:rPr>
        <w:footnoteRef/>
      </w:r>
      <w:r>
        <w:t xml:space="preserve"> Bouillon T, et al. (2002) </w:t>
      </w:r>
      <w:r w:rsidRPr="00345D85">
        <w:t xml:space="preserve">Non-steady state analysis of the pharmacokinetic interaction between propofol and remifentanil. </w:t>
      </w:r>
      <w:r w:rsidRPr="00345D85">
        <w:rPr>
          <w:i/>
        </w:rPr>
        <w:t>Anesthesiology</w:t>
      </w:r>
      <w:r w:rsidRPr="00345D85">
        <w:t xml:space="preserve"> 97:</w:t>
      </w:r>
      <w:r>
        <w:t xml:space="preserve"> </w:t>
      </w:r>
      <w:r w:rsidRPr="00345D85">
        <w:t>1350-1362</w:t>
      </w:r>
      <w:r>
        <w:t>.</w:t>
      </w:r>
    </w:p>
  </w:footnote>
  <w:footnote w:id="22">
    <w:p w:rsidR="00CB13CC" w:rsidRDefault="00CB13CC">
      <w:pPr>
        <w:pStyle w:val="FootnoteText"/>
      </w:pPr>
      <w:r>
        <w:rPr>
          <w:rStyle w:val="FootnoteReference"/>
        </w:rPr>
        <w:footnoteRef/>
      </w:r>
      <w:r>
        <w:t xml:space="preserve"> Olivier P, et al. (1999)</w:t>
      </w:r>
      <w:r w:rsidRPr="00A91E0C">
        <w:t xml:space="preserve"> Evaluation of target controlled infusion (TCI) of remifentanil in combination of TCI propofol in cardiac surgery. </w:t>
      </w:r>
      <w:r>
        <w:rPr>
          <w:i/>
        </w:rPr>
        <w:t>Br. J.</w:t>
      </w:r>
      <w:r w:rsidRPr="00A91E0C">
        <w:rPr>
          <w:i/>
        </w:rPr>
        <w:t xml:space="preserve"> Anaesthesia</w:t>
      </w:r>
      <w:r w:rsidRPr="00A91E0C">
        <w:t xml:space="preserve"> 82: Supp1, A51</w:t>
      </w:r>
      <w:r>
        <w:t>.</w:t>
      </w:r>
    </w:p>
  </w:footnote>
  <w:footnote w:id="23">
    <w:p w:rsidR="00CB13CC" w:rsidRDefault="00CB13CC">
      <w:pPr>
        <w:pStyle w:val="FootnoteText"/>
      </w:pPr>
      <w:r>
        <w:rPr>
          <w:rStyle w:val="FootnoteReference"/>
        </w:rPr>
        <w:footnoteRef/>
      </w:r>
      <w:r>
        <w:t xml:space="preserve"> Stuart PC, et al. (</w:t>
      </w:r>
      <w:r w:rsidRPr="00FD1EDD">
        <w:t>1999</w:t>
      </w:r>
      <w:r>
        <w:t>)</w:t>
      </w:r>
      <w:r w:rsidRPr="00FD1EDD">
        <w:t xml:space="preserve"> Patient maintained analgesia with remifentanil following day case gynaecological laparoscopy. </w:t>
      </w:r>
      <w:r>
        <w:rPr>
          <w:i/>
        </w:rPr>
        <w:t>Br. J.</w:t>
      </w:r>
      <w:r w:rsidRPr="00A91E0C">
        <w:rPr>
          <w:i/>
        </w:rPr>
        <w:t xml:space="preserve"> Anaesthesia</w:t>
      </w:r>
      <w:r w:rsidRPr="00A91E0C">
        <w:t xml:space="preserve"> </w:t>
      </w:r>
      <w:r w:rsidRPr="00FD1EDD">
        <w:t>82: Supp 1, A-393</w:t>
      </w:r>
      <w:r>
        <w:t>.</w:t>
      </w:r>
    </w:p>
  </w:footnote>
  <w:footnote w:id="24">
    <w:p w:rsidR="00CB13CC" w:rsidRDefault="00CB13CC">
      <w:pPr>
        <w:pStyle w:val="FootnoteText"/>
      </w:pPr>
      <w:r>
        <w:rPr>
          <w:rStyle w:val="FootnoteReference"/>
        </w:rPr>
        <w:footnoteRef/>
      </w:r>
      <w:r>
        <w:t xml:space="preserve"> D’Attellis N, et al. (2002)</w:t>
      </w:r>
      <w:r w:rsidRPr="00141CB6">
        <w:t xml:space="preserve"> Robotic-assisted cardiac surgery: anesthetic and postoperative considerations. </w:t>
      </w:r>
      <w:r w:rsidRPr="00141CB6">
        <w:rPr>
          <w:i/>
        </w:rPr>
        <w:t>Journal of Cardiothoracic and Vascular Anesthesia</w:t>
      </w:r>
      <w:r w:rsidRPr="00141CB6">
        <w:t xml:space="preserve"> 16: 397-400</w:t>
      </w:r>
      <w:r>
        <w:t>.</w:t>
      </w:r>
    </w:p>
  </w:footnote>
  <w:footnote w:id="25">
    <w:p w:rsidR="00CB13CC" w:rsidRDefault="00CB13CC">
      <w:pPr>
        <w:pStyle w:val="FootnoteText"/>
      </w:pPr>
      <w:r>
        <w:rPr>
          <w:rStyle w:val="FootnoteReference"/>
        </w:rPr>
        <w:footnoteRef/>
      </w:r>
      <w:r>
        <w:t xml:space="preserve"> </w:t>
      </w:r>
      <w:r w:rsidRPr="00863688">
        <w:t>De Castro V</w:t>
      </w:r>
      <w:r>
        <w:t>, et al.</w:t>
      </w:r>
      <w:r w:rsidRPr="00863688">
        <w:t xml:space="preserve"> </w:t>
      </w:r>
      <w:r>
        <w:t>(2003)</w:t>
      </w:r>
      <w:r w:rsidRPr="00863688">
        <w:t xml:space="preserve"> Target-controlled infusion for remifentanil in vascular patients improves hemodynamics and decreases remifentanil requirement. </w:t>
      </w:r>
      <w:r w:rsidRPr="00863688">
        <w:rPr>
          <w:i/>
        </w:rPr>
        <w:t>Anesthesia and Analgesia</w:t>
      </w:r>
      <w:r w:rsidRPr="00863688">
        <w:t xml:space="preserve"> 96: 33-38</w:t>
      </w:r>
      <w:r>
        <w:t>.</w:t>
      </w:r>
    </w:p>
  </w:footnote>
  <w:footnote w:id="26">
    <w:p w:rsidR="00CB13CC" w:rsidRDefault="00CB13CC">
      <w:pPr>
        <w:pStyle w:val="FootnoteText"/>
      </w:pPr>
      <w:r>
        <w:rPr>
          <w:rStyle w:val="FootnoteReference"/>
        </w:rPr>
        <w:footnoteRef/>
      </w:r>
      <w:r>
        <w:t xml:space="preserve"> </w:t>
      </w:r>
      <w:r w:rsidRPr="003B3984">
        <w:t>A document not included in the submission</w:t>
      </w:r>
      <w:r>
        <w:t>.</w:t>
      </w:r>
    </w:p>
  </w:footnote>
  <w:footnote w:id="27">
    <w:p w:rsidR="00CB13CC" w:rsidRDefault="00CB13CC">
      <w:pPr>
        <w:pStyle w:val="FootnoteText"/>
      </w:pPr>
      <w:r>
        <w:rPr>
          <w:rStyle w:val="FootnoteReference"/>
        </w:rPr>
        <w:footnoteRef/>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w:t>
      </w:r>
    </w:p>
  </w:footnote>
  <w:footnote w:id="28">
    <w:p w:rsidR="00CB13CC" w:rsidRDefault="00CB13CC">
      <w:pPr>
        <w:pStyle w:val="FootnoteText"/>
      </w:pPr>
      <w:r>
        <w:rPr>
          <w:rStyle w:val="FootnoteReference"/>
        </w:rPr>
        <w:footnoteRef/>
      </w:r>
      <w:r>
        <w:t xml:space="preserve"> Minto CF, et al. (</w:t>
      </w:r>
      <w:r w:rsidRPr="00D95525">
        <w:t>1997</w:t>
      </w:r>
      <w:r>
        <w:t>) Pharmacokinet</w:t>
      </w:r>
      <w:r w:rsidRPr="00D95525">
        <w:t>i</w:t>
      </w:r>
      <w:r>
        <w:t>c</w:t>
      </w:r>
      <w:r w:rsidRPr="00D95525">
        <w:t xml:space="preserve">s and pharmacodynamics of remifentanil. II. Model application. </w:t>
      </w:r>
      <w:r w:rsidRPr="00D95525">
        <w:rPr>
          <w:i/>
        </w:rPr>
        <w:t>Anesthesiology</w:t>
      </w:r>
      <w:r w:rsidRPr="00D95525">
        <w:t xml:space="preserve"> 86: 24-33</w:t>
      </w:r>
      <w:r>
        <w:t>.</w:t>
      </w:r>
    </w:p>
  </w:footnote>
  <w:footnote w:id="29">
    <w:p w:rsidR="00CB13CC" w:rsidRDefault="00CB13CC">
      <w:pPr>
        <w:pStyle w:val="FootnoteText"/>
      </w:pPr>
      <w:r>
        <w:rPr>
          <w:rStyle w:val="FootnoteReference"/>
        </w:rPr>
        <w:footnoteRef/>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w:t>
      </w:r>
    </w:p>
  </w:footnote>
  <w:footnote w:id="30">
    <w:p w:rsidR="00CB13CC" w:rsidRDefault="00CB13CC">
      <w:pPr>
        <w:pStyle w:val="FootnoteText"/>
      </w:pPr>
      <w:r>
        <w:rPr>
          <w:rStyle w:val="FootnoteReference"/>
        </w:rPr>
        <w:footnoteRef/>
      </w:r>
      <w:r>
        <w:t xml:space="preserve"> Minto CF, et al. (</w:t>
      </w:r>
      <w:r w:rsidRPr="00D95525">
        <w:t>1997</w:t>
      </w:r>
      <w:r>
        <w:t>) Pharmacokinet</w:t>
      </w:r>
      <w:r w:rsidRPr="00D95525">
        <w:t>i</w:t>
      </w:r>
      <w:r>
        <w:t>c</w:t>
      </w:r>
      <w:r w:rsidRPr="00D95525">
        <w:t xml:space="preserve">s and pharmacodynamics of remifentanil. II. Model application. </w:t>
      </w:r>
      <w:r w:rsidRPr="00D95525">
        <w:rPr>
          <w:i/>
        </w:rPr>
        <w:t>Anesthesiology</w:t>
      </w:r>
      <w:r w:rsidRPr="00D95525">
        <w:t xml:space="preserve"> 86: 24-33</w:t>
      </w:r>
      <w:r>
        <w:t>.</w:t>
      </w:r>
    </w:p>
  </w:footnote>
  <w:footnote w:id="31">
    <w:p w:rsidR="00CB13CC" w:rsidRDefault="00CB13CC">
      <w:pPr>
        <w:pStyle w:val="FootnoteText"/>
      </w:pPr>
      <w:r>
        <w:rPr>
          <w:rStyle w:val="FootnoteReference"/>
        </w:rPr>
        <w:footnoteRef/>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w:t>
      </w:r>
    </w:p>
  </w:footnote>
  <w:footnote w:id="32">
    <w:p w:rsidR="00CB13CC" w:rsidRDefault="00CB13CC">
      <w:pPr>
        <w:pStyle w:val="FootnoteText"/>
      </w:pPr>
      <w:r>
        <w:rPr>
          <w:rStyle w:val="FootnoteReference"/>
        </w:rPr>
        <w:footnoteRef/>
      </w:r>
      <w:r>
        <w:t xml:space="preserve"> Schuttler J, et al.</w:t>
      </w:r>
      <w:r w:rsidRPr="00A33D6A">
        <w:t xml:space="preserve"> </w:t>
      </w:r>
      <w:r>
        <w:t xml:space="preserve">(1988) </w:t>
      </w:r>
      <w:r w:rsidRPr="00A33D6A">
        <w:t xml:space="preserve">Total intravenous anaesthesia with propofol and alfentanil by computer-assisted infusion. </w:t>
      </w:r>
      <w:r w:rsidRPr="00A33D6A">
        <w:rPr>
          <w:i/>
        </w:rPr>
        <w:t xml:space="preserve">Anaesthesia </w:t>
      </w:r>
      <w:r w:rsidRPr="00A33D6A">
        <w:t>43 Supp 1: 2-7</w:t>
      </w:r>
      <w:r>
        <w:t>.</w:t>
      </w:r>
    </w:p>
  </w:footnote>
  <w:footnote w:id="33">
    <w:p w:rsidR="00CB13CC" w:rsidRDefault="00CB13CC">
      <w:pPr>
        <w:pStyle w:val="FootnoteText"/>
      </w:pPr>
      <w:r>
        <w:rPr>
          <w:rStyle w:val="FootnoteReference"/>
        </w:rPr>
        <w:footnoteRef/>
      </w:r>
      <w:r>
        <w:t xml:space="preserve"> Mertens MJ, et al. (2003)</w:t>
      </w:r>
      <w:r w:rsidRPr="008B1ACD">
        <w:t xml:space="preserve"> Predictive performance of computer-controlled infusion of remifentanil during propofol/remifen</w:t>
      </w:r>
      <w:r>
        <w:t xml:space="preserve">tanil anaesthesia. </w:t>
      </w:r>
      <w:r w:rsidRPr="008B1ACD">
        <w:rPr>
          <w:i/>
        </w:rPr>
        <w:t>Br. J. Anaesthesia</w:t>
      </w:r>
      <w:r w:rsidRPr="008B1ACD">
        <w:t xml:space="preserve"> 90: 132-141.</w:t>
      </w:r>
    </w:p>
  </w:footnote>
  <w:footnote w:id="34">
    <w:p w:rsidR="00CB13CC" w:rsidRDefault="00CB13CC">
      <w:pPr>
        <w:pStyle w:val="FootnoteText"/>
      </w:pPr>
      <w:r>
        <w:rPr>
          <w:rStyle w:val="FootnoteReference"/>
        </w:rPr>
        <w:footnoteRef/>
      </w:r>
      <w:r>
        <w:t xml:space="preserve"> </w:t>
      </w:r>
      <w:r w:rsidRPr="00190A97">
        <w:t>Egan TD, et al. (1993) The pharmacokinetics of the new short-acting opioid remifentanil (GI87084B) in healthy adult male volunteers</w:t>
      </w:r>
      <w:r>
        <w:t xml:space="preserve">. </w:t>
      </w:r>
      <w:r w:rsidRPr="00190A97">
        <w:rPr>
          <w:i/>
        </w:rPr>
        <w:t>Anesthesiology</w:t>
      </w:r>
      <w:r>
        <w:t xml:space="preserve"> 79</w:t>
      </w:r>
      <w:r w:rsidRPr="00190A97">
        <w:t>:</w:t>
      </w:r>
      <w:r>
        <w:t xml:space="preserve"> </w:t>
      </w:r>
      <w:r w:rsidRPr="00190A97">
        <w:t>881-</w:t>
      </w:r>
      <w:r>
        <w:t>8</w:t>
      </w:r>
      <w:r w:rsidRPr="00190A97">
        <w:t>92</w:t>
      </w:r>
      <w:r>
        <w:t xml:space="preserve">; </w:t>
      </w:r>
      <w:r w:rsidRPr="007211A8">
        <w:t xml:space="preserve">Egan TD, et al. (1996) Remifentanil versus alfentanil: comparative pharmacokinetics and pharmacodynamics in healthy adult male volunteers. </w:t>
      </w:r>
      <w:r w:rsidRPr="007211A8">
        <w:rPr>
          <w:i/>
        </w:rPr>
        <w:t>Anesthesiology</w:t>
      </w:r>
      <w:r>
        <w:t xml:space="preserve"> 84</w:t>
      </w:r>
      <w:r w:rsidRPr="007211A8">
        <w:t>:</w:t>
      </w:r>
      <w:r>
        <w:t xml:space="preserve"> </w:t>
      </w:r>
      <w:r w:rsidRPr="007211A8">
        <w:t>821-</w:t>
      </w:r>
      <w:r>
        <w:t>8</w:t>
      </w:r>
      <w:r w:rsidRPr="007211A8">
        <w:t>33</w:t>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 xml:space="preserve">; </w:t>
      </w:r>
      <w:r w:rsidRPr="007211A8">
        <w:t>Egan TD, et al. (1998) Remifentanil pharmacokinetics in obese versus lean patients</w:t>
      </w:r>
      <w:r>
        <w:t xml:space="preserve">. </w:t>
      </w:r>
      <w:r w:rsidRPr="007211A8">
        <w:rPr>
          <w:i/>
        </w:rPr>
        <w:t>Anesthesiology</w:t>
      </w:r>
      <w:r>
        <w:t xml:space="preserve"> 89</w:t>
      </w:r>
      <w:r w:rsidRPr="007211A8">
        <w:t>:</w:t>
      </w:r>
      <w:r>
        <w:t xml:space="preserve"> </w:t>
      </w:r>
      <w:r w:rsidRPr="007211A8">
        <w:t>562-</w:t>
      </w:r>
      <w:r>
        <w:t>5</w:t>
      </w:r>
      <w:r w:rsidRPr="007211A8">
        <w:t>73</w:t>
      </w:r>
      <w:r>
        <w:t>; Drover DR, et al. (</w:t>
      </w:r>
      <w:r w:rsidRPr="000C6CE7">
        <w:t>1998</w:t>
      </w:r>
      <w:r>
        <w:t>)</w:t>
      </w:r>
      <w:r w:rsidRPr="000C6CE7">
        <w:t xml:space="preserve"> Population pharmacodynamics and pharmacokinetics of remifentanil as a supplement to nitrous oxide anesthesia for elective abdominal surgery. </w:t>
      </w:r>
      <w:r w:rsidRPr="000C6CE7">
        <w:rPr>
          <w:i/>
        </w:rPr>
        <w:t>Anesthesiology</w:t>
      </w:r>
      <w:r w:rsidRPr="000C6CE7">
        <w:t xml:space="preserve"> 89: 869-877.</w:t>
      </w:r>
    </w:p>
  </w:footnote>
  <w:footnote w:id="35">
    <w:p w:rsidR="00CB13CC" w:rsidRDefault="00CB13CC">
      <w:pPr>
        <w:pStyle w:val="FootnoteText"/>
      </w:pPr>
      <w:r>
        <w:rPr>
          <w:rStyle w:val="FootnoteReference"/>
        </w:rPr>
        <w:footnoteRef/>
      </w:r>
      <w:r>
        <w:t xml:space="preserve"> Glass PSA, et al. (1993) </w:t>
      </w:r>
      <w:r w:rsidRPr="005E50FA">
        <w:t xml:space="preserve">Preliminary pharmacokinetics and pharmacodynamics of an ultra-short-acting opioid: Remifentanil (GI87084B). </w:t>
      </w:r>
      <w:r w:rsidRPr="005E50FA">
        <w:rPr>
          <w:i/>
        </w:rPr>
        <w:t>Anesthesia and Analgesia</w:t>
      </w:r>
      <w:r w:rsidRPr="005E50FA">
        <w:t xml:space="preserve"> 77: 1031-1040</w:t>
      </w:r>
      <w:r>
        <w:t>.</w:t>
      </w:r>
    </w:p>
  </w:footnote>
  <w:footnote w:id="36">
    <w:p w:rsidR="00CB13CC" w:rsidRDefault="00CB13CC">
      <w:pPr>
        <w:pStyle w:val="FootnoteText"/>
      </w:pPr>
      <w:r>
        <w:rPr>
          <w:rStyle w:val="FootnoteReference"/>
        </w:rPr>
        <w:footnoteRef/>
      </w:r>
      <w:r>
        <w:t xml:space="preserve"> </w:t>
      </w:r>
      <w:r w:rsidRPr="00EB7E37">
        <w:t>De Castro V</w:t>
      </w:r>
      <w:r>
        <w:t>, et al.</w:t>
      </w:r>
      <w:r w:rsidRPr="00EB7E37">
        <w:t xml:space="preserve"> </w:t>
      </w:r>
      <w:r>
        <w:t>(</w:t>
      </w:r>
      <w:r w:rsidRPr="00EB7E37">
        <w:t>2003</w:t>
      </w:r>
      <w:r>
        <w:t>)</w:t>
      </w:r>
      <w:r w:rsidRPr="00EB7E37">
        <w:t xml:space="preserve"> Target-controlled infusion for remifentanil in vascular patients improves hemodynamics and decreases remifentanil requirement. </w:t>
      </w:r>
      <w:r w:rsidRPr="000A495B">
        <w:rPr>
          <w:i/>
        </w:rPr>
        <w:t>Anesthesia and Analgesia</w:t>
      </w:r>
      <w:r w:rsidRPr="00EB7E37">
        <w:t xml:space="preserve"> 96: 33-38</w:t>
      </w:r>
      <w:r>
        <w:t>.</w:t>
      </w:r>
    </w:p>
  </w:footnote>
  <w:footnote w:id="37">
    <w:p w:rsidR="00CB13CC" w:rsidRDefault="00CB13CC">
      <w:pPr>
        <w:pStyle w:val="FootnoteText"/>
      </w:pPr>
      <w:r>
        <w:rPr>
          <w:rStyle w:val="FootnoteReference"/>
        </w:rPr>
        <w:footnoteRef/>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w:t>
      </w:r>
    </w:p>
  </w:footnote>
  <w:footnote w:id="38">
    <w:p w:rsidR="00CB13CC" w:rsidRDefault="00CB13CC">
      <w:pPr>
        <w:pStyle w:val="FootnoteText"/>
      </w:pPr>
      <w:r>
        <w:rPr>
          <w:rStyle w:val="FootnoteReference"/>
        </w:rPr>
        <w:footnoteRef/>
      </w:r>
      <w:r>
        <w:t xml:space="preserve"> Mertens E, </w:t>
      </w:r>
      <w:r w:rsidRPr="00F52F8D">
        <w:t>et al</w:t>
      </w:r>
      <w:r>
        <w:t>.</w:t>
      </w:r>
      <w:r w:rsidRPr="00F52F8D">
        <w:t xml:space="preserve"> </w:t>
      </w:r>
      <w:r>
        <w:t>(</w:t>
      </w:r>
      <w:r w:rsidRPr="00F52F8D">
        <w:t>2001</w:t>
      </w:r>
      <w:r>
        <w:t>)</w:t>
      </w:r>
      <w:r w:rsidRPr="00F52F8D">
        <w:t xml:space="preserve"> Target controlled infusion of remifentanil and propofol for cesarean section in a patient with multivalvular disease and severe pulmonary hypertension. </w:t>
      </w:r>
      <w:r w:rsidRPr="00F52F8D">
        <w:rPr>
          <w:i/>
        </w:rPr>
        <w:t>Acta Anaesthesiol Belg.</w:t>
      </w:r>
      <w:r w:rsidRPr="00F52F8D">
        <w:t xml:space="preserve"> 52: 207-</w:t>
      </w:r>
      <w:r>
        <w:t>20</w:t>
      </w:r>
      <w:r w:rsidRPr="00F52F8D">
        <w:t>9.</w:t>
      </w:r>
    </w:p>
  </w:footnote>
  <w:footnote w:id="39">
    <w:p w:rsidR="00CB13CC" w:rsidRDefault="00CB13CC">
      <w:pPr>
        <w:pStyle w:val="FootnoteText"/>
      </w:pPr>
      <w:r>
        <w:rPr>
          <w:rStyle w:val="FootnoteReference"/>
        </w:rPr>
        <w:footnoteRef/>
      </w:r>
      <w:r>
        <w:t xml:space="preserve"> Schuttler J, et al.</w:t>
      </w:r>
      <w:r w:rsidRPr="00A33D6A">
        <w:t xml:space="preserve"> </w:t>
      </w:r>
      <w:r>
        <w:t xml:space="preserve">(1988) </w:t>
      </w:r>
      <w:r w:rsidRPr="00A33D6A">
        <w:t xml:space="preserve">Total intravenous anaesthesia with propofol and alfentanil by computer-assisted infusion. </w:t>
      </w:r>
      <w:r w:rsidRPr="00A33D6A">
        <w:rPr>
          <w:i/>
        </w:rPr>
        <w:t xml:space="preserve">Anaesthesia </w:t>
      </w:r>
      <w:r w:rsidRPr="00A33D6A">
        <w:t>43 Supp 1: 2-7</w:t>
      </w:r>
      <w:r>
        <w:t>.</w:t>
      </w:r>
    </w:p>
  </w:footnote>
  <w:footnote w:id="40">
    <w:p w:rsidR="00CB13CC" w:rsidRDefault="00CB13CC">
      <w:pPr>
        <w:pStyle w:val="FootnoteText"/>
      </w:pPr>
      <w:r>
        <w:rPr>
          <w:rStyle w:val="FootnoteReference"/>
        </w:rPr>
        <w:footnoteRef/>
      </w:r>
      <w:r>
        <w:t xml:space="preserve"> Therapeutic Goods Administration</w:t>
      </w:r>
      <w:r w:rsidRPr="00322BA0">
        <w:t>, “</w:t>
      </w:r>
      <w:r w:rsidRPr="00E74373">
        <w:t>Literature-based submissions: Points to consider</w:t>
      </w:r>
      <w:r w:rsidRPr="00322BA0">
        <w:t xml:space="preserve">”, </w:t>
      </w:r>
      <w:r>
        <w:t>April 2003</w:t>
      </w:r>
      <w:r w:rsidRPr="00322BA0">
        <w:t xml:space="preserve">, Web, accessed </w:t>
      </w:r>
      <w:r>
        <w:t>10 January 2013</w:t>
      </w:r>
      <w:r w:rsidRPr="00322BA0">
        <w:t xml:space="preserve"> &lt;</w:t>
      </w:r>
      <w:r w:rsidRPr="00E74373">
        <w:t>http://www.tga.gov.au/pdf/pm-literature-based-submissions.pdf</w:t>
      </w:r>
      <w:r w:rsidRPr="00322BA0">
        <w:t>&gt;.</w:t>
      </w:r>
    </w:p>
  </w:footnote>
  <w:footnote w:id="41">
    <w:p w:rsidR="00CB13CC" w:rsidRDefault="00CB13CC">
      <w:pPr>
        <w:pStyle w:val="FootnoteText"/>
      </w:pPr>
      <w:r>
        <w:rPr>
          <w:rStyle w:val="FootnoteReference"/>
        </w:rPr>
        <w:footnoteRef/>
      </w:r>
      <w:r>
        <w:t xml:space="preserve"> </w:t>
      </w:r>
      <w:r w:rsidRPr="000E3C80">
        <w:t xml:space="preserve">De Castro V, </w:t>
      </w:r>
      <w:r>
        <w:t>et al</w:t>
      </w:r>
      <w:r w:rsidRPr="000E3C80">
        <w:t xml:space="preserve">. </w:t>
      </w:r>
      <w:r>
        <w:t xml:space="preserve">(2003) </w:t>
      </w:r>
      <w:r w:rsidRPr="000E3C80">
        <w:t xml:space="preserve">Target-controlled infusion for remifentanil in vascular patients improves hemodynamics and decreases remifentanil requirement. </w:t>
      </w:r>
      <w:r w:rsidRPr="00464571">
        <w:rPr>
          <w:i/>
        </w:rPr>
        <w:t>Anesth Analg.</w:t>
      </w:r>
      <w:r w:rsidRPr="000E3C80">
        <w:t xml:space="preserve"> </w:t>
      </w:r>
      <w:r>
        <w:t>96</w:t>
      </w:r>
      <w:r w:rsidRPr="000E3C80">
        <w:t>:</w:t>
      </w:r>
      <w:r>
        <w:t xml:space="preserve"> </w:t>
      </w:r>
      <w:r w:rsidRPr="000E3C80">
        <w:t>33-</w:t>
      </w:r>
      <w:r>
        <w:t>3</w:t>
      </w:r>
      <w:r w:rsidRPr="000E3C80">
        <w:t>8</w:t>
      </w:r>
      <w:r>
        <w:t>.</w:t>
      </w:r>
    </w:p>
  </w:footnote>
  <w:footnote w:id="42">
    <w:p w:rsidR="00CB13CC" w:rsidRDefault="00CB13CC">
      <w:pPr>
        <w:pStyle w:val="FootnoteText"/>
      </w:pPr>
      <w:r>
        <w:rPr>
          <w:rStyle w:val="FootnoteReference"/>
        </w:rPr>
        <w:footnoteRef/>
      </w:r>
      <w:r>
        <w:t xml:space="preserve"> </w:t>
      </w:r>
      <w:r w:rsidRPr="00464571">
        <w:t xml:space="preserve">Moerman AT, </w:t>
      </w:r>
      <w:r>
        <w:t>et al</w:t>
      </w:r>
      <w:r w:rsidRPr="00464571">
        <w:t xml:space="preserve">. </w:t>
      </w:r>
      <w:r>
        <w:t xml:space="preserve">(2009) </w:t>
      </w:r>
      <w:r w:rsidRPr="00464571">
        <w:t xml:space="preserve">Manual versus target-controlled infusion remifentanil administration in spontaneously breathing patients. </w:t>
      </w:r>
      <w:r w:rsidRPr="00464571">
        <w:rPr>
          <w:i/>
        </w:rPr>
        <w:t>Anesth</w:t>
      </w:r>
      <w:r>
        <w:rPr>
          <w:i/>
        </w:rPr>
        <w:t>.</w:t>
      </w:r>
      <w:r w:rsidRPr="00464571">
        <w:rPr>
          <w:i/>
        </w:rPr>
        <w:t xml:space="preserve"> Analg.</w:t>
      </w:r>
      <w:r w:rsidRPr="00464571">
        <w:t xml:space="preserve"> 108:</w:t>
      </w:r>
      <w:r>
        <w:t xml:space="preserve"> </w:t>
      </w:r>
      <w:r w:rsidRPr="00464571">
        <w:t>828-</w:t>
      </w:r>
      <w:r>
        <w:t>8</w:t>
      </w:r>
      <w:r w:rsidRPr="00464571">
        <w:t>34</w:t>
      </w:r>
      <w:r>
        <w:t>.</w:t>
      </w:r>
    </w:p>
  </w:footnote>
  <w:footnote w:id="43">
    <w:p w:rsidR="00CB13CC" w:rsidRDefault="00CB13CC">
      <w:pPr>
        <w:pStyle w:val="FootnoteText"/>
      </w:pPr>
      <w:r>
        <w:rPr>
          <w:rStyle w:val="FootnoteReference"/>
        </w:rPr>
        <w:footnoteRef/>
      </w:r>
      <w:r>
        <w:t xml:space="preserve"> </w:t>
      </w:r>
      <w:r w:rsidRPr="00D55E1D">
        <w:t>Yeganeh N</w:t>
      </w:r>
      <w:r>
        <w:t xml:space="preserve">, et al. (2010) </w:t>
      </w:r>
      <w:r w:rsidRPr="00D55E1D">
        <w:t>Target-controlled infusion of remifentanil to provide analgesia for awake nasotracheal fiberoptic intubations in cervical trauma pa</w:t>
      </w:r>
      <w:r>
        <w:t xml:space="preserve">tients. </w:t>
      </w:r>
      <w:r w:rsidRPr="00D55E1D">
        <w:rPr>
          <w:i/>
        </w:rPr>
        <w:t>J</w:t>
      </w:r>
      <w:r>
        <w:rPr>
          <w:i/>
        </w:rPr>
        <w:t>.</w:t>
      </w:r>
      <w:r w:rsidRPr="00D55E1D">
        <w:rPr>
          <w:i/>
        </w:rPr>
        <w:t xml:space="preserve"> Trauma</w:t>
      </w:r>
      <w:r>
        <w:t xml:space="preserve"> 69</w:t>
      </w:r>
      <w:r w:rsidRPr="00D55E1D">
        <w:t>:</w:t>
      </w:r>
      <w:r>
        <w:t xml:space="preserve"> </w:t>
      </w:r>
      <w:r w:rsidRPr="00D55E1D">
        <w:t>1185-</w:t>
      </w:r>
      <w:r>
        <w:t>11</w:t>
      </w:r>
      <w:r w:rsidRPr="00D55E1D">
        <w:t>90</w:t>
      </w:r>
      <w:r>
        <w:t>.</w:t>
      </w:r>
    </w:p>
  </w:footnote>
  <w:footnote w:id="44">
    <w:p w:rsidR="00CB13CC" w:rsidRDefault="00CB13CC">
      <w:pPr>
        <w:pStyle w:val="FootnoteText"/>
      </w:pPr>
      <w:r>
        <w:rPr>
          <w:rStyle w:val="FootnoteReference"/>
        </w:rPr>
        <w:footnoteRef/>
      </w:r>
      <w:r>
        <w:t xml:space="preserve"> </w:t>
      </w:r>
      <w:r w:rsidRPr="00D55E1D">
        <w:t xml:space="preserve">Yeganeh N, </w:t>
      </w:r>
      <w:r>
        <w:t>et al</w:t>
      </w:r>
      <w:r w:rsidRPr="00D55E1D">
        <w:t xml:space="preserve">. </w:t>
      </w:r>
      <w:r>
        <w:t xml:space="preserve">(2010) </w:t>
      </w:r>
      <w:r w:rsidRPr="00D55E1D">
        <w:t xml:space="preserve">Target-controlled infusion anesthesia with propofol and remifentanil compared with manually controlled infusion anesthesia in mastoidectomy surgeries. </w:t>
      </w:r>
      <w:r w:rsidRPr="00D55E1D">
        <w:rPr>
          <w:i/>
        </w:rPr>
        <w:t>Middle East J</w:t>
      </w:r>
      <w:r>
        <w:rPr>
          <w:i/>
        </w:rPr>
        <w:t>.</w:t>
      </w:r>
      <w:r w:rsidRPr="00D55E1D">
        <w:rPr>
          <w:i/>
        </w:rPr>
        <w:t xml:space="preserve"> Anesthesiol. </w:t>
      </w:r>
      <w:r w:rsidRPr="00D55E1D">
        <w:t>20:</w:t>
      </w:r>
      <w:r>
        <w:t xml:space="preserve"> </w:t>
      </w:r>
      <w:r w:rsidRPr="00D55E1D">
        <w:t>785-</w:t>
      </w:r>
      <w:r>
        <w:t>7</w:t>
      </w:r>
      <w:r w:rsidRPr="00D55E1D">
        <w:t>93</w:t>
      </w:r>
      <w:r>
        <w:t>.</w:t>
      </w:r>
    </w:p>
  </w:footnote>
  <w:footnote w:id="45">
    <w:p w:rsidR="00CB13CC" w:rsidRDefault="00CB13CC">
      <w:pPr>
        <w:pStyle w:val="FootnoteText"/>
      </w:pPr>
      <w:r>
        <w:rPr>
          <w:rStyle w:val="FootnoteReference"/>
        </w:rPr>
        <w:footnoteRef/>
      </w:r>
      <w:r>
        <w:t xml:space="preserve"> </w:t>
      </w:r>
      <w:r w:rsidRPr="0001796F">
        <w:t xml:space="preserve">Richebe P, et al. (2011) Target-controlled dosing of remifentanil during cardiac surgery reduces postoperative hyperalgesia. </w:t>
      </w:r>
      <w:r w:rsidRPr="0001796F">
        <w:rPr>
          <w:i/>
        </w:rPr>
        <w:t>J</w:t>
      </w:r>
      <w:r>
        <w:rPr>
          <w:i/>
        </w:rPr>
        <w:t>.</w:t>
      </w:r>
      <w:r w:rsidRPr="0001796F">
        <w:rPr>
          <w:i/>
        </w:rPr>
        <w:t xml:space="preserve"> Cardiothorac</w:t>
      </w:r>
      <w:r>
        <w:rPr>
          <w:i/>
        </w:rPr>
        <w:t>.</w:t>
      </w:r>
      <w:r w:rsidRPr="0001796F">
        <w:rPr>
          <w:i/>
        </w:rPr>
        <w:t xml:space="preserve"> Vasc</w:t>
      </w:r>
      <w:r>
        <w:rPr>
          <w:i/>
        </w:rPr>
        <w:t>.</w:t>
      </w:r>
      <w:r w:rsidRPr="0001796F">
        <w:rPr>
          <w:i/>
        </w:rPr>
        <w:t xml:space="preserve"> Anesth.</w:t>
      </w:r>
      <w:r>
        <w:t xml:space="preserve"> 25</w:t>
      </w:r>
      <w:r w:rsidRPr="0001796F">
        <w:t>:</w:t>
      </w:r>
      <w:r>
        <w:t xml:space="preserve"> </w:t>
      </w:r>
      <w:r w:rsidRPr="0001796F">
        <w:t>917-2</w:t>
      </w:r>
      <w:r>
        <w:t>5.</w:t>
      </w:r>
    </w:p>
  </w:footnote>
  <w:footnote w:id="46">
    <w:p w:rsidR="00CB13CC" w:rsidRDefault="00CB13CC">
      <w:pPr>
        <w:pStyle w:val="FootnoteText"/>
      </w:pPr>
      <w:r>
        <w:rPr>
          <w:rStyle w:val="FootnoteReference"/>
        </w:rPr>
        <w:footnoteRef/>
      </w:r>
      <w:r>
        <w:t xml:space="preserve"> Glass PSA, et al. (1993) </w:t>
      </w:r>
      <w:r w:rsidRPr="005E50FA">
        <w:t xml:space="preserve">Preliminary pharmacokinetics and pharmacodynamics of an ultra-short-acting opioid: Remifentanil (GI87084B). </w:t>
      </w:r>
      <w:r w:rsidRPr="005E50FA">
        <w:rPr>
          <w:i/>
        </w:rPr>
        <w:t>Anesthesia and Analgesia</w:t>
      </w:r>
      <w:r w:rsidRPr="005E50FA">
        <w:t xml:space="preserve"> 77: 1031-1040</w:t>
      </w:r>
      <w:r>
        <w:t>.</w:t>
      </w:r>
    </w:p>
  </w:footnote>
  <w:footnote w:id="47">
    <w:p w:rsidR="00CB13CC" w:rsidRDefault="00CB13CC">
      <w:pPr>
        <w:pStyle w:val="FootnoteText"/>
      </w:pPr>
      <w:r>
        <w:rPr>
          <w:rStyle w:val="FootnoteReference"/>
        </w:rPr>
        <w:footnoteRef/>
      </w:r>
      <w:r>
        <w:t xml:space="preserve"> Kapila A, et al. (1995)</w:t>
      </w:r>
      <w:r w:rsidRPr="00E21BC6">
        <w:t xml:space="preserve"> Measured context-sensitive half-times of remifentanil and</w:t>
      </w:r>
      <w:r>
        <w:t xml:space="preserve"> alfentanil. </w:t>
      </w:r>
      <w:r w:rsidRPr="00E21BC6">
        <w:rPr>
          <w:i/>
        </w:rPr>
        <w:t>Anesthesiology</w:t>
      </w:r>
      <w:r>
        <w:t xml:space="preserve"> 83: </w:t>
      </w:r>
      <w:r w:rsidRPr="00E21BC6">
        <w:t>968-975</w:t>
      </w:r>
      <w:r>
        <w:t>.</w:t>
      </w:r>
    </w:p>
  </w:footnote>
  <w:footnote w:id="48">
    <w:p w:rsidR="00CB13CC" w:rsidRDefault="00CB13CC">
      <w:pPr>
        <w:pStyle w:val="FootnoteText"/>
      </w:pPr>
      <w:r>
        <w:rPr>
          <w:rStyle w:val="FootnoteReference"/>
        </w:rPr>
        <w:footnoteRef/>
      </w:r>
      <w:r>
        <w:t xml:space="preserve"> </w:t>
      </w:r>
      <w:r w:rsidRPr="00190A97">
        <w:t>Egan TD, et al. (1993) The pharmacokinetics of the new short-acting opioid remifentanil (GI87084B) in healthy adult male volunteers</w:t>
      </w:r>
      <w:r>
        <w:t xml:space="preserve">. </w:t>
      </w:r>
      <w:r w:rsidRPr="00190A97">
        <w:rPr>
          <w:i/>
        </w:rPr>
        <w:t>Anesthesiology</w:t>
      </w:r>
      <w:r>
        <w:t xml:space="preserve"> 79</w:t>
      </w:r>
      <w:r w:rsidRPr="00190A97">
        <w:t>:</w:t>
      </w:r>
      <w:r>
        <w:t xml:space="preserve"> </w:t>
      </w:r>
      <w:r w:rsidRPr="00190A97">
        <w:t>881-</w:t>
      </w:r>
      <w:r>
        <w:t>8</w:t>
      </w:r>
      <w:r w:rsidRPr="00190A97">
        <w:t>92</w:t>
      </w:r>
      <w:r>
        <w:t xml:space="preserve">; </w:t>
      </w:r>
      <w:r w:rsidRPr="007211A8">
        <w:t xml:space="preserve">Egan TD, et al. (1996) Remifentanil versus alfentanil: comparative pharmacokinetics and pharmacodynamics in healthy adult male volunteers. </w:t>
      </w:r>
      <w:r w:rsidRPr="007211A8">
        <w:rPr>
          <w:i/>
        </w:rPr>
        <w:t>Anesthesiology</w:t>
      </w:r>
      <w:r>
        <w:t xml:space="preserve"> 84</w:t>
      </w:r>
      <w:r w:rsidRPr="007211A8">
        <w:t>:</w:t>
      </w:r>
      <w:r>
        <w:t xml:space="preserve"> </w:t>
      </w:r>
      <w:r w:rsidRPr="007211A8">
        <w:t>821-</w:t>
      </w:r>
      <w:r>
        <w:t>8</w:t>
      </w:r>
      <w:r w:rsidRPr="007211A8">
        <w:t>33</w:t>
      </w:r>
      <w:r>
        <w:t xml:space="preserve">; </w:t>
      </w:r>
      <w:r w:rsidRPr="007211A8">
        <w:t>Egan TD, et al. (1998) Remifentanil pharmacokinetics in obese versus lean patients</w:t>
      </w:r>
      <w:r>
        <w:t xml:space="preserve">. </w:t>
      </w:r>
      <w:r w:rsidRPr="007211A8">
        <w:rPr>
          <w:i/>
        </w:rPr>
        <w:t>Anesthesiology</w:t>
      </w:r>
      <w:r>
        <w:t xml:space="preserve"> 89</w:t>
      </w:r>
      <w:r w:rsidRPr="007211A8">
        <w:t>:</w:t>
      </w:r>
      <w:r>
        <w:t xml:space="preserve"> </w:t>
      </w:r>
      <w:r w:rsidRPr="007211A8">
        <w:t>562-</w:t>
      </w:r>
      <w:r>
        <w:t>5</w:t>
      </w:r>
      <w:r w:rsidRPr="007211A8">
        <w:t>73</w:t>
      </w:r>
      <w:r>
        <w:t>.</w:t>
      </w:r>
    </w:p>
  </w:footnote>
  <w:footnote w:id="49">
    <w:p w:rsidR="00CB13CC" w:rsidRDefault="00CB13CC">
      <w:pPr>
        <w:pStyle w:val="FootnoteText"/>
      </w:pPr>
      <w:r>
        <w:rPr>
          <w:rStyle w:val="FootnoteReference"/>
        </w:rPr>
        <w:footnoteRef/>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w:t>
      </w:r>
    </w:p>
  </w:footnote>
  <w:footnote w:id="50">
    <w:p w:rsidR="00CB13CC" w:rsidRDefault="00CB13CC">
      <w:pPr>
        <w:pStyle w:val="FootnoteText"/>
      </w:pPr>
      <w:r>
        <w:rPr>
          <w:rStyle w:val="FootnoteReference"/>
        </w:rPr>
        <w:footnoteRef/>
      </w:r>
      <w:r>
        <w:t xml:space="preserve"> </w:t>
      </w:r>
      <w:r w:rsidRPr="008D632D">
        <w:t>Minto CF, et al. (1997) Influence of age and gender on the pharmacokinetics and pharmacodynamics of remifentanil. I. Model development</w:t>
      </w:r>
      <w:r>
        <w:t xml:space="preserve">. </w:t>
      </w:r>
      <w:r w:rsidRPr="008D632D">
        <w:rPr>
          <w:i/>
        </w:rPr>
        <w:t>Anesthesiology</w:t>
      </w:r>
      <w:r>
        <w:t xml:space="preserve"> 86</w:t>
      </w:r>
      <w:r w:rsidRPr="008D632D">
        <w:t>:</w:t>
      </w:r>
      <w:r>
        <w:t xml:space="preserve"> </w:t>
      </w:r>
      <w:r w:rsidRPr="008D632D">
        <w:t>10-23</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3CC" w:rsidRDefault="00CB13CC"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3CC" w:rsidRDefault="004F5A3C">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CB13CC" w:rsidRDefault="004F5A3C" w:rsidP="00593AD1">
    <w:pPr>
      <w:pStyle w:val="HeaderNoLine"/>
    </w:pPr>
    <w:r>
      <w:rPr>
        <w:noProof/>
        <w:lang w:eastAsia="en-AU"/>
      </w:rPr>
      <w:drawing>
        <wp:inline distT="0" distB="0" distL="0" distR="0">
          <wp:extent cx="5398770" cy="7637145"/>
          <wp:effectExtent l="19050" t="0" r="0" b="0"/>
          <wp:docPr id="13" name="Picture 13"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ghtblue.jpg"/>
                  <pic:cNvPicPr>
                    <a:picLocks noChangeAspect="1" noChangeArrowheads="1"/>
                  </pic:cNvPicPr>
                </pic:nvPicPr>
                <pic:blipFill>
                  <a:blip r:embed="rId2"/>
                  <a:srcRect/>
                  <a:stretch>
                    <a:fillRect/>
                  </a:stretch>
                </pic:blipFill>
                <pic:spPr bwMode="auto">
                  <a:xfrm>
                    <a:off x="0" y="0"/>
                    <a:ext cx="5398770" cy="763714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3CC" w:rsidRDefault="00CB13C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3CC" w:rsidRDefault="00CB13CC">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3CC" w:rsidRDefault="00CB13CC">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3CC" w:rsidRDefault="00CB13C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3CC" w:rsidRDefault="00CB13CC">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3CC" w:rsidRDefault="00CB13CC" w:rsidP="006E08B3">
    <w:r>
      <w:t>Therapeutic Goods Administration</w:t>
    </w:r>
  </w:p>
  <w:p w:rsidR="00CB13CC" w:rsidRDefault="00CB13CC"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45EF"/>
    <w:multiLevelType w:val="hybridMultilevel"/>
    <w:tmpl w:val="27F67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FA7E9E"/>
    <w:multiLevelType w:val="hybridMultilevel"/>
    <w:tmpl w:val="78467FB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AAF0B7B"/>
    <w:multiLevelType w:val="hybridMultilevel"/>
    <w:tmpl w:val="4914D8E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4BA58D8"/>
    <w:multiLevelType w:val="hybridMultilevel"/>
    <w:tmpl w:val="1A9A1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A957C3B"/>
    <w:multiLevelType w:val="hybridMultilevel"/>
    <w:tmpl w:val="6A3E5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DD53CE4"/>
    <w:multiLevelType w:val="hybridMultilevel"/>
    <w:tmpl w:val="6888B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E75F88"/>
    <w:multiLevelType w:val="hybridMultilevel"/>
    <w:tmpl w:val="398653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9AD7D17"/>
    <w:multiLevelType w:val="hybridMultilevel"/>
    <w:tmpl w:val="68CCC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4CD5C19"/>
    <w:multiLevelType w:val="hybridMultilevel"/>
    <w:tmpl w:val="CE8447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6E11953"/>
    <w:multiLevelType w:val="hybridMultilevel"/>
    <w:tmpl w:val="83E0C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CC34DC8"/>
    <w:multiLevelType w:val="hybridMultilevel"/>
    <w:tmpl w:val="801E9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D133849"/>
    <w:multiLevelType w:val="hybridMultilevel"/>
    <w:tmpl w:val="FD52C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E7C5717"/>
    <w:multiLevelType w:val="hybridMultilevel"/>
    <w:tmpl w:val="B5923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BD90CF7"/>
    <w:multiLevelType w:val="hybridMultilevel"/>
    <w:tmpl w:val="1AA47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011645D"/>
    <w:multiLevelType w:val="hybridMultilevel"/>
    <w:tmpl w:val="11C2C00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F5E5D1C"/>
    <w:multiLevelType w:val="hybridMultilevel"/>
    <w:tmpl w:val="8798656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7AA27CDC"/>
    <w:multiLevelType w:val="hybridMultilevel"/>
    <w:tmpl w:val="95626530"/>
    <w:lvl w:ilvl="0" w:tplc="0C09000F">
      <w:start w:val="1"/>
      <w:numFmt w:val="bullet"/>
      <w:lvlText w:val=""/>
      <w:lvlJc w:val="left"/>
      <w:pPr>
        <w:ind w:left="1440" w:hanging="360"/>
      </w:pPr>
      <w:rPr>
        <w:rFonts w:ascii="Symbol" w:hAnsi="Symbol" w:hint="default"/>
      </w:rPr>
    </w:lvl>
    <w:lvl w:ilvl="1" w:tplc="0C090019" w:tentative="1">
      <w:start w:val="1"/>
      <w:numFmt w:val="bullet"/>
      <w:lvlText w:val="o"/>
      <w:lvlJc w:val="left"/>
      <w:pPr>
        <w:ind w:left="2160" w:hanging="360"/>
      </w:pPr>
      <w:rPr>
        <w:rFonts w:ascii="Courier New" w:hAnsi="Courier New" w:cs="Courier New" w:hint="default"/>
      </w:rPr>
    </w:lvl>
    <w:lvl w:ilvl="2" w:tplc="0C09001B" w:tentative="1">
      <w:start w:val="1"/>
      <w:numFmt w:val="bullet"/>
      <w:lvlText w:val=""/>
      <w:lvlJc w:val="left"/>
      <w:pPr>
        <w:ind w:left="2880" w:hanging="360"/>
      </w:pPr>
      <w:rPr>
        <w:rFonts w:ascii="Wingdings" w:hAnsi="Wingdings" w:hint="default"/>
      </w:rPr>
    </w:lvl>
    <w:lvl w:ilvl="3" w:tplc="0C09000F" w:tentative="1">
      <w:start w:val="1"/>
      <w:numFmt w:val="bullet"/>
      <w:lvlText w:val=""/>
      <w:lvlJc w:val="left"/>
      <w:pPr>
        <w:ind w:left="3600" w:hanging="360"/>
      </w:pPr>
      <w:rPr>
        <w:rFonts w:ascii="Symbol" w:hAnsi="Symbol" w:hint="default"/>
      </w:rPr>
    </w:lvl>
    <w:lvl w:ilvl="4" w:tplc="0C090019" w:tentative="1">
      <w:start w:val="1"/>
      <w:numFmt w:val="bullet"/>
      <w:lvlText w:val="o"/>
      <w:lvlJc w:val="left"/>
      <w:pPr>
        <w:ind w:left="4320" w:hanging="360"/>
      </w:pPr>
      <w:rPr>
        <w:rFonts w:ascii="Courier New" w:hAnsi="Courier New" w:cs="Courier New" w:hint="default"/>
      </w:rPr>
    </w:lvl>
    <w:lvl w:ilvl="5" w:tplc="0C09001B" w:tentative="1">
      <w:start w:val="1"/>
      <w:numFmt w:val="bullet"/>
      <w:lvlText w:val=""/>
      <w:lvlJc w:val="left"/>
      <w:pPr>
        <w:ind w:left="5040" w:hanging="360"/>
      </w:pPr>
      <w:rPr>
        <w:rFonts w:ascii="Wingdings" w:hAnsi="Wingdings" w:hint="default"/>
      </w:rPr>
    </w:lvl>
    <w:lvl w:ilvl="6" w:tplc="0C09000F" w:tentative="1">
      <w:start w:val="1"/>
      <w:numFmt w:val="bullet"/>
      <w:lvlText w:val=""/>
      <w:lvlJc w:val="left"/>
      <w:pPr>
        <w:ind w:left="5760" w:hanging="360"/>
      </w:pPr>
      <w:rPr>
        <w:rFonts w:ascii="Symbol" w:hAnsi="Symbol" w:hint="default"/>
      </w:rPr>
    </w:lvl>
    <w:lvl w:ilvl="7" w:tplc="0C090019" w:tentative="1">
      <w:start w:val="1"/>
      <w:numFmt w:val="bullet"/>
      <w:lvlText w:val="o"/>
      <w:lvlJc w:val="left"/>
      <w:pPr>
        <w:ind w:left="6480" w:hanging="360"/>
      </w:pPr>
      <w:rPr>
        <w:rFonts w:ascii="Courier New" w:hAnsi="Courier New" w:cs="Courier New" w:hint="default"/>
      </w:rPr>
    </w:lvl>
    <w:lvl w:ilvl="8" w:tplc="0C09001B" w:tentative="1">
      <w:start w:val="1"/>
      <w:numFmt w:val="bullet"/>
      <w:lvlText w:val=""/>
      <w:lvlJc w:val="left"/>
      <w:pPr>
        <w:ind w:left="7200" w:hanging="360"/>
      </w:pPr>
      <w:rPr>
        <w:rFonts w:ascii="Wingdings" w:hAnsi="Wingdings" w:hint="default"/>
      </w:rPr>
    </w:lvl>
  </w:abstractNum>
  <w:abstractNum w:abstractNumId="19">
    <w:nsid w:val="7C60494C"/>
    <w:multiLevelType w:val="hybridMultilevel"/>
    <w:tmpl w:val="49989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5"/>
  </w:num>
  <w:num w:numId="4">
    <w:abstractNumId w:val="3"/>
  </w:num>
  <w:num w:numId="5">
    <w:abstractNumId w:val="15"/>
  </w:num>
  <w:num w:numId="6">
    <w:abstractNumId w:val="11"/>
  </w:num>
  <w:num w:numId="7">
    <w:abstractNumId w:val="7"/>
  </w:num>
  <w:num w:numId="8">
    <w:abstractNumId w:val="14"/>
  </w:num>
  <w:num w:numId="9">
    <w:abstractNumId w:val="16"/>
  </w:num>
  <w:num w:numId="10">
    <w:abstractNumId w:val="2"/>
  </w:num>
  <w:num w:numId="11">
    <w:abstractNumId w:val="6"/>
  </w:num>
  <w:num w:numId="12">
    <w:abstractNumId w:val="17"/>
  </w:num>
  <w:num w:numId="13">
    <w:abstractNumId w:val="9"/>
  </w:num>
  <w:num w:numId="14">
    <w:abstractNumId w:val="18"/>
  </w:num>
  <w:num w:numId="15">
    <w:abstractNumId w:val="8"/>
  </w:num>
  <w:num w:numId="16">
    <w:abstractNumId w:val="0"/>
  </w:num>
  <w:num w:numId="17">
    <w:abstractNumId w:val="4"/>
  </w:num>
  <w:num w:numId="18">
    <w:abstractNumId w:val="13"/>
  </w:num>
  <w:num w:numId="19">
    <w:abstractNumId w:val="1"/>
  </w:num>
  <w:num w:numId="20">
    <w:abstractNumId w:val="19"/>
  </w:num>
  <w:num w:numId="21">
    <w:abstractNumId w:val="12"/>
  </w:num>
  <w:num w:numId="22">
    <w:abstractNumId w:val="1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stylePaneFormatFilter w:val="1001"/>
  <w:stylePaneSortMethod w:val="0000"/>
  <w:defaultTabStop w:val="720"/>
  <w:defaultTableStyle w:val="TableTGAblack"/>
  <w:drawingGridHorizontalSpacing w:val="110"/>
  <w:displayHorizontalDrawingGridEvery w:val="2"/>
  <w:characterSpacingControl w:val="doNotCompress"/>
  <w:hdrShapeDefaults>
    <o:shapedefaults v:ext="edit" spidmax="49154">
      <o:colormenu v:ext="edit" fillcolor="none [3206]"/>
    </o:shapedefaults>
  </w:hdrShapeDefaults>
  <w:footnotePr>
    <w:footnote w:id="-1"/>
    <w:footnote w:id="0"/>
  </w:footnotePr>
  <w:endnotePr>
    <w:endnote w:id="-1"/>
    <w:endnote w:id="0"/>
  </w:endnotePr>
  <w:compat/>
  <w:rsids>
    <w:rsidRoot w:val="00C70D53"/>
    <w:rsid w:val="00002031"/>
    <w:rsid w:val="0000459B"/>
    <w:rsid w:val="00004734"/>
    <w:rsid w:val="000064B0"/>
    <w:rsid w:val="00006B22"/>
    <w:rsid w:val="0001276A"/>
    <w:rsid w:val="00012CBF"/>
    <w:rsid w:val="00015029"/>
    <w:rsid w:val="0001796F"/>
    <w:rsid w:val="00020F9F"/>
    <w:rsid w:val="000246AE"/>
    <w:rsid w:val="00025C67"/>
    <w:rsid w:val="00036EBE"/>
    <w:rsid w:val="0005559E"/>
    <w:rsid w:val="00063E56"/>
    <w:rsid w:val="00066B78"/>
    <w:rsid w:val="00077775"/>
    <w:rsid w:val="000803D8"/>
    <w:rsid w:val="00080A4F"/>
    <w:rsid w:val="00086829"/>
    <w:rsid w:val="00090471"/>
    <w:rsid w:val="000948D2"/>
    <w:rsid w:val="00095BE6"/>
    <w:rsid w:val="000A2AF4"/>
    <w:rsid w:val="000A495B"/>
    <w:rsid w:val="000B3532"/>
    <w:rsid w:val="000B3A75"/>
    <w:rsid w:val="000C13C7"/>
    <w:rsid w:val="000C2377"/>
    <w:rsid w:val="000C690F"/>
    <w:rsid w:val="000C6CE7"/>
    <w:rsid w:val="000D1295"/>
    <w:rsid w:val="000D26EB"/>
    <w:rsid w:val="000D391B"/>
    <w:rsid w:val="000D3D6D"/>
    <w:rsid w:val="000D4FC7"/>
    <w:rsid w:val="000D5553"/>
    <w:rsid w:val="000E3C80"/>
    <w:rsid w:val="000F4869"/>
    <w:rsid w:val="000F5B42"/>
    <w:rsid w:val="000F6A34"/>
    <w:rsid w:val="000F6E6F"/>
    <w:rsid w:val="00104120"/>
    <w:rsid w:val="0010601F"/>
    <w:rsid w:val="0010788A"/>
    <w:rsid w:val="00107A31"/>
    <w:rsid w:val="00110EA5"/>
    <w:rsid w:val="00112F56"/>
    <w:rsid w:val="00114E1C"/>
    <w:rsid w:val="0011598D"/>
    <w:rsid w:val="001167B1"/>
    <w:rsid w:val="00125318"/>
    <w:rsid w:val="00125856"/>
    <w:rsid w:val="001305A2"/>
    <w:rsid w:val="00133238"/>
    <w:rsid w:val="00134868"/>
    <w:rsid w:val="00141469"/>
    <w:rsid w:val="0014197B"/>
    <w:rsid w:val="00141CB6"/>
    <w:rsid w:val="001447CD"/>
    <w:rsid w:val="00147692"/>
    <w:rsid w:val="0015111E"/>
    <w:rsid w:val="001516B1"/>
    <w:rsid w:val="00154EBB"/>
    <w:rsid w:val="00156316"/>
    <w:rsid w:val="001612F2"/>
    <w:rsid w:val="00165389"/>
    <w:rsid w:val="001668BD"/>
    <w:rsid w:val="00167EFC"/>
    <w:rsid w:val="001725A8"/>
    <w:rsid w:val="00173084"/>
    <w:rsid w:val="0017693F"/>
    <w:rsid w:val="0018110E"/>
    <w:rsid w:val="00181684"/>
    <w:rsid w:val="00181C0A"/>
    <w:rsid w:val="001833A7"/>
    <w:rsid w:val="001843C6"/>
    <w:rsid w:val="001850E0"/>
    <w:rsid w:val="001870D4"/>
    <w:rsid w:val="00190A97"/>
    <w:rsid w:val="001911FD"/>
    <w:rsid w:val="00195077"/>
    <w:rsid w:val="001A2158"/>
    <w:rsid w:val="001A30F1"/>
    <w:rsid w:val="001A4440"/>
    <w:rsid w:val="001A525F"/>
    <w:rsid w:val="001B09F9"/>
    <w:rsid w:val="001B6448"/>
    <w:rsid w:val="001B6C6C"/>
    <w:rsid w:val="001D14E1"/>
    <w:rsid w:val="001D7EA2"/>
    <w:rsid w:val="001E07CF"/>
    <w:rsid w:val="001E2502"/>
    <w:rsid w:val="001E59F1"/>
    <w:rsid w:val="001E787D"/>
    <w:rsid w:val="001F32DD"/>
    <w:rsid w:val="001F49EB"/>
    <w:rsid w:val="001F6CBA"/>
    <w:rsid w:val="001F6D23"/>
    <w:rsid w:val="00201D4E"/>
    <w:rsid w:val="00213FA2"/>
    <w:rsid w:val="002172E7"/>
    <w:rsid w:val="00217CB0"/>
    <w:rsid w:val="00220B8A"/>
    <w:rsid w:val="00222C28"/>
    <w:rsid w:val="0022466B"/>
    <w:rsid w:val="002257F3"/>
    <w:rsid w:val="002328A9"/>
    <w:rsid w:val="00233456"/>
    <w:rsid w:val="002339A5"/>
    <w:rsid w:val="002360DF"/>
    <w:rsid w:val="00236963"/>
    <w:rsid w:val="00241DD8"/>
    <w:rsid w:val="00243122"/>
    <w:rsid w:val="00245BE2"/>
    <w:rsid w:val="00257848"/>
    <w:rsid w:val="00261A88"/>
    <w:rsid w:val="00264259"/>
    <w:rsid w:val="00266A71"/>
    <w:rsid w:val="00266D1A"/>
    <w:rsid w:val="0027084A"/>
    <w:rsid w:val="00276609"/>
    <w:rsid w:val="00276B61"/>
    <w:rsid w:val="002808E3"/>
    <w:rsid w:val="00282D59"/>
    <w:rsid w:val="00286434"/>
    <w:rsid w:val="00286C59"/>
    <w:rsid w:val="002942D1"/>
    <w:rsid w:val="0029501A"/>
    <w:rsid w:val="00297403"/>
    <w:rsid w:val="002A785D"/>
    <w:rsid w:val="002B1638"/>
    <w:rsid w:val="002B37CA"/>
    <w:rsid w:val="002C22C9"/>
    <w:rsid w:val="002C2F98"/>
    <w:rsid w:val="002D147C"/>
    <w:rsid w:val="002D60D0"/>
    <w:rsid w:val="002E4C9A"/>
    <w:rsid w:val="002E52C1"/>
    <w:rsid w:val="002F030F"/>
    <w:rsid w:val="002F11F8"/>
    <w:rsid w:val="002F3F56"/>
    <w:rsid w:val="002F430F"/>
    <w:rsid w:val="002F44B5"/>
    <w:rsid w:val="002F57E8"/>
    <w:rsid w:val="00303B51"/>
    <w:rsid w:val="003050CC"/>
    <w:rsid w:val="00305850"/>
    <w:rsid w:val="00311AC0"/>
    <w:rsid w:val="003173D7"/>
    <w:rsid w:val="00317CE8"/>
    <w:rsid w:val="00323AD8"/>
    <w:rsid w:val="0032583B"/>
    <w:rsid w:val="00327883"/>
    <w:rsid w:val="0033005F"/>
    <w:rsid w:val="003317FF"/>
    <w:rsid w:val="003345D2"/>
    <w:rsid w:val="00334B4B"/>
    <w:rsid w:val="00335504"/>
    <w:rsid w:val="003423B4"/>
    <w:rsid w:val="00345D85"/>
    <w:rsid w:val="003521E8"/>
    <w:rsid w:val="0037043D"/>
    <w:rsid w:val="00371F4A"/>
    <w:rsid w:val="003728F3"/>
    <w:rsid w:val="00374279"/>
    <w:rsid w:val="0037496E"/>
    <w:rsid w:val="0038244D"/>
    <w:rsid w:val="00386150"/>
    <w:rsid w:val="0038732D"/>
    <w:rsid w:val="003874CE"/>
    <w:rsid w:val="00390900"/>
    <w:rsid w:val="00396261"/>
    <w:rsid w:val="003977AC"/>
    <w:rsid w:val="003A6156"/>
    <w:rsid w:val="003A7F6C"/>
    <w:rsid w:val="003B0F9B"/>
    <w:rsid w:val="003B31F5"/>
    <w:rsid w:val="003B4D60"/>
    <w:rsid w:val="003B7E39"/>
    <w:rsid w:val="003C0D9F"/>
    <w:rsid w:val="003C58DC"/>
    <w:rsid w:val="003C7E47"/>
    <w:rsid w:val="003D1AE5"/>
    <w:rsid w:val="003D1E62"/>
    <w:rsid w:val="003D7822"/>
    <w:rsid w:val="003E2486"/>
    <w:rsid w:val="003E3208"/>
    <w:rsid w:val="003E5D83"/>
    <w:rsid w:val="003F0B04"/>
    <w:rsid w:val="003F4AAF"/>
    <w:rsid w:val="003F7764"/>
    <w:rsid w:val="004012F9"/>
    <w:rsid w:val="0040134E"/>
    <w:rsid w:val="00411BFD"/>
    <w:rsid w:val="004135C0"/>
    <w:rsid w:val="00413D7A"/>
    <w:rsid w:val="00414558"/>
    <w:rsid w:val="00420EAB"/>
    <w:rsid w:val="0042271B"/>
    <w:rsid w:val="00432E50"/>
    <w:rsid w:val="00440A2D"/>
    <w:rsid w:val="0044368B"/>
    <w:rsid w:val="004564A7"/>
    <w:rsid w:val="004617BF"/>
    <w:rsid w:val="00463632"/>
    <w:rsid w:val="00463658"/>
    <w:rsid w:val="00464571"/>
    <w:rsid w:val="00470031"/>
    <w:rsid w:val="004722CC"/>
    <w:rsid w:val="0048250C"/>
    <w:rsid w:val="004936E4"/>
    <w:rsid w:val="00494E60"/>
    <w:rsid w:val="00497487"/>
    <w:rsid w:val="004A0A9A"/>
    <w:rsid w:val="004A3C84"/>
    <w:rsid w:val="004A3F2A"/>
    <w:rsid w:val="004A4DCD"/>
    <w:rsid w:val="004A51FB"/>
    <w:rsid w:val="004A74C3"/>
    <w:rsid w:val="004B7B76"/>
    <w:rsid w:val="004C12FD"/>
    <w:rsid w:val="004C2704"/>
    <w:rsid w:val="004C2DCA"/>
    <w:rsid w:val="004D16B1"/>
    <w:rsid w:val="004F0F38"/>
    <w:rsid w:val="004F27D1"/>
    <w:rsid w:val="004F5A3C"/>
    <w:rsid w:val="00501921"/>
    <w:rsid w:val="00512D42"/>
    <w:rsid w:val="00517ABE"/>
    <w:rsid w:val="00530354"/>
    <w:rsid w:val="00531687"/>
    <w:rsid w:val="0053625B"/>
    <w:rsid w:val="005434C6"/>
    <w:rsid w:val="00543B39"/>
    <w:rsid w:val="00544167"/>
    <w:rsid w:val="00550096"/>
    <w:rsid w:val="005516BF"/>
    <w:rsid w:val="00553782"/>
    <w:rsid w:val="00557FF9"/>
    <w:rsid w:val="00572C72"/>
    <w:rsid w:val="00576141"/>
    <w:rsid w:val="00576378"/>
    <w:rsid w:val="00577945"/>
    <w:rsid w:val="00577E38"/>
    <w:rsid w:val="00585322"/>
    <w:rsid w:val="005857C6"/>
    <w:rsid w:val="00592F6E"/>
    <w:rsid w:val="00593AD1"/>
    <w:rsid w:val="00593BB6"/>
    <w:rsid w:val="005963DF"/>
    <w:rsid w:val="005A316E"/>
    <w:rsid w:val="005A3E25"/>
    <w:rsid w:val="005A52FB"/>
    <w:rsid w:val="005A68B6"/>
    <w:rsid w:val="005B6651"/>
    <w:rsid w:val="005C5570"/>
    <w:rsid w:val="005C79A4"/>
    <w:rsid w:val="005D5442"/>
    <w:rsid w:val="005E50FA"/>
    <w:rsid w:val="005F3CFC"/>
    <w:rsid w:val="00603F32"/>
    <w:rsid w:val="00606740"/>
    <w:rsid w:val="006203A5"/>
    <w:rsid w:val="00622BC6"/>
    <w:rsid w:val="00623D6E"/>
    <w:rsid w:val="00632398"/>
    <w:rsid w:val="00637420"/>
    <w:rsid w:val="00640FC3"/>
    <w:rsid w:val="00642020"/>
    <w:rsid w:val="00650851"/>
    <w:rsid w:val="00651480"/>
    <w:rsid w:val="0065337B"/>
    <w:rsid w:val="0065419D"/>
    <w:rsid w:val="00655C38"/>
    <w:rsid w:val="00655F6A"/>
    <w:rsid w:val="006604D8"/>
    <w:rsid w:val="00664A5B"/>
    <w:rsid w:val="00664DE1"/>
    <w:rsid w:val="0066740E"/>
    <w:rsid w:val="00671871"/>
    <w:rsid w:val="00672942"/>
    <w:rsid w:val="006763D2"/>
    <w:rsid w:val="00680C08"/>
    <w:rsid w:val="006931B1"/>
    <w:rsid w:val="006A15C0"/>
    <w:rsid w:val="006A664F"/>
    <w:rsid w:val="006A69ED"/>
    <w:rsid w:val="006B791B"/>
    <w:rsid w:val="006C3A3A"/>
    <w:rsid w:val="006C3E2A"/>
    <w:rsid w:val="006C642F"/>
    <w:rsid w:val="006D03E5"/>
    <w:rsid w:val="006D5D3E"/>
    <w:rsid w:val="006E04CE"/>
    <w:rsid w:val="006E08B3"/>
    <w:rsid w:val="006E7936"/>
    <w:rsid w:val="006F17AC"/>
    <w:rsid w:val="006F1C1C"/>
    <w:rsid w:val="006F572E"/>
    <w:rsid w:val="007046D6"/>
    <w:rsid w:val="00705DB0"/>
    <w:rsid w:val="00712912"/>
    <w:rsid w:val="007211A8"/>
    <w:rsid w:val="00722B57"/>
    <w:rsid w:val="0074253D"/>
    <w:rsid w:val="0074429B"/>
    <w:rsid w:val="007454E7"/>
    <w:rsid w:val="00752ED1"/>
    <w:rsid w:val="007615BC"/>
    <w:rsid w:val="00762F05"/>
    <w:rsid w:val="00763A70"/>
    <w:rsid w:val="007652FF"/>
    <w:rsid w:val="00770EF1"/>
    <w:rsid w:val="00773EF7"/>
    <w:rsid w:val="00774E1D"/>
    <w:rsid w:val="0077675A"/>
    <w:rsid w:val="00780355"/>
    <w:rsid w:val="0078076B"/>
    <w:rsid w:val="00782288"/>
    <w:rsid w:val="00785721"/>
    <w:rsid w:val="00787A4A"/>
    <w:rsid w:val="0079021C"/>
    <w:rsid w:val="00793A59"/>
    <w:rsid w:val="007A486D"/>
    <w:rsid w:val="007B5C3E"/>
    <w:rsid w:val="007B6E9F"/>
    <w:rsid w:val="007C1216"/>
    <w:rsid w:val="007C1AF7"/>
    <w:rsid w:val="007C6D0B"/>
    <w:rsid w:val="007D050E"/>
    <w:rsid w:val="007D49AE"/>
    <w:rsid w:val="007D6ECA"/>
    <w:rsid w:val="007E1AE9"/>
    <w:rsid w:val="007E5FEF"/>
    <w:rsid w:val="007F1A72"/>
    <w:rsid w:val="007F362B"/>
    <w:rsid w:val="00805D27"/>
    <w:rsid w:val="008209A4"/>
    <w:rsid w:val="00821776"/>
    <w:rsid w:val="00830E84"/>
    <w:rsid w:val="008321F5"/>
    <w:rsid w:val="00832369"/>
    <w:rsid w:val="00832C73"/>
    <w:rsid w:val="00834660"/>
    <w:rsid w:val="00836BC2"/>
    <w:rsid w:val="0084615B"/>
    <w:rsid w:val="0085641B"/>
    <w:rsid w:val="00857136"/>
    <w:rsid w:val="00863688"/>
    <w:rsid w:val="00886D15"/>
    <w:rsid w:val="00887DD8"/>
    <w:rsid w:val="00890A91"/>
    <w:rsid w:val="00896018"/>
    <w:rsid w:val="008960DD"/>
    <w:rsid w:val="0089635C"/>
    <w:rsid w:val="008A2B9D"/>
    <w:rsid w:val="008A2D7C"/>
    <w:rsid w:val="008A3935"/>
    <w:rsid w:val="008A5E0B"/>
    <w:rsid w:val="008A6D59"/>
    <w:rsid w:val="008B1ACD"/>
    <w:rsid w:val="008B4B03"/>
    <w:rsid w:val="008B596F"/>
    <w:rsid w:val="008C159F"/>
    <w:rsid w:val="008C1623"/>
    <w:rsid w:val="008C2D70"/>
    <w:rsid w:val="008C51A9"/>
    <w:rsid w:val="008D3D93"/>
    <w:rsid w:val="008D632D"/>
    <w:rsid w:val="008E7840"/>
    <w:rsid w:val="008E7846"/>
    <w:rsid w:val="008F1CCC"/>
    <w:rsid w:val="008F2967"/>
    <w:rsid w:val="008F6943"/>
    <w:rsid w:val="00900FBD"/>
    <w:rsid w:val="00902A21"/>
    <w:rsid w:val="00906D34"/>
    <w:rsid w:val="00920330"/>
    <w:rsid w:val="009219D7"/>
    <w:rsid w:val="00922D53"/>
    <w:rsid w:val="00923B70"/>
    <w:rsid w:val="00924482"/>
    <w:rsid w:val="00924C3F"/>
    <w:rsid w:val="00925371"/>
    <w:rsid w:val="00926784"/>
    <w:rsid w:val="00930237"/>
    <w:rsid w:val="00935F4E"/>
    <w:rsid w:val="00936A57"/>
    <w:rsid w:val="00941A65"/>
    <w:rsid w:val="00946EA5"/>
    <w:rsid w:val="0096213B"/>
    <w:rsid w:val="00963C08"/>
    <w:rsid w:val="00973C1B"/>
    <w:rsid w:val="0098014D"/>
    <w:rsid w:val="0098585A"/>
    <w:rsid w:val="00986126"/>
    <w:rsid w:val="00995ED1"/>
    <w:rsid w:val="009A4CED"/>
    <w:rsid w:val="009A648B"/>
    <w:rsid w:val="009A690D"/>
    <w:rsid w:val="009A77A9"/>
    <w:rsid w:val="009B1D12"/>
    <w:rsid w:val="009B2CE7"/>
    <w:rsid w:val="009B416B"/>
    <w:rsid w:val="009B59BF"/>
    <w:rsid w:val="009C06D0"/>
    <w:rsid w:val="009C4BD5"/>
    <w:rsid w:val="009D7B77"/>
    <w:rsid w:val="009E0BB0"/>
    <w:rsid w:val="009E3FBB"/>
    <w:rsid w:val="009F5A09"/>
    <w:rsid w:val="00A03203"/>
    <w:rsid w:val="00A102E4"/>
    <w:rsid w:val="00A12C42"/>
    <w:rsid w:val="00A14DF7"/>
    <w:rsid w:val="00A20B85"/>
    <w:rsid w:val="00A3246D"/>
    <w:rsid w:val="00A33D6A"/>
    <w:rsid w:val="00A36FA7"/>
    <w:rsid w:val="00A439D2"/>
    <w:rsid w:val="00A475B7"/>
    <w:rsid w:val="00A47AF7"/>
    <w:rsid w:val="00A47C3E"/>
    <w:rsid w:val="00A50226"/>
    <w:rsid w:val="00A60BAD"/>
    <w:rsid w:val="00A720D3"/>
    <w:rsid w:val="00A7767E"/>
    <w:rsid w:val="00A82518"/>
    <w:rsid w:val="00A83FA6"/>
    <w:rsid w:val="00A866C3"/>
    <w:rsid w:val="00A87AB8"/>
    <w:rsid w:val="00A91E0C"/>
    <w:rsid w:val="00A9469A"/>
    <w:rsid w:val="00A95BB6"/>
    <w:rsid w:val="00A964D1"/>
    <w:rsid w:val="00AA0BC5"/>
    <w:rsid w:val="00AA0ED0"/>
    <w:rsid w:val="00AC1C6B"/>
    <w:rsid w:val="00AC2B40"/>
    <w:rsid w:val="00AC2BB2"/>
    <w:rsid w:val="00AC2C3C"/>
    <w:rsid w:val="00AC3022"/>
    <w:rsid w:val="00AC512D"/>
    <w:rsid w:val="00AD00B5"/>
    <w:rsid w:val="00AD6A39"/>
    <w:rsid w:val="00AE15F6"/>
    <w:rsid w:val="00AE2720"/>
    <w:rsid w:val="00AE3360"/>
    <w:rsid w:val="00AE65EB"/>
    <w:rsid w:val="00AE67A7"/>
    <w:rsid w:val="00AF06FB"/>
    <w:rsid w:val="00AF1D94"/>
    <w:rsid w:val="00AF377A"/>
    <w:rsid w:val="00AF60BA"/>
    <w:rsid w:val="00AF60C5"/>
    <w:rsid w:val="00B009C6"/>
    <w:rsid w:val="00B01548"/>
    <w:rsid w:val="00B06143"/>
    <w:rsid w:val="00B131CA"/>
    <w:rsid w:val="00B17B3B"/>
    <w:rsid w:val="00B21D29"/>
    <w:rsid w:val="00B25034"/>
    <w:rsid w:val="00B2615E"/>
    <w:rsid w:val="00B33588"/>
    <w:rsid w:val="00B33863"/>
    <w:rsid w:val="00B353A2"/>
    <w:rsid w:val="00B37D17"/>
    <w:rsid w:val="00B4175E"/>
    <w:rsid w:val="00B42EEC"/>
    <w:rsid w:val="00B430CC"/>
    <w:rsid w:val="00B452CE"/>
    <w:rsid w:val="00B50A6C"/>
    <w:rsid w:val="00B54C25"/>
    <w:rsid w:val="00B57788"/>
    <w:rsid w:val="00B60F4C"/>
    <w:rsid w:val="00B76B91"/>
    <w:rsid w:val="00B77EB1"/>
    <w:rsid w:val="00B811C6"/>
    <w:rsid w:val="00B86753"/>
    <w:rsid w:val="00B92E08"/>
    <w:rsid w:val="00B954D5"/>
    <w:rsid w:val="00BA550E"/>
    <w:rsid w:val="00BA7D36"/>
    <w:rsid w:val="00BB1DCB"/>
    <w:rsid w:val="00BC622A"/>
    <w:rsid w:val="00BE0862"/>
    <w:rsid w:val="00BE0A78"/>
    <w:rsid w:val="00BE208F"/>
    <w:rsid w:val="00BE46ED"/>
    <w:rsid w:val="00BE79F0"/>
    <w:rsid w:val="00BF046D"/>
    <w:rsid w:val="00BF2DB8"/>
    <w:rsid w:val="00BF3AB4"/>
    <w:rsid w:val="00BF5D04"/>
    <w:rsid w:val="00C0336D"/>
    <w:rsid w:val="00C05E72"/>
    <w:rsid w:val="00C1164D"/>
    <w:rsid w:val="00C16861"/>
    <w:rsid w:val="00C21FB9"/>
    <w:rsid w:val="00C273D7"/>
    <w:rsid w:val="00C404A6"/>
    <w:rsid w:val="00C40A36"/>
    <w:rsid w:val="00C44419"/>
    <w:rsid w:val="00C44E96"/>
    <w:rsid w:val="00C45E7B"/>
    <w:rsid w:val="00C466AA"/>
    <w:rsid w:val="00C471B1"/>
    <w:rsid w:val="00C6316B"/>
    <w:rsid w:val="00C634A9"/>
    <w:rsid w:val="00C64586"/>
    <w:rsid w:val="00C705F5"/>
    <w:rsid w:val="00C70D53"/>
    <w:rsid w:val="00C70E1C"/>
    <w:rsid w:val="00C72AB2"/>
    <w:rsid w:val="00C73D0B"/>
    <w:rsid w:val="00C772FF"/>
    <w:rsid w:val="00C801AF"/>
    <w:rsid w:val="00C80256"/>
    <w:rsid w:val="00C90369"/>
    <w:rsid w:val="00C90CF3"/>
    <w:rsid w:val="00CA771A"/>
    <w:rsid w:val="00CA7774"/>
    <w:rsid w:val="00CB113F"/>
    <w:rsid w:val="00CB13CC"/>
    <w:rsid w:val="00CB5C42"/>
    <w:rsid w:val="00CB659D"/>
    <w:rsid w:val="00CB6BC0"/>
    <w:rsid w:val="00CB7008"/>
    <w:rsid w:val="00CC0AD4"/>
    <w:rsid w:val="00CC1B7C"/>
    <w:rsid w:val="00CC30E7"/>
    <w:rsid w:val="00CC727F"/>
    <w:rsid w:val="00CC78C4"/>
    <w:rsid w:val="00CD1367"/>
    <w:rsid w:val="00CD1931"/>
    <w:rsid w:val="00CD73FD"/>
    <w:rsid w:val="00CE6C35"/>
    <w:rsid w:val="00CF11EA"/>
    <w:rsid w:val="00CF15C3"/>
    <w:rsid w:val="00CF2B6F"/>
    <w:rsid w:val="00CF3723"/>
    <w:rsid w:val="00CF58B6"/>
    <w:rsid w:val="00CF6DE1"/>
    <w:rsid w:val="00D017ED"/>
    <w:rsid w:val="00D040D3"/>
    <w:rsid w:val="00D04C65"/>
    <w:rsid w:val="00D06CC8"/>
    <w:rsid w:val="00D10C56"/>
    <w:rsid w:val="00D132EB"/>
    <w:rsid w:val="00D13ECB"/>
    <w:rsid w:val="00D15E6B"/>
    <w:rsid w:val="00D224FE"/>
    <w:rsid w:val="00D25FCC"/>
    <w:rsid w:val="00D33D88"/>
    <w:rsid w:val="00D37C79"/>
    <w:rsid w:val="00D40EA7"/>
    <w:rsid w:val="00D46052"/>
    <w:rsid w:val="00D524BD"/>
    <w:rsid w:val="00D55E1D"/>
    <w:rsid w:val="00D57A1E"/>
    <w:rsid w:val="00D57EC6"/>
    <w:rsid w:val="00D6142F"/>
    <w:rsid w:val="00D6493E"/>
    <w:rsid w:val="00D723F4"/>
    <w:rsid w:val="00D7301E"/>
    <w:rsid w:val="00D73F3E"/>
    <w:rsid w:val="00D744F1"/>
    <w:rsid w:val="00D74EAA"/>
    <w:rsid w:val="00D818C7"/>
    <w:rsid w:val="00D819DB"/>
    <w:rsid w:val="00D83AE1"/>
    <w:rsid w:val="00D855D4"/>
    <w:rsid w:val="00D875B1"/>
    <w:rsid w:val="00D930DD"/>
    <w:rsid w:val="00D93466"/>
    <w:rsid w:val="00D95525"/>
    <w:rsid w:val="00D97EE1"/>
    <w:rsid w:val="00DA1124"/>
    <w:rsid w:val="00DA68A2"/>
    <w:rsid w:val="00DA7DEB"/>
    <w:rsid w:val="00DB37AC"/>
    <w:rsid w:val="00DB75B7"/>
    <w:rsid w:val="00DC6943"/>
    <w:rsid w:val="00DC6E02"/>
    <w:rsid w:val="00DD1182"/>
    <w:rsid w:val="00DD265D"/>
    <w:rsid w:val="00DD56EA"/>
    <w:rsid w:val="00DE02AE"/>
    <w:rsid w:val="00DE3A06"/>
    <w:rsid w:val="00DE7B14"/>
    <w:rsid w:val="00DF1D7F"/>
    <w:rsid w:val="00DF48B1"/>
    <w:rsid w:val="00DF4BE4"/>
    <w:rsid w:val="00DF4C96"/>
    <w:rsid w:val="00E02FB4"/>
    <w:rsid w:val="00E07F97"/>
    <w:rsid w:val="00E17397"/>
    <w:rsid w:val="00E2026F"/>
    <w:rsid w:val="00E20571"/>
    <w:rsid w:val="00E217BB"/>
    <w:rsid w:val="00E21BC6"/>
    <w:rsid w:val="00E235F7"/>
    <w:rsid w:val="00E23659"/>
    <w:rsid w:val="00E239D4"/>
    <w:rsid w:val="00E26130"/>
    <w:rsid w:val="00E30B76"/>
    <w:rsid w:val="00E345D2"/>
    <w:rsid w:val="00E3475B"/>
    <w:rsid w:val="00E34E47"/>
    <w:rsid w:val="00E350C1"/>
    <w:rsid w:val="00E40B22"/>
    <w:rsid w:val="00E43EA1"/>
    <w:rsid w:val="00E452B0"/>
    <w:rsid w:val="00E45619"/>
    <w:rsid w:val="00E4588F"/>
    <w:rsid w:val="00E46DA3"/>
    <w:rsid w:val="00E50D99"/>
    <w:rsid w:val="00E51BB1"/>
    <w:rsid w:val="00E52E0F"/>
    <w:rsid w:val="00E5490C"/>
    <w:rsid w:val="00E624A5"/>
    <w:rsid w:val="00E67E58"/>
    <w:rsid w:val="00E7344E"/>
    <w:rsid w:val="00E74373"/>
    <w:rsid w:val="00E76EDB"/>
    <w:rsid w:val="00E81E3D"/>
    <w:rsid w:val="00E8694A"/>
    <w:rsid w:val="00E86BDE"/>
    <w:rsid w:val="00E94090"/>
    <w:rsid w:val="00EA05DA"/>
    <w:rsid w:val="00EA7435"/>
    <w:rsid w:val="00EB0798"/>
    <w:rsid w:val="00EB0AA5"/>
    <w:rsid w:val="00EB40AD"/>
    <w:rsid w:val="00EB436A"/>
    <w:rsid w:val="00EB586E"/>
    <w:rsid w:val="00EB5FC8"/>
    <w:rsid w:val="00EB7E37"/>
    <w:rsid w:val="00EC6BE4"/>
    <w:rsid w:val="00ED3CAD"/>
    <w:rsid w:val="00ED5A41"/>
    <w:rsid w:val="00EE0687"/>
    <w:rsid w:val="00EE0DC3"/>
    <w:rsid w:val="00EE0EF0"/>
    <w:rsid w:val="00EE1DE8"/>
    <w:rsid w:val="00EE551F"/>
    <w:rsid w:val="00EF06B3"/>
    <w:rsid w:val="00EF3156"/>
    <w:rsid w:val="00EF418B"/>
    <w:rsid w:val="00F000FC"/>
    <w:rsid w:val="00F019C4"/>
    <w:rsid w:val="00F033EC"/>
    <w:rsid w:val="00F04F68"/>
    <w:rsid w:val="00F06265"/>
    <w:rsid w:val="00F12670"/>
    <w:rsid w:val="00F14B27"/>
    <w:rsid w:val="00F258F1"/>
    <w:rsid w:val="00F3148D"/>
    <w:rsid w:val="00F325C5"/>
    <w:rsid w:val="00F32FE0"/>
    <w:rsid w:val="00F35298"/>
    <w:rsid w:val="00F40E7B"/>
    <w:rsid w:val="00F43DAC"/>
    <w:rsid w:val="00F443D7"/>
    <w:rsid w:val="00F47333"/>
    <w:rsid w:val="00F47E37"/>
    <w:rsid w:val="00F52F8D"/>
    <w:rsid w:val="00F53C07"/>
    <w:rsid w:val="00F54B65"/>
    <w:rsid w:val="00F55F2D"/>
    <w:rsid w:val="00F57625"/>
    <w:rsid w:val="00F5789E"/>
    <w:rsid w:val="00F57BF3"/>
    <w:rsid w:val="00F61707"/>
    <w:rsid w:val="00F640B6"/>
    <w:rsid w:val="00F663BD"/>
    <w:rsid w:val="00F7000D"/>
    <w:rsid w:val="00F72BDB"/>
    <w:rsid w:val="00F73147"/>
    <w:rsid w:val="00F74933"/>
    <w:rsid w:val="00F74AD9"/>
    <w:rsid w:val="00F80E40"/>
    <w:rsid w:val="00F810C8"/>
    <w:rsid w:val="00F848D9"/>
    <w:rsid w:val="00F85F0A"/>
    <w:rsid w:val="00F917ED"/>
    <w:rsid w:val="00FA5B82"/>
    <w:rsid w:val="00FA639E"/>
    <w:rsid w:val="00FC25E4"/>
    <w:rsid w:val="00FC28A6"/>
    <w:rsid w:val="00FC4EF7"/>
    <w:rsid w:val="00FD1504"/>
    <w:rsid w:val="00FD1EDD"/>
    <w:rsid w:val="00FD47F0"/>
    <w:rsid w:val="00FD5991"/>
    <w:rsid w:val="00FE1DEE"/>
    <w:rsid w:val="00FE4DF7"/>
    <w:rsid w:val="00FF2126"/>
    <w:rsid w:val="00FF3534"/>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70EF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Normal"/>
    <w:next w:val="Normal"/>
    <w:link w:val="Heading7Char"/>
    <w:qFormat/>
    <w:rsid w:val="004722CC"/>
    <w:pPr>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F74AD9"/>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305850"/>
    <w:pPr>
      <w:spacing w:before="240" w:after="60"/>
      <w:outlineLvl w:val="8"/>
    </w:pPr>
    <w:rPr>
      <w:rFonts w:eastAsia="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8960DD"/>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Abbreviations">
    <w:name w:val="Abbreviations"/>
    <w:basedOn w:val="Normal"/>
    <w:rsid w:val="0000459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ListParagraph">
    <w:name w:val="List Paragraph"/>
    <w:basedOn w:val="Normal"/>
    <w:uiPriority w:val="34"/>
    <w:qFormat/>
    <w:rsid w:val="00B60F4C"/>
    <w:pPr>
      <w:adjustRightInd w:val="0"/>
      <w:snapToGrid w:val="0"/>
      <w:spacing w:before="0" w:after="0"/>
      <w:ind w:left="720"/>
      <w:contextualSpacing/>
    </w:pPr>
    <w:rPr>
      <w:rFonts w:eastAsia="MS Mincho"/>
      <w:szCs w:val="20"/>
      <w:lang w:eastAsia="ja-JP"/>
    </w:rPr>
  </w:style>
  <w:style w:type="paragraph" w:styleId="FootnoteText">
    <w:name w:val="footnote text"/>
    <w:basedOn w:val="Normal"/>
    <w:link w:val="FootnoteTextChar"/>
    <w:uiPriority w:val="99"/>
    <w:semiHidden/>
    <w:unhideWhenUsed/>
    <w:rsid w:val="000E3C80"/>
    <w:rPr>
      <w:sz w:val="20"/>
      <w:szCs w:val="20"/>
    </w:rPr>
  </w:style>
  <w:style w:type="character" w:customStyle="1" w:styleId="FootnoteTextChar">
    <w:name w:val="Footnote Text Char"/>
    <w:basedOn w:val="DefaultParagraphFont"/>
    <w:link w:val="FootnoteText"/>
    <w:uiPriority w:val="99"/>
    <w:semiHidden/>
    <w:rsid w:val="000E3C80"/>
    <w:rPr>
      <w:lang w:eastAsia="en-US"/>
    </w:rPr>
  </w:style>
  <w:style w:type="character" w:styleId="FootnoteReference">
    <w:name w:val="footnote reference"/>
    <w:basedOn w:val="DefaultParagraphFont"/>
    <w:uiPriority w:val="99"/>
    <w:semiHidden/>
    <w:unhideWhenUsed/>
    <w:rsid w:val="000E3C80"/>
    <w:rPr>
      <w:vertAlign w:val="superscript"/>
    </w:rPr>
  </w:style>
  <w:style w:type="paragraph" w:styleId="NoSpacing">
    <w:name w:val="No Spacing"/>
    <w:uiPriority w:val="1"/>
    <w:qFormat/>
    <w:rsid w:val="00CB113F"/>
    <w:rPr>
      <w:rFonts w:ascii="Calibri" w:eastAsia="Calibri" w:hAnsi="Calibri"/>
      <w:sz w:val="22"/>
      <w:szCs w:val="22"/>
      <w:lang w:eastAsia="en-US"/>
    </w:rPr>
  </w:style>
  <w:style w:type="character" w:customStyle="1" w:styleId="Heading8Char">
    <w:name w:val="Heading 8 Char"/>
    <w:basedOn w:val="DefaultParagraphFont"/>
    <w:link w:val="Heading8"/>
    <w:uiPriority w:val="9"/>
    <w:semiHidden/>
    <w:rsid w:val="00F74AD9"/>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semiHidden/>
    <w:rsid w:val="00305850"/>
    <w:rPr>
      <w:rFonts w:ascii="Cambria" w:eastAsia="Times New Roman" w:hAnsi="Cambria"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footer" Target="footer6.xml"/></Relationships>
</file>

<file path=word/_rels/footer5.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08BE2-338E-4B0E-A27B-F6DA8B090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40</Pages>
  <Words>12045</Words>
  <Characters>68663</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Australian Public Assessment Report for remifentanil (as hydrochloride)</vt:lpstr>
    </vt:vector>
  </TitlesOfParts>
  <Company>TGA</Company>
  <LinksUpToDate>false</LinksUpToDate>
  <CharactersWithSpaces>80547</CharactersWithSpaces>
  <SharedDoc>false</SharedDoc>
  <HLinks>
    <vt:vector size="174" baseType="variant">
      <vt:variant>
        <vt:i4>1114166</vt:i4>
      </vt:variant>
      <vt:variant>
        <vt:i4>158</vt:i4>
      </vt:variant>
      <vt:variant>
        <vt:i4>0</vt:i4>
      </vt:variant>
      <vt:variant>
        <vt:i4>5</vt:i4>
      </vt:variant>
      <vt:variant>
        <vt:lpwstr/>
      </vt:variant>
      <vt:variant>
        <vt:lpwstr>_Toc347231118</vt:lpwstr>
      </vt:variant>
      <vt:variant>
        <vt:i4>1114166</vt:i4>
      </vt:variant>
      <vt:variant>
        <vt:i4>152</vt:i4>
      </vt:variant>
      <vt:variant>
        <vt:i4>0</vt:i4>
      </vt:variant>
      <vt:variant>
        <vt:i4>5</vt:i4>
      </vt:variant>
      <vt:variant>
        <vt:lpwstr/>
      </vt:variant>
      <vt:variant>
        <vt:lpwstr>_Toc347231117</vt:lpwstr>
      </vt:variant>
      <vt:variant>
        <vt:i4>1114166</vt:i4>
      </vt:variant>
      <vt:variant>
        <vt:i4>146</vt:i4>
      </vt:variant>
      <vt:variant>
        <vt:i4>0</vt:i4>
      </vt:variant>
      <vt:variant>
        <vt:i4>5</vt:i4>
      </vt:variant>
      <vt:variant>
        <vt:lpwstr/>
      </vt:variant>
      <vt:variant>
        <vt:lpwstr>_Toc347231116</vt:lpwstr>
      </vt:variant>
      <vt:variant>
        <vt:i4>1114166</vt:i4>
      </vt:variant>
      <vt:variant>
        <vt:i4>140</vt:i4>
      </vt:variant>
      <vt:variant>
        <vt:i4>0</vt:i4>
      </vt:variant>
      <vt:variant>
        <vt:i4>5</vt:i4>
      </vt:variant>
      <vt:variant>
        <vt:lpwstr/>
      </vt:variant>
      <vt:variant>
        <vt:lpwstr>_Toc347231115</vt:lpwstr>
      </vt:variant>
      <vt:variant>
        <vt:i4>1114166</vt:i4>
      </vt:variant>
      <vt:variant>
        <vt:i4>134</vt:i4>
      </vt:variant>
      <vt:variant>
        <vt:i4>0</vt:i4>
      </vt:variant>
      <vt:variant>
        <vt:i4>5</vt:i4>
      </vt:variant>
      <vt:variant>
        <vt:lpwstr/>
      </vt:variant>
      <vt:variant>
        <vt:lpwstr>_Toc347231114</vt:lpwstr>
      </vt:variant>
      <vt:variant>
        <vt:i4>1114166</vt:i4>
      </vt:variant>
      <vt:variant>
        <vt:i4>128</vt:i4>
      </vt:variant>
      <vt:variant>
        <vt:i4>0</vt:i4>
      </vt:variant>
      <vt:variant>
        <vt:i4>5</vt:i4>
      </vt:variant>
      <vt:variant>
        <vt:lpwstr/>
      </vt:variant>
      <vt:variant>
        <vt:lpwstr>_Toc347231113</vt:lpwstr>
      </vt:variant>
      <vt:variant>
        <vt:i4>1114166</vt:i4>
      </vt:variant>
      <vt:variant>
        <vt:i4>122</vt:i4>
      </vt:variant>
      <vt:variant>
        <vt:i4>0</vt:i4>
      </vt:variant>
      <vt:variant>
        <vt:i4>5</vt:i4>
      </vt:variant>
      <vt:variant>
        <vt:lpwstr/>
      </vt:variant>
      <vt:variant>
        <vt:lpwstr>_Toc347231112</vt:lpwstr>
      </vt:variant>
      <vt:variant>
        <vt:i4>1114166</vt:i4>
      </vt:variant>
      <vt:variant>
        <vt:i4>116</vt:i4>
      </vt:variant>
      <vt:variant>
        <vt:i4>0</vt:i4>
      </vt:variant>
      <vt:variant>
        <vt:i4>5</vt:i4>
      </vt:variant>
      <vt:variant>
        <vt:lpwstr/>
      </vt:variant>
      <vt:variant>
        <vt:lpwstr>_Toc347231111</vt:lpwstr>
      </vt:variant>
      <vt:variant>
        <vt:i4>1114166</vt:i4>
      </vt:variant>
      <vt:variant>
        <vt:i4>110</vt:i4>
      </vt:variant>
      <vt:variant>
        <vt:i4>0</vt:i4>
      </vt:variant>
      <vt:variant>
        <vt:i4>5</vt:i4>
      </vt:variant>
      <vt:variant>
        <vt:lpwstr/>
      </vt:variant>
      <vt:variant>
        <vt:lpwstr>_Toc347231110</vt:lpwstr>
      </vt:variant>
      <vt:variant>
        <vt:i4>1048630</vt:i4>
      </vt:variant>
      <vt:variant>
        <vt:i4>104</vt:i4>
      </vt:variant>
      <vt:variant>
        <vt:i4>0</vt:i4>
      </vt:variant>
      <vt:variant>
        <vt:i4>5</vt:i4>
      </vt:variant>
      <vt:variant>
        <vt:lpwstr/>
      </vt:variant>
      <vt:variant>
        <vt:lpwstr>_Toc347231109</vt:lpwstr>
      </vt:variant>
      <vt:variant>
        <vt:i4>1048630</vt:i4>
      </vt:variant>
      <vt:variant>
        <vt:i4>98</vt:i4>
      </vt:variant>
      <vt:variant>
        <vt:i4>0</vt:i4>
      </vt:variant>
      <vt:variant>
        <vt:i4>5</vt:i4>
      </vt:variant>
      <vt:variant>
        <vt:lpwstr/>
      </vt:variant>
      <vt:variant>
        <vt:lpwstr>_Toc347231108</vt:lpwstr>
      </vt:variant>
      <vt:variant>
        <vt:i4>1048630</vt:i4>
      </vt:variant>
      <vt:variant>
        <vt:i4>92</vt:i4>
      </vt:variant>
      <vt:variant>
        <vt:i4>0</vt:i4>
      </vt:variant>
      <vt:variant>
        <vt:i4>5</vt:i4>
      </vt:variant>
      <vt:variant>
        <vt:lpwstr/>
      </vt:variant>
      <vt:variant>
        <vt:lpwstr>_Toc347231107</vt:lpwstr>
      </vt:variant>
      <vt:variant>
        <vt:i4>1048630</vt:i4>
      </vt:variant>
      <vt:variant>
        <vt:i4>86</vt:i4>
      </vt:variant>
      <vt:variant>
        <vt:i4>0</vt:i4>
      </vt:variant>
      <vt:variant>
        <vt:i4>5</vt:i4>
      </vt:variant>
      <vt:variant>
        <vt:lpwstr/>
      </vt:variant>
      <vt:variant>
        <vt:lpwstr>_Toc347231106</vt:lpwstr>
      </vt:variant>
      <vt:variant>
        <vt:i4>1048630</vt:i4>
      </vt:variant>
      <vt:variant>
        <vt:i4>80</vt:i4>
      </vt:variant>
      <vt:variant>
        <vt:i4>0</vt:i4>
      </vt:variant>
      <vt:variant>
        <vt:i4>5</vt:i4>
      </vt:variant>
      <vt:variant>
        <vt:lpwstr/>
      </vt:variant>
      <vt:variant>
        <vt:lpwstr>_Toc347231105</vt:lpwstr>
      </vt:variant>
      <vt:variant>
        <vt:i4>1048630</vt:i4>
      </vt:variant>
      <vt:variant>
        <vt:i4>74</vt:i4>
      </vt:variant>
      <vt:variant>
        <vt:i4>0</vt:i4>
      </vt:variant>
      <vt:variant>
        <vt:i4>5</vt:i4>
      </vt:variant>
      <vt:variant>
        <vt:lpwstr/>
      </vt:variant>
      <vt:variant>
        <vt:lpwstr>_Toc347231104</vt:lpwstr>
      </vt:variant>
      <vt:variant>
        <vt:i4>1048630</vt:i4>
      </vt:variant>
      <vt:variant>
        <vt:i4>68</vt:i4>
      </vt:variant>
      <vt:variant>
        <vt:i4>0</vt:i4>
      </vt:variant>
      <vt:variant>
        <vt:i4>5</vt:i4>
      </vt:variant>
      <vt:variant>
        <vt:lpwstr/>
      </vt:variant>
      <vt:variant>
        <vt:lpwstr>_Toc347231103</vt:lpwstr>
      </vt:variant>
      <vt:variant>
        <vt:i4>1048630</vt:i4>
      </vt:variant>
      <vt:variant>
        <vt:i4>62</vt:i4>
      </vt:variant>
      <vt:variant>
        <vt:i4>0</vt:i4>
      </vt:variant>
      <vt:variant>
        <vt:i4>5</vt:i4>
      </vt:variant>
      <vt:variant>
        <vt:lpwstr/>
      </vt:variant>
      <vt:variant>
        <vt:lpwstr>_Toc347231102</vt:lpwstr>
      </vt:variant>
      <vt:variant>
        <vt:i4>1048630</vt:i4>
      </vt:variant>
      <vt:variant>
        <vt:i4>56</vt:i4>
      </vt:variant>
      <vt:variant>
        <vt:i4>0</vt:i4>
      </vt:variant>
      <vt:variant>
        <vt:i4>5</vt:i4>
      </vt:variant>
      <vt:variant>
        <vt:lpwstr/>
      </vt:variant>
      <vt:variant>
        <vt:lpwstr>_Toc347231101</vt:lpwstr>
      </vt:variant>
      <vt:variant>
        <vt:i4>1048630</vt:i4>
      </vt:variant>
      <vt:variant>
        <vt:i4>50</vt:i4>
      </vt:variant>
      <vt:variant>
        <vt:i4>0</vt:i4>
      </vt:variant>
      <vt:variant>
        <vt:i4>5</vt:i4>
      </vt:variant>
      <vt:variant>
        <vt:lpwstr/>
      </vt:variant>
      <vt:variant>
        <vt:lpwstr>_Toc347231100</vt:lpwstr>
      </vt:variant>
      <vt:variant>
        <vt:i4>1638455</vt:i4>
      </vt:variant>
      <vt:variant>
        <vt:i4>44</vt:i4>
      </vt:variant>
      <vt:variant>
        <vt:i4>0</vt:i4>
      </vt:variant>
      <vt:variant>
        <vt:i4>5</vt:i4>
      </vt:variant>
      <vt:variant>
        <vt:lpwstr/>
      </vt:variant>
      <vt:variant>
        <vt:lpwstr>_Toc347231099</vt:lpwstr>
      </vt:variant>
      <vt:variant>
        <vt:i4>1638455</vt:i4>
      </vt:variant>
      <vt:variant>
        <vt:i4>38</vt:i4>
      </vt:variant>
      <vt:variant>
        <vt:i4>0</vt:i4>
      </vt:variant>
      <vt:variant>
        <vt:i4>5</vt:i4>
      </vt:variant>
      <vt:variant>
        <vt:lpwstr/>
      </vt:variant>
      <vt:variant>
        <vt:lpwstr>_Toc347231098</vt:lpwstr>
      </vt:variant>
      <vt:variant>
        <vt:i4>1638455</vt:i4>
      </vt:variant>
      <vt:variant>
        <vt:i4>32</vt:i4>
      </vt:variant>
      <vt:variant>
        <vt:i4>0</vt:i4>
      </vt:variant>
      <vt:variant>
        <vt:i4>5</vt:i4>
      </vt:variant>
      <vt:variant>
        <vt:lpwstr/>
      </vt:variant>
      <vt:variant>
        <vt:lpwstr>_Toc347231097</vt:lpwstr>
      </vt:variant>
      <vt:variant>
        <vt:i4>1638455</vt:i4>
      </vt:variant>
      <vt:variant>
        <vt:i4>26</vt:i4>
      </vt:variant>
      <vt:variant>
        <vt:i4>0</vt:i4>
      </vt:variant>
      <vt:variant>
        <vt:i4>5</vt:i4>
      </vt:variant>
      <vt:variant>
        <vt:lpwstr/>
      </vt:variant>
      <vt:variant>
        <vt:lpwstr>_Toc347231096</vt:lpwstr>
      </vt:variant>
      <vt:variant>
        <vt:i4>1638455</vt:i4>
      </vt:variant>
      <vt:variant>
        <vt:i4>20</vt:i4>
      </vt:variant>
      <vt:variant>
        <vt:i4>0</vt:i4>
      </vt:variant>
      <vt:variant>
        <vt:i4>5</vt:i4>
      </vt:variant>
      <vt:variant>
        <vt:lpwstr/>
      </vt:variant>
      <vt:variant>
        <vt:lpwstr>_Toc347231095</vt:lpwstr>
      </vt:variant>
      <vt:variant>
        <vt:i4>1638455</vt:i4>
      </vt:variant>
      <vt:variant>
        <vt:i4>14</vt:i4>
      </vt:variant>
      <vt:variant>
        <vt:i4>0</vt:i4>
      </vt:variant>
      <vt:variant>
        <vt:i4>5</vt:i4>
      </vt:variant>
      <vt:variant>
        <vt:lpwstr/>
      </vt:variant>
      <vt:variant>
        <vt:lpwstr>_Toc347231094</vt:lpwstr>
      </vt:variant>
      <vt:variant>
        <vt:i4>1638455</vt:i4>
      </vt:variant>
      <vt:variant>
        <vt:i4>8</vt:i4>
      </vt:variant>
      <vt:variant>
        <vt:i4>0</vt:i4>
      </vt:variant>
      <vt:variant>
        <vt:i4>5</vt:i4>
      </vt:variant>
      <vt:variant>
        <vt:lpwstr/>
      </vt:variant>
      <vt:variant>
        <vt:lpwstr>_Toc347231093</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15</vt:i4>
      </vt:variant>
      <vt:variant>
        <vt:i4>0</vt:i4>
      </vt:variant>
      <vt:variant>
        <vt:i4>5</vt:i4>
      </vt:variant>
      <vt:variant>
        <vt:lpwstr>http://www.tga.gov.au/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remifentanil (as hydrochloride)</dc:title>
  <dc:subject>prescription medicine regulation</dc:subject>
  <dc:creator>Therapeutic Goods Administration</dc:creator>
  <cp:keywords>auspar, prescription, medicine, assessment, regulation, australia, remifentanil, ultiva</cp:keywords>
  <cp:lastModifiedBy>Wrigley, Andrew</cp:lastModifiedBy>
  <cp:revision>2</cp:revision>
  <cp:lastPrinted>2010-12-20T21:59:00Z</cp:lastPrinted>
  <dcterms:created xsi:type="dcterms:W3CDTF">2013-03-06T01:01:00Z</dcterms:created>
  <dcterms:modified xsi:type="dcterms:W3CDTF">2013-03-06T01:01:00Z</dcterms:modified>
</cp:coreProperties>
</file>