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7E" w:rsidRDefault="005A21BD">
      <w:pPr>
        <w:pStyle w:val="Title"/>
        <w:spacing w:after="120"/>
        <w:rPr>
          <w:rFonts w:ascii="Arial" w:hAnsi="Arial"/>
        </w:rPr>
      </w:pPr>
      <w:r>
        <w:rPr>
          <w:rFonts w:ascii="Arial" w:hAnsi="Arial"/>
        </w:rPr>
        <w:t>PRODUCT INFORMATION</w:t>
      </w:r>
    </w:p>
    <w:p w:rsidR="00E9027E" w:rsidRDefault="00E9027E">
      <w:pPr>
        <w:spacing w:after="120"/>
        <w:jc w:val="center"/>
        <w:rPr>
          <w:rFonts w:ascii="Arial" w:hAnsi="Arial"/>
          <w:b/>
        </w:rPr>
      </w:pPr>
    </w:p>
    <w:p w:rsidR="00E9027E" w:rsidRDefault="005A21BD">
      <w:pPr>
        <w:spacing w:after="120"/>
        <w:jc w:val="center"/>
        <w:rPr>
          <w:rFonts w:ascii="Arial" w:hAnsi="Arial"/>
          <w:b/>
        </w:rPr>
      </w:pPr>
      <w:r>
        <w:rPr>
          <w:rFonts w:ascii="Arial" w:hAnsi="Arial"/>
          <w:b/>
        </w:rPr>
        <w:t>ULTIVA</w:t>
      </w:r>
      <w:r w:rsidRPr="00E959D1">
        <w:rPr>
          <w:rFonts w:ascii="Arial" w:hAnsi="Arial"/>
          <w:b/>
          <w:vertAlign w:val="superscript"/>
        </w:rPr>
        <w:sym w:font="Symbol" w:char="F0D2"/>
      </w:r>
      <w:r>
        <w:rPr>
          <w:rFonts w:ascii="Arial" w:hAnsi="Arial"/>
          <w:b/>
        </w:rPr>
        <w:t xml:space="preserve"> (remifentanil hydrochloride) for Injection</w:t>
      </w:r>
    </w:p>
    <w:p w:rsidR="00E9027E" w:rsidRDefault="00E9027E">
      <w:pPr>
        <w:spacing w:after="120"/>
        <w:rPr>
          <w:rFonts w:ascii="Arial" w:hAnsi="Arial"/>
          <w:b/>
        </w:rPr>
      </w:pPr>
    </w:p>
    <w:p w:rsidR="00E9027E" w:rsidRDefault="005A21BD">
      <w:pPr>
        <w:spacing w:after="120"/>
        <w:rPr>
          <w:rFonts w:ascii="Arial" w:hAnsi="Arial"/>
          <w:b/>
        </w:rPr>
      </w:pPr>
      <w:r>
        <w:rPr>
          <w:rFonts w:ascii="Arial" w:hAnsi="Arial"/>
          <w:b/>
        </w:rPr>
        <w:t xml:space="preserve">NAME OF THE </w:t>
      </w:r>
      <w:r w:rsidR="00DC2037">
        <w:rPr>
          <w:rFonts w:ascii="Arial" w:hAnsi="Arial"/>
          <w:b/>
        </w:rPr>
        <w:t>MEDICINE</w:t>
      </w:r>
      <w:r>
        <w:rPr>
          <w:rFonts w:ascii="Arial" w:hAnsi="Arial"/>
          <w:b/>
        </w:rPr>
        <w:t>:</w:t>
      </w:r>
    </w:p>
    <w:p w:rsidR="00E9027E" w:rsidRDefault="005A21BD">
      <w:pPr>
        <w:spacing w:after="120"/>
        <w:rPr>
          <w:rFonts w:ascii="Arial" w:hAnsi="Arial"/>
        </w:rPr>
      </w:pPr>
      <w:r>
        <w:rPr>
          <w:rFonts w:ascii="Arial" w:hAnsi="Arial"/>
        </w:rPr>
        <w:t>The chemical name of remifentanil hydrochloride is 1-(2-Methoxycarbonyl-ethyl)-4-(phenyl-propionyl-amino)-piperidine-4-carboxylic acid methyl ester hydrochloride. The structural formula is given below:</w:t>
      </w:r>
    </w:p>
    <w:p w:rsidR="005A21BD" w:rsidRDefault="005A21BD">
      <w:pPr>
        <w:rPr>
          <w:rFonts w:ascii="Arial" w:hAnsi="Arial"/>
        </w:rPr>
      </w:pPr>
    </w:p>
    <w:p w:rsidR="005A21BD" w:rsidRDefault="00A347B6">
      <w:pPr>
        <w:ind w:left="2160" w:firstLine="720"/>
        <w:rPr>
          <w:rFonts w:ascii="Arial" w:hAnsi="Arial"/>
        </w:rPr>
      </w:pPr>
      <w:r>
        <w:rPr>
          <w:rFonts w:ascii="Arial" w:hAnsi="Arial"/>
          <w:noProof/>
          <w:lang w:val="en-AU"/>
        </w:rPr>
        <w:drawing>
          <wp:inline distT="0" distB="0" distL="0" distR="0">
            <wp:extent cx="1562100" cy="1819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951" t="9003" r="13934" b="4689"/>
                    <a:stretch>
                      <a:fillRect/>
                    </a:stretch>
                  </pic:blipFill>
                  <pic:spPr bwMode="auto">
                    <a:xfrm>
                      <a:off x="0" y="0"/>
                      <a:ext cx="1562100" cy="1819275"/>
                    </a:xfrm>
                    <a:prstGeom prst="rect">
                      <a:avLst/>
                    </a:prstGeom>
                    <a:noFill/>
                    <a:ln w="9525">
                      <a:noFill/>
                      <a:miter lim="800000"/>
                      <a:headEnd/>
                      <a:tailEnd/>
                    </a:ln>
                  </pic:spPr>
                </pic:pic>
              </a:graphicData>
            </a:graphic>
          </wp:inline>
        </w:drawing>
      </w:r>
    </w:p>
    <w:p w:rsidR="00E9027E" w:rsidRDefault="005A21BD" w:rsidP="00B60A0F">
      <w:pPr>
        <w:pStyle w:val="Footer"/>
        <w:tabs>
          <w:tab w:val="clear" w:pos="4320"/>
          <w:tab w:val="clear" w:pos="8640"/>
        </w:tabs>
        <w:rPr>
          <w:rFonts w:ascii="Arial" w:hAnsi="Arial"/>
        </w:rPr>
      </w:pPr>
      <w:smartTag w:uri="urn:schemas-microsoft-com:office:smarttags" w:element="stockticker">
        <w:r>
          <w:rPr>
            <w:rFonts w:ascii="Arial" w:hAnsi="Arial"/>
          </w:rPr>
          <w:t>CAS</w:t>
        </w:r>
      </w:smartTag>
      <w:r>
        <w:rPr>
          <w:rFonts w:ascii="Arial" w:hAnsi="Arial"/>
        </w:rPr>
        <w:t xml:space="preserve"> Number: 13539-07-2</w:t>
      </w:r>
    </w:p>
    <w:p w:rsidR="00B60A0F" w:rsidRDefault="00B60A0F" w:rsidP="00B60A0F">
      <w:pPr>
        <w:pStyle w:val="Footer"/>
        <w:tabs>
          <w:tab w:val="clear" w:pos="4320"/>
          <w:tab w:val="clear" w:pos="8640"/>
        </w:tabs>
        <w:rPr>
          <w:rFonts w:ascii="Arial" w:hAnsi="Arial"/>
          <w:vertAlign w:val="subscript"/>
        </w:rPr>
      </w:pPr>
      <w:r>
        <w:rPr>
          <w:rFonts w:ascii="Arial" w:hAnsi="Arial"/>
        </w:rPr>
        <w:t>Molecular Formula: C</w:t>
      </w:r>
      <w:r w:rsidRPr="00B60A0F">
        <w:rPr>
          <w:rFonts w:ascii="Arial" w:hAnsi="Arial"/>
          <w:vertAlign w:val="subscript"/>
        </w:rPr>
        <w:t>20</w:t>
      </w:r>
      <w:r>
        <w:rPr>
          <w:rFonts w:ascii="Arial" w:hAnsi="Arial"/>
        </w:rPr>
        <w:t>H</w:t>
      </w:r>
      <w:r w:rsidRPr="00B60A0F">
        <w:rPr>
          <w:rFonts w:ascii="Arial" w:hAnsi="Arial"/>
          <w:vertAlign w:val="subscript"/>
        </w:rPr>
        <w:t>28</w:t>
      </w:r>
      <w:r>
        <w:rPr>
          <w:rFonts w:ascii="Arial" w:hAnsi="Arial"/>
        </w:rPr>
        <w:t>N</w:t>
      </w:r>
      <w:r w:rsidRPr="00B60A0F">
        <w:rPr>
          <w:rFonts w:ascii="Arial" w:hAnsi="Arial"/>
          <w:vertAlign w:val="subscript"/>
        </w:rPr>
        <w:t>2</w:t>
      </w:r>
      <w:r>
        <w:rPr>
          <w:rFonts w:ascii="Arial" w:hAnsi="Arial"/>
        </w:rPr>
        <w:t>O</w:t>
      </w:r>
      <w:r w:rsidRPr="00B60A0F">
        <w:rPr>
          <w:rFonts w:ascii="Arial" w:hAnsi="Arial"/>
          <w:vertAlign w:val="subscript"/>
        </w:rPr>
        <w:t>5</w:t>
      </w:r>
    </w:p>
    <w:p w:rsidR="00B60A0F" w:rsidRPr="00B60A0F" w:rsidRDefault="00B60A0F" w:rsidP="00B60A0F">
      <w:pPr>
        <w:pStyle w:val="Footer"/>
        <w:tabs>
          <w:tab w:val="clear" w:pos="4320"/>
          <w:tab w:val="clear" w:pos="8640"/>
        </w:tabs>
        <w:rPr>
          <w:rFonts w:ascii="Arial" w:hAnsi="Arial"/>
        </w:rPr>
      </w:pPr>
      <w:r w:rsidRPr="00B60A0F">
        <w:rPr>
          <w:rFonts w:ascii="Arial" w:hAnsi="Arial"/>
        </w:rPr>
        <w:t>Molecular</w:t>
      </w:r>
      <w:r>
        <w:rPr>
          <w:rFonts w:ascii="Arial" w:hAnsi="Arial"/>
        </w:rPr>
        <w:t xml:space="preserve"> Weight: 412.9</w:t>
      </w:r>
    </w:p>
    <w:p w:rsidR="00E9027E" w:rsidRDefault="00E9027E">
      <w:pPr>
        <w:spacing w:after="120"/>
        <w:rPr>
          <w:rFonts w:ascii="Arial" w:hAnsi="Arial"/>
        </w:rPr>
      </w:pPr>
    </w:p>
    <w:p w:rsidR="00E9027E" w:rsidRDefault="005A21BD">
      <w:pPr>
        <w:spacing w:after="120"/>
        <w:rPr>
          <w:rFonts w:ascii="Arial" w:hAnsi="Arial"/>
          <w:b/>
        </w:rPr>
      </w:pPr>
      <w:r>
        <w:rPr>
          <w:rFonts w:ascii="Arial" w:hAnsi="Arial"/>
          <w:b/>
        </w:rPr>
        <w:t>DESCRIPTION:</w:t>
      </w:r>
    </w:p>
    <w:p w:rsidR="00E9027E" w:rsidRDefault="005A21BD">
      <w:pPr>
        <w:spacing w:after="120"/>
        <w:rPr>
          <w:rFonts w:ascii="Arial" w:hAnsi="Arial"/>
        </w:rPr>
      </w:pPr>
      <w:r>
        <w:rPr>
          <w:rFonts w:ascii="Arial" w:hAnsi="Arial"/>
        </w:rPr>
        <w:t>The log P</w:t>
      </w:r>
      <w:r w:rsidR="00581324" w:rsidRPr="00581324">
        <w:rPr>
          <w:rFonts w:ascii="Arial" w:hAnsi="Arial"/>
          <w:vertAlign w:val="subscript"/>
        </w:rPr>
        <w:t>n-octanol/water</w:t>
      </w:r>
      <w:r>
        <w:rPr>
          <w:rFonts w:ascii="Arial" w:hAnsi="Arial"/>
        </w:rPr>
        <w:t xml:space="preserve"> is 17.9.  Remifentanil HCl possesses no chiral centres. Ultiva (remifentanil hydrochloride) for Injection is supplied as sterile, non-pyrogenic, preservative-free lyophilised powder for intravenous administration.  The product is formulated in glycine and requires reconstitution and dilution before use.  Three strengths are available; 1 mg, 2 mg and 5 mg of remifentanil base (as the hydrochloride salt) packed in clear glass vials with siliconised stoppers and overseals.</w:t>
      </w:r>
    </w:p>
    <w:p w:rsidR="00E9027E" w:rsidRDefault="00E9027E">
      <w:pPr>
        <w:spacing w:after="120"/>
        <w:rPr>
          <w:rFonts w:ascii="Arial" w:hAnsi="Arial"/>
        </w:rPr>
      </w:pPr>
    </w:p>
    <w:p w:rsidR="00E9027E" w:rsidRDefault="005A21BD">
      <w:pPr>
        <w:spacing w:after="120"/>
        <w:rPr>
          <w:rFonts w:ascii="Arial" w:hAnsi="Arial"/>
          <w:b/>
        </w:rPr>
      </w:pPr>
      <w:r>
        <w:rPr>
          <w:rFonts w:ascii="Arial" w:hAnsi="Arial"/>
          <w:b/>
        </w:rPr>
        <w:t>PHARMACOLOGY:</w:t>
      </w:r>
    </w:p>
    <w:p w:rsidR="00E9027E" w:rsidRDefault="005A21BD">
      <w:pPr>
        <w:spacing w:after="120"/>
        <w:rPr>
          <w:rFonts w:ascii="Arial" w:hAnsi="Arial"/>
          <w:b/>
        </w:rPr>
      </w:pPr>
      <w:r>
        <w:rPr>
          <w:rFonts w:ascii="Arial" w:hAnsi="Arial"/>
          <w:b/>
        </w:rPr>
        <w:t>Pharmacodynamic properties</w:t>
      </w:r>
    </w:p>
    <w:p w:rsidR="00922616" w:rsidRDefault="005A21BD">
      <w:pPr>
        <w:spacing w:after="120"/>
        <w:rPr>
          <w:rFonts w:ascii="Arial" w:hAnsi="Arial"/>
        </w:rPr>
      </w:pPr>
      <w:r>
        <w:rPr>
          <w:rFonts w:ascii="Arial" w:hAnsi="Arial"/>
        </w:rPr>
        <w:t>Remifentanil is a potent, selective, 4-anilidopiperidine µ-opioid agonist with pharmacological action typical of this class of compound.  It is distinguished from other 4-anilidopiperidines (fentanyl analogues) by its  rapid onset and very short duration of action.  The µ</w:t>
      </w:r>
      <w:r>
        <w:rPr>
          <w:rFonts w:ascii="Arial" w:hAnsi="Arial"/>
        </w:rPr>
        <w:noBreakHyphen/>
        <w:t xml:space="preserve">opioid activity of remifentanil is antagonised by naloxone.  Remifentanil in humans has a rapid blood-brain equilibration half-time of 1 </w:t>
      </w:r>
      <w:r>
        <w:rPr>
          <w:rFonts w:ascii="Arial" w:hAnsi="Arial"/>
        </w:rPr>
        <w:sym w:font="Symbol" w:char="F0B1"/>
      </w:r>
      <w:r>
        <w:rPr>
          <w:rFonts w:ascii="Arial" w:hAnsi="Arial"/>
        </w:rPr>
        <w:t xml:space="preserve"> 1 minutes (mean </w:t>
      </w:r>
      <w:r>
        <w:rPr>
          <w:rFonts w:ascii="Arial" w:hAnsi="Arial"/>
        </w:rPr>
        <w:sym w:font="Symbol" w:char="F0B1"/>
      </w:r>
      <w:r>
        <w:rPr>
          <w:rFonts w:ascii="Arial" w:hAnsi="Arial"/>
        </w:rPr>
        <w:t xml:space="preserve"> SD) and a rapid onset of action.  The pharmacodynamic effects of remifentanil closely follow the measured blood concentrations, allowing direct correlation between dose, blood levels, and response.  Blood concentration decreases 50% in 3 to 6 minutes after a 1-minute infusion or after prolonged continuous infusion due to rapid distribution and elimination processes and is independent of duration of drug administration.  Recovery from the effects of remifentanil occurs rapidly (within 5 to 10 minutes).  New steady-state concentrations occur within 5 to 10 minutes after changes in infusion rate.  When used as a component of an anaesthetic technique, remifentanil can be </w:t>
      </w:r>
      <w:r>
        <w:rPr>
          <w:rFonts w:ascii="Arial" w:hAnsi="Arial"/>
        </w:rPr>
        <w:lastRenderedPageBreak/>
        <w:t xml:space="preserve">rapidly titrated to the desired depth of anaesthesia/analgesia (e.g., as required by varying levels of intraoperative stress) by changing the continuous infusion rate or by administering an IV bolus injection.  Remifentanil is a potent opioid, therefore careful adherence to the </w:t>
      </w:r>
      <w:r>
        <w:rPr>
          <w:rFonts w:ascii="Arial" w:hAnsi="Arial"/>
          <w:b/>
        </w:rPr>
        <w:t>PRECAUTIONS</w:t>
      </w:r>
      <w:r>
        <w:rPr>
          <w:rFonts w:ascii="Arial" w:hAnsi="Arial"/>
        </w:rPr>
        <w:t xml:space="preserve"> and </w:t>
      </w:r>
      <w:r>
        <w:rPr>
          <w:rFonts w:ascii="Arial" w:hAnsi="Arial"/>
          <w:b/>
        </w:rPr>
        <w:t xml:space="preserve">DOSAGE </w:t>
      </w:r>
      <w:r w:rsidR="00D1131E">
        <w:rPr>
          <w:rFonts w:ascii="Arial" w:hAnsi="Arial"/>
          <w:b/>
        </w:rPr>
        <w:t xml:space="preserve">and </w:t>
      </w:r>
      <w:r>
        <w:rPr>
          <w:rFonts w:ascii="Arial" w:hAnsi="Arial"/>
          <w:b/>
        </w:rPr>
        <w:t xml:space="preserve">ADMINISTRATION </w:t>
      </w:r>
      <w:r>
        <w:rPr>
          <w:rFonts w:ascii="Arial" w:hAnsi="Arial"/>
        </w:rPr>
        <w:t>sections of the document is essential to avoid unacceptable adverse events.</w:t>
      </w:r>
    </w:p>
    <w:p w:rsidR="00E9027E" w:rsidRDefault="005A21BD">
      <w:pPr>
        <w:spacing w:after="120"/>
        <w:rPr>
          <w:rFonts w:ascii="Arial" w:hAnsi="Arial"/>
        </w:rPr>
      </w:pPr>
      <w:r>
        <w:rPr>
          <w:rFonts w:ascii="Arial" w:hAnsi="Arial"/>
          <w:b/>
        </w:rPr>
        <w:t xml:space="preserve">Haemodynamics:  </w:t>
      </w:r>
      <w:r>
        <w:rPr>
          <w:rFonts w:ascii="Arial" w:hAnsi="Arial"/>
        </w:rPr>
        <w:t xml:space="preserve">In premedicated patients undergoing anaesthesia, 1-minute infusions of &lt;2 </w:t>
      </w:r>
      <w:r>
        <w:rPr>
          <w:rFonts w:ascii="Arial" w:hAnsi="Arial"/>
        </w:rPr>
        <w:sym w:font="Symbol" w:char="F06D"/>
      </w:r>
      <w:r>
        <w:rPr>
          <w:rFonts w:ascii="Arial" w:hAnsi="Arial"/>
        </w:rPr>
        <w:t xml:space="preserve">g/kg of remifentanil caused dose-dependent hypotension and bradycardia.  While additional doses &gt;2 </w:t>
      </w:r>
      <w:r>
        <w:rPr>
          <w:rFonts w:ascii="Arial" w:hAnsi="Arial"/>
        </w:rPr>
        <w:sym w:font="Symbol" w:char="F06D"/>
      </w:r>
      <w:r>
        <w:rPr>
          <w:rFonts w:ascii="Arial" w:hAnsi="Arial"/>
        </w:rPr>
        <w:t xml:space="preserve">g/kg (up to 30 </w:t>
      </w:r>
      <w:r>
        <w:rPr>
          <w:rFonts w:ascii="Arial" w:hAnsi="Arial"/>
        </w:rPr>
        <w:sym w:font="Symbol" w:char="F06D"/>
      </w:r>
      <w:r>
        <w:rPr>
          <w:rFonts w:ascii="Arial" w:hAnsi="Arial"/>
        </w:rPr>
        <w:t>g/kg) do not produce any further decreases in heart rate or blood pressure, the duration of the haemodynamic change is increased in proportion to the blood concentrations achieved.  Peak haemodynamic effects occur within 3 to 5 minutes of a single dose of remifentanil or an infusion rate increase.  Glycopyrrolate, atropine, and vagolytic neuromuscular blocking agents attenuate the haemodynamic effects associated with remifentanil.  When appropriate, bradycardia and hypotension can be reversed by reduction of the rate of infusion of remifentanil, or the dose of concurrent anaesthetics, or by the administration of fluids or vasopressors.</w:t>
      </w:r>
    </w:p>
    <w:p w:rsidR="00E9027E" w:rsidRDefault="005A21BD">
      <w:pPr>
        <w:spacing w:after="120"/>
        <w:rPr>
          <w:rFonts w:ascii="Arial" w:hAnsi="Arial"/>
        </w:rPr>
      </w:pPr>
      <w:r>
        <w:rPr>
          <w:rFonts w:ascii="Arial" w:hAnsi="Arial"/>
          <w:b/>
        </w:rPr>
        <w:t xml:space="preserve">Respiration:  </w:t>
      </w:r>
      <w:r>
        <w:rPr>
          <w:rFonts w:ascii="Arial" w:hAnsi="Arial"/>
        </w:rPr>
        <w:t>Remifentanil depresses respiration in a dose-related fashion.  Unlike other fentanyl analogues, the duration of action of remifentanil at a given dose does not increase with increasing duration of administration, due to lack of drug accumulation.  When remifentanil and alfentanil were dosed to equal levels of respiratory depression, recovery of respiratory drive after 3-hour infusions was more rapid and less variable with remifentanil (see Figure 1).</w:t>
      </w:r>
    </w:p>
    <w:p w:rsidR="00E9027E" w:rsidRDefault="005A21BD">
      <w:pPr>
        <w:spacing w:after="120"/>
        <w:rPr>
          <w:rFonts w:ascii="Arial" w:hAnsi="Arial"/>
          <w:b/>
        </w:rPr>
      </w:pPr>
      <w:r>
        <w:rPr>
          <w:rFonts w:ascii="Arial" w:hAnsi="Arial"/>
          <w:b/>
        </w:rPr>
        <w:t xml:space="preserve">Figure 1: Recovery of </w:t>
      </w:r>
      <w:smartTag w:uri="urn:schemas-microsoft-com:office:smarttags" w:element="Street">
        <w:smartTag w:uri="urn:schemas-microsoft-com:office:smarttags" w:element="address">
          <w:r>
            <w:rPr>
              <w:rFonts w:ascii="Arial" w:hAnsi="Arial"/>
              <w:b/>
            </w:rPr>
            <w:t>Respiratory Drive</w:t>
          </w:r>
        </w:smartTag>
      </w:smartTag>
      <w:r>
        <w:rPr>
          <w:rFonts w:ascii="Arial" w:hAnsi="Arial"/>
          <w:b/>
        </w:rPr>
        <w:t xml:space="preserve"> after Equipotent* Doses of Remifentanil (ULTIVA) and Alfentanil using CO</w:t>
      </w:r>
      <w:r>
        <w:rPr>
          <w:rFonts w:ascii="Arial" w:hAnsi="Arial"/>
          <w:b/>
          <w:vertAlign w:val="subscript"/>
        </w:rPr>
        <w:t>2</w:t>
      </w:r>
      <w:r>
        <w:rPr>
          <w:rFonts w:ascii="Arial" w:hAnsi="Arial"/>
          <w:b/>
        </w:rPr>
        <w:t>-Stimulated Minute Ventilation in Volunteers (</w:t>
      </w:r>
      <w:r>
        <w:rPr>
          <w:rFonts w:ascii="Arial" w:hAnsi="Arial"/>
          <w:b/>
        </w:rPr>
        <w:sym w:font="Symbol" w:char="F0B1"/>
      </w:r>
      <w:r>
        <w:rPr>
          <w:rFonts w:ascii="Arial" w:hAnsi="Arial"/>
          <w:b/>
        </w:rPr>
        <w:t xml:space="preserve"> 1.5 </w:t>
      </w:r>
      <w:smartTag w:uri="urn:schemas-microsoft-com:office:smarttags" w:element="stockticker">
        <w:r>
          <w:rPr>
            <w:rFonts w:ascii="Arial" w:hAnsi="Arial"/>
            <w:b/>
          </w:rPr>
          <w:t>SEM</w:t>
        </w:r>
      </w:smartTag>
      <w:r>
        <w:rPr>
          <w:rFonts w:ascii="Arial" w:hAnsi="Arial"/>
          <w:b/>
        </w:rPr>
        <w:t>)</w:t>
      </w:r>
    </w:p>
    <w:p w:rsidR="005A21BD" w:rsidRDefault="005A21BD">
      <w:pPr>
        <w:keepNext/>
        <w:tabs>
          <w:tab w:val="left" w:pos="274"/>
          <w:tab w:val="left" w:pos="547"/>
          <w:tab w:val="right" w:pos="4464"/>
        </w:tabs>
        <w:spacing w:line="280" w:lineRule="atLeast"/>
        <w:jc w:val="center"/>
        <w:rPr>
          <w:b/>
        </w:rPr>
      </w:pPr>
    </w:p>
    <w:p w:rsidR="005A21BD" w:rsidRDefault="00A347B6">
      <w:pPr>
        <w:keepNext/>
        <w:tabs>
          <w:tab w:val="left" w:pos="274"/>
          <w:tab w:val="left" w:pos="547"/>
          <w:tab w:val="right" w:pos="4464"/>
        </w:tabs>
        <w:spacing w:line="280" w:lineRule="atLeast"/>
        <w:jc w:val="center"/>
        <w:rPr>
          <w:b/>
          <w:sz w:val="8"/>
        </w:rPr>
      </w:pPr>
      <w:r>
        <w:rPr>
          <w:noProof/>
          <w:sz w:val="20"/>
          <w:lang w:val="en-AU"/>
        </w:rPr>
        <w:drawing>
          <wp:inline distT="0" distB="0" distL="0" distR="0">
            <wp:extent cx="4676775" cy="3057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676775" cy="3057525"/>
                    </a:xfrm>
                    <a:prstGeom prst="rect">
                      <a:avLst/>
                    </a:prstGeom>
                    <a:noFill/>
                    <a:ln w="9525">
                      <a:noFill/>
                      <a:miter lim="800000"/>
                      <a:headEnd/>
                      <a:tailEnd/>
                    </a:ln>
                  </pic:spPr>
                </pic:pic>
              </a:graphicData>
            </a:graphic>
          </wp:inline>
        </w:drawing>
      </w:r>
    </w:p>
    <w:p w:rsidR="005A21BD" w:rsidRDefault="005A21BD">
      <w:pPr>
        <w:rPr>
          <w:rFonts w:ascii="CG Times (WN)" w:hAnsi="CG Times (WN)"/>
        </w:rPr>
      </w:pPr>
    </w:p>
    <w:p w:rsidR="00922616" w:rsidRDefault="00A56518">
      <w:pPr>
        <w:rPr>
          <w:rFonts w:ascii="Arial" w:hAnsi="Arial" w:cs="Arial"/>
          <w:szCs w:val="22"/>
        </w:rPr>
      </w:pPr>
      <w:r w:rsidRPr="00A56518">
        <w:rPr>
          <w:rFonts w:ascii="Arial" w:hAnsi="Arial" w:cs="Arial"/>
          <w:szCs w:val="22"/>
        </w:rPr>
        <w:t xml:space="preserve">The infusion rates used in this study were 0.025 – 0.062 </w:t>
      </w:r>
      <w:r w:rsidRPr="00A56518">
        <w:rPr>
          <w:rFonts w:ascii="Arial" w:hAnsi="Arial" w:cs="Arial"/>
          <w:szCs w:val="22"/>
        </w:rPr>
        <w:sym w:font="Symbol" w:char="F06D"/>
      </w:r>
      <w:r w:rsidRPr="00A56518">
        <w:rPr>
          <w:rFonts w:ascii="Arial" w:hAnsi="Arial" w:cs="Arial"/>
          <w:szCs w:val="22"/>
        </w:rPr>
        <w:t xml:space="preserve">g/kg/min for Ultiva and 0.19 – 0.48 </w:t>
      </w:r>
      <w:r w:rsidRPr="00A56518">
        <w:rPr>
          <w:rFonts w:ascii="Arial" w:hAnsi="Arial" w:cs="Arial"/>
          <w:szCs w:val="22"/>
        </w:rPr>
        <w:sym w:font="Symbol" w:char="F06D"/>
      </w:r>
      <w:r w:rsidRPr="00A56518">
        <w:rPr>
          <w:rFonts w:ascii="Arial" w:hAnsi="Arial" w:cs="Arial"/>
          <w:szCs w:val="22"/>
        </w:rPr>
        <w:t>g/kg/min for alfentanil.</w:t>
      </w:r>
    </w:p>
    <w:p w:rsidR="00922616" w:rsidRDefault="00A56518">
      <w:pPr>
        <w:rPr>
          <w:rFonts w:ascii="Arial" w:hAnsi="Arial" w:cs="Arial"/>
          <w:szCs w:val="22"/>
        </w:rPr>
      </w:pPr>
      <w:r w:rsidRPr="00A56518">
        <w:rPr>
          <w:rFonts w:ascii="Arial" w:hAnsi="Arial" w:cs="Arial"/>
          <w:szCs w:val="22"/>
        </w:rPr>
        <w:t>*Equipotent refers to level of respiratory depression</w:t>
      </w:r>
    </w:p>
    <w:p w:rsidR="00922616" w:rsidRDefault="00922616">
      <w:pPr>
        <w:rPr>
          <w:rFonts w:ascii="Arial" w:hAnsi="Arial" w:cs="Arial"/>
          <w:szCs w:val="22"/>
        </w:rPr>
      </w:pPr>
    </w:p>
    <w:p w:rsidR="00922616" w:rsidRPr="00922616" w:rsidRDefault="00922616">
      <w:pPr>
        <w:rPr>
          <w:rFonts w:ascii="Arial" w:hAnsi="Arial" w:cs="Arial"/>
          <w:szCs w:val="22"/>
        </w:rPr>
      </w:pPr>
      <w:r w:rsidRPr="00922616">
        <w:rPr>
          <w:rFonts w:ascii="Arial" w:hAnsi="Arial" w:cs="Arial"/>
          <w:szCs w:val="22"/>
        </w:rPr>
        <w:lastRenderedPageBreak/>
        <w:t>Spontaneous respiration occurs at blood concentrations of 4 to 5 ng/mL in the absence of other anaesthetic agents, for example, after disco</w:t>
      </w:r>
      <w:r w:rsidR="00567E52" w:rsidRPr="00567E52">
        <w:rPr>
          <w:rFonts w:ascii="Arial" w:hAnsi="Arial" w:cs="Arial"/>
          <w:szCs w:val="22"/>
        </w:rPr>
        <w:t xml:space="preserve">ntinuation of a 0.25 </w:t>
      </w:r>
      <w:r w:rsidR="00A56518" w:rsidRPr="00A56518">
        <w:rPr>
          <w:rFonts w:ascii="Arial" w:hAnsi="Arial" w:cs="Arial"/>
          <w:szCs w:val="22"/>
        </w:rPr>
        <w:sym w:font="Symbol" w:char="F06D"/>
      </w:r>
      <w:r w:rsidR="00A56518" w:rsidRPr="00A56518">
        <w:rPr>
          <w:rFonts w:ascii="Arial" w:hAnsi="Arial" w:cs="Arial"/>
          <w:szCs w:val="22"/>
        </w:rPr>
        <w:t>g/kg/min infusion of remifentanil, these blood concentrations would be reached in 2 to 4 minutes.  In patients undergoing general anaesthesia, the rate of respiratory recovery depends upon the concurrent anaesthetic; it is fastest after N</w:t>
      </w:r>
      <w:r w:rsidR="00A56518" w:rsidRPr="00A56518">
        <w:rPr>
          <w:rFonts w:ascii="Arial" w:hAnsi="Arial" w:cs="Arial"/>
          <w:szCs w:val="22"/>
          <w:vertAlign w:val="subscript"/>
        </w:rPr>
        <w:t>2</w:t>
      </w:r>
      <w:r w:rsidRPr="00922616">
        <w:rPr>
          <w:rFonts w:ascii="Arial" w:hAnsi="Arial" w:cs="Arial"/>
          <w:szCs w:val="22"/>
        </w:rPr>
        <w:t>O, slower with propofol, and slowest after isoflurane.</w:t>
      </w:r>
    </w:p>
    <w:p w:rsidR="00922616" w:rsidRDefault="009D0AAB">
      <w:pPr>
        <w:rPr>
          <w:rFonts w:ascii="Arial" w:hAnsi="Arial" w:cs="Arial"/>
          <w:szCs w:val="22"/>
        </w:rPr>
      </w:pPr>
      <w:r w:rsidRPr="009D0AAB">
        <w:rPr>
          <w:rFonts w:ascii="Arial" w:hAnsi="Arial" w:cs="Arial"/>
          <w:b/>
          <w:szCs w:val="22"/>
        </w:rPr>
        <w:t xml:space="preserve">Muscle Rigidity: </w:t>
      </w:r>
      <w:r w:rsidRPr="009D0AAB">
        <w:rPr>
          <w:rFonts w:ascii="Arial" w:hAnsi="Arial" w:cs="Arial"/>
          <w:szCs w:val="22"/>
        </w:rPr>
        <w:t xml:space="preserve">Skeletal muscle rigidity can be caused by remifentanil and is related to the dose and speed of administration.  Remifentanil may cause chest wall rigidity (inability to ventilate) after single doses of &gt;1 </w:t>
      </w:r>
      <w:r w:rsidR="00A56518" w:rsidRPr="00A56518">
        <w:rPr>
          <w:rFonts w:ascii="Arial" w:hAnsi="Arial" w:cs="Arial"/>
          <w:szCs w:val="22"/>
        </w:rPr>
        <w:sym w:font="Symbol" w:char="F06D"/>
      </w:r>
      <w:r w:rsidR="00A56518" w:rsidRPr="00A56518">
        <w:rPr>
          <w:rFonts w:ascii="Arial" w:hAnsi="Arial" w:cs="Arial"/>
          <w:szCs w:val="22"/>
        </w:rPr>
        <w:t xml:space="preserve">g/kg administered over 30 to 60 seconds or infusion rates &gt;0.1 </w:t>
      </w:r>
      <w:r w:rsidR="00A56518" w:rsidRPr="00A56518">
        <w:rPr>
          <w:rFonts w:ascii="Arial" w:hAnsi="Arial" w:cs="Arial"/>
          <w:szCs w:val="22"/>
        </w:rPr>
        <w:sym w:font="Symbol" w:char="F06D"/>
      </w:r>
      <w:r w:rsidR="00A56518" w:rsidRPr="00A56518">
        <w:rPr>
          <w:rFonts w:ascii="Arial" w:hAnsi="Arial" w:cs="Arial"/>
          <w:szCs w:val="22"/>
        </w:rPr>
        <w:t xml:space="preserve">g/kg/min.  Administration of doses &lt; 1 </w:t>
      </w:r>
      <w:r w:rsidR="00A56518" w:rsidRPr="00A56518">
        <w:rPr>
          <w:rFonts w:ascii="Arial" w:hAnsi="Arial" w:cs="Arial"/>
          <w:szCs w:val="22"/>
        </w:rPr>
        <w:sym w:font="Symbol" w:char="F06D"/>
      </w:r>
      <w:r w:rsidR="00A56518" w:rsidRPr="00A56518">
        <w:rPr>
          <w:rFonts w:ascii="Arial" w:hAnsi="Arial" w:cs="Arial"/>
          <w:szCs w:val="22"/>
        </w:rPr>
        <w:t>g/kg may cause chest wall rigidity when given concurrently with a continuous infusion of remifentanil.</w:t>
      </w:r>
    </w:p>
    <w:p w:rsidR="00922616" w:rsidRDefault="00922616">
      <w:pPr>
        <w:rPr>
          <w:rFonts w:ascii="Arial" w:hAnsi="Arial" w:cs="Arial"/>
          <w:szCs w:val="22"/>
        </w:rPr>
      </w:pPr>
    </w:p>
    <w:p w:rsidR="00922616" w:rsidRDefault="00922616">
      <w:pPr>
        <w:rPr>
          <w:rFonts w:ascii="Arial" w:hAnsi="Arial" w:cs="Arial"/>
          <w:szCs w:val="22"/>
        </w:rPr>
      </w:pPr>
      <w:r w:rsidRPr="00922616">
        <w:rPr>
          <w:rFonts w:ascii="Arial" w:hAnsi="Arial" w:cs="Arial"/>
          <w:b/>
          <w:szCs w:val="22"/>
        </w:rPr>
        <w:t xml:space="preserve">Histamine release: </w:t>
      </w:r>
      <w:r w:rsidR="00567E52" w:rsidRPr="00567E52">
        <w:rPr>
          <w:rFonts w:ascii="Arial" w:hAnsi="Arial" w:cs="Arial"/>
          <w:szCs w:val="22"/>
        </w:rPr>
        <w:t>Assays of histamine in patients and normal volunteers have shown no elevati</w:t>
      </w:r>
      <w:r w:rsidR="003B54CA" w:rsidRPr="003B54CA">
        <w:rPr>
          <w:rFonts w:ascii="Arial" w:hAnsi="Arial" w:cs="Arial"/>
          <w:szCs w:val="22"/>
        </w:rPr>
        <w:t xml:space="preserve">on in histamine levels after administration of remifentanil in doses up to 30 </w:t>
      </w:r>
      <w:r w:rsidR="00A56518" w:rsidRPr="00A56518">
        <w:rPr>
          <w:rFonts w:ascii="Arial" w:hAnsi="Arial" w:cs="Arial"/>
          <w:szCs w:val="22"/>
        </w:rPr>
        <w:sym w:font="Symbol" w:char="F06D"/>
      </w:r>
      <w:r w:rsidR="00A56518" w:rsidRPr="00A56518">
        <w:rPr>
          <w:rFonts w:ascii="Arial" w:hAnsi="Arial" w:cs="Arial"/>
          <w:szCs w:val="22"/>
        </w:rPr>
        <w:t>g/kg over 60 seconds.</w:t>
      </w:r>
    </w:p>
    <w:p w:rsidR="00922616" w:rsidRDefault="00922616">
      <w:pPr>
        <w:rPr>
          <w:rFonts w:ascii="Arial" w:hAnsi="Arial" w:cs="Arial"/>
          <w:b/>
          <w:szCs w:val="22"/>
        </w:rPr>
      </w:pPr>
    </w:p>
    <w:p w:rsidR="00922616" w:rsidRPr="00922616" w:rsidRDefault="00922616">
      <w:pPr>
        <w:rPr>
          <w:rFonts w:ascii="Arial" w:hAnsi="Arial" w:cs="Arial"/>
          <w:b/>
          <w:szCs w:val="22"/>
        </w:rPr>
      </w:pPr>
      <w:r w:rsidRPr="00922616">
        <w:rPr>
          <w:rFonts w:ascii="Arial" w:hAnsi="Arial" w:cs="Arial"/>
          <w:b/>
          <w:szCs w:val="22"/>
        </w:rPr>
        <w:t>Pharmacokinetic properties</w:t>
      </w:r>
    </w:p>
    <w:p w:rsidR="00B60A0F" w:rsidRPr="000E6847" w:rsidRDefault="000E6847">
      <w:pPr>
        <w:rPr>
          <w:rFonts w:ascii="Arial" w:hAnsi="Arial" w:cs="Arial"/>
          <w:b/>
          <w:szCs w:val="22"/>
        </w:rPr>
      </w:pPr>
      <w:r w:rsidRPr="000E6847">
        <w:rPr>
          <w:rFonts w:ascii="Arial" w:hAnsi="Arial" w:cs="Arial"/>
          <w:b/>
          <w:szCs w:val="22"/>
        </w:rPr>
        <w:t>Absorption</w:t>
      </w:r>
    </w:p>
    <w:p w:rsidR="00922616" w:rsidRPr="00922616" w:rsidRDefault="00D54072">
      <w:pPr>
        <w:rPr>
          <w:rFonts w:ascii="Arial" w:hAnsi="Arial" w:cs="Arial"/>
          <w:szCs w:val="22"/>
        </w:rPr>
      </w:pPr>
      <w:r w:rsidRPr="00D54072">
        <w:rPr>
          <w:rFonts w:ascii="Arial" w:hAnsi="Arial" w:cs="Arial"/>
          <w:szCs w:val="22"/>
        </w:rPr>
        <w:t xml:space="preserve">Blood concentrations of remifentanil are proportional to the dose administered throughout the recommended dose range.  For every 0.1 µg/kg/min increase in infusion rate, the blood concentration of remifentanil will rise 2.5 ng/mL.  Unlike other fentanyl analogues, the duration of action does not increase with prolonged administration.  </w:t>
      </w:r>
    </w:p>
    <w:p w:rsidR="00922616" w:rsidRPr="00922616" w:rsidRDefault="00922616">
      <w:pPr>
        <w:rPr>
          <w:rFonts w:ascii="Arial" w:hAnsi="Arial" w:cs="Arial"/>
          <w:szCs w:val="22"/>
        </w:rPr>
      </w:pPr>
    </w:p>
    <w:p w:rsidR="000E6847" w:rsidRPr="000E6847" w:rsidRDefault="000E6847">
      <w:pPr>
        <w:rPr>
          <w:rFonts w:ascii="Arial" w:hAnsi="Arial" w:cs="Arial"/>
          <w:b/>
          <w:szCs w:val="22"/>
        </w:rPr>
      </w:pPr>
      <w:r w:rsidRPr="000E6847">
        <w:rPr>
          <w:rFonts w:ascii="Arial" w:hAnsi="Arial" w:cs="Arial"/>
          <w:b/>
          <w:szCs w:val="22"/>
        </w:rPr>
        <w:t>Distribution</w:t>
      </w:r>
    </w:p>
    <w:p w:rsidR="00C62329" w:rsidRDefault="00132C0F">
      <w:pPr>
        <w:rPr>
          <w:rFonts w:ascii="Arial" w:hAnsi="Arial"/>
        </w:rPr>
      </w:pPr>
      <w:r>
        <w:rPr>
          <w:rFonts w:ascii="Arial" w:hAnsi="Arial"/>
        </w:rPr>
        <w:t xml:space="preserve">The central volume of distribution is 100 mL/kg, and the steady-state volume of distribution is 350 mL/kg.  </w:t>
      </w:r>
    </w:p>
    <w:p w:rsidR="00C62329" w:rsidRDefault="00C62329">
      <w:pPr>
        <w:rPr>
          <w:rFonts w:ascii="Arial" w:hAnsi="Arial"/>
        </w:rPr>
      </w:pPr>
    </w:p>
    <w:p w:rsidR="000E6847" w:rsidRPr="000E6847" w:rsidRDefault="00132C0F">
      <w:pPr>
        <w:rPr>
          <w:rFonts w:ascii="Arial" w:hAnsi="Arial" w:cs="Arial"/>
          <w:b/>
          <w:szCs w:val="22"/>
        </w:rPr>
      </w:pPr>
      <w:r>
        <w:rPr>
          <w:rFonts w:ascii="Arial" w:hAnsi="Arial"/>
        </w:rPr>
        <w:t>Remifentanil is approximately 70% bound to plasma proteins.</w:t>
      </w:r>
    </w:p>
    <w:p w:rsidR="000E6847" w:rsidRPr="000E6847" w:rsidRDefault="000E6847">
      <w:pPr>
        <w:rPr>
          <w:rFonts w:ascii="Arial" w:hAnsi="Arial" w:cs="Arial"/>
          <w:b/>
          <w:szCs w:val="22"/>
        </w:rPr>
      </w:pPr>
    </w:p>
    <w:p w:rsidR="00922616" w:rsidRPr="00922616" w:rsidRDefault="00D54072">
      <w:pPr>
        <w:rPr>
          <w:rFonts w:ascii="Arial" w:hAnsi="Arial" w:cs="Arial"/>
          <w:b/>
          <w:szCs w:val="22"/>
        </w:rPr>
      </w:pPr>
      <w:r w:rsidRPr="00D54072">
        <w:rPr>
          <w:rFonts w:ascii="Arial" w:hAnsi="Arial" w:cs="Arial"/>
          <w:b/>
          <w:szCs w:val="22"/>
        </w:rPr>
        <w:t>Metabolism</w:t>
      </w:r>
    </w:p>
    <w:p w:rsidR="00922616" w:rsidRDefault="00D54072">
      <w:pPr>
        <w:rPr>
          <w:rFonts w:ascii="Arial" w:hAnsi="Arial" w:cs="Arial"/>
          <w:szCs w:val="22"/>
        </w:rPr>
      </w:pPr>
      <w:r w:rsidRPr="00D54072">
        <w:rPr>
          <w:rFonts w:ascii="Arial" w:hAnsi="Arial" w:cs="Arial"/>
          <w:szCs w:val="22"/>
        </w:rPr>
        <w:t xml:space="preserve">Remifentanil is an esterase metabolised opioid.  It is rapidly and extensively metabolised by non-specific esterases in blood and tissues to the carboxylic acid derivative, GR90291.  This metabolite is 4,600 times less active than the parent compound in quantitative EEG analysis of opioid activity. </w:t>
      </w:r>
    </w:p>
    <w:p w:rsidR="00922616" w:rsidRDefault="00922616">
      <w:pPr>
        <w:rPr>
          <w:rFonts w:ascii="Arial" w:hAnsi="Arial" w:cs="Arial"/>
          <w:szCs w:val="22"/>
        </w:rPr>
      </w:pPr>
    </w:p>
    <w:p w:rsidR="00922616" w:rsidRDefault="00A56518">
      <w:pPr>
        <w:rPr>
          <w:rFonts w:ascii="Arial" w:hAnsi="Arial" w:cs="Arial"/>
          <w:szCs w:val="22"/>
        </w:rPr>
      </w:pPr>
      <w:r w:rsidRPr="00A56518">
        <w:rPr>
          <w:rFonts w:ascii="Arial" w:hAnsi="Arial" w:cs="Arial"/>
          <w:szCs w:val="22"/>
        </w:rPr>
        <w:t>It is unlikely that there is any clinically significant activity of the metabolite.  The half-life of the metabolite in healthy adults is 2 hours.  Approximately 95% of remifentanil is recovered in the urine as the carboxylic acid metabolite.  Remifentanil is not a substrate for plasma cholinesterase.</w:t>
      </w:r>
    </w:p>
    <w:p w:rsidR="00922616" w:rsidRPr="00922616" w:rsidRDefault="00922616">
      <w:pPr>
        <w:pStyle w:val="Footer"/>
        <w:tabs>
          <w:tab w:val="clear" w:pos="4320"/>
          <w:tab w:val="clear" w:pos="8640"/>
        </w:tabs>
        <w:rPr>
          <w:rFonts w:ascii="Arial" w:hAnsi="Arial" w:cs="Arial"/>
          <w:szCs w:val="22"/>
        </w:rPr>
      </w:pPr>
    </w:p>
    <w:p w:rsidR="000E6847" w:rsidRPr="000E6847" w:rsidRDefault="000E6847">
      <w:pPr>
        <w:rPr>
          <w:rFonts w:ascii="Arial" w:hAnsi="Arial" w:cs="Arial"/>
          <w:b/>
          <w:szCs w:val="22"/>
        </w:rPr>
      </w:pPr>
      <w:r w:rsidRPr="000E6847">
        <w:rPr>
          <w:rFonts w:ascii="Arial" w:hAnsi="Arial" w:cs="Arial"/>
          <w:b/>
          <w:szCs w:val="22"/>
        </w:rPr>
        <w:t>Excretion</w:t>
      </w:r>
    </w:p>
    <w:p w:rsidR="000E6847" w:rsidRPr="000E6847" w:rsidRDefault="0062618B">
      <w:pPr>
        <w:rPr>
          <w:rFonts w:ascii="Arial" w:hAnsi="Arial" w:cs="Arial"/>
          <w:szCs w:val="22"/>
        </w:rPr>
      </w:pPr>
      <w:r>
        <w:rPr>
          <w:rFonts w:ascii="Arial" w:hAnsi="Arial"/>
        </w:rPr>
        <w:t>Following administration of the recommended doses of remifentanil, the effective biological half-life is 3</w:t>
      </w:r>
      <w:r>
        <w:rPr>
          <w:rFonts w:ascii="Arial" w:hAnsi="Arial"/>
        </w:rPr>
        <w:noBreakHyphen/>
        <w:t>10 minutes due to redistribution.  The terminal half-life of the unchanged drug is 10 to 20 minutes.  The average clearance of remifentanil in young healthy adults is 40 mL/min/kg.  Clearance generally correlates with total body weight (with the exception of severely obese patients in whom it correlates with ideal body weight).</w:t>
      </w:r>
    </w:p>
    <w:p w:rsidR="000E6847" w:rsidRDefault="000E6847">
      <w:pPr>
        <w:rPr>
          <w:rFonts w:ascii="Arial" w:hAnsi="Arial" w:cs="Arial"/>
          <w:b/>
          <w:szCs w:val="22"/>
        </w:rPr>
      </w:pPr>
    </w:p>
    <w:p w:rsidR="00922616" w:rsidRPr="00922616" w:rsidRDefault="00567E52">
      <w:pPr>
        <w:rPr>
          <w:rFonts w:ascii="Arial" w:hAnsi="Arial" w:cs="Arial"/>
          <w:szCs w:val="22"/>
        </w:rPr>
      </w:pPr>
      <w:r w:rsidRPr="00567E52">
        <w:rPr>
          <w:rFonts w:ascii="Arial" w:hAnsi="Arial" w:cs="Arial"/>
          <w:b/>
          <w:szCs w:val="22"/>
        </w:rPr>
        <w:t>Placental and milk tra</w:t>
      </w:r>
      <w:r w:rsidR="003B54CA" w:rsidRPr="003B54CA">
        <w:rPr>
          <w:rFonts w:ascii="Arial" w:hAnsi="Arial" w:cs="Arial"/>
          <w:b/>
          <w:szCs w:val="22"/>
        </w:rPr>
        <w:t>nsfer</w:t>
      </w:r>
    </w:p>
    <w:p w:rsidR="00922616" w:rsidRPr="00922616" w:rsidRDefault="00D54072">
      <w:pPr>
        <w:rPr>
          <w:rFonts w:ascii="Arial" w:hAnsi="Arial" w:cs="Arial"/>
          <w:szCs w:val="22"/>
        </w:rPr>
      </w:pPr>
      <w:r w:rsidRPr="00D54072">
        <w:rPr>
          <w:rFonts w:ascii="Arial" w:hAnsi="Arial" w:cs="Arial"/>
          <w:szCs w:val="22"/>
        </w:rPr>
        <w:t xml:space="preserve">Placental transfer studies in rats and rabbits showed that pups are exposed to remifentanil and/or its metabolites during growth and development.  Remifentanil-related material is transferred to the milk of lactating rats.  In a human clinical trial, the concentration of remifentanil in foetal blood was approximately 50% of that in maternal blood.  The foetal </w:t>
      </w:r>
      <w:r w:rsidRPr="00D54072">
        <w:rPr>
          <w:rFonts w:ascii="Arial" w:hAnsi="Arial" w:cs="Arial"/>
          <w:szCs w:val="22"/>
        </w:rPr>
        <w:lastRenderedPageBreak/>
        <w:t>arterio-venous ratio of remifentanil concentrations was approximately 30% suggesting metabolism of remifentanil in the neonate.</w:t>
      </w:r>
    </w:p>
    <w:p w:rsidR="00922616" w:rsidRPr="00922616" w:rsidRDefault="00922616">
      <w:pPr>
        <w:rPr>
          <w:rFonts w:ascii="Arial" w:hAnsi="Arial" w:cs="Arial"/>
          <w:szCs w:val="22"/>
        </w:rPr>
      </w:pPr>
    </w:p>
    <w:p w:rsidR="00922616" w:rsidRPr="00922616" w:rsidRDefault="00D54072">
      <w:pPr>
        <w:rPr>
          <w:rFonts w:ascii="Arial" w:hAnsi="Arial" w:cs="Arial"/>
          <w:b/>
          <w:szCs w:val="22"/>
        </w:rPr>
      </w:pPr>
      <w:r w:rsidRPr="00D54072">
        <w:rPr>
          <w:rFonts w:ascii="Arial" w:hAnsi="Arial" w:cs="Arial"/>
          <w:b/>
          <w:szCs w:val="22"/>
        </w:rPr>
        <w:t>Cardiac anaesthesia</w:t>
      </w:r>
    </w:p>
    <w:p w:rsidR="00922616" w:rsidRPr="00922616" w:rsidRDefault="00D54072">
      <w:pPr>
        <w:rPr>
          <w:rFonts w:ascii="Arial" w:hAnsi="Arial" w:cs="Arial"/>
          <w:szCs w:val="22"/>
        </w:rPr>
      </w:pPr>
      <w:r w:rsidRPr="00D54072">
        <w:rPr>
          <w:rFonts w:ascii="Arial" w:hAnsi="Arial" w:cs="Arial"/>
          <w:szCs w:val="22"/>
        </w:rPr>
        <w:t>The clearance of remifentanil is reduced by approximately 20% during hypothermic (28</w:t>
      </w:r>
      <w:r w:rsidRPr="00D54072">
        <w:rPr>
          <w:rFonts w:ascii="Arial" w:hAnsi="Arial" w:cs="Arial"/>
          <w:szCs w:val="22"/>
          <w:vertAlign w:val="superscript"/>
        </w:rPr>
        <w:t>o</w:t>
      </w:r>
      <w:r w:rsidRPr="00D54072">
        <w:rPr>
          <w:rFonts w:ascii="Arial" w:hAnsi="Arial" w:cs="Arial"/>
          <w:szCs w:val="22"/>
        </w:rPr>
        <w:t xml:space="preserve">C) cardiopulmonary bypass.  A decrease in body temperature lowers elimination clearance by 3% per degree </w:t>
      </w:r>
      <w:r w:rsidRPr="00D54072">
        <w:rPr>
          <w:rFonts w:ascii="Arial" w:hAnsi="Arial" w:cs="Arial"/>
          <w:szCs w:val="22"/>
          <w:shd w:val="clear" w:color="auto" w:fill="FFFFFF"/>
        </w:rPr>
        <w:t>Celsius</w:t>
      </w:r>
      <w:r w:rsidRPr="00D54072">
        <w:rPr>
          <w:rFonts w:ascii="Arial" w:hAnsi="Arial" w:cs="Arial"/>
          <w:szCs w:val="22"/>
        </w:rPr>
        <w:t>.</w:t>
      </w:r>
    </w:p>
    <w:p w:rsidR="00922616" w:rsidRPr="00922616" w:rsidRDefault="00922616">
      <w:pPr>
        <w:pStyle w:val="Footer"/>
        <w:tabs>
          <w:tab w:val="clear" w:pos="4320"/>
          <w:tab w:val="clear" w:pos="8640"/>
        </w:tabs>
        <w:rPr>
          <w:rFonts w:ascii="Arial" w:hAnsi="Arial" w:cs="Arial"/>
          <w:szCs w:val="22"/>
        </w:rPr>
      </w:pPr>
    </w:p>
    <w:p w:rsidR="00441CE1" w:rsidRDefault="00441CE1">
      <w:pPr>
        <w:rPr>
          <w:rFonts w:ascii="Arial" w:hAnsi="Arial" w:cs="Arial"/>
          <w:b/>
          <w:szCs w:val="22"/>
        </w:rPr>
      </w:pPr>
    </w:p>
    <w:p w:rsidR="00922616" w:rsidRPr="00922616" w:rsidRDefault="00D54072">
      <w:pPr>
        <w:rPr>
          <w:rFonts w:ascii="Arial" w:hAnsi="Arial" w:cs="Arial"/>
          <w:b/>
          <w:szCs w:val="22"/>
        </w:rPr>
      </w:pPr>
      <w:r w:rsidRPr="00D54072">
        <w:rPr>
          <w:rFonts w:ascii="Arial" w:hAnsi="Arial" w:cs="Arial"/>
          <w:b/>
          <w:szCs w:val="22"/>
        </w:rPr>
        <w:t xml:space="preserve">Pharmacokinetics in patients with renal impairment </w:t>
      </w:r>
    </w:p>
    <w:p w:rsidR="00922616" w:rsidRPr="00922616" w:rsidRDefault="00D54072">
      <w:pPr>
        <w:rPr>
          <w:rFonts w:ascii="Arial" w:hAnsi="Arial" w:cs="Arial"/>
          <w:szCs w:val="22"/>
        </w:rPr>
      </w:pPr>
      <w:r w:rsidRPr="00D54072">
        <w:rPr>
          <w:rFonts w:ascii="Arial" w:hAnsi="Arial" w:cs="Arial"/>
          <w:szCs w:val="22"/>
        </w:rPr>
        <w:t>After 72 hours of infusion, the rapid recovery from remifentanil-based sedation and analgesia is unaffected by mild renal impairment and may be slightly prolonged in patients with moderate/severe renal impairment (median time to off-set of effects of remifentanil was 30 minutes in patients with moderate/severe renal impairment compared with 13.5 minutes in mild renal impairment).</w:t>
      </w:r>
    </w:p>
    <w:p w:rsidR="00922616" w:rsidRPr="00922616" w:rsidRDefault="00922616">
      <w:pPr>
        <w:rPr>
          <w:rFonts w:ascii="Arial" w:hAnsi="Arial" w:cs="Arial"/>
          <w:szCs w:val="22"/>
        </w:rPr>
      </w:pPr>
    </w:p>
    <w:p w:rsidR="00922616" w:rsidRPr="00922616" w:rsidRDefault="00D54072">
      <w:pPr>
        <w:rPr>
          <w:rFonts w:ascii="Arial" w:hAnsi="Arial" w:cs="Arial"/>
          <w:szCs w:val="22"/>
        </w:rPr>
      </w:pPr>
      <w:r w:rsidRPr="00D54072">
        <w:rPr>
          <w:rFonts w:ascii="Arial" w:hAnsi="Arial" w:cs="Arial"/>
          <w:szCs w:val="22"/>
        </w:rPr>
        <w:t>The pharmacokinetics of remifentanil are not significantly changed in patients with varying degrees of renal impairment even after administration for up to 3 days in the intensive care setting.</w:t>
      </w:r>
    </w:p>
    <w:p w:rsidR="00922616" w:rsidRPr="00922616" w:rsidRDefault="00922616">
      <w:pPr>
        <w:rPr>
          <w:rFonts w:ascii="Arial" w:hAnsi="Arial" w:cs="Arial"/>
          <w:szCs w:val="22"/>
        </w:rPr>
      </w:pPr>
    </w:p>
    <w:p w:rsidR="00922616" w:rsidRPr="00922616" w:rsidRDefault="00D54072">
      <w:pPr>
        <w:rPr>
          <w:rFonts w:ascii="Arial" w:hAnsi="Arial" w:cs="Arial"/>
          <w:szCs w:val="22"/>
        </w:rPr>
      </w:pPr>
      <w:r w:rsidRPr="00D54072">
        <w:rPr>
          <w:rFonts w:ascii="Arial" w:hAnsi="Arial" w:cs="Arial"/>
          <w:szCs w:val="22"/>
        </w:rPr>
        <w:t>The clearance of the carboxylic acid metabolite is reduced  in patients with renal impairment. In intensive care patients with moderate/severe renal impairment, the concentration of the carboxylic acid metabolite may exceed 250-fold the level of remifentanil at steady-state in some patients.  There is no evidence that the metabolite produces clinically relevant µ-opioid effects even after administration of remifentanil infusions for up to three days in these patients.  However, due to the limited data available, it is not known whether the accumulated metabolite has any other clinically relevant effects.  (see</w:t>
      </w:r>
      <w:r w:rsidRPr="00D54072">
        <w:rPr>
          <w:rFonts w:ascii="Arial" w:hAnsi="Arial" w:cs="Arial"/>
          <w:b/>
          <w:szCs w:val="22"/>
        </w:rPr>
        <w:t xml:space="preserve"> CLINICAL TRIALS – Intensive Care Unit</w:t>
      </w:r>
      <w:r w:rsidRPr="00D54072">
        <w:rPr>
          <w:rFonts w:ascii="Arial" w:hAnsi="Arial" w:cs="Arial"/>
          <w:szCs w:val="22"/>
        </w:rPr>
        <w:t>).</w:t>
      </w:r>
    </w:p>
    <w:p w:rsidR="00922616" w:rsidRPr="00922616" w:rsidRDefault="00922616">
      <w:pPr>
        <w:rPr>
          <w:rFonts w:ascii="Arial" w:hAnsi="Arial" w:cs="Arial"/>
          <w:szCs w:val="22"/>
        </w:rPr>
      </w:pPr>
    </w:p>
    <w:p w:rsidR="00922616" w:rsidRPr="00922616" w:rsidRDefault="00D54072">
      <w:pPr>
        <w:rPr>
          <w:rFonts w:ascii="Arial" w:hAnsi="Arial" w:cs="Arial"/>
          <w:szCs w:val="22"/>
        </w:rPr>
      </w:pPr>
      <w:r w:rsidRPr="00D54072">
        <w:rPr>
          <w:rFonts w:ascii="Arial" w:hAnsi="Arial" w:cs="Arial"/>
          <w:szCs w:val="22"/>
        </w:rPr>
        <w:t>There is no evidence that remifentanil is extracted during renal replacement therapy.</w:t>
      </w:r>
    </w:p>
    <w:p w:rsidR="00922616" w:rsidRPr="00922616" w:rsidRDefault="00922616">
      <w:pPr>
        <w:rPr>
          <w:rFonts w:ascii="Arial" w:hAnsi="Arial" w:cs="Arial"/>
          <w:szCs w:val="22"/>
        </w:rPr>
      </w:pPr>
    </w:p>
    <w:p w:rsidR="00922616" w:rsidRPr="00922616" w:rsidRDefault="00D54072">
      <w:pPr>
        <w:rPr>
          <w:rFonts w:ascii="Arial" w:hAnsi="Arial" w:cs="Arial"/>
          <w:szCs w:val="22"/>
        </w:rPr>
      </w:pPr>
      <w:r w:rsidRPr="00D54072">
        <w:rPr>
          <w:rFonts w:ascii="Arial" w:hAnsi="Arial" w:cs="Arial"/>
          <w:szCs w:val="22"/>
        </w:rPr>
        <w:t>The carboxylic acid metabolite is extracted during haemodialysis by at least 30%.</w:t>
      </w:r>
    </w:p>
    <w:p w:rsidR="00922616" w:rsidRPr="00922616" w:rsidRDefault="00922616">
      <w:pPr>
        <w:rPr>
          <w:rFonts w:ascii="Arial" w:hAnsi="Arial" w:cs="Arial"/>
          <w:szCs w:val="22"/>
        </w:rPr>
      </w:pPr>
    </w:p>
    <w:p w:rsidR="00922616" w:rsidRPr="00922616" w:rsidRDefault="00D54072">
      <w:pPr>
        <w:rPr>
          <w:rFonts w:ascii="Arial" w:hAnsi="Arial" w:cs="Arial"/>
          <w:b/>
          <w:szCs w:val="22"/>
        </w:rPr>
      </w:pPr>
      <w:r w:rsidRPr="00D54072">
        <w:rPr>
          <w:rFonts w:ascii="Arial" w:hAnsi="Arial" w:cs="Arial"/>
          <w:b/>
          <w:szCs w:val="22"/>
        </w:rPr>
        <w:t xml:space="preserve">Pharmacokinetics in patients with hepatic impairment </w:t>
      </w:r>
    </w:p>
    <w:p w:rsidR="00922616" w:rsidRPr="00922616" w:rsidRDefault="00D54072">
      <w:pPr>
        <w:rPr>
          <w:rFonts w:ascii="Arial" w:hAnsi="Arial" w:cs="Arial"/>
          <w:szCs w:val="22"/>
        </w:rPr>
      </w:pPr>
      <w:r w:rsidRPr="00D54072">
        <w:rPr>
          <w:rFonts w:ascii="Arial" w:hAnsi="Arial" w:cs="Arial"/>
          <w:szCs w:val="22"/>
        </w:rPr>
        <w:t>The pharmacokinetics of remifentanil are not changed in patients with severe hepatic impairment awaiting liver transplant, or during the anhepatic phase of liver transplant surgery.  Individuals with severe hepatic impairment demonstrated statistically significant, reduced sensitivity to carbon dioxide stimulation of minute ventilation, which may indicate an increased sensitivity to the respiratory depressant effects of remifentanil.  These patients should be closely monitored and the dose of remifentanil should be titrated to the individual patient’s need.</w:t>
      </w:r>
    </w:p>
    <w:p w:rsidR="00922616" w:rsidRPr="00922616" w:rsidRDefault="00922616">
      <w:pPr>
        <w:rPr>
          <w:rFonts w:ascii="Arial" w:hAnsi="Arial" w:cs="Arial"/>
          <w:szCs w:val="22"/>
        </w:rPr>
      </w:pPr>
    </w:p>
    <w:p w:rsidR="00922616" w:rsidRPr="00922616" w:rsidRDefault="00D54072">
      <w:pPr>
        <w:tabs>
          <w:tab w:val="left" w:pos="2552"/>
        </w:tabs>
        <w:rPr>
          <w:rFonts w:ascii="Arial" w:hAnsi="Arial" w:cs="Arial"/>
          <w:b/>
          <w:szCs w:val="22"/>
        </w:rPr>
      </w:pPr>
      <w:r w:rsidRPr="00D54072">
        <w:rPr>
          <w:rFonts w:ascii="Arial" w:hAnsi="Arial" w:cs="Arial"/>
          <w:b/>
          <w:szCs w:val="22"/>
          <w:shd w:val="clear" w:color="auto" w:fill="FFFFFF"/>
        </w:rPr>
        <w:t>Pharmacokinetics in paediatric</w:t>
      </w:r>
      <w:r w:rsidRPr="00D54072">
        <w:rPr>
          <w:rFonts w:ascii="Arial" w:hAnsi="Arial" w:cs="Arial"/>
          <w:b/>
          <w:szCs w:val="22"/>
        </w:rPr>
        <w:t xml:space="preserve"> patients</w:t>
      </w:r>
    </w:p>
    <w:p w:rsidR="00922616" w:rsidRPr="00922616" w:rsidRDefault="00D54072">
      <w:pPr>
        <w:pStyle w:val="BodyText"/>
        <w:tabs>
          <w:tab w:val="left" w:pos="2552"/>
        </w:tabs>
        <w:rPr>
          <w:rFonts w:ascii="Arial" w:hAnsi="Arial" w:cs="Arial"/>
          <w:szCs w:val="22"/>
        </w:rPr>
      </w:pPr>
      <w:r w:rsidRPr="00D54072">
        <w:rPr>
          <w:rFonts w:ascii="Arial" w:hAnsi="Arial" w:cs="Arial"/>
          <w:szCs w:val="22"/>
        </w:rPr>
        <w:t>In paediatric patients 5 days to 17 years of age, the average clearance and steady state volume of distribution of remifentanil are increased in younger children and decline to young healthy adult values by age 17.  The half life of remifentanil is not significantly different in neonates suggesting that changes in analgesic effect after changes in infusion rate of remifentanil should be rapid and similar to that seen in young healthy adults.  The pharmacokinetics of the carboxylic acid metabolite in paediatric patients 2-17 years of age are similar to those seen in adults after correcting for differences in body weight.</w:t>
      </w:r>
    </w:p>
    <w:p w:rsidR="00922616" w:rsidRPr="00922616" w:rsidRDefault="00922616">
      <w:pPr>
        <w:rPr>
          <w:rFonts w:ascii="Arial" w:hAnsi="Arial" w:cs="Arial"/>
          <w:szCs w:val="22"/>
        </w:rPr>
      </w:pPr>
    </w:p>
    <w:p w:rsidR="00922616" w:rsidRPr="00922616" w:rsidRDefault="00D54072">
      <w:pPr>
        <w:rPr>
          <w:rFonts w:ascii="Arial" w:hAnsi="Arial" w:cs="Arial"/>
          <w:b/>
          <w:szCs w:val="22"/>
        </w:rPr>
      </w:pPr>
      <w:r w:rsidRPr="00D54072">
        <w:rPr>
          <w:rFonts w:ascii="Arial" w:hAnsi="Arial" w:cs="Arial"/>
          <w:b/>
          <w:szCs w:val="22"/>
        </w:rPr>
        <w:t>Pharmacokinetics in elderly patients</w:t>
      </w:r>
    </w:p>
    <w:p w:rsidR="00922616" w:rsidRPr="00922616" w:rsidRDefault="00D54072">
      <w:pPr>
        <w:rPr>
          <w:rFonts w:ascii="Arial" w:hAnsi="Arial" w:cs="Arial"/>
          <w:szCs w:val="22"/>
        </w:rPr>
      </w:pPr>
      <w:r w:rsidRPr="00D54072">
        <w:rPr>
          <w:rFonts w:ascii="Arial" w:hAnsi="Arial" w:cs="Arial"/>
          <w:szCs w:val="22"/>
        </w:rPr>
        <w:lastRenderedPageBreak/>
        <w:t>The clearance of remifentanil is reduced (approximately 25%) in elderly patients (&gt;65 years) compared to young patients.  The pharmacodynamic activity of remifentanil increases with increasing age.  The EC</w:t>
      </w:r>
      <w:r w:rsidRPr="00D54072">
        <w:rPr>
          <w:rFonts w:ascii="Arial" w:hAnsi="Arial" w:cs="Arial"/>
          <w:szCs w:val="22"/>
          <w:vertAlign w:val="subscript"/>
        </w:rPr>
        <w:t>50</w:t>
      </w:r>
      <w:r w:rsidRPr="00D54072">
        <w:rPr>
          <w:rFonts w:ascii="Arial" w:hAnsi="Arial" w:cs="Arial"/>
          <w:szCs w:val="22"/>
        </w:rPr>
        <w:t xml:space="preserve"> for formation of delta waves on the electroencephalogram (EEG) in elderly patients receiving remifentanil is 50% lower than in young patients; therefore, the initial dose of remifentanil should be reduced by 50% in elderly patients and then carefully titrated to meet the individual patient’s need.</w:t>
      </w:r>
    </w:p>
    <w:p w:rsidR="00922616" w:rsidRPr="00922616" w:rsidRDefault="00922616">
      <w:pPr>
        <w:rPr>
          <w:rFonts w:ascii="Arial" w:hAnsi="Arial" w:cs="Arial"/>
          <w:b/>
          <w:szCs w:val="22"/>
        </w:rPr>
      </w:pPr>
    </w:p>
    <w:p w:rsidR="00922616" w:rsidRPr="00922616" w:rsidRDefault="00D54072">
      <w:pPr>
        <w:rPr>
          <w:rFonts w:ascii="Arial" w:hAnsi="Arial" w:cs="Arial"/>
          <w:b/>
          <w:szCs w:val="22"/>
        </w:rPr>
      </w:pPr>
      <w:r w:rsidRPr="00D54072">
        <w:rPr>
          <w:rFonts w:ascii="Arial" w:hAnsi="Arial" w:cs="Arial"/>
          <w:b/>
          <w:szCs w:val="22"/>
        </w:rPr>
        <w:t>CLINICAL TRIALS:</w:t>
      </w:r>
    </w:p>
    <w:p w:rsidR="00922616" w:rsidRPr="00922616" w:rsidRDefault="00922616">
      <w:pPr>
        <w:rPr>
          <w:rFonts w:ascii="Arial" w:hAnsi="Arial" w:cs="Arial"/>
          <w:szCs w:val="22"/>
        </w:rPr>
      </w:pPr>
    </w:p>
    <w:p w:rsidR="00E9027E" w:rsidRDefault="00D54072">
      <w:pPr>
        <w:rPr>
          <w:rFonts w:ascii="Arial" w:hAnsi="Arial" w:cs="Arial"/>
          <w:szCs w:val="22"/>
        </w:rPr>
      </w:pPr>
      <w:r w:rsidRPr="00D54072">
        <w:rPr>
          <w:rFonts w:ascii="Arial" w:hAnsi="Arial" w:cs="Arial"/>
          <w:szCs w:val="22"/>
        </w:rPr>
        <w:t>Clinical trials have demonstrated that remifentanil is unsuitable as a sole agent for induction.  For induction, remifentanil should only be used as an opioid adjunct where intubation and mechanical ventilation are intended.  Remifentanil is not recommended for use in post-operative analgesia, except for ventilated cardiac surgery patients</w:t>
      </w:r>
      <w:r w:rsidRPr="00D54072">
        <w:rPr>
          <w:rFonts w:ascii="Arial" w:hAnsi="Arial" w:cs="Arial"/>
          <w:b/>
          <w:szCs w:val="22"/>
        </w:rPr>
        <w:t xml:space="preserve"> </w:t>
      </w:r>
      <w:r w:rsidRPr="00D54072">
        <w:rPr>
          <w:rFonts w:ascii="Arial" w:hAnsi="Arial" w:cs="Arial"/>
          <w:szCs w:val="22"/>
        </w:rPr>
        <w:t>in an environment where the patient is under the close supervision of medically qualified persons trained in the use of anaesthetic drugs</w:t>
      </w:r>
      <w:r w:rsidRPr="00D54072">
        <w:rPr>
          <w:rFonts w:ascii="Arial" w:hAnsi="Arial" w:cs="Arial"/>
          <w:b/>
          <w:szCs w:val="22"/>
        </w:rPr>
        <w:t xml:space="preserve"> (see INDICATIONS and CONTRAINDICATIONS)</w:t>
      </w:r>
      <w:r w:rsidR="00A56518" w:rsidRPr="00A56518">
        <w:rPr>
          <w:rFonts w:ascii="Arial" w:hAnsi="Arial" w:cs="Arial"/>
          <w:szCs w:val="22"/>
        </w:rPr>
        <w:t>.</w:t>
      </w:r>
    </w:p>
    <w:p w:rsidR="00E9027E" w:rsidRDefault="00E9027E">
      <w:pPr>
        <w:rPr>
          <w:rFonts w:ascii="Arial" w:hAnsi="Arial" w:cs="Arial"/>
          <w:szCs w:val="22"/>
        </w:rPr>
      </w:pPr>
    </w:p>
    <w:p w:rsidR="00922616" w:rsidRPr="00922616" w:rsidRDefault="00A56518">
      <w:pPr>
        <w:rPr>
          <w:rFonts w:ascii="Arial" w:hAnsi="Arial" w:cs="Arial"/>
          <w:szCs w:val="22"/>
        </w:rPr>
      </w:pPr>
      <w:r w:rsidRPr="00A56518">
        <w:rPr>
          <w:rFonts w:ascii="Arial" w:hAnsi="Arial" w:cs="Arial"/>
          <w:szCs w:val="22"/>
        </w:rPr>
        <w:t>Ultiva was evaluated in  3,562 patients undergoing general anaesthesia (n =  2,923) and monitored anaesthesia care (n = 639).  These patients were evaluated in the following settings: inpatient (n =  2,213) which included cardiovascular (n =  675) and neurosurgical (n = 61), and outpatient (n =  1,349).  Three hundred seventy-seven (377) elderly patients (age range 66 to 90 years) and 440 paediatric patients received Ultiva.  Of the general anaesthesia patients, 1,132 also received Ultiva as an IV analgesic agent during the immediate post-operative period.</w:t>
      </w:r>
    </w:p>
    <w:p w:rsidR="00922616" w:rsidRPr="00922616" w:rsidRDefault="00922616">
      <w:pPr>
        <w:rPr>
          <w:rFonts w:ascii="Arial" w:hAnsi="Arial" w:cs="Arial"/>
          <w:szCs w:val="22"/>
        </w:rPr>
      </w:pPr>
    </w:p>
    <w:p w:rsidR="00922616" w:rsidRPr="00922616" w:rsidRDefault="003B54CA">
      <w:pPr>
        <w:rPr>
          <w:rFonts w:ascii="Arial" w:hAnsi="Arial" w:cs="Arial"/>
          <w:szCs w:val="22"/>
        </w:rPr>
      </w:pPr>
      <w:r w:rsidRPr="003B54CA">
        <w:rPr>
          <w:rFonts w:ascii="Arial" w:hAnsi="Arial" w:cs="Arial"/>
          <w:b/>
          <w:szCs w:val="22"/>
        </w:rPr>
        <w:t>Induction and Maintenance of General Anaesthesia - Inpatient/Outpatient:</w:t>
      </w:r>
      <w:r w:rsidR="009D0AAB" w:rsidRPr="009D0AAB">
        <w:rPr>
          <w:rFonts w:ascii="Arial" w:hAnsi="Arial" w:cs="Arial"/>
          <w:szCs w:val="22"/>
        </w:rPr>
        <w:t xml:space="preserve"> The efficacy of Ultiva was investigated in 1562 patients in 15 randomised, controlled trials as the analgesic component for the induction and maintenance of gene</w:t>
      </w:r>
      <w:r w:rsidR="00D54072" w:rsidRPr="00D54072">
        <w:rPr>
          <w:rFonts w:ascii="Arial" w:hAnsi="Arial" w:cs="Arial"/>
          <w:szCs w:val="22"/>
        </w:rPr>
        <w:t>ral anaesthesia.  Eight of these studies compared Ultiva to alfentanil, and two studies compared Ultiva to fentanyl.  In these studies, doses of Ultiva up to the ED90 were compared to recommended doses (approximately ED50) of alfentanil or fentanyl.</w:t>
      </w:r>
    </w:p>
    <w:p w:rsidR="00922616" w:rsidRPr="00922616" w:rsidRDefault="00922616">
      <w:pPr>
        <w:rPr>
          <w:rFonts w:ascii="Arial" w:hAnsi="Arial" w:cs="Arial"/>
          <w:szCs w:val="22"/>
        </w:rPr>
      </w:pPr>
    </w:p>
    <w:p w:rsidR="00E9027E" w:rsidRDefault="00D54072">
      <w:pPr>
        <w:rPr>
          <w:rFonts w:ascii="Arial" w:hAnsi="Arial" w:cs="Arial"/>
          <w:szCs w:val="22"/>
        </w:rPr>
      </w:pPr>
      <w:r w:rsidRPr="00D54072">
        <w:rPr>
          <w:rFonts w:ascii="Arial" w:hAnsi="Arial" w:cs="Arial"/>
          <w:b/>
          <w:szCs w:val="22"/>
        </w:rPr>
        <w:t xml:space="preserve">Induction of Anaesthesia: </w:t>
      </w:r>
      <w:r w:rsidRPr="00D54072">
        <w:rPr>
          <w:rFonts w:ascii="Arial" w:hAnsi="Arial" w:cs="Arial"/>
          <w:szCs w:val="22"/>
        </w:rPr>
        <w:t>Ultiva was administered with isoflurane, propofol, or thiopentone for the induction of anaesthesia (n = 1,562). The majority of patients (80%) received propofol as the concurrent agent.  Ultiva reduced the propofol and thiopentone requirements for loss of consciousness. Compared to alfentanil and fentanyl, a higher relative dose of Ultiva resulted in fewer responses to intubation (see Table 1). Overall, hypotension occurred in 5% of patients receiving Ultiva compared to 2% of patients receiving the other opioids.</w:t>
      </w:r>
    </w:p>
    <w:p w:rsidR="00922616" w:rsidRDefault="00D54072">
      <w:pPr>
        <w:rPr>
          <w:rFonts w:ascii="Arial" w:hAnsi="Arial" w:cs="Arial"/>
          <w:szCs w:val="22"/>
        </w:rPr>
      </w:pPr>
      <w:r w:rsidRPr="00D54072">
        <w:rPr>
          <w:rFonts w:ascii="Arial" w:hAnsi="Arial" w:cs="Arial"/>
          <w:szCs w:val="22"/>
        </w:rPr>
        <w:t>Ultiva has been used as a primary agent for the induction of anaesthesia; however, it should not be used as a sole agent because loss of consciousness cannot be assured and because of a high incidence of apnoea, muscle rigidity, and tachycardia. The administration of an induction dose of propofol or thiopentone or a paralysing dose of a muscle relaxant prior to or concurrently with Ultiva during the induction of anaesthesia markedly decreased the incidence of muscle rigidity from 20% to &lt;1%.</w:t>
      </w:r>
    </w:p>
    <w:p w:rsidR="00E9027E" w:rsidRDefault="005A21BD" w:rsidP="003502B8">
      <w:pPr>
        <w:keepNext/>
        <w:tabs>
          <w:tab w:val="left" w:pos="274"/>
          <w:tab w:val="left" w:pos="547"/>
          <w:tab w:val="right" w:pos="4464"/>
        </w:tabs>
        <w:spacing w:after="120"/>
        <w:ind w:right="471"/>
        <w:jc w:val="center"/>
        <w:rPr>
          <w:rFonts w:ascii="Arial" w:hAnsi="Arial"/>
          <w:b/>
        </w:rPr>
      </w:pPr>
      <w:r>
        <w:rPr>
          <w:rFonts w:ascii="Arial" w:hAnsi="Arial"/>
          <w:b/>
        </w:rPr>
        <w:lastRenderedPageBreak/>
        <w:t>Table 1: Response to Intubation (Propofol/Opioid Induction*)</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72"/>
        <w:gridCol w:w="1166"/>
        <w:gridCol w:w="1584"/>
        <w:gridCol w:w="1440"/>
        <w:gridCol w:w="1728"/>
        <w:gridCol w:w="1422"/>
      </w:tblGrid>
      <w:tr w:rsidR="005A21BD" w:rsidRPr="00992339">
        <w:tc>
          <w:tcPr>
            <w:tcW w:w="1872" w:type="dxa"/>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Opioid Treatment</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Group/(No. of Patients)</w:t>
            </w:r>
          </w:p>
        </w:tc>
        <w:tc>
          <w:tcPr>
            <w:tcW w:w="1166" w:type="dxa"/>
            <w:tcBorders>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Initial Dose</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(µg/kg)</w:t>
            </w:r>
          </w:p>
        </w:tc>
        <w:tc>
          <w:tcPr>
            <w:tcW w:w="1584" w:type="dxa"/>
            <w:tcBorders>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Pre-Intubation</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Infusion Rate</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(µg/kg/min)</w:t>
            </w:r>
          </w:p>
        </w:tc>
        <w:tc>
          <w:tcPr>
            <w:tcW w:w="1440" w:type="dxa"/>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No. (%)</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Muscle</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Rigidity</w:t>
            </w:r>
          </w:p>
        </w:tc>
        <w:tc>
          <w:tcPr>
            <w:tcW w:w="1728" w:type="dxa"/>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No. (%)</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Hypotension During Induction</w:t>
            </w:r>
          </w:p>
        </w:tc>
        <w:tc>
          <w:tcPr>
            <w:tcW w:w="1422" w:type="dxa"/>
            <w:tcBorders>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No. (%)</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Response</w:t>
            </w:r>
          </w:p>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to Intubation</w:t>
            </w:r>
          </w:p>
        </w:tc>
      </w:tr>
      <w:tr w:rsidR="005A21BD" w:rsidRPr="00992339">
        <w:tc>
          <w:tcPr>
            <w:tcW w:w="1872" w:type="dxa"/>
            <w:tcBorders>
              <w:top w:val="nil"/>
              <w:bottom w:val="nil"/>
              <w:right w:val="nil"/>
            </w:tcBorders>
          </w:tcPr>
          <w:p w:rsidR="005A21BD" w:rsidRPr="00992339" w:rsidRDefault="00D54072">
            <w:pPr>
              <w:keepNext/>
              <w:tabs>
                <w:tab w:val="left" w:pos="274"/>
                <w:tab w:val="left" w:pos="547"/>
                <w:tab w:val="right" w:pos="4464"/>
                <w:tab w:val="right" w:pos="9360"/>
              </w:tabs>
              <w:spacing w:before="120" w:line="280" w:lineRule="atLeast"/>
              <w:rPr>
                <w:rFonts w:ascii="Arial" w:hAnsi="Arial" w:cs="Arial"/>
                <w:sz w:val="20"/>
              </w:rPr>
            </w:pPr>
            <w:r w:rsidRPr="00D54072">
              <w:rPr>
                <w:rFonts w:ascii="Arial" w:hAnsi="Arial" w:cs="Arial"/>
                <w:sz w:val="20"/>
              </w:rPr>
              <w:t>Study 1:</w:t>
            </w:r>
          </w:p>
        </w:tc>
        <w:tc>
          <w:tcPr>
            <w:tcW w:w="1166" w:type="dxa"/>
            <w:tcBorders>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432"/>
              <w:rPr>
                <w:rFonts w:ascii="Arial" w:hAnsi="Arial" w:cs="Arial"/>
                <w:sz w:val="20"/>
              </w:rPr>
            </w:pPr>
          </w:p>
        </w:tc>
        <w:tc>
          <w:tcPr>
            <w:tcW w:w="1584" w:type="dxa"/>
            <w:tcBorders>
              <w:bottom w:val="nil"/>
              <w:right w:val="nil"/>
            </w:tcBorders>
          </w:tcPr>
          <w:p w:rsidR="005A21BD" w:rsidRPr="00992339" w:rsidRDefault="005A21BD">
            <w:pPr>
              <w:keepNext/>
              <w:tabs>
                <w:tab w:val="left" w:pos="274"/>
                <w:tab w:val="left" w:pos="547"/>
                <w:tab w:val="right" w:pos="4464"/>
                <w:tab w:val="right" w:pos="9360"/>
              </w:tabs>
              <w:spacing w:before="120" w:line="280" w:lineRule="atLeast"/>
              <w:rPr>
                <w:rFonts w:ascii="Arial" w:hAnsi="Arial" w:cs="Arial"/>
                <w:sz w:val="20"/>
              </w:rPr>
            </w:pPr>
          </w:p>
        </w:tc>
        <w:tc>
          <w:tcPr>
            <w:tcW w:w="1440"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216"/>
              <w:jc w:val="right"/>
              <w:rPr>
                <w:rFonts w:ascii="Arial" w:hAnsi="Arial" w:cs="Arial"/>
                <w:sz w:val="20"/>
              </w:rPr>
            </w:pPr>
          </w:p>
        </w:tc>
        <w:tc>
          <w:tcPr>
            <w:tcW w:w="1728"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jc w:val="right"/>
              <w:rPr>
                <w:rFonts w:ascii="Arial" w:hAnsi="Arial" w:cs="Arial"/>
                <w:sz w:val="20"/>
              </w:rPr>
            </w:pPr>
          </w:p>
        </w:tc>
        <w:tc>
          <w:tcPr>
            <w:tcW w:w="1422" w:type="dxa"/>
            <w:tcBorders>
              <w:bottom w:val="nil"/>
            </w:tcBorders>
          </w:tcPr>
          <w:p w:rsidR="005A21BD" w:rsidRPr="00992339" w:rsidRDefault="005A21BD">
            <w:pPr>
              <w:keepNext/>
              <w:tabs>
                <w:tab w:val="left" w:pos="274"/>
                <w:tab w:val="left" w:pos="547"/>
                <w:tab w:val="right" w:pos="4464"/>
                <w:tab w:val="right" w:pos="9360"/>
              </w:tabs>
              <w:spacing w:before="120" w:line="280" w:lineRule="atLeast"/>
              <w:ind w:right="216"/>
              <w:jc w:val="right"/>
              <w:rPr>
                <w:rFonts w:ascii="Arial" w:hAnsi="Arial" w:cs="Arial"/>
                <w:sz w:val="20"/>
              </w:rPr>
            </w:pP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Ultiva (35)</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1</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0.1</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317"/>
              <w:jc w:val="right"/>
              <w:rPr>
                <w:rFonts w:ascii="Arial" w:hAnsi="Arial" w:cs="Arial"/>
                <w:sz w:val="20"/>
              </w:rPr>
            </w:pPr>
            <w:r w:rsidRPr="00D54072">
              <w:rPr>
                <w:rFonts w:ascii="Arial" w:hAnsi="Arial" w:cs="Arial"/>
                <w:sz w:val="20"/>
              </w:rPr>
              <w:t>1 (3%)</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27 (77%)</w:t>
            </w: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Ultiva (35)</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1</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0.4</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317"/>
              <w:jc w:val="right"/>
              <w:rPr>
                <w:rFonts w:ascii="Arial" w:hAnsi="Arial" w:cs="Arial"/>
                <w:sz w:val="20"/>
              </w:rPr>
            </w:pPr>
            <w:r w:rsidRPr="00D54072">
              <w:rPr>
                <w:rFonts w:ascii="Arial" w:hAnsi="Arial" w:cs="Arial"/>
                <w:sz w:val="20"/>
              </w:rPr>
              <w:t>3 (9%)</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144"/>
              <w:jc w:val="right"/>
              <w:rPr>
                <w:rFonts w:ascii="Arial" w:hAnsi="Arial" w:cs="Arial"/>
                <w:sz w:val="20"/>
              </w:rPr>
            </w:pPr>
            <w:r w:rsidRPr="00D54072">
              <w:rPr>
                <w:rFonts w:ascii="Arial" w:hAnsi="Arial" w:cs="Arial"/>
                <w:sz w:val="20"/>
              </w:rPr>
              <w:t>11 (31%)</w:t>
            </w:r>
            <w:r w:rsidRPr="00D54072">
              <w:rPr>
                <w:rFonts w:ascii="Arial" w:hAnsi="Arial" w:cs="Arial"/>
                <w:position w:val="6"/>
                <w:sz w:val="20"/>
              </w:rPr>
              <w:t>†</w:t>
            </w: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 xml:space="preserve">  Alfentanil (35)</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20</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1.0</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317"/>
              <w:jc w:val="right"/>
              <w:rPr>
                <w:rFonts w:ascii="Arial" w:hAnsi="Arial" w:cs="Arial"/>
                <w:sz w:val="20"/>
              </w:rPr>
            </w:pPr>
            <w:r w:rsidRPr="00D54072">
              <w:rPr>
                <w:rFonts w:ascii="Arial" w:hAnsi="Arial" w:cs="Arial"/>
                <w:sz w:val="20"/>
              </w:rPr>
              <w:t>2 (6%)</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26 (74%)</w:t>
            </w:r>
          </w:p>
        </w:tc>
      </w:tr>
      <w:tr w:rsidR="005A21BD" w:rsidRPr="00992339">
        <w:tc>
          <w:tcPr>
            <w:tcW w:w="1872" w:type="dxa"/>
            <w:tcBorders>
              <w:top w:val="nil"/>
              <w:bottom w:val="nil"/>
              <w:right w:val="nil"/>
            </w:tcBorders>
          </w:tcPr>
          <w:p w:rsidR="005A21BD" w:rsidRPr="00992339" w:rsidRDefault="00D54072">
            <w:pPr>
              <w:keepNext/>
              <w:tabs>
                <w:tab w:val="left" w:pos="274"/>
                <w:tab w:val="left" w:pos="547"/>
                <w:tab w:val="right" w:pos="4464"/>
                <w:tab w:val="right" w:pos="9360"/>
              </w:tabs>
              <w:spacing w:before="120" w:line="280" w:lineRule="atLeast"/>
              <w:rPr>
                <w:rFonts w:ascii="Arial" w:hAnsi="Arial" w:cs="Arial"/>
                <w:sz w:val="20"/>
              </w:rPr>
            </w:pPr>
            <w:r w:rsidRPr="00D54072">
              <w:rPr>
                <w:rFonts w:ascii="Arial" w:hAnsi="Arial" w:cs="Arial"/>
                <w:sz w:val="20"/>
              </w:rPr>
              <w:t>Study 2:</w:t>
            </w:r>
          </w:p>
        </w:tc>
        <w:tc>
          <w:tcPr>
            <w:tcW w:w="1166"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432"/>
              <w:jc w:val="right"/>
              <w:rPr>
                <w:rFonts w:ascii="Arial" w:hAnsi="Arial" w:cs="Arial"/>
                <w:sz w:val="20"/>
              </w:rPr>
            </w:pPr>
          </w:p>
        </w:tc>
        <w:tc>
          <w:tcPr>
            <w:tcW w:w="1584"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rPr>
                <w:rFonts w:ascii="Arial" w:hAnsi="Arial" w:cs="Arial"/>
                <w:sz w:val="20"/>
              </w:rPr>
            </w:pPr>
          </w:p>
        </w:tc>
        <w:tc>
          <w:tcPr>
            <w:tcW w:w="1440"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317"/>
              <w:jc w:val="right"/>
              <w:rPr>
                <w:rFonts w:ascii="Arial" w:hAnsi="Arial" w:cs="Arial"/>
                <w:sz w:val="20"/>
              </w:rPr>
            </w:pPr>
          </w:p>
        </w:tc>
        <w:tc>
          <w:tcPr>
            <w:tcW w:w="1728"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432"/>
              <w:jc w:val="right"/>
              <w:rPr>
                <w:rFonts w:ascii="Arial" w:hAnsi="Arial" w:cs="Arial"/>
                <w:sz w:val="20"/>
              </w:rPr>
            </w:pPr>
          </w:p>
        </w:tc>
        <w:tc>
          <w:tcPr>
            <w:tcW w:w="1422" w:type="dxa"/>
            <w:tcBorders>
              <w:top w:val="nil"/>
              <w:bottom w:val="nil"/>
            </w:tcBorders>
          </w:tcPr>
          <w:p w:rsidR="005A21BD" w:rsidRPr="00992339" w:rsidRDefault="005A21BD">
            <w:pPr>
              <w:keepNext/>
              <w:tabs>
                <w:tab w:val="left" w:pos="274"/>
                <w:tab w:val="left" w:pos="547"/>
                <w:tab w:val="right" w:pos="4464"/>
                <w:tab w:val="right" w:pos="9360"/>
              </w:tabs>
              <w:spacing w:before="120" w:line="280" w:lineRule="atLeast"/>
              <w:ind w:right="216"/>
              <w:jc w:val="right"/>
              <w:rPr>
                <w:rFonts w:ascii="Arial" w:hAnsi="Arial" w:cs="Arial"/>
                <w:sz w:val="20"/>
              </w:rPr>
            </w:pP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Ultiva (116)</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1</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0.5</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317"/>
              <w:jc w:val="right"/>
              <w:rPr>
                <w:rFonts w:ascii="Arial" w:hAnsi="Arial" w:cs="Arial"/>
                <w:sz w:val="20"/>
              </w:rPr>
            </w:pPr>
            <w:r w:rsidRPr="00D54072">
              <w:rPr>
                <w:rFonts w:ascii="Arial" w:hAnsi="Arial" w:cs="Arial"/>
                <w:sz w:val="20"/>
              </w:rPr>
              <w:t>9 (8%)</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5 (4%)</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144"/>
              <w:jc w:val="right"/>
              <w:rPr>
                <w:rFonts w:ascii="Arial" w:hAnsi="Arial" w:cs="Arial"/>
                <w:sz w:val="20"/>
              </w:rPr>
            </w:pPr>
            <w:r w:rsidRPr="00D54072">
              <w:rPr>
                <w:rFonts w:ascii="Arial" w:hAnsi="Arial" w:cs="Arial"/>
                <w:sz w:val="20"/>
              </w:rPr>
              <w:t>17 (15%)</w:t>
            </w:r>
            <w:r w:rsidRPr="00D54072">
              <w:rPr>
                <w:rFonts w:ascii="Arial" w:hAnsi="Arial" w:cs="Arial"/>
                <w:position w:val="6"/>
                <w:sz w:val="20"/>
              </w:rPr>
              <w:t>†</w:t>
            </w: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Alfentanil (118)</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25</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1.0</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317"/>
              <w:jc w:val="right"/>
              <w:rPr>
                <w:rFonts w:ascii="Arial" w:hAnsi="Arial" w:cs="Arial"/>
                <w:sz w:val="20"/>
              </w:rPr>
            </w:pPr>
            <w:r w:rsidRPr="00D54072">
              <w:rPr>
                <w:rFonts w:ascii="Arial" w:hAnsi="Arial" w:cs="Arial"/>
                <w:sz w:val="20"/>
              </w:rPr>
              <w:t>6 (5%)</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5 (4%)</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33 (28%)</w:t>
            </w:r>
          </w:p>
        </w:tc>
      </w:tr>
      <w:tr w:rsidR="005A21BD" w:rsidRPr="00992339">
        <w:tc>
          <w:tcPr>
            <w:tcW w:w="1872" w:type="dxa"/>
            <w:tcBorders>
              <w:top w:val="nil"/>
              <w:bottom w:val="nil"/>
              <w:right w:val="nil"/>
            </w:tcBorders>
          </w:tcPr>
          <w:p w:rsidR="005A21BD" w:rsidRPr="00992339" w:rsidRDefault="00D54072">
            <w:pPr>
              <w:keepNext/>
              <w:tabs>
                <w:tab w:val="left" w:pos="274"/>
                <w:tab w:val="left" w:pos="547"/>
                <w:tab w:val="right" w:pos="4464"/>
                <w:tab w:val="right" w:pos="9360"/>
              </w:tabs>
              <w:spacing w:before="120" w:line="280" w:lineRule="atLeast"/>
              <w:rPr>
                <w:rFonts w:ascii="Arial" w:hAnsi="Arial" w:cs="Arial"/>
                <w:sz w:val="20"/>
              </w:rPr>
            </w:pPr>
            <w:r w:rsidRPr="00D54072">
              <w:rPr>
                <w:rFonts w:ascii="Arial" w:hAnsi="Arial" w:cs="Arial"/>
                <w:sz w:val="20"/>
              </w:rPr>
              <w:t>Study 3:</w:t>
            </w:r>
          </w:p>
        </w:tc>
        <w:tc>
          <w:tcPr>
            <w:tcW w:w="1166"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432"/>
              <w:jc w:val="right"/>
              <w:rPr>
                <w:rFonts w:ascii="Arial" w:hAnsi="Arial" w:cs="Arial"/>
                <w:sz w:val="20"/>
              </w:rPr>
            </w:pPr>
          </w:p>
        </w:tc>
        <w:tc>
          <w:tcPr>
            <w:tcW w:w="1584"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rPr>
                <w:rFonts w:ascii="Arial" w:hAnsi="Arial" w:cs="Arial"/>
                <w:sz w:val="20"/>
              </w:rPr>
            </w:pPr>
          </w:p>
        </w:tc>
        <w:tc>
          <w:tcPr>
            <w:tcW w:w="1440"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317"/>
              <w:jc w:val="right"/>
              <w:rPr>
                <w:rFonts w:ascii="Arial" w:hAnsi="Arial" w:cs="Arial"/>
                <w:sz w:val="20"/>
              </w:rPr>
            </w:pPr>
          </w:p>
        </w:tc>
        <w:tc>
          <w:tcPr>
            <w:tcW w:w="1728"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432"/>
              <w:jc w:val="right"/>
              <w:rPr>
                <w:rFonts w:ascii="Arial" w:hAnsi="Arial" w:cs="Arial"/>
                <w:sz w:val="20"/>
              </w:rPr>
            </w:pPr>
          </w:p>
        </w:tc>
        <w:tc>
          <w:tcPr>
            <w:tcW w:w="1422" w:type="dxa"/>
            <w:tcBorders>
              <w:top w:val="nil"/>
              <w:bottom w:val="nil"/>
            </w:tcBorders>
          </w:tcPr>
          <w:p w:rsidR="005A21BD" w:rsidRPr="00992339" w:rsidRDefault="005A21BD">
            <w:pPr>
              <w:keepNext/>
              <w:tabs>
                <w:tab w:val="left" w:pos="274"/>
                <w:tab w:val="left" w:pos="547"/>
                <w:tab w:val="right" w:pos="4464"/>
                <w:tab w:val="right" w:pos="9360"/>
              </w:tabs>
              <w:spacing w:before="120" w:line="280" w:lineRule="atLeast"/>
              <w:ind w:right="216"/>
              <w:jc w:val="right"/>
              <w:rPr>
                <w:rFonts w:ascii="Arial" w:hAnsi="Arial" w:cs="Arial"/>
                <w:sz w:val="20"/>
              </w:rPr>
            </w:pP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ind w:left="162" w:hanging="162"/>
              <w:rPr>
                <w:rFonts w:ascii="Arial" w:hAnsi="Arial" w:cs="Arial"/>
                <w:sz w:val="20"/>
              </w:rPr>
            </w:pPr>
            <w:r w:rsidRPr="00D54072">
              <w:rPr>
                <w:rFonts w:ascii="Arial" w:hAnsi="Arial" w:cs="Arial"/>
                <w:sz w:val="20"/>
              </w:rPr>
              <w:tab/>
              <w:t>Ultiva (134)</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1</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0.5</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317"/>
              <w:jc w:val="right"/>
              <w:rPr>
                <w:rFonts w:ascii="Arial" w:hAnsi="Arial" w:cs="Arial"/>
                <w:sz w:val="20"/>
              </w:rPr>
            </w:pPr>
            <w:r w:rsidRPr="00D54072">
              <w:rPr>
                <w:rFonts w:ascii="Arial" w:hAnsi="Arial" w:cs="Arial"/>
                <w:sz w:val="20"/>
              </w:rPr>
              <w:t>2 (1%)</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4 (3%)</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25 (19%)</w:t>
            </w: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Alfentanil (66)</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20</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2.0</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19 (29%)</w:t>
            </w:r>
          </w:p>
        </w:tc>
      </w:tr>
      <w:tr w:rsidR="005A21BD" w:rsidRPr="00992339">
        <w:tc>
          <w:tcPr>
            <w:tcW w:w="1872" w:type="dxa"/>
            <w:tcBorders>
              <w:top w:val="nil"/>
              <w:bottom w:val="nil"/>
              <w:right w:val="nil"/>
            </w:tcBorders>
          </w:tcPr>
          <w:p w:rsidR="005A21BD" w:rsidRPr="00992339" w:rsidRDefault="00D54072">
            <w:pPr>
              <w:keepNext/>
              <w:tabs>
                <w:tab w:val="left" w:pos="274"/>
                <w:tab w:val="left" w:pos="547"/>
                <w:tab w:val="right" w:pos="4464"/>
                <w:tab w:val="right" w:pos="9360"/>
              </w:tabs>
              <w:spacing w:before="120" w:line="280" w:lineRule="atLeast"/>
              <w:rPr>
                <w:rFonts w:ascii="Arial" w:hAnsi="Arial" w:cs="Arial"/>
                <w:sz w:val="20"/>
              </w:rPr>
            </w:pPr>
            <w:r w:rsidRPr="00D54072">
              <w:rPr>
                <w:rFonts w:ascii="Arial" w:hAnsi="Arial" w:cs="Arial"/>
                <w:sz w:val="20"/>
              </w:rPr>
              <w:t>Study 4:</w:t>
            </w:r>
          </w:p>
        </w:tc>
        <w:tc>
          <w:tcPr>
            <w:tcW w:w="1166"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432"/>
              <w:jc w:val="right"/>
              <w:rPr>
                <w:rFonts w:ascii="Arial" w:hAnsi="Arial" w:cs="Arial"/>
                <w:sz w:val="20"/>
              </w:rPr>
            </w:pPr>
          </w:p>
        </w:tc>
        <w:tc>
          <w:tcPr>
            <w:tcW w:w="1584"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rPr>
                <w:rFonts w:ascii="Arial" w:hAnsi="Arial" w:cs="Arial"/>
                <w:sz w:val="20"/>
              </w:rPr>
            </w:pPr>
          </w:p>
        </w:tc>
        <w:tc>
          <w:tcPr>
            <w:tcW w:w="1440"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ind w:right="216"/>
              <w:jc w:val="right"/>
              <w:rPr>
                <w:rFonts w:ascii="Arial" w:hAnsi="Arial" w:cs="Arial"/>
                <w:sz w:val="20"/>
              </w:rPr>
            </w:pPr>
          </w:p>
        </w:tc>
        <w:tc>
          <w:tcPr>
            <w:tcW w:w="1728" w:type="dxa"/>
            <w:tcBorders>
              <w:top w:val="nil"/>
              <w:bottom w:val="nil"/>
              <w:right w:val="nil"/>
            </w:tcBorders>
          </w:tcPr>
          <w:p w:rsidR="005A21BD" w:rsidRPr="00992339" w:rsidRDefault="005A21BD">
            <w:pPr>
              <w:keepNext/>
              <w:tabs>
                <w:tab w:val="left" w:pos="274"/>
                <w:tab w:val="left" w:pos="547"/>
                <w:tab w:val="right" w:pos="4464"/>
                <w:tab w:val="right" w:pos="9360"/>
              </w:tabs>
              <w:spacing w:before="120" w:line="280" w:lineRule="atLeast"/>
              <w:jc w:val="center"/>
              <w:rPr>
                <w:rFonts w:ascii="Arial" w:hAnsi="Arial" w:cs="Arial"/>
                <w:sz w:val="20"/>
              </w:rPr>
            </w:pPr>
          </w:p>
        </w:tc>
        <w:tc>
          <w:tcPr>
            <w:tcW w:w="1422" w:type="dxa"/>
            <w:tcBorders>
              <w:top w:val="nil"/>
              <w:bottom w:val="nil"/>
            </w:tcBorders>
          </w:tcPr>
          <w:p w:rsidR="005A21BD" w:rsidRPr="00992339" w:rsidRDefault="005A21BD">
            <w:pPr>
              <w:keepNext/>
              <w:tabs>
                <w:tab w:val="left" w:pos="274"/>
                <w:tab w:val="left" w:pos="547"/>
                <w:tab w:val="right" w:pos="4464"/>
                <w:tab w:val="right" w:pos="9360"/>
              </w:tabs>
              <w:spacing w:before="120" w:line="280" w:lineRule="atLeast"/>
              <w:ind w:right="216"/>
              <w:jc w:val="right"/>
              <w:rPr>
                <w:rFonts w:ascii="Arial" w:hAnsi="Arial" w:cs="Arial"/>
                <w:sz w:val="20"/>
              </w:rPr>
            </w:pP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Ultiva (98)</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1</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0.2</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11 (11%)</w:t>
            </w:r>
            <w:r w:rsidRPr="00D54072">
              <w:rPr>
                <w:rFonts w:ascii="Arial" w:hAnsi="Arial" w:cs="Arial"/>
                <w:position w:val="6"/>
                <w:sz w:val="20"/>
              </w:rPr>
              <w:t>†</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2 (2%)</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35 (36%)</w:t>
            </w:r>
          </w:p>
        </w:tc>
      </w:tr>
      <w:tr w:rsidR="005A21BD" w:rsidRPr="00992339">
        <w:tc>
          <w:tcPr>
            <w:tcW w:w="1872" w:type="dxa"/>
            <w:tcBorders>
              <w:top w:val="nil"/>
              <w:bottom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Ultiva (91)</w:t>
            </w:r>
          </w:p>
        </w:tc>
        <w:tc>
          <w:tcPr>
            <w:tcW w:w="1166"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ind w:right="331"/>
              <w:jc w:val="right"/>
              <w:rPr>
                <w:rFonts w:ascii="Arial" w:hAnsi="Arial" w:cs="Arial"/>
                <w:sz w:val="20"/>
              </w:rPr>
            </w:pPr>
            <w:r w:rsidRPr="00D54072">
              <w:rPr>
                <w:rFonts w:ascii="Arial" w:hAnsi="Arial" w:cs="Arial"/>
                <w:sz w:val="20"/>
              </w:rPr>
              <w:t>2</w:t>
            </w:r>
            <w:r w:rsidRPr="00D54072">
              <w:rPr>
                <w:rFonts w:ascii="Arial" w:hAnsi="Arial" w:cs="Arial"/>
                <w:position w:val="8"/>
                <w:sz w:val="20"/>
              </w:rPr>
              <w:t>‡</w:t>
            </w:r>
          </w:p>
        </w:tc>
        <w:tc>
          <w:tcPr>
            <w:tcW w:w="1584" w:type="dxa"/>
            <w:tcBorders>
              <w:top w:val="nil"/>
              <w:left w:val="nil"/>
              <w:bottom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0.4</w:t>
            </w:r>
          </w:p>
        </w:tc>
        <w:tc>
          <w:tcPr>
            <w:tcW w:w="1440" w:type="dxa"/>
            <w:tcBorders>
              <w:top w:val="nil"/>
              <w:left w:val="nil"/>
              <w:bottom w:val="nil"/>
              <w:right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11 (12%)</w:t>
            </w:r>
            <w:r w:rsidRPr="00D54072">
              <w:rPr>
                <w:rFonts w:ascii="Arial" w:hAnsi="Arial" w:cs="Arial"/>
                <w:position w:val="6"/>
                <w:sz w:val="20"/>
              </w:rPr>
              <w:t>†</w:t>
            </w:r>
          </w:p>
        </w:tc>
        <w:tc>
          <w:tcPr>
            <w:tcW w:w="1728" w:type="dxa"/>
            <w:tcBorders>
              <w:top w:val="nil"/>
              <w:bottom w:val="nil"/>
              <w:right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2 (2%)</w:t>
            </w:r>
          </w:p>
        </w:tc>
        <w:tc>
          <w:tcPr>
            <w:tcW w:w="1422" w:type="dxa"/>
            <w:tcBorders>
              <w:top w:val="nil"/>
              <w:bottom w:val="nil"/>
            </w:tcBorders>
          </w:tcPr>
          <w:p w:rsidR="005A21BD" w:rsidRPr="00992339" w:rsidRDefault="00D54072">
            <w:pPr>
              <w:keepNext/>
              <w:tabs>
                <w:tab w:val="left" w:pos="274"/>
                <w:tab w:val="left" w:pos="547"/>
                <w:tab w:val="right" w:pos="4464"/>
                <w:tab w:val="right" w:pos="9360"/>
              </w:tabs>
              <w:spacing w:line="280" w:lineRule="atLeast"/>
              <w:ind w:right="144"/>
              <w:jc w:val="right"/>
              <w:rPr>
                <w:rFonts w:ascii="Arial" w:hAnsi="Arial" w:cs="Arial"/>
                <w:sz w:val="20"/>
              </w:rPr>
            </w:pPr>
            <w:r w:rsidRPr="00D54072">
              <w:rPr>
                <w:rFonts w:ascii="Arial" w:hAnsi="Arial" w:cs="Arial"/>
                <w:sz w:val="20"/>
              </w:rPr>
              <w:t>12 (13%)</w:t>
            </w:r>
            <w:r w:rsidRPr="00D54072">
              <w:rPr>
                <w:rFonts w:ascii="Arial" w:hAnsi="Arial" w:cs="Arial"/>
                <w:position w:val="6"/>
                <w:sz w:val="20"/>
              </w:rPr>
              <w:t>†</w:t>
            </w:r>
          </w:p>
        </w:tc>
      </w:tr>
      <w:tr w:rsidR="005A21BD" w:rsidRPr="00992339">
        <w:tc>
          <w:tcPr>
            <w:tcW w:w="1872" w:type="dxa"/>
            <w:tcBorders>
              <w:top w:val="nil"/>
            </w:tcBorders>
          </w:tcPr>
          <w:p w:rsidR="005A21BD" w:rsidRPr="00992339" w:rsidRDefault="00D54072">
            <w:pPr>
              <w:keepNext/>
              <w:tabs>
                <w:tab w:val="left" w:pos="162"/>
                <w:tab w:val="left" w:pos="274"/>
                <w:tab w:val="right" w:pos="4464"/>
                <w:tab w:val="right" w:pos="9360"/>
              </w:tabs>
              <w:spacing w:line="280" w:lineRule="atLeast"/>
              <w:rPr>
                <w:rFonts w:ascii="Arial" w:hAnsi="Arial" w:cs="Arial"/>
                <w:sz w:val="20"/>
              </w:rPr>
            </w:pPr>
            <w:r w:rsidRPr="00D54072">
              <w:rPr>
                <w:rFonts w:ascii="Arial" w:hAnsi="Arial" w:cs="Arial"/>
                <w:sz w:val="20"/>
              </w:rPr>
              <w:tab/>
              <w:t>Fentanyl (97)</w:t>
            </w:r>
          </w:p>
        </w:tc>
        <w:tc>
          <w:tcPr>
            <w:tcW w:w="1166" w:type="dxa"/>
            <w:tcBorders>
              <w:top w:val="nil"/>
              <w:left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3</w:t>
            </w:r>
          </w:p>
        </w:tc>
        <w:tc>
          <w:tcPr>
            <w:tcW w:w="1584" w:type="dxa"/>
            <w:tcBorders>
              <w:top w:val="nil"/>
              <w:left w:val="nil"/>
            </w:tcBorders>
          </w:tcPr>
          <w:p w:rsidR="005A21BD" w:rsidRPr="00992339" w:rsidRDefault="00D54072">
            <w:pPr>
              <w:keepNext/>
              <w:tabs>
                <w:tab w:val="left" w:pos="274"/>
                <w:tab w:val="left" w:pos="547"/>
                <w:tab w:val="right" w:pos="4464"/>
                <w:tab w:val="right" w:pos="9360"/>
              </w:tabs>
              <w:spacing w:line="280" w:lineRule="atLeast"/>
              <w:jc w:val="center"/>
              <w:rPr>
                <w:rFonts w:ascii="Arial" w:hAnsi="Arial" w:cs="Arial"/>
                <w:sz w:val="20"/>
              </w:rPr>
            </w:pPr>
            <w:r w:rsidRPr="00D54072">
              <w:rPr>
                <w:rFonts w:ascii="Arial" w:hAnsi="Arial" w:cs="Arial"/>
                <w:sz w:val="20"/>
              </w:rPr>
              <w:t>NA</w:t>
            </w:r>
          </w:p>
        </w:tc>
        <w:tc>
          <w:tcPr>
            <w:tcW w:w="1440" w:type="dxa"/>
            <w:tcBorders>
              <w:top w:val="nil"/>
              <w:left w:val="nil"/>
              <w:right w:val="nil"/>
            </w:tcBorders>
          </w:tcPr>
          <w:p w:rsidR="005A21BD" w:rsidRPr="00992339" w:rsidRDefault="00D54072">
            <w:pPr>
              <w:keepNext/>
              <w:tabs>
                <w:tab w:val="left" w:pos="274"/>
                <w:tab w:val="left" w:pos="547"/>
                <w:tab w:val="right" w:pos="4464"/>
                <w:tab w:val="right" w:pos="9360"/>
              </w:tabs>
              <w:spacing w:line="280" w:lineRule="atLeast"/>
              <w:ind w:right="317"/>
              <w:jc w:val="right"/>
              <w:rPr>
                <w:rFonts w:ascii="Arial" w:hAnsi="Arial" w:cs="Arial"/>
                <w:sz w:val="20"/>
              </w:rPr>
            </w:pPr>
            <w:r w:rsidRPr="00D54072">
              <w:rPr>
                <w:rFonts w:ascii="Arial" w:hAnsi="Arial" w:cs="Arial"/>
                <w:sz w:val="20"/>
              </w:rPr>
              <w:t>1 (1%)</w:t>
            </w:r>
          </w:p>
        </w:tc>
        <w:tc>
          <w:tcPr>
            <w:tcW w:w="1728" w:type="dxa"/>
            <w:tcBorders>
              <w:top w:val="nil"/>
              <w:right w:val="nil"/>
            </w:tcBorders>
          </w:tcPr>
          <w:p w:rsidR="005A21BD" w:rsidRPr="00992339" w:rsidRDefault="00D54072">
            <w:pPr>
              <w:keepNext/>
              <w:tabs>
                <w:tab w:val="left" w:pos="274"/>
                <w:tab w:val="left" w:pos="547"/>
                <w:tab w:val="right" w:pos="4464"/>
                <w:tab w:val="right" w:pos="9360"/>
              </w:tabs>
              <w:spacing w:line="280" w:lineRule="atLeast"/>
              <w:ind w:right="432"/>
              <w:jc w:val="right"/>
              <w:rPr>
                <w:rFonts w:ascii="Arial" w:hAnsi="Arial" w:cs="Arial"/>
                <w:sz w:val="20"/>
              </w:rPr>
            </w:pPr>
            <w:r w:rsidRPr="00D54072">
              <w:rPr>
                <w:rFonts w:ascii="Arial" w:hAnsi="Arial" w:cs="Arial"/>
                <w:sz w:val="20"/>
              </w:rPr>
              <w:t>1 (1%)</w:t>
            </w:r>
          </w:p>
        </w:tc>
        <w:tc>
          <w:tcPr>
            <w:tcW w:w="1422" w:type="dxa"/>
            <w:tcBorders>
              <w:top w:val="nil"/>
            </w:tcBorders>
          </w:tcPr>
          <w:p w:rsidR="005A21BD" w:rsidRPr="00992339" w:rsidRDefault="00D54072">
            <w:pPr>
              <w:keepNext/>
              <w:tabs>
                <w:tab w:val="left" w:pos="274"/>
                <w:tab w:val="left" w:pos="547"/>
                <w:tab w:val="right" w:pos="4464"/>
                <w:tab w:val="right" w:pos="9360"/>
              </w:tabs>
              <w:spacing w:line="280" w:lineRule="atLeast"/>
              <w:ind w:right="216"/>
              <w:jc w:val="right"/>
              <w:rPr>
                <w:rFonts w:ascii="Arial" w:hAnsi="Arial" w:cs="Arial"/>
                <w:sz w:val="20"/>
              </w:rPr>
            </w:pPr>
            <w:r w:rsidRPr="00D54072">
              <w:rPr>
                <w:rFonts w:ascii="Arial" w:hAnsi="Arial" w:cs="Arial"/>
                <w:sz w:val="20"/>
              </w:rPr>
              <w:t>29 (30%)</w:t>
            </w:r>
          </w:p>
        </w:tc>
      </w:tr>
    </w:tbl>
    <w:p w:rsidR="005A21BD" w:rsidRPr="00992339" w:rsidRDefault="00D54072">
      <w:pPr>
        <w:keepNext/>
        <w:tabs>
          <w:tab w:val="left" w:pos="274"/>
          <w:tab w:val="left" w:pos="547"/>
          <w:tab w:val="right" w:pos="4464"/>
          <w:tab w:val="right" w:pos="9360"/>
        </w:tabs>
        <w:spacing w:line="280" w:lineRule="atLeast"/>
        <w:ind w:left="274" w:hanging="274"/>
        <w:rPr>
          <w:rFonts w:ascii="Arial" w:hAnsi="Arial" w:cs="Arial"/>
          <w:b/>
          <w:sz w:val="20"/>
        </w:rPr>
      </w:pPr>
      <w:r w:rsidRPr="00D54072">
        <w:rPr>
          <w:rFonts w:ascii="Arial" w:hAnsi="Arial" w:cs="Arial"/>
          <w:sz w:val="20"/>
        </w:rPr>
        <w:t>*</w:t>
      </w:r>
      <w:r w:rsidRPr="00D54072">
        <w:rPr>
          <w:rFonts w:ascii="Arial" w:hAnsi="Arial" w:cs="Arial"/>
          <w:sz w:val="20"/>
        </w:rPr>
        <w:tab/>
        <w:t>Propofol was titrated to loss of consciousness.</w:t>
      </w:r>
    </w:p>
    <w:p w:rsidR="005A21BD" w:rsidRPr="00992339" w:rsidRDefault="00D54072">
      <w:pPr>
        <w:keepNext/>
        <w:tabs>
          <w:tab w:val="left" w:pos="274"/>
          <w:tab w:val="left" w:pos="547"/>
          <w:tab w:val="right" w:pos="4464"/>
          <w:tab w:val="right" w:pos="9360"/>
        </w:tabs>
        <w:spacing w:line="280" w:lineRule="atLeast"/>
        <w:ind w:left="274" w:hanging="274"/>
        <w:rPr>
          <w:rFonts w:ascii="Arial" w:hAnsi="Arial" w:cs="Arial"/>
          <w:sz w:val="20"/>
        </w:rPr>
      </w:pPr>
      <w:r w:rsidRPr="00D54072">
        <w:rPr>
          <w:rFonts w:ascii="Arial" w:hAnsi="Arial" w:cs="Arial"/>
          <w:position w:val="6"/>
          <w:sz w:val="20"/>
        </w:rPr>
        <w:t>†</w:t>
      </w:r>
      <w:r w:rsidRPr="00D54072">
        <w:rPr>
          <w:rFonts w:ascii="Arial" w:hAnsi="Arial" w:cs="Arial"/>
          <w:position w:val="6"/>
          <w:sz w:val="20"/>
        </w:rPr>
        <w:tab/>
      </w:r>
      <w:r w:rsidRPr="00D54072">
        <w:rPr>
          <w:rFonts w:ascii="Arial" w:hAnsi="Arial" w:cs="Arial"/>
          <w:sz w:val="20"/>
        </w:rPr>
        <w:t>Differences were statistically significant (</w:t>
      </w:r>
      <w:r w:rsidRPr="00D54072">
        <w:rPr>
          <w:rFonts w:ascii="Arial" w:hAnsi="Arial" w:cs="Arial"/>
          <w:i/>
          <w:sz w:val="20"/>
        </w:rPr>
        <w:t>P</w:t>
      </w:r>
      <w:r w:rsidRPr="00D54072">
        <w:rPr>
          <w:rFonts w:ascii="Arial" w:hAnsi="Arial" w:cs="Arial"/>
          <w:sz w:val="20"/>
        </w:rPr>
        <w:t> </w:t>
      </w:r>
      <w:r w:rsidRPr="00D54072">
        <w:rPr>
          <w:rFonts w:ascii="Arial" w:hAnsi="Arial" w:cs="Arial"/>
          <w:sz w:val="20"/>
        </w:rPr>
        <w:sym w:font="Symbol" w:char="F03C"/>
      </w:r>
      <w:r w:rsidRPr="00D54072">
        <w:rPr>
          <w:rFonts w:ascii="Arial" w:hAnsi="Arial" w:cs="Arial"/>
          <w:sz w:val="20"/>
        </w:rPr>
        <w:t> 0.02).</w:t>
      </w:r>
    </w:p>
    <w:p w:rsidR="005A21BD" w:rsidRPr="00992339" w:rsidRDefault="00D54072">
      <w:pPr>
        <w:keepNext/>
        <w:tabs>
          <w:tab w:val="left" w:pos="274"/>
          <w:tab w:val="left" w:pos="547"/>
          <w:tab w:val="right" w:pos="4464"/>
          <w:tab w:val="right" w:pos="9360"/>
        </w:tabs>
        <w:spacing w:line="280" w:lineRule="atLeast"/>
        <w:ind w:left="274" w:hanging="274"/>
        <w:rPr>
          <w:rFonts w:ascii="Arial" w:hAnsi="Arial" w:cs="Arial"/>
          <w:sz w:val="20"/>
        </w:rPr>
      </w:pPr>
      <w:r w:rsidRPr="00D54072">
        <w:rPr>
          <w:rFonts w:ascii="Arial" w:hAnsi="Arial" w:cs="Arial"/>
          <w:position w:val="8"/>
          <w:sz w:val="20"/>
        </w:rPr>
        <w:t>‡</w:t>
      </w:r>
      <w:r w:rsidRPr="00D54072">
        <w:rPr>
          <w:rFonts w:ascii="Arial" w:hAnsi="Arial" w:cs="Arial"/>
          <w:position w:val="8"/>
          <w:sz w:val="20"/>
        </w:rPr>
        <w:tab/>
      </w:r>
      <w:r w:rsidRPr="00D54072">
        <w:rPr>
          <w:rFonts w:ascii="Arial" w:hAnsi="Arial" w:cs="Arial"/>
          <w:sz w:val="20"/>
        </w:rPr>
        <w:t>Initial doses greater than 1 µg/kg are not recommended.</w:t>
      </w:r>
    </w:p>
    <w:p w:rsidR="005A21BD" w:rsidRDefault="005A21BD">
      <w:pPr>
        <w:rPr>
          <w:rFonts w:ascii="Arial" w:hAnsi="Arial"/>
        </w:rPr>
      </w:pPr>
    </w:p>
    <w:p w:rsidR="00922616" w:rsidRDefault="005A21BD">
      <w:pPr>
        <w:spacing w:after="120"/>
        <w:rPr>
          <w:rFonts w:ascii="Arial" w:hAnsi="Arial"/>
        </w:rPr>
      </w:pPr>
      <w:r>
        <w:rPr>
          <w:rFonts w:ascii="Arial" w:hAnsi="Arial"/>
          <w:b/>
        </w:rPr>
        <w:t>Use During Maintenance of Anaesthesia:</w:t>
      </w:r>
      <w:r>
        <w:rPr>
          <w:rFonts w:ascii="Arial" w:hAnsi="Arial"/>
        </w:rPr>
        <w:t xml:space="preserve">  Ultiva was investigated in 929 patients in seven well-controlled general surgery studies in conjunction with nitrous oxide, isoflurane, or propofol in both inpatient and outpatient settings.  These studies demonstrated that Ultiva could be dosed to high levels of opioid effect and rapidly titrated to optimise analgesia intraoperatively without delaying or prolonging recovery.  Remifentanil was inadequate as a sole agent for maintenance of anaesthesia.</w:t>
      </w:r>
    </w:p>
    <w:p w:rsidR="00E9027E" w:rsidRDefault="005A21BD">
      <w:pPr>
        <w:spacing w:after="120"/>
        <w:rPr>
          <w:rFonts w:ascii="Arial" w:hAnsi="Arial"/>
        </w:rPr>
      </w:pPr>
      <w:r>
        <w:rPr>
          <w:rFonts w:ascii="Arial" w:hAnsi="Arial"/>
        </w:rPr>
        <w:t>Compared to alfentanil and fentanyl, these higher relative doses (ED90) of Ultiva resulted in fewer responses to intraoperative stimuli (see Table 2) and a higher frequency of hypotension (16% compared to 5% for the other opioids).  Ultiva was infused to the end of surgery, while alfentanil was discontinued 5 to 30 minutes before the end of surgery as recommended.  The mean final infusion rates of Ultiva were between 0.25 and 0.48 µg/kg/min.</w:t>
      </w:r>
    </w:p>
    <w:p w:rsidR="00E9027E" w:rsidRDefault="005A21BD">
      <w:pPr>
        <w:pStyle w:val="Heading4"/>
        <w:spacing w:after="120" w:line="240" w:lineRule="auto"/>
      </w:pPr>
      <w:r>
        <w:lastRenderedPageBreak/>
        <w:t>Table 2: Intraoperative Responses*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1568"/>
        <w:gridCol w:w="1266"/>
        <w:gridCol w:w="1701"/>
        <w:gridCol w:w="1343"/>
        <w:gridCol w:w="1212"/>
        <w:gridCol w:w="1212"/>
        <w:gridCol w:w="1212"/>
      </w:tblGrid>
      <w:tr w:rsidR="005A21BD" w:rsidRPr="00992339">
        <w:trPr>
          <w:tblHeader/>
        </w:trPr>
        <w:tc>
          <w:tcPr>
            <w:tcW w:w="1568" w:type="dxa"/>
            <w:tcBorders>
              <w:bottom w:val="nil"/>
            </w:tcBorders>
          </w:tcPr>
          <w:p w:rsidR="005A21BD" w:rsidRPr="00992339" w:rsidRDefault="00A56518">
            <w:pPr>
              <w:keepNext/>
              <w:tabs>
                <w:tab w:val="left" w:pos="162"/>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Opioid Treatment Group/(No. of Patients)</w:t>
            </w:r>
          </w:p>
        </w:tc>
        <w:tc>
          <w:tcPr>
            <w:tcW w:w="1266" w:type="dxa"/>
            <w:tcBorders>
              <w:bottom w:val="nil"/>
            </w:tcBorders>
            <w:vAlign w:val="center"/>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Concurrent Anaesthetic</w:t>
            </w:r>
          </w:p>
        </w:tc>
        <w:tc>
          <w:tcPr>
            <w:tcW w:w="1701" w:type="dxa"/>
            <w:tcBorders>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Post-Intubation Infusion Rate (µg/kg/min)</w:t>
            </w:r>
          </w:p>
        </w:tc>
        <w:tc>
          <w:tcPr>
            <w:tcW w:w="1343" w:type="dxa"/>
            <w:tcBorders>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No. (%) With Intraoperative Hypotension</w:t>
            </w:r>
          </w:p>
        </w:tc>
        <w:tc>
          <w:tcPr>
            <w:tcW w:w="1211" w:type="dxa"/>
            <w:tcBorders>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No. (%) With Response to Skin Incision</w:t>
            </w:r>
          </w:p>
        </w:tc>
        <w:tc>
          <w:tcPr>
            <w:tcW w:w="1211" w:type="dxa"/>
            <w:tcBorders>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No. (%) With Signs of Light Anaesthesia</w:t>
            </w:r>
          </w:p>
        </w:tc>
        <w:tc>
          <w:tcPr>
            <w:tcW w:w="1211" w:type="dxa"/>
            <w:tcBorders>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No. (%) With Response to Skin Closure</w:t>
            </w:r>
          </w:p>
        </w:tc>
      </w:tr>
      <w:tr w:rsidR="005A21BD" w:rsidRPr="00992339">
        <w:trPr>
          <w:tblHeader/>
        </w:trPr>
        <w:tc>
          <w:tcPr>
            <w:tcW w:w="1568" w:type="dxa"/>
            <w:tcBorders>
              <w:bottom w:val="nil"/>
              <w:right w:val="nil"/>
            </w:tcBorders>
          </w:tcPr>
          <w:p w:rsidR="005A21BD" w:rsidRPr="00992339" w:rsidRDefault="00A56518">
            <w:pPr>
              <w:keepNext/>
              <w:tabs>
                <w:tab w:val="left" w:pos="162"/>
                <w:tab w:val="left" w:pos="274"/>
                <w:tab w:val="left" w:pos="547"/>
                <w:tab w:val="right" w:pos="4464"/>
                <w:tab w:val="right" w:pos="9360"/>
              </w:tabs>
              <w:spacing w:before="120" w:line="280" w:lineRule="atLeast"/>
              <w:ind w:left="-72" w:right="-86"/>
              <w:rPr>
                <w:rFonts w:ascii="Arial" w:hAnsi="Arial"/>
                <w:sz w:val="20"/>
              </w:rPr>
            </w:pPr>
            <w:r>
              <w:rPr>
                <w:rFonts w:ascii="Arial" w:hAnsi="Arial"/>
                <w:sz w:val="20"/>
              </w:rPr>
              <w:t>Study 1:</w:t>
            </w:r>
          </w:p>
        </w:tc>
        <w:tc>
          <w:tcPr>
            <w:tcW w:w="1266" w:type="dxa"/>
            <w:tcBorders>
              <w:bottom w:val="nil"/>
            </w:tcBorders>
          </w:tcPr>
          <w:p w:rsidR="005A21BD" w:rsidRPr="00992339" w:rsidRDefault="005A21BD">
            <w:pPr>
              <w:keepNext/>
              <w:tabs>
                <w:tab w:val="left" w:pos="274"/>
                <w:tab w:val="left" w:pos="547"/>
                <w:tab w:val="right" w:pos="4464"/>
                <w:tab w:val="right" w:pos="9360"/>
              </w:tabs>
              <w:spacing w:line="280" w:lineRule="atLeast"/>
              <w:ind w:left="-72" w:right="-72"/>
              <w:jc w:val="center"/>
              <w:rPr>
                <w:rFonts w:ascii="Arial" w:hAnsi="Arial"/>
                <w:sz w:val="20"/>
              </w:rPr>
            </w:pPr>
          </w:p>
        </w:tc>
        <w:tc>
          <w:tcPr>
            <w:tcW w:w="1701" w:type="dxa"/>
            <w:tcBorders>
              <w:left w:val="nil"/>
              <w:bottom w:val="nil"/>
            </w:tcBorders>
          </w:tcPr>
          <w:p w:rsidR="005A21BD" w:rsidRPr="00992339" w:rsidRDefault="005A21BD">
            <w:pPr>
              <w:keepNext/>
              <w:tabs>
                <w:tab w:val="left" w:pos="274"/>
                <w:tab w:val="left" w:pos="547"/>
                <w:tab w:val="right" w:pos="4464"/>
                <w:tab w:val="right" w:pos="9360"/>
              </w:tabs>
              <w:spacing w:line="280" w:lineRule="atLeast"/>
              <w:ind w:left="-72" w:right="-72"/>
              <w:jc w:val="center"/>
              <w:rPr>
                <w:rFonts w:ascii="Arial" w:hAnsi="Arial"/>
                <w:sz w:val="20"/>
              </w:rPr>
            </w:pPr>
          </w:p>
        </w:tc>
        <w:tc>
          <w:tcPr>
            <w:tcW w:w="1343" w:type="dxa"/>
            <w:tcBorders>
              <w:left w:val="nil"/>
              <w:bottom w:val="nil"/>
            </w:tcBorders>
          </w:tcPr>
          <w:p w:rsidR="005A21BD" w:rsidRPr="00992339" w:rsidRDefault="005A21BD" w:rsidP="00AB2A34">
            <w:pPr>
              <w:keepNext/>
              <w:tabs>
                <w:tab w:val="right" w:pos="9360"/>
              </w:tabs>
              <w:spacing w:line="280" w:lineRule="atLeast"/>
              <w:ind w:left="-72"/>
              <w:jc w:val="center"/>
              <w:rPr>
                <w:rFonts w:ascii="Arial" w:hAnsi="Arial"/>
                <w:sz w:val="20"/>
              </w:rPr>
            </w:pPr>
          </w:p>
        </w:tc>
        <w:tc>
          <w:tcPr>
            <w:tcW w:w="1211" w:type="dxa"/>
            <w:tcBorders>
              <w:left w:val="nil"/>
              <w:bottom w:val="nil"/>
            </w:tcBorders>
          </w:tcPr>
          <w:p w:rsidR="005A21BD" w:rsidRPr="00992339" w:rsidRDefault="005A21BD">
            <w:pPr>
              <w:keepNext/>
              <w:tabs>
                <w:tab w:val="left" w:pos="274"/>
                <w:tab w:val="left" w:pos="547"/>
                <w:tab w:val="right" w:pos="4464"/>
                <w:tab w:val="right" w:pos="9360"/>
              </w:tabs>
              <w:spacing w:line="280" w:lineRule="atLeast"/>
              <w:ind w:left="-72" w:right="216"/>
              <w:jc w:val="center"/>
              <w:rPr>
                <w:rFonts w:ascii="Arial" w:hAnsi="Arial"/>
                <w:sz w:val="20"/>
              </w:rPr>
            </w:pPr>
          </w:p>
        </w:tc>
        <w:tc>
          <w:tcPr>
            <w:tcW w:w="1211" w:type="dxa"/>
            <w:tcBorders>
              <w:left w:val="nil"/>
              <w:bottom w:val="nil"/>
            </w:tcBorders>
          </w:tcPr>
          <w:p w:rsidR="005A21BD" w:rsidRPr="00992339" w:rsidRDefault="005A21BD">
            <w:pPr>
              <w:keepNext/>
              <w:tabs>
                <w:tab w:val="left" w:pos="274"/>
                <w:tab w:val="left" w:pos="547"/>
                <w:tab w:val="right" w:pos="4464"/>
                <w:tab w:val="right" w:pos="9360"/>
              </w:tabs>
              <w:spacing w:line="280" w:lineRule="atLeast"/>
              <w:ind w:left="-72" w:right="216"/>
              <w:jc w:val="right"/>
              <w:rPr>
                <w:rFonts w:ascii="Arial" w:hAnsi="Arial"/>
                <w:sz w:val="20"/>
              </w:rPr>
            </w:pPr>
          </w:p>
        </w:tc>
        <w:tc>
          <w:tcPr>
            <w:tcW w:w="1211" w:type="dxa"/>
            <w:tcBorders>
              <w:left w:val="nil"/>
              <w:bottom w:val="nil"/>
            </w:tcBorders>
          </w:tcPr>
          <w:p w:rsidR="005A21BD" w:rsidRPr="00992339" w:rsidRDefault="005A21BD">
            <w:pPr>
              <w:tabs>
                <w:tab w:val="left" w:pos="274"/>
                <w:tab w:val="left" w:pos="547"/>
                <w:tab w:val="right" w:pos="4464"/>
                <w:tab w:val="right" w:pos="9360"/>
              </w:tabs>
              <w:spacing w:line="280" w:lineRule="atLeast"/>
              <w:ind w:left="-72" w:right="216"/>
              <w:jc w:val="right"/>
              <w:rPr>
                <w:rFonts w:ascii="Arial" w:hAnsi="Arial"/>
                <w:sz w:val="20"/>
              </w:rPr>
            </w:pP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Ultiva (35)</w:t>
            </w:r>
          </w:p>
        </w:tc>
        <w:tc>
          <w:tcPr>
            <w:tcW w:w="1266" w:type="dxa"/>
            <w:tcBorders>
              <w:top w:val="nil"/>
              <w:bottom w:val="nil"/>
            </w:tcBorders>
          </w:tcPr>
          <w:p w:rsidR="005A21BD" w:rsidRPr="00992339" w:rsidRDefault="005A21BD">
            <w:pPr>
              <w:keepNext/>
              <w:tabs>
                <w:tab w:val="left" w:pos="274"/>
                <w:tab w:val="left" w:pos="547"/>
                <w:tab w:val="right" w:pos="4464"/>
                <w:tab w:val="right" w:pos="9360"/>
              </w:tabs>
              <w:spacing w:line="280" w:lineRule="atLeast"/>
              <w:ind w:left="-72" w:right="-72"/>
              <w:jc w:val="center"/>
              <w:rPr>
                <w:rFonts w:ascii="Arial" w:hAnsi="Arial"/>
                <w:sz w:val="20"/>
              </w:rPr>
            </w:pPr>
          </w:p>
        </w:tc>
        <w:tc>
          <w:tcPr>
            <w:tcW w:w="1701" w:type="dxa"/>
            <w:tcBorders>
              <w:top w:val="nil"/>
              <w:left w:val="nil"/>
              <w:bottom w:val="nil"/>
            </w:tcBorders>
          </w:tcPr>
          <w:p w:rsidR="005A21BD" w:rsidRPr="00992339" w:rsidRDefault="00A56518">
            <w:pPr>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0.1</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0</w:t>
            </w:r>
          </w:p>
        </w:tc>
        <w:tc>
          <w:tcPr>
            <w:tcW w:w="1210"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20 (57%)</w:t>
            </w:r>
          </w:p>
        </w:tc>
        <w:tc>
          <w:tcPr>
            <w:tcW w:w="1210"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33 (94%)</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6 (17%)</w:t>
            </w: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Ultiva (35)</w:t>
            </w:r>
          </w:p>
        </w:tc>
        <w:tc>
          <w:tcPr>
            <w:tcW w:w="1266" w:type="dxa"/>
            <w:tcBorders>
              <w:top w:val="nil"/>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Nitrous oxide</w:t>
            </w:r>
          </w:p>
        </w:tc>
        <w:tc>
          <w:tcPr>
            <w:tcW w:w="1701" w:type="dxa"/>
            <w:tcBorders>
              <w:top w:val="nil"/>
              <w:left w:val="nil"/>
              <w:bottom w:val="nil"/>
            </w:tcBorders>
          </w:tcPr>
          <w:p w:rsidR="005A21BD" w:rsidRPr="00992339" w:rsidRDefault="00A56518">
            <w:pPr>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0.4</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0</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 xml:space="preserve">  3 (9%)†</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12 (34%)†</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 xml:space="preserve">  2 (6%)†</w:t>
            </w: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Alfentanil (35)</w:t>
            </w:r>
          </w:p>
        </w:tc>
        <w:tc>
          <w:tcPr>
            <w:tcW w:w="1266" w:type="dxa"/>
            <w:tcBorders>
              <w:top w:val="nil"/>
              <w:bottom w:val="nil"/>
            </w:tcBorders>
          </w:tcPr>
          <w:p w:rsidR="005A21BD" w:rsidRPr="00992339" w:rsidRDefault="005A21BD">
            <w:pPr>
              <w:keepNext/>
              <w:tabs>
                <w:tab w:val="left" w:pos="274"/>
                <w:tab w:val="left" w:pos="547"/>
                <w:tab w:val="right" w:pos="4464"/>
                <w:tab w:val="right" w:pos="9360"/>
              </w:tabs>
              <w:spacing w:line="280" w:lineRule="atLeast"/>
              <w:ind w:left="-72" w:right="-72"/>
              <w:jc w:val="center"/>
              <w:rPr>
                <w:rFonts w:ascii="Arial" w:hAnsi="Arial"/>
                <w:sz w:val="20"/>
              </w:rPr>
            </w:pPr>
          </w:p>
        </w:tc>
        <w:tc>
          <w:tcPr>
            <w:tcW w:w="1701" w:type="dxa"/>
            <w:tcBorders>
              <w:top w:val="nil"/>
              <w:left w:val="nil"/>
              <w:bottom w:val="nil"/>
            </w:tcBorders>
          </w:tcPr>
          <w:p w:rsidR="005A21BD" w:rsidRPr="00992339" w:rsidRDefault="00A56518">
            <w:pPr>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1.0</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0</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24 (69%)</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33 (94%)</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12 (34%)</w:t>
            </w: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before="120" w:line="280" w:lineRule="atLeast"/>
              <w:ind w:left="-72" w:right="-86"/>
              <w:rPr>
                <w:rFonts w:ascii="Arial" w:hAnsi="Arial"/>
                <w:sz w:val="20"/>
              </w:rPr>
            </w:pPr>
            <w:r>
              <w:rPr>
                <w:rFonts w:ascii="Arial" w:hAnsi="Arial"/>
                <w:sz w:val="20"/>
              </w:rPr>
              <w:t>Study 2:</w:t>
            </w:r>
          </w:p>
        </w:tc>
        <w:tc>
          <w:tcPr>
            <w:tcW w:w="1266" w:type="dxa"/>
            <w:tcBorders>
              <w:top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72"/>
              <w:jc w:val="center"/>
              <w:rPr>
                <w:rFonts w:ascii="Arial" w:hAnsi="Arial"/>
                <w:sz w:val="20"/>
              </w:rPr>
            </w:pPr>
          </w:p>
        </w:tc>
        <w:tc>
          <w:tcPr>
            <w:tcW w:w="1701" w:type="dxa"/>
            <w:tcBorders>
              <w:top w:val="nil"/>
              <w:left w:val="nil"/>
              <w:bottom w:val="nil"/>
            </w:tcBorders>
          </w:tcPr>
          <w:p w:rsidR="005A21BD" w:rsidRPr="00992339" w:rsidRDefault="005A21BD">
            <w:pPr>
              <w:tabs>
                <w:tab w:val="decimal" w:pos="144"/>
                <w:tab w:val="left" w:pos="274"/>
                <w:tab w:val="left" w:pos="547"/>
                <w:tab w:val="decimal" w:pos="648"/>
                <w:tab w:val="right" w:pos="4464"/>
              </w:tabs>
              <w:spacing w:line="280" w:lineRule="atLeast"/>
              <w:ind w:left="-72" w:right="-72"/>
              <w:rPr>
                <w:rFonts w:ascii="Arial" w:hAnsi="Arial"/>
                <w:sz w:val="20"/>
              </w:rPr>
            </w:pPr>
          </w:p>
        </w:tc>
        <w:tc>
          <w:tcPr>
            <w:tcW w:w="1343" w:type="dxa"/>
            <w:tcBorders>
              <w:top w:val="nil"/>
              <w:left w:val="nil"/>
              <w:bottom w:val="nil"/>
            </w:tcBorders>
          </w:tcPr>
          <w:p w:rsidR="005A21BD" w:rsidRPr="00992339" w:rsidRDefault="005A21BD" w:rsidP="00AB2A34">
            <w:pPr>
              <w:keepNext/>
              <w:tabs>
                <w:tab w:val="right" w:pos="9360"/>
              </w:tabs>
              <w:spacing w:before="120" w:line="280" w:lineRule="atLeast"/>
              <w:ind w:left="-72"/>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r>
      <w:tr w:rsidR="005A21BD" w:rsidRPr="00992339">
        <w:trPr>
          <w:tblHeader/>
        </w:trPr>
        <w:tc>
          <w:tcPr>
            <w:tcW w:w="1568" w:type="dxa"/>
            <w:tcBorders>
              <w:top w:val="nil"/>
              <w:bottom w:val="nil"/>
              <w:right w:val="nil"/>
            </w:tcBorders>
          </w:tcPr>
          <w:p w:rsidR="005A21BD" w:rsidRPr="00992339" w:rsidRDefault="00A56518">
            <w:pPr>
              <w:keepNext/>
              <w:tabs>
                <w:tab w:val="left" w:pos="25"/>
                <w:tab w:val="left" w:pos="547"/>
                <w:tab w:val="right" w:pos="4464"/>
                <w:tab w:val="right" w:pos="9360"/>
              </w:tabs>
              <w:spacing w:line="280" w:lineRule="atLeast"/>
              <w:ind w:left="-72" w:right="-86"/>
              <w:rPr>
                <w:rFonts w:ascii="Arial" w:hAnsi="Arial"/>
                <w:sz w:val="20"/>
              </w:rPr>
            </w:pPr>
            <w:r>
              <w:rPr>
                <w:rFonts w:ascii="Arial" w:hAnsi="Arial"/>
                <w:sz w:val="20"/>
              </w:rPr>
              <w:tab/>
              <w:t>Ultiva (116)</w:t>
            </w:r>
          </w:p>
        </w:tc>
        <w:tc>
          <w:tcPr>
            <w:tcW w:w="1266" w:type="dxa"/>
            <w:tcBorders>
              <w:top w:val="nil"/>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Isoflurane +</w:t>
            </w:r>
          </w:p>
        </w:tc>
        <w:tc>
          <w:tcPr>
            <w:tcW w:w="1701" w:type="dxa"/>
            <w:tcBorders>
              <w:top w:val="nil"/>
              <w:left w:val="nil"/>
              <w:bottom w:val="nil"/>
            </w:tcBorders>
          </w:tcPr>
          <w:p w:rsidR="005A21BD" w:rsidRPr="00992339" w:rsidRDefault="00A56518">
            <w:pPr>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0.25</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 xml:space="preserve">  35 (30%)†</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 xml:space="preserve">  9 (8%)†</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66 (57%)†</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19 (16%)</w:t>
            </w:r>
          </w:p>
        </w:tc>
      </w:tr>
      <w:tr w:rsidR="005A21BD" w:rsidRPr="00992339">
        <w:trPr>
          <w:tblHeader/>
        </w:trPr>
        <w:tc>
          <w:tcPr>
            <w:tcW w:w="1568" w:type="dxa"/>
            <w:tcBorders>
              <w:top w:val="nil"/>
              <w:bottom w:val="nil"/>
              <w:right w:val="nil"/>
            </w:tcBorders>
          </w:tcPr>
          <w:p w:rsidR="005A21BD" w:rsidRPr="00992339" w:rsidRDefault="00A56518">
            <w:pPr>
              <w:keepNext/>
              <w:tabs>
                <w:tab w:val="left" w:pos="25"/>
                <w:tab w:val="left" w:pos="547"/>
                <w:tab w:val="right" w:pos="4464"/>
                <w:tab w:val="right" w:pos="9360"/>
              </w:tabs>
              <w:spacing w:line="280" w:lineRule="atLeast"/>
              <w:ind w:left="-72" w:right="-86"/>
              <w:rPr>
                <w:rFonts w:ascii="Arial" w:hAnsi="Arial"/>
                <w:sz w:val="20"/>
              </w:rPr>
            </w:pPr>
            <w:r>
              <w:rPr>
                <w:rFonts w:ascii="Arial" w:hAnsi="Arial"/>
                <w:sz w:val="20"/>
              </w:rPr>
              <w:tab/>
              <w:t>Alfentanil (118)</w:t>
            </w:r>
          </w:p>
        </w:tc>
        <w:tc>
          <w:tcPr>
            <w:tcW w:w="1266" w:type="dxa"/>
            <w:tcBorders>
              <w:top w:val="nil"/>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Nitrous oxide</w:t>
            </w:r>
          </w:p>
        </w:tc>
        <w:tc>
          <w:tcPr>
            <w:tcW w:w="1701" w:type="dxa"/>
            <w:tcBorders>
              <w:top w:val="nil"/>
              <w:left w:val="nil"/>
              <w:bottom w:val="nil"/>
            </w:tcBorders>
          </w:tcPr>
          <w:p w:rsidR="005A21BD" w:rsidRPr="00992339" w:rsidRDefault="00A56518">
            <w:pPr>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0.5</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 xml:space="preserve">  12 (10%)</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20 (17%)</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85 (72%)</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25 (21%)</w:t>
            </w: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before="120" w:line="280" w:lineRule="atLeast"/>
              <w:ind w:left="-72" w:right="-86"/>
              <w:rPr>
                <w:rFonts w:ascii="Arial" w:hAnsi="Arial"/>
                <w:sz w:val="20"/>
              </w:rPr>
            </w:pPr>
            <w:r>
              <w:rPr>
                <w:rFonts w:ascii="Arial" w:hAnsi="Arial"/>
                <w:sz w:val="20"/>
              </w:rPr>
              <w:t>Study 3:</w:t>
            </w:r>
          </w:p>
        </w:tc>
        <w:tc>
          <w:tcPr>
            <w:tcW w:w="1266" w:type="dxa"/>
            <w:tcBorders>
              <w:top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72"/>
              <w:jc w:val="center"/>
              <w:rPr>
                <w:rFonts w:ascii="Arial" w:hAnsi="Arial"/>
                <w:sz w:val="20"/>
              </w:rPr>
            </w:pPr>
          </w:p>
        </w:tc>
        <w:tc>
          <w:tcPr>
            <w:tcW w:w="1701" w:type="dxa"/>
            <w:tcBorders>
              <w:top w:val="nil"/>
              <w:left w:val="nil"/>
              <w:bottom w:val="nil"/>
            </w:tcBorders>
          </w:tcPr>
          <w:p w:rsidR="005A21BD" w:rsidRPr="00992339" w:rsidRDefault="005A21BD">
            <w:pPr>
              <w:tabs>
                <w:tab w:val="decimal" w:pos="144"/>
                <w:tab w:val="left" w:pos="274"/>
                <w:tab w:val="left" w:pos="547"/>
                <w:tab w:val="decimal" w:pos="648"/>
                <w:tab w:val="right" w:pos="4464"/>
              </w:tabs>
              <w:spacing w:line="280" w:lineRule="atLeast"/>
              <w:ind w:left="-72" w:right="-72"/>
              <w:jc w:val="center"/>
              <w:rPr>
                <w:rFonts w:ascii="Arial" w:hAnsi="Arial"/>
                <w:sz w:val="20"/>
              </w:rPr>
            </w:pPr>
          </w:p>
        </w:tc>
        <w:tc>
          <w:tcPr>
            <w:tcW w:w="1343" w:type="dxa"/>
            <w:tcBorders>
              <w:top w:val="nil"/>
              <w:left w:val="nil"/>
              <w:bottom w:val="nil"/>
            </w:tcBorders>
          </w:tcPr>
          <w:p w:rsidR="005A21BD" w:rsidRPr="00992339" w:rsidRDefault="005A21BD" w:rsidP="00AB2A34">
            <w:pPr>
              <w:keepNext/>
              <w:tabs>
                <w:tab w:val="right" w:pos="9360"/>
              </w:tabs>
              <w:spacing w:before="120" w:line="280" w:lineRule="atLeast"/>
              <w:ind w:left="-72"/>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Ultiva (134)</w:t>
            </w:r>
          </w:p>
        </w:tc>
        <w:tc>
          <w:tcPr>
            <w:tcW w:w="1266" w:type="dxa"/>
            <w:tcBorders>
              <w:top w:val="nil"/>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Propofol</w:t>
            </w:r>
          </w:p>
        </w:tc>
        <w:tc>
          <w:tcPr>
            <w:tcW w:w="1701" w:type="dxa"/>
            <w:tcBorders>
              <w:top w:val="nil"/>
              <w:left w:val="nil"/>
              <w:bottom w:val="nil"/>
            </w:tcBorders>
          </w:tcPr>
          <w:p w:rsidR="005A21BD" w:rsidRPr="00992339" w:rsidRDefault="00A56518">
            <w:pPr>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0.5</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 xml:space="preserve">  3 (2%)</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 xml:space="preserve">  14 (11%)†</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70 (52%)†</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25 (19%)</w:t>
            </w: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Alfentanil (66)</w:t>
            </w:r>
          </w:p>
        </w:tc>
        <w:tc>
          <w:tcPr>
            <w:tcW w:w="1266" w:type="dxa"/>
            <w:tcBorders>
              <w:top w:val="nil"/>
              <w:bottom w:val="nil"/>
            </w:tcBorders>
          </w:tcPr>
          <w:p w:rsidR="005A21BD" w:rsidRPr="00992339" w:rsidRDefault="005A21BD">
            <w:pPr>
              <w:keepNext/>
              <w:tabs>
                <w:tab w:val="left" w:pos="274"/>
                <w:tab w:val="left" w:pos="547"/>
                <w:tab w:val="right" w:pos="4464"/>
                <w:tab w:val="right" w:pos="9360"/>
              </w:tabs>
              <w:spacing w:line="280" w:lineRule="atLeast"/>
              <w:ind w:left="-72" w:right="-72"/>
              <w:jc w:val="center"/>
              <w:rPr>
                <w:rFonts w:ascii="Arial" w:hAnsi="Arial"/>
                <w:sz w:val="20"/>
              </w:rPr>
            </w:pPr>
          </w:p>
        </w:tc>
        <w:tc>
          <w:tcPr>
            <w:tcW w:w="1701" w:type="dxa"/>
            <w:tcBorders>
              <w:top w:val="nil"/>
              <w:left w:val="nil"/>
              <w:bottom w:val="nil"/>
            </w:tcBorders>
          </w:tcPr>
          <w:p w:rsidR="005A21BD" w:rsidRPr="00992339" w:rsidRDefault="00A56518">
            <w:pPr>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2.0</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 xml:space="preserve">  2 (3%)</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21 (32%)</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47 (71%)</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13 (20%)</w:t>
            </w: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before="120" w:line="280" w:lineRule="atLeast"/>
              <w:ind w:left="-72" w:right="-86"/>
              <w:rPr>
                <w:rFonts w:ascii="Arial" w:hAnsi="Arial"/>
                <w:sz w:val="20"/>
              </w:rPr>
            </w:pPr>
            <w:r>
              <w:rPr>
                <w:rFonts w:ascii="Arial" w:hAnsi="Arial"/>
                <w:sz w:val="20"/>
              </w:rPr>
              <w:t>Study 4:</w:t>
            </w:r>
          </w:p>
        </w:tc>
        <w:tc>
          <w:tcPr>
            <w:tcW w:w="1266" w:type="dxa"/>
            <w:tcBorders>
              <w:top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72"/>
              <w:jc w:val="center"/>
              <w:rPr>
                <w:rFonts w:ascii="Arial" w:hAnsi="Arial"/>
                <w:sz w:val="20"/>
              </w:rPr>
            </w:pPr>
          </w:p>
        </w:tc>
        <w:tc>
          <w:tcPr>
            <w:tcW w:w="1701" w:type="dxa"/>
            <w:tcBorders>
              <w:top w:val="nil"/>
              <w:left w:val="nil"/>
              <w:bottom w:val="nil"/>
            </w:tcBorders>
          </w:tcPr>
          <w:p w:rsidR="005A21BD" w:rsidRPr="00992339" w:rsidRDefault="005A21BD">
            <w:pPr>
              <w:keepNext/>
              <w:tabs>
                <w:tab w:val="decimal" w:pos="144"/>
                <w:tab w:val="left" w:pos="274"/>
                <w:tab w:val="left" w:pos="547"/>
                <w:tab w:val="decimal" w:pos="648"/>
                <w:tab w:val="right" w:pos="4464"/>
              </w:tabs>
              <w:spacing w:before="120" w:line="280" w:lineRule="atLeast"/>
              <w:ind w:left="-72" w:right="-72"/>
              <w:jc w:val="center"/>
              <w:rPr>
                <w:rFonts w:ascii="Arial" w:hAnsi="Arial"/>
                <w:sz w:val="20"/>
              </w:rPr>
            </w:pPr>
          </w:p>
        </w:tc>
        <w:tc>
          <w:tcPr>
            <w:tcW w:w="1343" w:type="dxa"/>
            <w:tcBorders>
              <w:top w:val="nil"/>
              <w:left w:val="nil"/>
              <w:bottom w:val="nil"/>
            </w:tcBorders>
          </w:tcPr>
          <w:p w:rsidR="005A21BD" w:rsidRPr="00992339" w:rsidRDefault="005A21BD" w:rsidP="00AB2A34">
            <w:pPr>
              <w:keepNext/>
              <w:tabs>
                <w:tab w:val="right" w:pos="9360"/>
              </w:tabs>
              <w:spacing w:before="120" w:line="280" w:lineRule="atLeast"/>
              <w:ind w:left="-72"/>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c>
          <w:tcPr>
            <w:tcW w:w="1212" w:type="dxa"/>
            <w:tcBorders>
              <w:top w:val="nil"/>
              <w:left w:val="nil"/>
              <w:bottom w:val="nil"/>
            </w:tcBorders>
          </w:tcPr>
          <w:p w:rsidR="005A21BD" w:rsidRPr="00992339" w:rsidRDefault="005A21BD">
            <w:pPr>
              <w:keepNext/>
              <w:tabs>
                <w:tab w:val="left" w:pos="274"/>
                <w:tab w:val="left" w:pos="547"/>
                <w:tab w:val="right" w:pos="4464"/>
                <w:tab w:val="right" w:pos="9360"/>
              </w:tabs>
              <w:spacing w:before="120" w:line="280" w:lineRule="atLeast"/>
              <w:ind w:left="-72" w:right="216"/>
              <w:jc w:val="center"/>
              <w:rPr>
                <w:rFonts w:ascii="Arial" w:hAnsi="Arial"/>
                <w:sz w:val="20"/>
              </w:rPr>
            </w:pP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Ultiva (98)</w:t>
            </w:r>
          </w:p>
        </w:tc>
        <w:tc>
          <w:tcPr>
            <w:tcW w:w="1266" w:type="dxa"/>
            <w:tcBorders>
              <w:top w:val="nil"/>
              <w:bottom w:val="nil"/>
            </w:tcBorders>
          </w:tcPr>
          <w:p w:rsidR="005A21BD" w:rsidRPr="00992339" w:rsidRDefault="005A21BD">
            <w:pPr>
              <w:keepNext/>
              <w:tabs>
                <w:tab w:val="left" w:pos="274"/>
                <w:tab w:val="left" w:pos="547"/>
                <w:tab w:val="right" w:pos="4464"/>
                <w:tab w:val="right" w:pos="9360"/>
              </w:tabs>
              <w:spacing w:line="280" w:lineRule="atLeast"/>
              <w:ind w:left="-72" w:right="-72"/>
              <w:jc w:val="center"/>
              <w:rPr>
                <w:rFonts w:ascii="Arial" w:hAnsi="Arial"/>
                <w:sz w:val="20"/>
              </w:rPr>
            </w:pPr>
          </w:p>
        </w:tc>
        <w:tc>
          <w:tcPr>
            <w:tcW w:w="1701" w:type="dxa"/>
            <w:tcBorders>
              <w:top w:val="nil"/>
              <w:left w:val="nil"/>
              <w:bottom w:val="nil"/>
            </w:tcBorders>
          </w:tcPr>
          <w:p w:rsidR="005A21BD" w:rsidRPr="00992339" w:rsidRDefault="00A56518">
            <w:pPr>
              <w:keepNext/>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0.2</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 xml:space="preserve"> 13 (13%)</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 xml:space="preserve"> 12 (12%)†</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67 (68%)†</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7 (7%)</w:t>
            </w:r>
          </w:p>
        </w:tc>
      </w:tr>
      <w:tr w:rsidR="005A21BD" w:rsidRPr="00992339">
        <w:trPr>
          <w:tblHeader/>
        </w:trPr>
        <w:tc>
          <w:tcPr>
            <w:tcW w:w="1568" w:type="dxa"/>
            <w:tcBorders>
              <w:top w:val="nil"/>
              <w:bottom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Ultiva (91)</w:t>
            </w:r>
          </w:p>
        </w:tc>
        <w:tc>
          <w:tcPr>
            <w:tcW w:w="1266" w:type="dxa"/>
            <w:tcBorders>
              <w:top w:val="nil"/>
              <w:bottom w:val="nil"/>
            </w:tcBorders>
          </w:tcPr>
          <w:p w:rsidR="005A21BD" w:rsidRPr="00992339" w:rsidRDefault="00A56518">
            <w:pPr>
              <w:keepNext/>
              <w:tabs>
                <w:tab w:val="left" w:pos="274"/>
                <w:tab w:val="left" w:pos="547"/>
                <w:tab w:val="right" w:pos="4464"/>
                <w:tab w:val="right" w:pos="9360"/>
              </w:tabs>
              <w:spacing w:line="280" w:lineRule="atLeast"/>
              <w:ind w:left="-72" w:right="-72"/>
              <w:jc w:val="center"/>
              <w:rPr>
                <w:rFonts w:ascii="Arial" w:hAnsi="Arial"/>
                <w:sz w:val="20"/>
              </w:rPr>
            </w:pPr>
            <w:r>
              <w:rPr>
                <w:rFonts w:ascii="Arial" w:hAnsi="Arial"/>
                <w:sz w:val="20"/>
              </w:rPr>
              <w:t>Isoflurane</w:t>
            </w:r>
          </w:p>
        </w:tc>
        <w:tc>
          <w:tcPr>
            <w:tcW w:w="1701" w:type="dxa"/>
            <w:tcBorders>
              <w:top w:val="nil"/>
              <w:left w:val="nil"/>
              <w:bottom w:val="nil"/>
            </w:tcBorders>
          </w:tcPr>
          <w:p w:rsidR="005A21BD" w:rsidRPr="00992339" w:rsidRDefault="00A56518">
            <w:pPr>
              <w:keepNext/>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0.4</w:t>
            </w:r>
          </w:p>
        </w:tc>
        <w:tc>
          <w:tcPr>
            <w:tcW w:w="1343" w:type="dxa"/>
            <w:tcBorders>
              <w:top w:val="nil"/>
              <w:left w:val="nil"/>
              <w:bottom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 xml:space="preserve">  16 (18%)†</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 xml:space="preserve">  4 (4%)†</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44 (48%)†</w:t>
            </w:r>
          </w:p>
        </w:tc>
        <w:tc>
          <w:tcPr>
            <w:tcW w:w="1212" w:type="dxa"/>
            <w:tcBorders>
              <w:top w:val="nil"/>
              <w:left w:val="nil"/>
              <w:bottom w:val="nil"/>
            </w:tcBorders>
          </w:tcPr>
          <w:p w:rsidR="005A21BD" w:rsidRPr="00992339" w:rsidRDefault="00A56518">
            <w:pPr>
              <w:keepNext/>
              <w:tabs>
                <w:tab w:val="left" w:pos="274"/>
                <w:tab w:val="left" w:pos="547"/>
                <w:tab w:val="right" w:pos="4464"/>
                <w:tab w:val="right" w:pos="9360"/>
              </w:tabs>
              <w:spacing w:line="280" w:lineRule="atLeast"/>
              <w:ind w:left="-72" w:right="86"/>
              <w:jc w:val="center"/>
              <w:rPr>
                <w:rFonts w:ascii="Arial" w:hAnsi="Arial"/>
                <w:sz w:val="20"/>
              </w:rPr>
            </w:pPr>
            <w:r>
              <w:rPr>
                <w:rFonts w:ascii="Arial" w:hAnsi="Arial"/>
                <w:sz w:val="20"/>
              </w:rPr>
              <w:t>3 (3%)†</w:t>
            </w:r>
          </w:p>
        </w:tc>
      </w:tr>
      <w:tr w:rsidR="005A21BD" w:rsidRPr="00992339">
        <w:trPr>
          <w:tblHeader/>
        </w:trPr>
        <w:tc>
          <w:tcPr>
            <w:tcW w:w="1568" w:type="dxa"/>
            <w:tcBorders>
              <w:top w:val="nil"/>
              <w:right w:val="nil"/>
            </w:tcBorders>
          </w:tcPr>
          <w:p w:rsidR="005A21BD" w:rsidRPr="00992339" w:rsidRDefault="00A56518">
            <w:pPr>
              <w:keepNext/>
              <w:tabs>
                <w:tab w:val="left" w:pos="162"/>
                <w:tab w:val="left" w:pos="274"/>
                <w:tab w:val="left" w:pos="547"/>
                <w:tab w:val="right" w:pos="4464"/>
                <w:tab w:val="right" w:pos="9360"/>
              </w:tabs>
              <w:spacing w:line="280" w:lineRule="atLeast"/>
              <w:ind w:left="-72" w:right="-86"/>
              <w:rPr>
                <w:rFonts w:ascii="Arial" w:hAnsi="Arial"/>
                <w:sz w:val="20"/>
              </w:rPr>
            </w:pPr>
            <w:r>
              <w:rPr>
                <w:rFonts w:ascii="Arial" w:hAnsi="Arial"/>
                <w:sz w:val="20"/>
              </w:rPr>
              <w:tab/>
              <w:t>Fentanyl (97)</w:t>
            </w:r>
          </w:p>
        </w:tc>
        <w:tc>
          <w:tcPr>
            <w:tcW w:w="1266" w:type="dxa"/>
            <w:tcBorders>
              <w:top w:val="nil"/>
            </w:tcBorders>
          </w:tcPr>
          <w:p w:rsidR="005A21BD" w:rsidRPr="00992339" w:rsidRDefault="005A21BD">
            <w:pPr>
              <w:keepNext/>
              <w:tabs>
                <w:tab w:val="left" w:pos="274"/>
                <w:tab w:val="left" w:pos="547"/>
                <w:tab w:val="right" w:pos="4464"/>
                <w:tab w:val="right" w:pos="9360"/>
              </w:tabs>
              <w:spacing w:line="280" w:lineRule="atLeast"/>
              <w:ind w:left="-72" w:right="-72"/>
              <w:jc w:val="center"/>
              <w:rPr>
                <w:rFonts w:ascii="Arial" w:hAnsi="Arial"/>
                <w:sz w:val="20"/>
              </w:rPr>
            </w:pPr>
          </w:p>
        </w:tc>
        <w:tc>
          <w:tcPr>
            <w:tcW w:w="1701" w:type="dxa"/>
            <w:tcBorders>
              <w:top w:val="nil"/>
              <w:left w:val="nil"/>
            </w:tcBorders>
          </w:tcPr>
          <w:p w:rsidR="005A21BD" w:rsidRPr="00992339" w:rsidRDefault="00A56518">
            <w:pPr>
              <w:keepNext/>
              <w:tabs>
                <w:tab w:val="decimal" w:pos="144"/>
                <w:tab w:val="left" w:pos="274"/>
                <w:tab w:val="left" w:pos="547"/>
                <w:tab w:val="decimal" w:pos="648"/>
                <w:tab w:val="right" w:pos="4464"/>
              </w:tabs>
              <w:spacing w:line="280" w:lineRule="atLeast"/>
              <w:ind w:left="-72" w:right="-72"/>
              <w:jc w:val="center"/>
              <w:rPr>
                <w:rFonts w:ascii="Arial" w:hAnsi="Arial"/>
                <w:sz w:val="20"/>
              </w:rPr>
            </w:pPr>
            <w:r>
              <w:rPr>
                <w:rFonts w:ascii="Arial" w:hAnsi="Arial"/>
                <w:sz w:val="20"/>
              </w:rPr>
              <w:t>1.5-3 µg/kg prn</w:t>
            </w:r>
          </w:p>
        </w:tc>
        <w:tc>
          <w:tcPr>
            <w:tcW w:w="1343" w:type="dxa"/>
            <w:tcBorders>
              <w:top w:val="nil"/>
              <w:left w:val="nil"/>
            </w:tcBorders>
          </w:tcPr>
          <w:p w:rsidR="005A21BD" w:rsidRPr="00992339" w:rsidRDefault="00A56518" w:rsidP="00AB2A34">
            <w:pPr>
              <w:keepNext/>
              <w:tabs>
                <w:tab w:val="right" w:pos="9360"/>
              </w:tabs>
              <w:spacing w:line="280" w:lineRule="atLeast"/>
              <w:ind w:left="-72"/>
              <w:jc w:val="center"/>
              <w:rPr>
                <w:rFonts w:ascii="Arial" w:hAnsi="Arial"/>
                <w:sz w:val="20"/>
              </w:rPr>
            </w:pPr>
            <w:r>
              <w:rPr>
                <w:rFonts w:ascii="Arial" w:hAnsi="Arial"/>
                <w:sz w:val="20"/>
              </w:rPr>
              <w:t xml:space="preserve">  7 (7%)</w:t>
            </w:r>
          </w:p>
        </w:tc>
        <w:tc>
          <w:tcPr>
            <w:tcW w:w="1212" w:type="dxa"/>
            <w:tcBorders>
              <w:top w:val="nil"/>
              <w:left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32 (33%)</w:t>
            </w:r>
          </w:p>
        </w:tc>
        <w:tc>
          <w:tcPr>
            <w:tcW w:w="1212" w:type="dxa"/>
            <w:tcBorders>
              <w:top w:val="nil"/>
              <w:left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84 (87%)</w:t>
            </w:r>
          </w:p>
        </w:tc>
        <w:tc>
          <w:tcPr>
            <w:tcW w:w="1212" w:type="dxa"/>
            <w:tcBorders>
              <w:top w:val="nil"/>
              <w:left w:val="nil"/>
            </w:tcBorders>
          </w:tcPr>
          <w:p w:rsidR="005A21BD" w:rsidRPr="00992339" w:rsidRDefault="00A56518">
            <w:pPr>
              <w:keepNext/>
              <w:tabs>
                <w:tab w:val="left" w:pos="274"/>
                <w:tab w:val="left" w:pos="547"/>
                <w:tab w:val="right" w:pos="4464"/>
                <w:tab w:val="right" w:pos="9360"/>
              </w:tabs>
              <w:spacing w:line="280" w:lineRule="atLeast"/>
              <w:ind w:left="-72" w:right="216"/>
              <w:jc w:val="center"/>
              <w:rPr>
                <w:rFonts w:ascii="Arial" w:hAnsi="Arial"/>
                <w:sz w:val="20"/>
              </w:rPr>
            </w:pPr>
            <w:r>
              <w:rPr>
                <w:rFonts w:ascii="Arial" w:hAnsi="Arial"/>
                <w:sz w:val="20"/>
              </w:rPr>
              <w:t xml:space="preserve"> 11 (11%)</w:t>
            </w:r>
          </w:p>
        </w:tc>
      </w:tr>
    </w:tbl>
    <w:p w:rsidR="005A21BD" w:rsidRDefault="005A21BD">
      <w:pPr>
        <w:tabs>
          <w:tab w:val="left" w:pos="360"/>
        </w:tabs>
        <w:rPr>
          <w:rFonts w:ascii="Arial" w:hAnsi="Arial"/>
        </w:rPr>
      </w:pPr>
      <w:r>
        <w:rPr>
          <w:rFonts w:ascii="Arial" w:hAnsi="Arial"/>
        </w:rPr>
        <w:t>*</w:t>
      </w:r>
      <w:r>
        <w:rPr>
          <w:rFonts w:ascii="Arial" w:hAnsi="Arial"/>
        </w:rPr>
        <w:tab/>
        <w:t>Not all doses of Ultiva were equipotent to the comparator opioid.</w:t>
      </w:r>
    </w:p>
    <w:p w:rsidR="005A21BD" w:rsidRDefault="005A21BD">
      <w:pPr>
        <w:keepNext/>
        <w:tabs>
          <w:tab w:val="left" w:pos="360"/>
          <w:tab w:val="left" w:pos="547"/>
          <w:tab w:val="right" w:pos="4464"/>
          <w:tab w:val="right" w:pos="9360"/>
        </w:tabs>
        <w:spacing w:line="280" w:lineRule="atLeast"/>
        <w:rPr>
          <w:rFonts w:ascii="Arial" w:hAnsi="Arial"/>
        </w:rPr>
      </w:pPr>
      <w:r>
        <w:rPr>
          <w:rFonts w:ascii="Arial" w:hAnsi="Arial"/>
          <w:position w:val="6"/>
        </w:rPr>
        <w:t>†</w:t>
      </w:r>
      <w:r>
        <w:rPr>
          <w:rFonts w:ascii="Arial" w:hAnsi="Arial"/>
        </w:rPr>
        <w:tab/>
        <w:t>Differences were statistically significant (</w:t>
      </w:r>
      <w:r>
        <w:rPr>
          <w:rFonts w:ascii="Arial" w:hAnsi="Arial"/>
          <w:i/>
        </w:rPr>
        <w:t xml:space="preserve">P </w:t>
      </w:r>
      <w:r>
        <w:rPr>
          <w:rFonts w:ascii="Arial" w:hAnsi="Arial"/>
        </w:rPr>
        <w:t>&lt; 0.05).</w:t>
      </w:r>
    </w:p>
    <w:p w:rsidR="005A21BD" w:rsidRDefault="005A21BD">
      <w:pPr>
        <w:tabs>
          <w:tab w:val="left" w:pos="360"/>
        </w:tabs>
        <w:rPr>
          <w:rFonts w:ascii="Arial" w:hAnsi="Arial"/>
        </w:rPr>
      </w:pPr>
    </w:p>
    <w:p w:rsidR="00922616" w:rsidRDefault="00A56518">
      <w:pPr>
        <w:spacing w:after="120"/>
        <w:rPr>
          <w:rFonts w:ascii="Arial" w:hAnsi="Arial" w:cs="Arial"/>
          <w:szCs w:val="22"/>
        </w:rPr>
      </w:pPr>
      <w:r w:rsidRPr="00A56518">
        <w:rPr>
          <w:rFonts w:ascii="Arial" w:hAnsi="Arial" w:cs="Arial"/>
          <w:szCs w:val="22"/>
        </w:rPr>
        <w:t>In three randomised, controlled studies (n = 407) during general anaesthesia, Ultiva attenuated the signs of light anaesthesia within a median time of 3 to 6 minutes after bolus doses of 1 µg/kg with or without infusion rate increases of 50% to 100% (up to a maximum rate of 2 µg/kg/min).</w:t>
      </w:r>
    </w:p>
    <w:p w:rsidR="00E9027E" w:rsidRDefault="00A56518">
      <w:pPr>
        <w:spacing w:after="120"/>
        <w:rPr>
          <w:rFonts w:ascii="Arial" w:hAnsi="Arial" w:cs="Arial"/>
          <w:szCs w:val="22"/>
        </w:rPr>
      </w:pPr>
      <w:r w:rsidRPr="00A56518">
        <w:rPr>
          <w:rFonts w:ascii="Arial" w:hAnsi="Arial" w:cs="Arial"/>
          <w:szCs w:val="22"/>
        </w:rPr>
        <w:t xml:space="preserve">In an additional double-blind, randomised study (n = 103), a constant rate (0.25 µg/kg/min) of Ultiva was compared to doubling the rate to 0.5 µg/kg/min approximately 5 minutes before the start of the major surgical stress </w:t>
      </w:r>
      <w:r w:rsidR="00922616" w:rsidRPr="00922616">
        <w:rPr>
          <w:rFonts w:ascii="Arial" w:hAnsi="Arial" w:cs="Arial"/>
          <w:szCs w:val="22"/>
        </w:rPr>
        <w:t>event.  Doubling the rate decreased the incidence of signs of lig</w:t>
      </w:r>
      <w:r w:rsidR="00567E52" w:rsidRPr="00567E52">
        <w:rPr>
          <w:rFonts w:ascii="Arial" w:hAnsi="Arial" w:cs="Arial"/>
          <w:szCs w:val="22"/>
        </w:rPr>
        <w:t>ht anaesthesia from 67% to 8% in patients undergoing abdominal hysterectomy, and from 19% to 10% in patients undergoing radical prostatectomy.  In patients undergoing laminectomy the lower do</w:t>
      </w:r>
      <w:r w:rsidR="003B54CA" w:rsidRPr="003B54CA">
        <w:rPr>
          <w:rFonts w:ascii="Arial" w:hAnsi="Arial" w:cs="Arial"/>
          <w:szCs w:val="22"/>
        </w:rPr>
        <w:t>se was adequate.</w:t>
      </w:r>
    </w:p>
    <w:p w:rsidR="00922616" w:rsidRPr="00922616" w:rsidRDefault="00D54072">
      <w:pPr>
        <w:spacing w:after="120"/>
        <w:rPr>
          <w:rFonts w:ascii="Arial" w:hAnsi="Arial" w:cs="Arial"/>
          <w:szCs w:val="22"/>
        </w:rPr>
      </w:pPr>
      <w:r w:rsidRPr="00D54072">
        <w:rPr>
          <w:rFonts w:ascii="Arial" w:hAnsi="Arial" w:cs="Arial"/>
          <w:b/>
          <w:szCs w:val="22"/>
        </w:rPr>
        <w:t xml:space="preserve">Recovery: </w:t>
      </w:r>
      <w:r w:rsidRPr="00D54072">
        <w:rPr>
          <w:rFonts w:ascii="Arial" w:hAnsi="Arial" w:cs="Arial"/>
          <w:szCs w:val="22"/>
        </w:rPr>
        <w:t xml:space="preserve">In 2,169 patients receiving Ultiva for periods up to 16 hours, recovery from anaesthesia was rapid, predictable, and independent of the duration of the infusion of Ultiva.  In the seven controlled, general surgery studies, extubation occurred in a median of 5 minutes (range: -3 to 17 minutes in 95% of patients) in outpatient anaesthesia and 10 minutes (range: 0 to 32 minutes in 95% of patients) in inpatient anaesthesia.  Recovery in studies using nitrous oxide or propofol was faster than in those using isoflurane as the concurrent </w:t>
      </w:r>
      <w:r w:rsidRPr="00D54072">
        <w:rPr>
          <w:rFonts w:ascii="Arial" w:hAnsi="Arial" w:cs="Arial"/>
          <w:szCs w:val="22"/>
        </w:rPr>
        <w:lastRenderedPageBreak/>
        <w:t>anaesthetic.  There was no case of remifentanil-induced delayed respiratory depression (occurring more than 30 minutes after discontinuation of remifentanil).</w:t>
      </w:r>
    </w:p>
    <w:p w:rsidR="00E9027E" w:rsidRDefault="00D54072">
      <w:pPr>
        <w:spacing w:after="120"/>
        <w:rPr>
          <w:rFonts w:ascii="Arial" w:hAnsi="Arial" w:cs="Arial"/>
          <w:szCs w:val="22"/>
        </w:rPr>
      </w:pPr>
      <w:r w:rsidRPr="00D54072">
        <w:rPr>
          <w:rFonts w:ascii="Arial" w:hAnsi="Arial" w:cs="Arial"/>
          <w:szCs w:val="22"/>
        </w:rPr>
        <w:t>In a double-blind, randomised study, administration of morphine sulfate (0.15 mg/kg) intravenously 20 minutes before the anticipated end of surgery to 98 patients did not delay recovery of respiratory drive in patients undergoing major surgery with remifentanil-propofol total IV anaesthesia.</w:t>
      </w:r>
    </w:p>
    <w:p w:rsidR="00E9027E" w:rsidRDefault="00D54072">
      <w:pPr>
        <w:pStyle w:val="listbull"/>
        <w:numPr>
          <w:ilvl w:val="0"/>
          <w:numId w:val="0"/>
        </w:numPr>
        <w:jc w:val="both"/>
        <w:rPr>
          <w:rFonts w:ascii="Arial" w:hAnsi="Arial" w:cs="Arial"/>
          <w:szCs w:val="22"/>
        </w:rPr>
      </w:pPr>
      <w:r w:rsidRPr="00D54072">
        <w:rPr>
          <w:rFonts w:ascii="Arial" w:hAnsi="Arial" w:cs="Arial"/>
          <w:b/>
          <w:szCs w:val="22"/>
        </w:rPr>
        <w:t xml:space="preserve">Paediatric Anaesthesia: </w:t>
      </w:r>
      <w:r w:rsidRPr="00D54072">
        <w:rPr>
          <w:rFonts w:ascii="Arial" w:hAnsi="Arial" w:cs="Arial"/>
          <w:szCs w:val="22"/>
        </w:rPr>
        <w:t xml:space="preserve">The safety, efficacy and pharmacokinetics of Ultiva have been established in five studies which included 687 paediatric patients (aged 5 days to 17 years). Of these, 437 patients received Ultiva: 65 patients were enrolled in pharmacokinetic studies and 372 paediatric patients were studied undergoing general anaesthesia for routine surgical procedures in the inpatient (n=190) and outpatient (n=182) settings.  Two hundred and fifty patients were administered comparator anaesthetic regimens.  Four of the these studies were open-labelled.  </w:t>
      </w:r>
    </w:p>
    <w:p w:rsidR="00922616" w:rsidRPr="00922616" w:rsidRDefault="00D54072">
      <w:pPr>
        <w:pStyle w:val="listbull"/>
        <w:numPr>
          <w:ilvl w:val="0"/>
          <w:numId w:val="0"/>
        </w:numPr>
        <w:jc w:val="both"/>
        <w:rPr>
          <w:rFonts w:ascii="Arial" w:hAnsi="Arial" w:cs="Arial"/>
          <w:szCs w:val="22"/>
        </w:rPr>
      </w:pPr>
      <w:r w:rsidRPr="00D54072">
        <w:rPr>
          <w:rFonts w:ascii="Arial" w:hAnsi="Arial" w:cs="Arial"/>
          <w:szCs w:val="22"/>
        </w:rPr>
        <w:t>One randomised, double-blind, parallel comparator-controlled study consisted of 206 patients, of which 103 received Ultiva. This study found the median time to extubation was 9 minutes vs. 10 minutes for fentanyl.  The overall incidences of adverse events were 38% for Ultiva and 39% for fentanyl, drug-related adverse events were 19% and 22% respectively.</w:t>
      </w:r>
    </w:p>
    <w:p w:rsidR="00922616" w:rsidRPr="00922616" w:rsidRDefault="00D54072">
      <w:pPr>
        <w:pStyle w:val="listbull"/>
        <w:numPr>
          <w:ilvl w:val="0"/>
          <w:numId w:val="0"/>
        </w:numPr>
        <w:jc w:val="both"/>
        <w:rPr>
          <w:rFonts w:ascii="Arial" w:hAnsi="Arial" w:cs="Arial"/>
          <w:szCs w:val="22"/>
          <w:u w:val="double"/>
        </w:rPr>
      </w:pPr>
      <w:r w:rsidRPr="00D54072">
        <w:rPr>
          <w:rFonts w:ascii="Arial" w:hAnsi="Arial" w:cs="Arial"/>
          <w:szCs w:val="22"/>
        </w:rPr>
        <w:t>The studies confirmed the effectiveness of the initial adult dosing in paediatric patients &gt;1 year of age with subsequent titration to clinical effect according to individual patient requirements.  Ultiva-based anaesthesia was shown to be as effective as conventional anaesthetic regimens in attenuation of responses to stimulating procedures and the provision of intra-operative haemodynamic stability. Ultiva could be continued until the end of surgery and recovery from anaesthesia was rapid, predictable and similar to conventional anaesthetic regimens.  Generally higher post-operative pain scores were observed when using Ultiva, consistent with the rapid offset of action of Ultiva.  This highlights that longer acting analgesia must be established at an appropriate time in advance of the discontinuation of Ultiva to minimise post-operative pain (see Guidelines for discontinuation).</w:t>
      </w:r>
    </w:p>
    <w:p w:rsidR="00E9027E" w:rsidRDefault="00D54072">
      <w:pPr>
        <w:pStyle w:val="listbull"/>
        <w:numPr>
          <w:ilvl w:val="0"/>
          <w:numId w:val="0"/>
        </w:numPr>
        <w:jc w:val="both"/>
        <w:rPr>
          <w:rFonts w:ascii="Arial" w:hAnsi="Arial" w:cs="Arial"/>
          <w:szCs w:val="22"/>
          <w:shd w:val="pct20" w:color="auto" w:fill="FFFFFF"/>
        </w:rPr>
      </w:pPr>
      <w:r w:rsidRPr="00D54072">
        <w:rPr>
          <w:rFonts w:ascii="Arial" w:hAnsi="Arial" w:cs="Arial"/>
          <w:szCs w:val="22"/>
        </w:rPr>
        <w:t>No relationship was found between age and the final infusion rate of Ultiva, indicating that the starting dose was appropriate across the range of ages studied. There were no clinically significant differences in time to extubation or other recovery parameters between Ultiva-based anaesthesia and conventional anaesthetic regimens.  Ultiva was well tolerated and the incidence of adverse events at the recommended maintenance doses in combination with inhalational anaesthetics was similar to that reported in adults.</w:t>
      </w:r>
      <w:r w:rsidRPr="00D54072">
        <w:rPr>
          <w:rFonts w:ascii="Arial" w:hAnsi="Arial" w:cs="Arial"/>
          <w:szCs w:val="22"/>
          <w:shd w:val="pct20" w:color="auto" w:fill="FFFFFF"/>
        </w:rPr>
        <w:t xml:space="preserve">  </w:t>
      </w:r>
    </w:p>
    <w:p w:rsidR="00922616" w:rsidRDefault="00D54072">
      <w:pPr>
        <w:pStyle w:val="listbull"/>
        <w:numPr>
          <w:ilvl w:val="0"/>
          <w:numId w:val="0"/>
        </w:numPr>
        <w:jc w:val="both"/>
        <w:rPr>
          <w:rFonts w:ascii="Arial" w:hAnsi="Arial" w:cs="Arial"/>
          <w:szCs w:val="22"/>
        </w:rPr>
      </w:pPr>
      <w:r w:rsidRPr="00D54072">
        <w:rPr>
          <w:rFonts w:ascii="Arial" w:hAnsi="Arial" w:cs="Arial"/>
          <w:b/>
          <w:szCs w:val="22"/>
        </w:rPr>
        <w:t xml:space="preserve">Cardiac Surgery:  </w:t>
      </w:r>
      <w:r w:rsidRPr="00D54072">
        <w:rPr>
          <w:rFonts w:ascii="Arial" w:hAnsi="Arial" w:cs="Arial"/>
          <w:szCs w:val="22"/>
        </w:rPr>
        <w:t>In preliminary investigations of cardiac anaesthesia, two studies evaluated the pharmacokinetics of Ultiva in patients (n=25) undergoing hypothermic CABG surgery; and two dose ranging studies were conducted which included a total of 217 ASA II-IV patients undergoing CABG surgery. The data indicated that high dose Ultiva (starting doses 1-3</w:t>
      </w:r>
      <w:r w:rsidR="00A56518" w:rsidRPr="00A56518">
        <w:rPr>
          <w:rFonts w:ascii="Arial" w:hAnsi="Arial" w:cs="Arial"/>
          <w:szCs w:val="22"/>
        </w:rPr>
        <w:sym w:font="Symbol" w:char="F06D"/>
      </w:r>
      <w:r w:rsidR="00A56518" w:rsidRPr="00A56518">
        <w:rPr>
          <w:rFonts w:ascii="Arial" w:hAnsi="Arial" w:cs="Arial"/>
          <w:szCs w:val="22"/>
        </w:rPr>
        <w:t xml:space="preserve">g/kg/min) effectively attenuated responses to major surgical stress and was associated with a rapid recovery profile. However, none of these studies included comparator opioids. </w:t>
      </w:r>
    </w:p>
    <w:p w:rsidR="00922616" w:rsidRPr="00922616" w:rsidRDefault="00A56518">
      <w:pPr>
        <w:pStyle w:val="listrom"/>
        <w:ind w:left="0" w:firstLine="0"/>
        <w:jc w:val="both"/>
        <w:rPr>
          <w:rFonts w:ascii="Arial" w:hAnsi="Arial" w:cs="Arial"/>
          <w:szCs w:val="22"/>
        </w:rPr>
      </w:pPr>
      <w:r w:rsidRPr="00A56518">
        <w:rPr>
          <w:rFonts w:ascii="Arial" w:hAnsi="Arial" w:cs="Arial"/>
          <w:szCs w:val="22"/>
        </w:rPr>
        <w:t>Subsequently Ultiva was evaluated in four randomised, double blind studies including a total of 830 patients (450 Ultiva, 380 comparator opioid) undergoing coronary artery bypass graft (CABG) o</w:t>
      </w:r>
      <w:r w:rsidR="00922616" w:rsidRPr="00922616">
        <w:rPr>
          <w:rFonts w:ascii="Arial" w:hAnsi="Arial" w:cs="Arial"/>
          <w:szCs w:val="22"/>
        </w:rPr>
        <w:t>r valve replacement/re</w:t>
      </w:r>
      <w:r w:rsidR="00567E52" w:rsidRPr="00567E52">
        <w:rPr>
          <w:rFonts w:ascii="Arial" w:hAnsi="Arial" w:cs="Arial"/>
          <w:szCs w:val="22"/>
        </w:rPr>
        <w:t>pair surgery. This was initiated to develop dosing guidelines for use of Ultiva in cardiac patients, establish the safety and efficacy of Ultiva compared with the use of fentanyl and sufentanil in ‘fast-track’ cardiac anaesth</w:t>
      </w:r>
      <w:r w:rsidR="003B54CA" w:rsidRPr="003B54CA">
        <w:rPr>
          <w:rFonts w:ascii="Arial" w:hAnsi="Arial" w:cs="Arial"/>
          <w:szCs w:val="22"/>
        </w:rPr>
        <w:t xml:space="preserve">esia; and  especially in ‘higher </w:t>
      </w:r>
      <w:r w:rsidR="009D0AAB" w:rsidRPr="009D0AAB">
        <w:rPr>
          <w:rFonts w:ascii="Arial" w:hAnsi="Arial" w:cs="Arial"/>
          <w:szCs w:val="22"/>
        </w:rPr>
        <w:t>risk’ cardiac patients – those with impaired left ventricular function (ejection fraction &lt;0.35) or undergoing valve</w:t>
      </w:r>
      <w:r w:rsidR="00D54072" w:rsidRPr="00D54072">
        <w:rPr>
          <w:rFonts w:ascii="Arial" w:hAnsi="Arial" w:cs="Arial"/>
          <w:szCs w:val="22"/>
        </w:rPr>
        <w:t xml:space="preserve"> surgery.</w:t>
      </w:r>
    </w:p>
    <w:p w:rsidR="00922616" w:rsidRPr="00922616" w:rsidRDefault="00D54072">
      <w:pPr>
        <w:pStyle w:val="listbull"/>
        <w:numPr>
          <w:ilvl w:val="0"/>
          <w:numId w:val="0"/>
        </w:numPr>
        <w:shd w:val="clear" w:color="auto" w:fill="FFFFFF"/>
        <w:jc w:val="both"/>
        <w:rPr>
          <w:rFonts w:ascii="Arial" w:hAnsi="Arial" w:cs="Arial"/>
          <w:szCs w:val="22"/>
          <w:shd w:val="pct20" w:color="auto" w:fill="FFFFFF"/>
        </w:rPr>
      </w:pPr>
      <w:r w:rsidRPr="00D54072">
        <w:rPr>
          <w:rFonts w:ascii="Arial" w:hAnsi="Arial" w:cs="Arial"/>
          <w:szCs w:val="22"/>
        </w:rPr>
        <w:t xml:space="preserve">A high dose Ultiva-based regimen was generally more effective in attenuating major surgical stress responses compared to conventional opioid regimens (low/medium intermittent dose) </w:t>
      </w:r>
      <w:r w:rsidRPr="00D54072">
        <w:rPr>
          <w:rFonts w:ascii="Arial" w:hAnsi="Arial" w:cs="Arial"/>
          <w:szCs w:val="22"/>
        </w:rPr>
        <w:lastRenderedPageBreak/>
        <w:t>used for ‘fast-track’ cardiac surgery (e.g. attenuation of response to Maximal Sternal Spread was 11-21% with Ultiva vs. 44-52% fentanyl and 39% sufentanil).  Comparable haemodynamic stability was observed during surgery with Ultiva and comparator opioid regimens.  After induction and during maintenance, remifentanil was associated with a higher incidence of hypotension or requirement for treatment of excessive anaesthesia than comparator opioid regimens</w:t>
      </w:r>
      <w:r w:rsidRPr="00D54072">
        <w:rPr>
          <w:rFonts w:ascii="Arial" w:hAnsi="Arial" w:cs="Arial"/>
          <w:szCs w:val="22"/>
          <w:shd w:val="clear" w:color="auto" w:fill="FFFFFF"/>
        </w:rPr>
        <w:t>.</w:t>
      </w:r>
    </w:p>
    <w:p w:rsidR="00922616" w:rsidRPr="00922616" w:rsidRDefault="00D54072">
      <w:pPr>
        <w:pStyle w:val="BodyText"/>
        <w:keepNext/>
        <w:keepLines/>
        <w:shd w:val="clear" w:color="auto" w:fill="FFFFFF"/>
        <w:spacing w:after="120"/>
        <w:rPr>
          <w:rFonts w:ascii="Arial" w:hAnsi="Arial" w:cs="Arial"/>
          <w:szCs w:val="22"/>
          <w:shd w:val="clear" w:color="auto" w:fill="FFFFFF"/>
        </w:rPr>
      </w:pPr>
      <w:r w:rsidRPr="00D54072">
        <w:rPr>
          <w:rFonts w:ascii="Arial" w:hAnsi="Arial" w:cs="Arial"/>
          <w:szCs w:val="22"/>
        </w:rPr>
        <w:t>Continuation of an Ultiva regimen at a fixed rate of 1</w:t>
      </w:r>
      <w:r w:rsidRPr="00D54072">
        <w:rPr>
          <w:rFonts w:ascii="Arial" w:hAnsi="Arial" w:cs="Arial"/>
          <w:szCs w:val="22"/>
        </w:rPr>
        <w:sym w:font="Symbol" w:char="F06D"/>
      </w:r>
      <w:r w:rsidRPr="00D54072">
        <w:rPr>
          <w:rFonts w:ascii="Arial" w:hAnsi="Arial" w:cs="Arial"/>
          <w:szCs w:val="22"/>
        </w:rPr>
        <w:t>g/kg/min into the immediate post-operative period (ICU) was effective in managing patient comfort. The protocol regimen for transition to alternative analgesia in advance of down titration and discontinuation from Ultiva during weaning for extubation, was effective.  Although sedation was increased it did not result in significant delay in post-operative recovery.  Times to discharge from an intensive care setting were comparable to ‘fast-track’ opioid regimens</w:t>
      </w:r>
      <w:r w:rsidRPr="00D54072">
        <w:rPr>
          <w:rFonts w:ascii="Arial" w:hAnsi="Arial" w:cs="Arial"/>
          <w:szCs w:val="22"/>
          <w:shd w:val="clear" w:color="auto" w:fill="FFFFFF"/>
        </w:rPr>
        <w:t>.</w:t>
      </w:r>
    </w:p>
    <w:p w:rsidR="00E9027E" w:rsidRDefault="00D54072">
      <w:pPr>
        <w:spacing w:after="120"/>
        <w:rPr>
          <w:rFonts w:ascii="Arial" w:hAnsi="Arial" w:cs="Arial"/>
          <w:szCs w:val="22"/>
        </w:rPr>
      </w:pPr>
      <w:r w:rsidRPr="00D54072">
        <w:rPr>
          <w:rFonts w:ascii="Arial" w:hAnsi="Arial" w:cs="Arial"/>
          <w:szCs w:val="22"/>
        </w:rPr>
        <w:t xml:space="preserve">For the side-effect profile in cardiac surgery, refer to </w:t>
      </w:r>
      <w:r w:rsidRPr="00D54072">
        <w:rPr>
          <w:rFonts w:ascii="Arial" w:hAnsi="Arial" w:cs="Arial"/>
          <w:b/>
          <w:szCs w:val="22"/>
        </w:rPr>
        <w:t>AD</w:t>
      </w:r>
      <w:smartTag w:uri="schemas-GSKSiteLocations-com/fourthcoffee" w:element="flavor">
        <w:r w:rsidRPr="00D54072">
          <w:rPr>
            <w:rFonts w:ascii="Arial" w:hAnsi="Arial" w:cs="Arial"/>
            <w:b/>
            <w:szCs w:val="22"/>
          </w:rPr>
          <w:t>VER</w:t>
        </w:r>
      </w:smartTag>
      <w:r w:rsidRPr="00D54072">
        <w:rPr>
          <w:rFonts w:ascii="Arial" w:hAnsi="Arial" w:cs="Arial"/>
          <w:b/>
          <w:szCs w:val="22"/>
        </w:rPr>
        <w:t>SE EFFECTS.</w:t>
      </w:r>
    </w:p>
    <w:p w:rsidR="00922616" w:rsidRPr="00922616" w:rsidRDefault="00A56518">
      <w:pPr>
        <w:spacing w:after="120"/>
        <w:rPr>
          <w:rFonts w:ascii="Arial" w:hAnsi="Arial" w:cs="Arial"/>
          <w:szCs w:val="22"/>
        </w:rPr>
      </w:pPr>
      <w:r w:rsidRPr="00A56518">
        <w:rPr>
          <w:rFonts w:ascii="Arial" w:hAnsi="Arial" w:cs="Arial"/>
          <w:b/>
          <w:szCs w:val="22"/>
        </w:rPr>
        <w:t xml:space="preserve">Neurosurgery: </w:t>
      </w:r>
      <w:r w:rsidRPr="00A56518">
        <w:rPr>
          <w:rFonts w:ascii="Arial" w:hAnsi="Arial" w:cs="Arial"/>
          <w:szCs w:val="22"/>
        </w:rPr>
        <w:t>Ultiva was administered to 61 patients undergoing craniotomy for removal of a supratentorial mass lesion.  In these studies, ventilation was controlled to maintain a predicted PaCO2 of approximately 28 mmHg.  In one study (n = 30) with Ultiva and 66% nitrous oxide, the median time to extubation and to patient response to verbal commands was 5 minutes (range-1 to 19 minutes).  Intracranial pressure and cerebrovascular responsiveness to carbon dioxide were normal.</w:t>
      </w:r>
    </w:p>
    <w:p w:rsidR="00E9027E" w:rsidRDefault="00567E52">
      <w:pPr>
        <w:spacing w:after="120"/>
        <w:rPr>
          <w:rFonts w:ascii="Arial" w:hAnsi="Arial" w:cs="Arial"/>
          <w:szCs w:val="22"/>
        </w:rPr>
      </w:pPr>
      <w:r w:rsidRPr="00567E52">
        <w:rPr>
          <w:rFonts w:ascii="Arial" w:hAnsi="Arial" w:cs="Arial"/>
          <w:szCs w:val="22"/>
        </w:rPr>
        <w:t xml:space="preserve"> A randomised, controlled study compared Ultiva (n = 31) to fentanyl (n = 32).  Ultiva (1 µg/kg/min) and fentanyl (2 µg/kg/min) were admi</w:t>
      </w:r>
      <w:r w:rsidR="003B54CA" w:rsidRPr="003B54CA">
        <w:rPr>
          <w:rFonts w:ascii="Arial" w:hAnsi="Arial" w:cs="Arial"/>
          <w:szCs w:val="22"/>
        </w:rPr>
        <w:t>nistered after induction with thiopentone and pancuronium</w:t>
      </w:r>
      <w:r w:rsidR="009D0AAB" w:rsidRPr="009D0AAB">
        <w:rPr>
          <w:rFonts w:ascii="Arial" w:hAnsi="Arial" w:cs="Arial"/>
          <w:szCs w:val="22"/>
        </w:rPr>
        <w:t>.  A similar number of patients (6%) receiving Ultiva and fentanyl had hypotension during induction.  Anaesthesia</w:t>
      </w:r>
      <w:r w:rsidR="00D54072" w:rsidRPr="00D54072">
        <w:rPr>
          <w:rFonts w:ascii="Arial" w:hAnsi="Arial" w:cs="Arial"/>
          <w:szCs w:val="22"/>
        </w:rPr>
        <w:t xml:space="preserve"> was maintained with nitrous oxide and Ultiva at a mean infusion rate of 0.23 µg/kg/min (range 0.1 to 0.4) compared with a fentanyl mean infusion rate of 0.04 µg/kg/min (range 0.02 to 0.07).  Supplemental isoflurane was administered as needed.  The patients receiving Ultiva required a lower mean isoflurane dose (0.07 </w:t>
      </w:r>
      <w:smartTag w:uri="urn:schemas-microsoft-com:office:smarttags" w:element="stockticker">
        <w:r w:rsidR="00D54072" w:rsidRPr="00D54072">
          <w:rPr>
            <w:rFonts w:ascii="Arial" w:hAnsi="Arial" w:cs="Arial"/>
            <w:szCs w:val="22"/>
          </w:rPr>
          <w:t>MAC</w:t>
        </w:r>
      </w:smartTag>
      <w:r w:rsidR="00D54072" w:rsidRPr="00D54072">
        <w:rPr>
          <w:rFonts w:ascii="Arial" w:hAnsi="Arial" w:cs="Arial"/>
          <w:szCs w:val="22"/>
        </w:rPr>
        <w:t xml:space="preserve">-hours) compared with 0.64 </w:t>
      </w:r>
      <w:smartTag w:uri="urn:schemas-microsoft-com:office:smarttags" w:element="stockticker">
        <w:r w:rsidR="00D54072" w:rsidRPr="00D54072">
          <w:rPr>
            <w:rFonts w:ascii="Arial" w:hAnsi="Arial" w:cs="Arial"/>
            <w:szCs w:val="22"/>
          </w:rPr>
          <w:t>MAC</w:t>
        </w:r>
      </w:smartTag>
      <w:r w:rsidR="00D54072" w:rsidRPr="00D54072">
        <w:rPr>
          <w:rFonts w:ascii="Arial" w:hAnsi="Arial" w:cs="Arial"/>
          <w:szCs w:val="22"/>
        </w:rPr>
        <w:t>-hours for the fentanyl patients (P = 0.04).  Ultiva was discontinued at the end of anaesthesia, whereas fentanyl was discontinued at the time of bone flap replacement (a median time of 44 minutes before the end of surgery).  Median time to extubation was similar (5 and 3.5 minutes, respectively, with Ultiva and fentanyl).  None of the patients receiving Ultiva required naloxone compared to seven of the fentanyl patients (P = 0.01).  Eighty-one percent (81%) of patients receiving Ultiva recovered (awake, alert, and oriented) within 30 minutes after surgery compared with 59% of fentanyl patients (P = 0.06).  At 45 minutes, recovery rates were similar (81% and 69% respectively for Ultiva and fentanyl, P = 0.27).  Patients receiving Ultiva required an analgesic for headache sooner than fentanyl patients (median of 35 minutes compared with 136 minutes, respectively [P = 0.04]).  No adverse cerebrovascular effects were seen in this study.</w:t>
      </w:r>
    </w:p>
    <w:p w:rsidR="00E9027E" w:rsidRDefault="00D54072">
      <w:pPr>
        <w:spacing w:after="120"/>
        <w:rPr>
          <w:rFonts w:ascii="Arial" w:hAnsi="Arial" w:cs="Arial"/>
          <w:szCs w:val="22"/>
        </w:rPr>
      </w:pPr>
      <w:r w:rsidRPr="00D54072">
        <w:rPr>
          <w:rFonts w:ascii="Arial" w:hAnsi="Arial" w:cs="Arial"/>
          <w:b/>
          <w:szCs w:val="22"/>
        </w:rPr>
        <w:t>Intensive Care Unit:</w:t>
      </w:r>
      <w:r w:rsidRPr="00D54072">
        <w:rPr>
          <w:rFonts w:ascii="Arial" w:hAnsi="Arial" w:cs="Arial"/>
          <w:szCs w:val="22"/>
        </w:rPr>
        <w:t xml:space="preserve">  Three clinical studies were conducted to determine the safety and efficacy of remifentanil in a clinically relevant Intensive Care population requiring mechanical ventilation for up to three days.  Two of these studies (USA03206 &amp; USA 30207) were randomised, double-blind, controlled, parallel group studies, the third of these (USA 30212) was an open labelled, non-comparator study. A total of 261 patients received remifentanil, 81 received fentanyl and 83 received morphine. Of those receiving remifentanil, 32 were treated for ≥48 hours, 12 of whom had moderate/severe renal impairment.</w:t>
      </w:r>
    </w:p>
    <w:p w:rsidR="00E9027E" w:rsidRDefault="00D54072">
      <w:pPr>
        <w:spacing w:after="120"/>
        <w:rPr>
          <w:rFonts w:ascii="Arial" w:hAnsi="Arial" w:cs="Arial"/>
          <w:szCs w:val="22"/>
        </w:rPr>
      </w:pPr>
      <w:r w:rsidRPr="00D54072">
        <w:rPr>
          <w:rFonts w:ascii="Arial" w:hAnsi="Arial" w:cs="Arial"/>
          <w:szCs w:val="22"/>
        </w:rPr>
        <w:t xml:space="preserve">The randomized, double-blind studies compared a remifentanil-based analgesia/sedation regimen with fentanyl or morphine based regimens. The opioid was initially titrated to achieve adequate levels for sedation (a patient who was calm, easily rousable and followed commands) and analgesia (no or mild pain). Frequent monitoring of the depth of sedation and </w:t>
      </w:r>
      <w:r w:rsidRPr="00D54072">
        <w:rPr>
          <w:rFonts w:ascii="Arial" w:hAnsi="Arial" w:cs="Arial"/>
          <w:szCs w:val="22"/>
        </w:rPr>
        <w:lastRenderedPageBreak/>
        <w:t>analgesia was undertaken. Administration of sedative agent was initiated only if the target level of sedation could not be achieved with opioid alone.</w:t>
      </w:r>
    </w:p>
    <w:p w:rsidR="00E9027E" w:rsidRDefault="00D54072">
      <w:pPr>
        <w:spacing w:after="120"/>
        <w:rPr>
          <w:rFonts w:ascii="Arial" w:hAnsi="Arial" w:cs="Arial"/>
          <w:szCs w:val="22"/>
        </w:rPr>
      </w:pPr>
      <w:r w:rsidRPr="00D54072">
        <w:rPr>
          <w:rFonts w:ascii="Arial" w:hAnsi="Arial" w:cs="Arial"/>
          <w:szCs w:val="22"/>
        </w:rPr>
        <w:t>A remifentanil-based regimen was effective in providing optimal sedation for the majority (82%-90%) of the maintenance phase. Fentanyl and morphine comparator regimens provided similar efficacy in terms of duration of optimal sedation.  Remifentanil infusion alone provided optimal sedation in the majority (65% in USA30206, 78% in USA30207 and 43% in USA30212) of patients without the need for a supplementary sedative agent.</w:t>
      </w:r>
    </w:p>
    <w:p w:rsidR="00E9027E" w:rsidRDefault="00D54072">
      <w:pPr>
        <w:spacing w:after="120"/>
        <w:rPr>
          <w:rFonts w:ascii="Arial" w:hAnsi="Arial" w:cs="Arial"/>
          <w:strike/>
          <w:szCs w:val="22"/>
        </w:rPr>
      </w:pPr>
      <w:r w:rsidRPr="00D54072">
        <w:rPr>
          <w:rFonts w:ascii="Arial" w:hAnsi="Arial" w:cs="Arial"/>
          <w:szCs w:val="22"/>
        </w:rPr>
        <w:t xml:space="preserve">The primary end point, between patient variability in the percentage of hours of optimal sedation, was not statistically significantly different for remifentanil compared with fentanyl (study USA30206) or morphine (study USA30207). </w:t>
      </w:r>
    </w:p>
    <w:p w:rsidR="00E9027E" w:rsidRDefault="00D54072">
      <w:pPr>
        <w:spacing w:after="120"/>
        <w:rPr>
          <w:rFonts w:ascii="Arial" w:hAnsi="Arial" w:cs="Arial"/>
          <w:szCs w:val="22"/>
        </w:rPr>
      </w:pPr>
      <w:r w:rsidRPr="00D54072">
        <w:rPr>
          <w:rFonts w:ascii="Arial" w:hAnsi="Arial" w:cs="Arial"/>
          <w:szCs w:val="22"/>
        </w:rPr>
        <w:t>Remifentanil was effective in providing adequate analgesia (no pain/mild pain) for the majority (&gt;94%) of the maintenance phase. Fentanyl and morphine provided similar efficacy in terms of duration of adequate analgesia. Moderate/severe pain was reported in a higher percentage of patients administered remifentanil compared to those administered morphine and fentanyl subsequent to down titration and discontinuation of the opioid. This was consistent with the rapid offset of the analgesic effects of remifentanil.</w:t>
      </w:r>
    </w:p>
    <w:p w:rsidR="00E9027E" w:rsidRDefault="00D54072">
      <w:pPr>
        <w:spacing w:after="120"/>
        <w:rPr>
          <w:rFonts w:ascii="Arial" w:hAnsi="Arial" w:cs="Arial"/>
          <w:szCs w:val="22"/>
        </w:rPr>
      </w:pPr>
      <w:r w:rsidRPr="00D54072">
        <w:rPr>
          <w:rFonts w:ascii="Arial" w:hAnsi="Arial" w:cs="Arial"/>
          <w:szCs w:val="22"/>
        </w:rPr>
        <w:t>The time to extubation was rapid and comparable between remifentanil and the comparator regimens (median values ≤1.3h in studies USA30206 and USA30207).</w:t>
      </w:r>
    </w:p>
    <w:p w:rsidR="00E9027E" w:rsidRDefault="00D54072">
      <w:pPr>
        <w:spacing w:after="120"/>
        <w:rPr>
          <w:rFonts w:ascii="Arial" w:hAnsi="Arial" w:cs="Arial"/>
          <w:szCs w:val="22"/>
        </w:rPr>
      </w:pPr>
      <w:r w:rsidRPr="00D54072">
        <w:rPr>
          <w:rFonts w:ascii="Arial" w:hAnsi="Arial" w:cs="Arial"/>
          <w:szCs w:val="22"/>
        </w:rPr>
        <w:t>Remifentanil was associated with acceptable haemodynamic stability during the maintenance phase, which was similar to that observed in patients administered morphine or fentanyl. A greater incidence of haemodynamic changes were reported in the extubation, post-extubation and post-treatment phases in the remifentanil group, which were related to a greater incidence of pain.</w:t>
      </w:r>
    </w:p>
    <w:p w:rsidR="00E9027E" w:rsidRDefault="00D54072">
      <w:pPr>
        <w:spacing w:after="120"/>
        <w:rPr>
          <w:rFonts w:ascii="Arial" w:hAnsi="Arial" w:cs="Arial"/>
          <w:szCs w:val="22"/>
        </w:rPr>
      </w:pPr>
      <w:r w:rsidRPr="00D54072">
        <w:rPr>
          <w:rFonts w:ascii="Arial" w:hAnsi="Arial" w:cs="Arial"/>
          <w:szCs w:val="22"/>
        </w:rPr>
        <w:t>The data indicate that a remifentanil-based regimen (starting infusion rate 0.1-0.15µg/kg/min), was very effective for establishing and maintaining optimal analgesia and sedation in a wide range of IC patients, including those with severe renal impairment. In the majority of patients (≥60%) in the comparator studies there was no requirement for infusion of supplementary sedative agents (midazolam or propofol) to maintain optimal sedation (SAS 4). In study USA30212, where patients could be more deeply sedated (SAS 2-4), there was a greater requirement for supplementary use of sedative i.e. 58% of patients required propofol infusion. Use of a remifentanil-based regimen resulted in rapid extubation of the patients, similar to the comparator opioid regimens.</w:t>
      </w:r>
    </w:p>
    <w:p w:rsidR="00E9027E" w:rsidRDefault="00E9027E">
      <w:pPr>
        <w:spacing w:after="120"/>
        <w:rPr>
          <w:rFonts w:ascii="Arial" w:hAnsi="Arial" w:cs="Arial"/>
          <w:szCs w:val="22"/>
        </w:rPr>
      </w:pPr>
    </w:p>
    <w:p w:rsidR="00E9027E" w:rsidRDefault="00D54072">
      <w:pPr>
        <w:spacing w:after="120"/>
        <w:rPr>
          <w:rFonts w:ascii="Arial" w:hAnsi="Arial" w:cs="Arial"/>
          <w:b/>
          <w:szCs w:val="22"/>
        </w:rPr>
      </w:pPr>
      <w:r w:rsidRPr="00D54072">
        <w:rPr>
          <w:rFonts w:ascii="Arial" w:hAnsi="Arial" w:cs="Arial"/>
          <w:b/>
          <w:szCs w:val="22"/>
        </w:rPr>
        <w:t>INDICATIONS:</w:t>
      </w:r>
    </w:p>
    <w:p w:rsidR="00922616" w:rsidRPr="00922616" w:rsidRDefault="00D54072">
      <w:pPr>
        <w:pStyle w:val="BodyText"/>
        <w:tabs>
          <w:tab w:val="num" w:pos="420"/>
        </w:tabs>
        <w:spacing w:after="120"/>
        <w:rPr>
          <w:rFonts w:ascii="Arial" w:hAnsi="Arial" w:cs="Arial"/>
          <w:szCs w:val="22"/>
        </w:rPr>
      </w:pPr>
      <w:r w:rsidRPr="00D54072">
        <w:rPr>
          <w:rFonts w:ascii="Arial" w:hAnsi="Arial" w:cs="Arial"/>
          <w:szCs w:val="22"/>
        </w:rPr>
        <w:t>Ultiva for Injection is indicated -</w:t>
      </w:r>
    </w:p>
    <w:p w:rsidR="00922616" w:rsidRPr="00922616" w:rsidRDefault="00D54072">
      <w:pPr>
        <w:pStyle w:val="BodyText"/>
        <w:numPr>
          <w:ilvl w:val="0"/>
          <w:numId w:val="18"/>
        </w:numPr>
        <w:spacing w:after="120"/>
        <w:ind w:left="357" w:hanging="357"/>
        <w:rPr>
          <w:rFonts w:ascii="Arial" w:hAnsi="Arial" w:cs="Arial"/>
          <w:szCs w:val="22"/>
        </w:rPr>
      </w:pPr>
      <w:r w:rsidRPr="00D54072">
        <w:rPr>
          <w:rFonts w:ascii="Arial" w:hAnsi="Arial" w:cs="Arial"/>
          <w:szCs w:val="22"/>
        </w:rPr>
        <w:t>as an opioid adjunct for use during  induction and/or maintenance of general anaesthesia during surgical procedures including cardiac surgery in adults.</w:t>
      </w:r>
    </w:p>
    <w:p w:rsidR="00E9027E" w:rsidRDefault="00D54072">
      <w:pPr>
        <w:pStyle w:val="BodyText"/>
        <w:numPr>
          <w:ilvl w:val="0"/>
          <w:numId w:val="18"/>
        </w:numPr>
        <w:spacing w:after="120"/>
        <w:rPr>
          <w:rFonts w:ascii="Arial" w:hAnsi="Arial" w:cs="Arial"/>
          <w:szCs w:val="22"/>
        </w:rPr>
      </w:pPr>
      <w:r w:rsidRPr="00D54072">
        <w:rPr>
          <w:rFonts w:ascii="Arial" w:hAnsi="Arial" w:cs="Arial"/>
          <w:szCs w:val="22"/>
        </w:rPr>
        <w:t>As an opioid adjunct for use during induction and/or maintenance of general anaesthesia during surgical but not cardiac procedures in children aged 1 to 12 years.</w:t>
      </w:r>
    </w:p>
    <w:p w:rsidR="00E9027E" w:rsidRDefault="00D54072">
      <w:pPr>
        <w:pStyle w:val="BodyText"/>
        <w:numPr>
          <w:ilvl w:val="0"/>
          <w:numId w:val="21"/>
        </w:numPr>
        <w:spacing w:before="120" w:after="120"/>
        <w:rPr>
          <w:rFonts w:ascii="Arial" w:hAnsi="Arial" w:cs="Arial"/>
          <w:szCs w:val="22"/>
        </w:rPr>
      </w:pPr>
      <w:r w:rsidRPr="00D54072">
        <w:rPr>
          <w:rFonts w:ascii="Arial" w:hAnsi="Arial" w:cs="Arial"/>
          <w:szCs w:val="22"/>
        </w:rPr>
        <w:t>for continuation as an analgesic into the immediate post-operative period under the close supervision of medically qualified persons trained in the use of anaesthetic drugs, during transition to longer acting analgesia following adult cardiac surgery -</w:t>
      </w:r>
      <w:r w:rsidR="002E74F4">
        <w:rPr>
          <w:rFonts w:ascii="Arial" w:hAnsi="Arial" w:cs="Arial"/>
          <w:szCs w:val="22"/>
        </w:rPr>
        <w:t xml:space="preserve"> </w:t>
      </w:r>
      <w:r w:rsidR="00A56518" w:rsidRPr="00A56518">
        <w:rPr>
          <w:rFonts w:ascii="Arial" w:hAnsi="Arial" w:cs="Arial"/>
          <w:szCs w:val="22"/>
        </w:rPr>
        <w:t>when endotracheal intubation and controlled ventilation are anticipated.</w:t>
      </w:r>
    </w:p>
    <w:p w:rsidR="00E9027E" w:rsidRDefault="00A56518">
      <w:pPr>
        <w:pStyle w:val="BodyText"/>
        <w:numPr>
          <w:ilvl w:val="0"/>
          <w:numId w:val="21"/>
        </w:numPr>
        <w:spacing w:before="120" w:after="120"/>
        <w:rPr>
          <w:rFonts w:ascii="Arial" w:hAnsi="Arial" w:cs="Arial"/>
          <w:szCs w:val="22"/>
        </w:rPr>
      </w:pPr>
      <w:r w:rsidRPr="00A56518">
        <w:rPr>
          <w:rFonts w:ascii="Arial" w:hAnsi="Arial" w:cs="Arial"/>
          <w:szCs w:val="22"/>
        </w:rPr>
        <w:t>for provision of analgesia and sedation in mechanically ventilated intensive care patients.</w:t>
      </w:r>
    </w:p>
    <w:p w:rsidR="00E9027E" w:rsidRDefault="00E9027E">
      <w:pPr>
        <w:spacing w:after="120"/>
        <w:rPr>
          <w:rFonts w:ascii="Arial" w:hAnsi="Arial" w:cs="Arial"/>
          <w:b/>
          <w:szCs w:val="22"/>
        </w:rPr>
      </w:pPr>
    </w:p>
    <w:p w:rsidR="00E9027E" w:rsidRDefault="009D0AAB">
      <w:pPr>
        <w:pStyle w:val="BodyText2"/>
        <w:spacing w:after="120"/>
        <w:rPr>
          <w:rFonts w:ascii="Arial" w:hAnsi="Arial" w:cs="Arial"/>
          <w:szCs w:val="22"/>
        </w:rPr>
      </w:pPr>
      <w:r w:rsidRPr="009D0AAB">
        <w:rPr>
          <w:rFonts w:ascii="Arial" w:hAnsi="Arial" w:cs="Arial"/>
          <w:szCs w:val="22"/>
        </w:rPr>
        <w:lastRenderedPageBreak/>
        <w:t>CONTRAINDICATIONS:</w:t>
      </w:r>
    </w:p>
    <w:p w:rsidR="00E9027E" w:rsidRDefault="00D54072">
      <w:pPr>
        <w:spacing w:after="120"/>
        <w:rPr>
          <w:rFonts w:ascii="Arial" w:hAnsi="Arial" w:cs="Arial"/>
          <w:b/>
          <w:szCs w:val="22"/>
        </w:rPr>
      </w:pPr>
      <w:r w:rsidRPr="00D54072">
        <w:rPr>
          <w:rFonts w:ascii="Arial" w:hAnsi="Arial" w:cs="Arial"/>
          <w:b/>
          <w:szCs w:val="22"/>
        </w:rPr>
        <w:t>Ultiva is not suitable as the sole agent for induction of general anaesthesia.</w:t>
      </w:r>
    </w:p>
    <w:p w:rsidR="00E9027E" w:rsidRDefault="00A56518">
      <w:pPr>
        <w:spacing w:after="120"/>
        <w:rPr>
          <w:rFonts w:ascii="Arial" w:hAnsi="Arial" w:cs="Arial"/>
          <w:b/>
          <w:szCs w:val="22"/>
        </w:rPr>
      </w:pPr>
      <w:r w:rsidRPr="00A56518">
        <w:rPr>
          <w:rFonts w:ascii="Arial" w:hAnsi="Arial" w:cs="Arial"/>
          <w:b/>
          <w:szCs w:val="22"/>
        </w:rPr>
        <w:t xml:space="preserve">Ultiva is not recommended for use in spontaneous ventilation anaesthesia or as an analgesic in the immediate post-operative period due to inadequate safety data in such uses, except in ventilated cardiac surgery patients (see INDICATIONS and DOSAGE </w:t>
      </w:r>
      <w:r w:rsidR="00D1131E">
        <w:rPr>
          <w:rFonts w:ascii="Arial" w:hAnsi="Arial" w:cs="Arial"/>
          <w:b/>
          <w:szCs w:val="22"/>
        </w:rPr>
        <w:t>and</w:t>
      </w:r>
      <w:r w:rsidRPr="00A56518">
        <w:rPr>
          <w:rFonts w:ascii="Arial" w:hAnsi="Arial" w:cs="Arial"/>
          <w:b/>
          <w:szCs w:val="22"/>
        </w:rPr>
        <w:t xml:space="preserve"> ADMINISTRATION: 2. Cardiac Anaesthesia).</w:t>
      </w:r>
    </w:p>
    <w:p w:rsidR="00E9027E" w:rsidRDefault="00A56518">
      <w:pPr>
        <w:pStyle w:val="BodyText2"/>
        <w:spacing w:after="120"/>
        <w:rPr>
          <w:rFonts w:ascii="Arial" w:hAnsi="Arial" w:cs="Arial"/>
          <w:szCs w:val="22"/>
        </w:rPr>
      </w:pPr>
      <w:r w:rsidRPr="00A56518">
        <w:rPr>
          <w:rFonts w:ascii="Arial" w:hAnsi="Arial" w:cs="Arial"/>
          <w:szCs w:val="22"/>
        </w:rPr>
        <w:t>As glycine is present in the formulation, Ultiva is contraindicated for epidural and intrathecal use.</w:t>
      </w:r>
    </w:p>
    <w:p w:rsidR="00E9027E" w:rsidRDefault="00567E52">
      <w:pPr>
        <w:spacing w:after="120"/>
        <w:rPr>
          <w:rFonts w:ascii="Arial" w:hAnsi="Arial" w:cs="Arial"/>
          <w:szCs w:val="22"/>
        </w:rPr>
      </w:pPr>
      <w:r w:rsidRPr="00567E52">
        <w:rPr>
          <w:rFonts w:ascii="Arial" w:hAnsi="Arial" w:cs="Arial"/>
          <w:szCs w:val="22"/>
        </w:rPr>
        <w:t xml:space="preserve">Ultiva for Injection is contraindicated in patients with known hypersensitivity to any component of the preparation </w:t>
      </w:r>
      <w:r w:rsidR="003B54CA" w:rsidRPr="003B54CA">
        <w:rPr>
          <w:rFonts w:ascii="Arial" w:hAnsi="Arial" w:cs="Arial"/>
          <w:szCs w:val="22"/>
        </w:rPr>
        <w:t>and to other fentanyl analogues.</w:t>
      </w:r>
    </w:p>
    <w:p w:rsidR="00E9027E" w:rsidRDefault="00E9027E">
      <w:pPr>
        <w:spacing w:after="120"/>
        <w:rPr>
          <w:rFonts w:ascii="Arial" w:hAnsi="Arial" w:cs="Arial"/>
          <w:szCs w:val="22"/>
        </w:rPr>
      </w:pPr>
    </w:p>
    <w:p w:rsidR="009A75F1" w:rsidRDefault="009A75F1">
      <w:pPr>
        <w:spacing w:after="120"/>
        <w:rPr>
          <w:rFonts w:ascii="Arial" w:hAnsi="Arial" w:cs="Arial"/>
          <w:b/>
          <w:szCs w:val="22"/>
        </w:rPr>
      </w:pPr>
    </w:p>
    <w:p w:rsidR="00E9027E" w:rsidRDefault="00D54072">
      <w:pPr>
        <w:spacing w:after="120"/>
        <w:rPr>
          <w:rFonts w:ascii="Arial" w:hAnsi="Arial" w:cs="Arial"/>
          <w:b/>
          <w:szCs w:val="22"/>
        </w:rPr>
      </w:pPr>
      <w:r w:rsidRPr="00D54072">
        <w:rPr>
          <w:rFonts w:ascii="Arial" w:hAnsi="Arial" w:cs="Arial"/>
          <w:b/>
          <w:szCs w:val="22"/>
        </w:rPr>
        <w:t>PRECAUTIONS:</w:t>
      </w:r>
    </w:p>
    <w:p w:rsidR="00E9027E" w:rsidRDefault="00D54072">
      <w:pPr>
        <w:spacing w:after="120"/>
        <w:rPr>
          <w:rFonts w:ascii="Arial" w:hAnsi="Arial" w:cs="Arial"/>
          <w:szCs w:val="22"/>
        </w:rPr>
      </w:pPr>
      <w:r w:rsidRPr="00D54072">
        <w:rPr>
          <w:rFonts w:ascii="Arial" w:hAnsi="Arial" w:cs="Arial"/>
          <w:szCs w:val="22"/>
        </w:rPr>
        <w:t>As with all opiods, Ultiva is not recommended for use as the sole agent in general anaesthesia.</w:t>
      </w:r>
    </w:p>
    <w:p w:rsidR="00922616" w:rsidRDefault="00A56518">
      <w:pPr>
        <w:spacing w:after="120"/>
        <w:rPr>
          <w:rFonts w:ascii="Arial" w:hAnsi="Arial" w:cs="Arial"/>
          <w:szCs w:val="22"/>
        </w:rPr>
      </w:pPr>
      <w:r w:rsidRPr="00A56518">
        <w:rPr>
          <w:rFonts w:ascii="Arial" w:hAnsi="Arial" w:cs="Arial"/>
          <w:b/>
          <w:szCs w:val="22"/>
        </w:rPr>
        <w:t>The use of Ultiva may be associated with apnoea and respiratory depression.</w:t>
      </w:r>
      <w:r w:rsidRPr="00A56518">
        <w:rPr>
          <w:rFonts w:ascii="Arial" w:hAnsi="Arial" w:cs="Arial"/>
          <w:szCs w:val="22"/>
        </w:rPr>
        <w:t xml:space="preserve">  Ultiva should be administered only in a setting fully equipped for the monitoring and support of respiratory and cardiovascular function and by medically qualified persons specifically trained in the use of anaesthetic drugs and the recognition and management of the expected adverse effects of potent opioids, including respiratory and cardiac resuscitation.  Such training must include intubation and assisted ventilation.</w:t>
      </w:r>
    </w:p>
    <w:p w:rsidR="00E9027E" w:rsidRDefault="00E9027E">
      <w:pPr>
        <w:spacing w:after="120"/>
        <w:rPr>
          <w:rFonts w:ascii="Arial" w:hAnsi="Arial" w:cs="Arial"/>
          <w:b/>
          <w:szCs w:val="22"/>
        </w:rPr>
      </w:pPr>
    </w:p>
    <w:p w:rsidR="00E9027E" w:rsidRDefault="00A56518">
      <w:pPr>
        <w:spacing w:after="120"/>
        <w:rPr>
          <w:rFonts w:ascii="Arial" w:hAnsi="Arial" w:cs="Arial"/>
          <w:b/>
          <w:szCs w:val="22"/>
        </w:rPr>
      </w:pPr>
      <w:r w:rsidRPr="00A56518">
        <w:rPr>
          <w:rFonts w:ascii="Arial" w:hAnsi="Arial" w:cs="Arial"/>
          <w:b/>
          <w:szCs w:val="22"/>
        </w:rPr>
        <w:t>Muscle rigidity - prevention and management</w:t>
      </w:r>
    </w:p>
    <w:p w:rsidR="00922616" w:rsidRDefault="00A56518">
      <w:pPr>
        <w:spacing w:after="120"/>
        <w:rPr>
          <w:rFonts w:ascii="Arial" w:hAnsi="Arial" w:cs="Arial"/>
          <w:szCs w:val="22"/>
        </w:rPr>
      </w:pPr>
      <w:r w:rsidRPr="00A56518">
        <w:rPr>
          <w:rFonts w:ascii="Arial" w:hAnsi="Arial" w:cs="Arial"/>
          <w:szCs w:val="22"/>
        </w:rPr>
        <w:t>At the recommended doses, Ultiva can cause muscle rigidity.  Profound chest wall rigidity and inability to ventilate the patient has occurred during induction, and following inadvertent boluses after intravenous line flushing.  The incidence of muscle rigidity is related to the dose and rate of administration.  Therefore, boluses should be administered slowly, over 60 seconds.</w:t>
      </w:r>
    </w:p>
    <w:p w:rsidR="00922616" w:rsidRPr="00922616" w:rsidRDefault="00922616">
      <w:pPr>
        <w:spacing w:after="120"/>
        <w:rPr>
          <w:rFonts w:ascii="Arial" w:hAnsi="Arial" w:cs="Arial"/>
          <w:szCs w:val="22"/>
        </w:rPr>
      </w:pPr>
      <w:r w:rsidRPr="00922616">
        <w:rPr>
          <w:rFonts w:ascii="Arial" w:hAnsi="Arial" w:cs="Arial"/>
          <w:szCs w:val="22"/>
        </w:rPr>
        <w:t xml:space="preserve">Muscle rigidity induced by Ultiva must be treated in the context of the patient's clinical condition with appropriate supporting measures.  Excessive muscle rigidity occurring during the induction </w:t>
      </w:r>
      <w:r w:rsidR="00567E52" w:rsidRPr="00567E52">
        <w:rPr>
          <w:rFonts w:ascii="Arial" w:hAnsi="Arial" w:cs="Arial"/>
          <w:szCs w:val="22"/>
        </w:rPr>
        <w:t>of anaesthesia should be treated by the administration of a neuromuscular blocking agent and/or additional hypnotic agents and may require intubation for ventilation.  Muscle rigidity seen during the use of Ultiva as an analgesic may be tr</w:t>
      </w:r>
      <w:r w:rsidR="003B54CA" w:rsidRPr="003B54CA">
        <w:rPr>
          <w:rFonts w:ascii="Arial" w:hAnsi="Arial" w:cs="Arial"/>
          <w:szCs w:val="22"/>
        </w:rPr>
        <w:t>eated by stopping or decreasing the rate of administration of Ultiva.  Resolution of muscle rigidity after discontinuing the infusion of Ultiva occurs within minutes.  Alternatively an opioid antagonist may be administered, however this may reverse</w:t>
      </w:r>
      <w:r w:rsidR="009D0AAB" w:rsidRPr="009D0AAB">
        <w:rPr>
          <w:rFonts w:ascii="Arial" w:hAnsi="Arial" w:cs="Arial"/>
          <w:szCs w:val="22"/>
        </w:rPr>
        <w:t xml:space="preserve"> or attenuate the analgesic effect of Ultiva.  In the case of life-threatening muscle rigidity, a rapid onset neuromuscular blocker or an opioid antagonist may be administered.</w:t>
      </w:r>
    </w:p>
    <w:p w:rsidR="00E9027E" w:rsidRDefault="00E9027E">
      <w:pPr>
        <w:spacing w:after="120"/>
        <w:rPr>
          <w:rFonts w:ascii="Arial" w:hAnsi="Arial" w:cs="Arial"/>
          <w:b/>
          <w:szCs w:val="22"/>
        </w:rPr>
      </w:pPr>
    </w:p>
    <w:p w:rsidR="00E9027E" w:rsidRDefault="00A56518">
      <w:pPr>
        <w:spacing w:after="120"/>
        <w:rPr>
          <w:rFonts w:ascii="Arial" w:hAnsi="Arial" w:cs="Arial"/>
          <w:b/>
          <w:szCs w:val="22"/>
        </w:rPr>
      </w:pPr>
      <w:r w:rsidRPr="00A56518">
        <w:rPr>
          <w:rFonts w:ascii="Arial" w:hAnsi="Arial" w:cs="Arial"/>
          <w:b/>
          <w:szCs w:val="22"/>
        </w:rPr>
        <w:t>Respiratory depression - management</w:t>
      </w:r>
    </w:p>
    <w:p w:rsidR="00922616" w:rsidRPr="00922616" w:rsidRDefault="00A56518">
      <w:pPr>
        <w:spacing w:after="120"/>
        <w:rPr>
          <w:rFonts w:ascii="Arial" w:hAnsi="Arial" w:cs="Arial"/>
          <w:szCs w:val="22"/>
        </w:rPr>
      </w:pPr>
      <w:r w:rsidRPr="00A56518">
        <w:rPr>
          <w:rFonts w:ascii="Arial" w:hAnsi="Arial" w:cs="Arial"/>
          <w:szCs w:val="22"/>
        </w:rPr>
        <w:t xml:space="preserve">The use of Ultiva may be associated with apnoea and respiratory depression.  Therefore Ultiva should only be used where facilities for monitoring and treating respiratory depression are available. The occurrence of respiratory depression should be managed appropriately, including decreasing the rate of infusion by 50% or a temporary discontinuation of the infusion. Ultiva has not been shown to cause recurrent respiratory depression even after </w:t>
      </w:r>
      <w:r w:rsidRPr="00A56518">
        <w:rPr>
          <w:rFonts w:ascii="Arial" w:hAnsi="Arial" w:cs="Arial"/>
          <w:szCs w:val="22"/>
        </w:rPr>
        <w:lastRenderedPageBreak/>
        <w:t>prolonged administration.  However, respiratory depression may occur in some patients up to 30 minutes after cessation of the Ultiva infusi</w:t>
      </w:r>
      <w:r w:rsidR="00922616" w:rsidRPr="00922616">
        <w:rPr>
          <w:rFonts w:ascii="Arial" w:hAnsi="Arial" w:cs="Arial"/>
          <w:szCs w:val="22"/>
        </w:rPr>
        <w:t xml:space="preserve">on due to residual effects of concomitant anaesthetics, and therefore it is important to ensure that full consciousness and adequate spontaneous ventilation are achieved before the patient is discharged from the recovery area </w:t>
      </w:r>
      <w:r w:rsidR="00567E52" w:rsidRPr="00567E52">
        <w:rPr>
          <w:rFonts w:ascii="Arial" w:hAnsi="Arial" w:cs="Arial"/>
          <w:b/>
          <w:szCs w:val="22"/>
        </w:rPr>
        <w:t>(see a</w:t>
      </w:r>
      <w:r w:rsidR="003B54CA" w:rsidRPr="003B54CA">
        <w:rPr>
          <w:rFonts w:ascii="Arial" w:hAnsi="Arial" w:cs="Arial"/>
          <w:b/>
          <w:szCs w:val="22"/>
        </w:rPr>
        <w:t>lso Inadvertent administration).</w:t>
      </w:r>
    </w:p>
    <w:p w:rsidR="00E9027E" w:rsidRDefault="00E9027E">
      <w:pPr>
        <w:spacing w:after="120"/>
        <w:rPr>
          <w:rFonts w:ascii="Arial" w:hAnsi="Arial" w:cs="Arial"/>
          <w:b/>
          <w:szCs w:val="22"/>
        </w:rPr>
      </w:pPr>
    </w:p>
    <w:p w:rsidR="00E9027E" w:rsidRDefault="00A56518">
      <w:pPr>
        <w:spacing w:after="120"/>
        <w:rPr>
          <w:rFonts w:ascii="Arial" w:hAnsi="Arial" w:cs="Arial"/>
          <w:b/>
          <w:szCs w:val="22"/>
        </w:rPr>
      </w:pPr>
      <w:r w:rsidRPr="00A56518">
        <w:rPr>
          <w:rFonts w:ascii="Arial" w:hAnsi="Arial" w:cs="Arial"/>
          <w:b/>
          <w:szCs w:val="22"/>
        </w:rPr>
        <w:t>Cardiovascular effects</w:t>
      </w:r>
    </w:p>
    <w:p w:rsidR="00922616" w:rsidRDefault="00A56518">
      <w:pPr>
        <w:spacing w:after="120"/>
        <w:rPr>
          <w:rFonts w:ascii="Arial" w:hAnsi="Arial" w:cs="Arial"/>
          <w:szCs w:val="22"/>
        </w:rPr>
      </w:pPr>
      <w:r w:rsidRPr="00A56518">
        <w:rPr>
          <w:rFonts w:ascii="Arial" w:hAnsi="Arial" w:cs="Arial"/>
          <w:szCs w:val="22"/>
        </w:rPr>
        <w:t>Ultiva causes dose-dependent hypotension and bradycardia.  These effects may be attenuated by the pre-administration of an appropriate anticholinergic agent such as glycopyrrolate or atropine.  Hypotension and bradycardia may be managed by reducing the rate of infusion of Ultiva or the dose of concurrent anaesthetics, and by using intravenous fluids, vasopressor or anticholinergic agents as appropriate.</w:t>
      </w:r>
    </w:p>
    <w:p w:rsidR="00922616" w:rsidRPr="00922616" w:rsidRDefault="00922616">
      <w:pPr>
        <w:spacing w:after="120"/>
        <w:rPr>
          <w:rFonts w:ascii="Arial" w:hAnsi="Arial" w:cs="Arial"/>
          <w:szCs w:val="22"/>
        </w:rPr>
      </w:pPr>
      <w:r w:rsidRPr="00922616">
        <w:rPr>
          <w:rFonts w:ascii="Arial" w:hAnsi="Arial" w:cs="Arial"/>
          <w:szCs w:val="22"/>
        </w:rPr>
        <w:t>Debilitated, hypovolaemic, and elderly patients may be more sensi</w:t>
      </w:r>
      <w:r w:rsidR="00567E52" w:rsidRPr="00567E52">
        <w:rPr>
          <w:rFonts w:ascii="Arial" w:hAnsi="Arial" w:cs="Arial"/>
          <w:szCs w:val="22"/>
        </w:rPr>
        <w:t>tive to the cardiovascular effects of Ultiva.</w:t>
      </w:r>
    </w:p>
    <w:p w:rsidR="00E9027E" w:rsidRDefault="00E9027E">
      <w:pPr>
        <w:spacing w:after="120"/>
        <w:rPr>
          <w:rFonts w:ascii="Arial" w:hAnsi="Arial" w:cs="Arial"/>
          <w:b/>
          <w:szCs w:val="22"/>
        </w:rPr>
      </w:pPr>
    </w:p>
    <w:p w:rsidR="00E9027E" w:rsidRDefault="00A56518">
      <w:pPr>
        <w:spacing w:after="120"/>
        <w:rPr>
          <w:rFonts w:ascii="Arial" w:hAnsi="Arial" w:cs="Arial"/>
          <w:b/>
          <w:szCs w:val="22"/>
        </w:rPr>
      </w:pPr>
      <w:r w:rsidRPr="00A56518">
        <w:rPr>
          <w:rFonts w:ascii="Arial" w:hAnsi="Arial" w:cs="Arial"/>
          <w:b/>
          <w:szCs w:val="22"/>
        </w:rPr>
        <w:t>Rapid offset of action</w:t>
      </w:r>
    </w:p>
    <w:p w:rsidR="00922616" w:rsidRPr="00922616" w:rsidRDefault="00A56518">
      <w:pPr>
        <w:spacing w:after="120"/>
        <w:rPr>
          <w:rFonts w:ascii="Arial" w:hAnsi="Arial" w:cs="Arial"/>
          <w:szCs w:val="22"/>
        </w:rPr>
      </w:pPr>
      <w:r w:rsidRPr="00A56518">
        <w:rPr>
          <w:rFonts w:ascii="Arial" w:hAnsi="Arial" w:cs="Arial"/>
          <w:b/>
          <w:szCs w:val="22"/>
        </w:rPr>
        <w:t>Within 5 to 10 minutes after the discontinuation of Ultiva no residual opioid activity will be present.</w:t>
      </w:r>
      <w:r w:rsidRPr="00A56518">
        <w:rPr>
          <w:rFonts w:ascii="Arial" w:hAnsi="Arial" w:cs="Arial"/>
          <w:szCs w:val="22"/>
        </w:rPr>
        <w:t xml:space="preserve">  For those patients undergoing surgical procedures where post-operative pain is generally anticipated alternative analgesics should be administered prior to the discontinuation of Ultiva.  Sufficient time must be allowed to reach the maximum effect of the longer acting analgesic.  The choice of analgesic should be appropriate for the patient’s surgical procedure and the level of follow-up care.</w:t>
      </w:r>
    </w:p>
    <w:p w:rsidR="00922616" w:rsidRDefault="00922616">
      <w:pPr>
        <w:spacing w:after="120"/>
        <w:rPr>
          <w:rFonts w:ascii="Arial" w:hAnsi="Arial" w:cs="Arial"/>
          <w:szCs w:val="22"/>
        </w:rPr>
      </w:pPr>
    </w:p>
    <w:p w:rsidR="00922616" w:rsidRDefault="00A56518">
      <w:pPr>
        <w:spacing w:after="120"/>
        <w:rPr>
          <w:rFonts w:ascii="Arial" w:hAnsi="Arial" w:cs="Arial"/>
          <w:b/>
          <w:iCs/>
          <w:szCs w:val="22"/>
        </w:rPr>
      </w:pPr>
      <w:r w:rsidRPr="00A56518">
        <w:rPr>
          <w:rFonts w:ascii="Arial" w:hAnsi="Arial" w:cs="Arial"/>
          <w:b/>
          <w:iCs/>
          <w:szCs w:val="22"/>
        </w:rPr>
        <w:t xml:space="preserve">Discontinuation of Treatment </w:t>
      </w:r>
    </w:p>
    <w:p w:rsidR="00922616" w:rsidRPr="00922616" w:rsidRDefault="00A56518">
      <w:pPr>
        <w:spacing w:after="120"/>
        <w:rPr>
          <w:rFonts w:ascii="Arial" w:hAnsi="Arial" w:cs="Arial"/>
          <w:bCs/>
          <w:iCs/>
          <w:szCs w:val="22"/>
        </w:rPr>
      </w:pPr>
      <w:r w:rsidRPr="00A56518">
        <w:rPr>
          <w:rFonts w:ascii="Arial" w:hAnsi="Arial" w:cs="Arial"/>
          <w:bCs/>
          <w:iCs/>
          <w:szCs w:val="22"/>
        </w:rPr>
        <w:t>Symptoms including tachycardia, hypertension and agitation have been reported inf</w:t>
      </w:r>
      <w:r w:rsidR="00922616" w:rsidRPr="00922616">
        <w:rPr>
          <w:rFonts w:ascii="Arial" w:hAnsi="Arial" w:cs="Arial"/>
          <w:bCs/>
          <w:iCs/>
          <w:szCs w:val="22"/>
        </w:rPr>
        <w:t>requently upon abrupt cessation, particularly after prolonged administration of remifentanil. Where reported, re-introduction and tapering of the infusion has been beneficial.</w:t>
      </w:r>
    </w:p>
    <w:p w:rsidR="00922616" w:rsidRDefault="00922616">
      <w:pPr>
        <w:spacing w:after="120"/>
        <w:rPr>
          <w:rFonts w:ascii="Arial" w:hAnsi="Arial" w:cs="Arial"/>
          <w:szCs w:val="22"/>
        </w:rPr>
      </w:pPr>
    </w:p>
    <w:p w:rsidR="00E9027E" w:rsidRDefault="00A56518">
      <w:pPr>
        <w:spacing w:after="120"/>
        <w:rPr>
          <w:rFonts w:ascii="Arial" w:hAnsi="Arial" w:cs="Arial"/>
          <w:b/>
          <w:szCs w:val="22"/>
        </w:rPr>
      </w:pPr>
      <w:r w:rsidRPr="00A56518">
        <w:rPr>
          <w:rFonts w:ascii="Arial" w:hAnsi="Arial" w:cs="Arial"/>
          <w:b/>
          <w:szCs w:val="22"/>
        </w:rPr>
        <w:t>Inadvertent administration</w:t>
      </w:r>
    </w:p>
    <w:p w:rsidR="00E9027E" w:rsidRDefault="00A56518">
      <w:pPr>
        <w:pStyle w:val="BodyText"/>
        <w:spacing w:after="120"/>
        <w:jc w:val="left"/>
        <w:rPr>
          <w:rFonts w:ascii="Arial" w:hAnsi="Arial" w:cs="Arial"/>
          <w:szCs w:val="22"/>
        </w:rPr>
      </w:pPr>
      <w:r w:rsidRPr="00A56518">
        <w:rPr>
          <w:rFonts w:ascii="Arial" w:hAnsi="Arial" w:cs="Arial"/>
          <w:szCs w:val="22"/>
        </w:rPr>
        <w:t>A sufficient amount of Ultiva may be present in the dead space of the IV line and/or cannula to cause respiratory depression, apnoea and/or muscle rigidity if the line is flushed with IV fluids or other drugs.  Ultiva should be administered, where possible via a dedicated IV line which is removed when Ultiva is discontinued, otherwise into a fast flowing IV line at or close to the venous cannula and primed, in order to avoid administration of drug into the single dead space.</w:t>
      </w:r>
    </w:p>
    <w:p w:rsidR="00E9027E" w:rsidRDefault="00E9027E">
      <w:pPr>
        <w:pStyle w:val="BodyText"/>
        <w:spacing w:after="120"/>
        <w:jc w:val="left"/>
        <w:rPr>
          <w:rFonts w:ascii="Arial" w:hAnsi="Arial" w:cs="Arial"/>
          <w:szCs w:val="22"/>
        </w:rPr>
      </w:pPr>
    </w:p>
    <w:p w:rsidR="00E9027E" w:rsidRDefault="00A56518">
      <w:pPr>
        <w:shd w:val="clear" w:color="auto" w:fill="FFFFFF"/>
        <w:tabs>
          <w:tab w:val="left" w:pos="2552"/>
        </w:tabs>
        <w:spacing w:after="120"/>
        <w:rPr>
          <w:rFonts w:ascii="Arial" w:hAnsi="Arial" w:cs="Arial"/>
          <w:b/>
          <w:szCs w:val="22"/>
        </w:rPr>
      </w:pPr>
      <w:r w:rsidRPr="00A56518">
        <w:rPr>
          <w:rFonts w:ascii="Arial" w:hAnsi="Arial" w:cs="Arial"/>
          <w:b/>
          <w:szCs w:val="22"/>
          <w:shd w:val="clear" w:color="auto" w:fill="FFFFFF"/>
        </w:rPr>
        <w:t>Paediatric patients under 1</w:t>
      </w:r>
      <w:r w:rsidRPr="00A56518">
        <w:rPr>
          <w:rFonts w:ascii="Arial" w:hAnsi="Arial" w:cs="Arial"/>
          <w:b/>
          <w:szCs w:val="22"/>
        </w:rPr>
        <w:t xml:space="preserve"> </w:t>
      </w:r>
      <w:r w:rsidRPr="00A56518">
        <w:rPr>
          <w:rFonts w:ascii="Arial" w:hAnsi="Arial" w:cs="Arial"/>
          <w:b/>
          <w:szCs w:val="22"/>
          <w:shd w:val="clear" w:color="auto" w:fill="FFFFFF"/>
        </w:rPr>
        <w:t>year of age</w:t>
      </w:r>
    </w:p>
    <w:p w:rsidR="00E9027E" w:rsidRDefault="00567E52">
      <w:pPr>
        <w:shd w:val="clear" w:color="auto" w:fill="FFFFFF"/>
        <w:tabs>
          <w:tab w:val="left" w:pos="2552"/>
        </w:tabs>
        <w:spacing w:after="120"/>
        <w:rPr>
          <w:rFonts w:ascii="Arial" w:hAnsi="Arial" w:cs="Arial"/>
          <w:szCs w:val="22"/>
        </w:rPr>
      </w:pPr>
      <w:r w:rsidRPr="00567E52">
        <w:rPr>
          <w:rFonts w:ascii="Arial" w:hAnsi="Arial" w:cs="Arial"/>
          <w:szCs w:val="22"/>
        </w:rPr>
        <w:t>There are insuffici</w:t>
      </w:r>
      <w:r w:rsidR="003B54CA" w:rsidRPr="003B54CA">
        <w:rPr>
          <w:rFonts w:ascii="Arial" w:hAnsi="Arial" w:cs="Arial"/>
          <w:szCs w:val="22"/>
        </w:rPr>
        <w:t xml:space="preserve">ent </w:t>
      </w:r>
      <w:r w:rsidR="009D0AAB" w:rsidRPr="009D0AAB">
        <w:rPr>
          <w:rFonts w:ascii="Arial" w:hAnsi="Arial" w:cs="Arial"/>
          <w:szCs w:val="22"/>
          <w:shd w:val="clear" w:color="auto" w:fill="FFFFFF"/>
        </w:rPr>
        <w:t>data available</w:t>
      </w:r>
      <w:r w:rsidR="009D0AAB" w:rsidRPr="009D0AAB">
        <w:rPr>
          <w:rFonts w:ascii="Arial" w:hAnsi="Arial" w:cs="Arial"/>
          <w:szCs w:val="22"/>
        </w:rPr>
        <w:t xml:space="preserve"> on use </w:t>
      </w:r>
      <w:r w:rsidR="009D0AAB" w:rsidRPr="009D0AAB">
        <w:rPr>
          <w:rFonts w:ascii="Arial" w:hAnsi="Arial" w:cs="Arial"/>
          <w:szCs w:val="22"/>
          <w:shd w:val="clear" w:color="auto" w:fill="FFFFFF"/>
        </w:rPr>
        <w:t>in paediatric patients under</w:t>
      </w:r>
      <w:r w:rsidR="00D54072" w:rsidRPr="00D54072">
        <w:rPr>
          <w:rFonts w:ascii="Arial" w:hAnsi="Arial" w:cs="Arial"/>
          <w:szCs w:val="22"/>
        </w:rPr>
        <w:t xml:space="preserve"> 1 year of age.</w:t>
      </w:r>
    </w:p>
    <w:p w:rsidR="00E9027E" w:rsidRDefault="00E9027E"/>
    <w:p w:rsidR="00E9027E" w:rsidRDefault="00A56518">
      <w:pPr>
        <w:pStyle w:val="Heading6"/>
        <w:spacing w:after="120"/>
        <w:rPr>
          <w:rFonts w:ascii="Arial" w:hAnsi="Arial" w:cs="Arial"/>
          <w:szCs w:val="22"/>
        </w:rPr>
      </w:pPr>
      <w:r w:rsidRPr="00A56518">
        <w:rPr>
          <w:rFonts w:ascii="Arial" w:hAnsi="Arial" w:cs="Arial"/>
          <w:szCs w:val="22"/>
        </w:rPr>
        <w:t>Drug Abuse</w:t>
      </w:r>
    </w:p>
    <w:p w:rsidR="00E9027E" w:rsidRDefault="00A56518">
      <w:pPr>
        <w:spacing w:after="120"/>
        <w:rPr>
          <w:rFonts w:ascii="Arial" w:hAnsi="Arial" w:cs="Arial"/>
          <w:szCs w:val="22"/>
        </w:rPr>
      </w:pPr>
      <w:r w:rsidRPr="00A56518">
        <w:rPr>
          <w:rFonts w:ascii="Arial" w:hAnsi="Arial" w:cs="Arial"/>
          <w:szCs w:val="22"/>
        </w:rPr>
        <w:t>As with other opioids, Ultiva may produce dependency.</w:t>
      </w:r>
    </w:p>
    <w:p w:rsidR="00E9027E" w:rsidRDefault="00E9027E">
      <w:pPr>
        <w:spacing w:after="120"/>
        <w:rPr>
          <w:rFonts w:ascii="Arial" w:hAnsi="Arial" w:cs="Arial"/>
          <w:szCs w:val="22"/>
        </w:rPr>
      </w:pPr>
    </w:p>
    <w:p w:rsidR="00E9027E" w:rsidRDefault="00A56518">
      <w:pPr>
        <w:spacing w:after="120"/>
        <w:rPr>
          <w:rFonts w:ascii="Arial" w:hAnsi="Arial" w:cs="Arial"/>
          <w:szCs w:val="22"/>
        </w:rPr>
      </w:pPr>
      <w:r w:rsidRPr="00A56518">
        <w:rPr>
          <w:rFonts w:ascii="Arial" w:hAnsi="Arial" w:cs="Arial"/>
          <w:b/>
          <w:szCs w:val="22"/>
        </w:rPr>
        <w:t>Awareness</w:t>
      </w:r>
    </w:p>
    <w:p w:rsidR="00922616" w:rsidRDefault="00A56518">
      <w:pPr>
        <w:spacing w:after="120"/>
        <w:rPr>
          <w:rFonts w:ascii="Arial" w:hAnsi="Arial" w:cs="Arial"/>
          <w:szCs w:val="22"/>
        </w:rPr>
      </w:pPr>
      <w:r w:rsidRPr="00A56518">
        <w:rPr>
          <w:rFonts w:ascii="Arial" w:hAnsi="Arial" w:cs="Arial"/>
          <w:szCs w:val="22"/>
        </w:rPr>
        <w:lastRenderedPageBreak/>
        <w:t xml:space="preserve">Intraoperative awareness has been reported when remifentanil has been administered with propofol infusion rates less than 75 </w:t>
      </w:r>
      <w:r w:rsidRPr="00A56518">
        <w:rPr>
          <w:rFonts w:ascii="Arial" w:hAnsi="Arial" w:cs="Arial"/>
          <w:szCs w:val="22"/>
        </w:rPr>
        <w:sym w:font="Symbol" w:char="F06D"/>
      </w:r>
      <w:r w:rsidRPr="00A56518">
        <w:rPr>
          <w:rFonts w:ascii="Arial" w:hAnsi="Arial" w:cs="Arial"/>
          <w:szCs w:val="22"/>
        </w:rPr>
        <w:t>g/kg/min for TIVA.</w:t>
      </w:r>
    </w:p>
    <w:p w:rsidR="00E9027E" w:rsidRDefault="00E9027E">
      <w:pPr>
        <w:spacing w:after="120"/>
        <w:rPr>
          <w:rFonts w:ascii="Arial" w:hAnsi="Arial" w:cs="Arial"/>
          <w:b/>
          <w:szCs w:val="22"/>
        </w:rPr>
      </w:pPr>
    </w:p>
    <w:p w:rsidR="00E9027E" w:rsidRDefault="00A56518">
      <w:pPr>
        <w:spacing w:after="120"/>
        <w:rPr>
          <w:rFonts w:ascii="Arial" w:hAnsi="Arial" w:cs="Arial"/>
          <w:b/>
          <w:szCs w:val="22"/>
        </w:rPr>
      </w:pPr>
      <w:r w:rsidRPr="00A56518">
        <w:rPr>
          <w:rFonts w:ascii="Arial" w:hAnsi="Arial" w:cs="Arial"/>
          <w:b/>
          <w:szCs w:val="22"/>
        </w:rPr>
        <w:t>Carcinogenicity, mutagenicity and impairment of fertility</w:t>
      </w:r>
    </w:p>
    <w:p w:rsidR="00922616" w:rsidRDefault="00A56518">
      <w:pPr>
        <w:spacing w:after="120"/>
        <w:rPr>
          <w:rFonts w:ascii="Arial" w:hAnsi="Arial" w:cs="Arial"/>
          <w:szCs w:val="22"/>
        </w:rPr>
      </w:pPr>
      <w:r w:rsidRPr="00A56518">
        <w:rPr>
          <w:rFonts w:ascii="Arial" w:hAnsi="Arial" w:cs="Arial"/>
          <w:szCs w:val="22"/>
        </w:rPr>
        <w:t>There is no information currently available on the carcinogenic potential of remifentanil.</w:t>
      </w:r>
    </w:p>
    <w:p w:rsidR="00922616" w:rsidRPr="00922616" w:rsidRDefault="00A56518">
      <w:pPr>
        <w:spacing w:after="120"/>
        <w:rPr>
          <w:rFonts w:ascii="Arial" w:hAnsi="Arial" w:cs="Arial"/>
          <w:szCs w:val="22"/>
        </w:rPr>
      </w:pPr>
      <w:r w:rsidRPr="00A56518">
        <w:rPr>
          <w:rFonts w:ascii="Arial" w:hAnsi="Arial" w:cs="Arial"/>
          <w:szCs w:val="22"/>
        </w:rPr>
        <w:t>Remifentanil was not mutagenic in bacterial assays for gene mutations (</w:t>
      </w:r>
      <w:r w:rsidR="00922616" w:rsidRPr="00922616">
        <w:rPr>
          <w:rFonts w:ascii="Arial" w:hAnsi="Arial" w:cs="Arial"/>
          <w:i/>
          <w:szCs w:val="22"/>
        </w:rPr>
        <w:t xml:space="preserve">Salmonella typhimurium </w:t>
      </w:r>
      <w:r w:rsidR="00567E52" w:rsidRPr="00567E52">
        <w:rPr>
          <w:rFonts w:ascii="Arial" w:hAnsi="Arial" w:cs="Arial"/>
          <w:szCs w:val="22"/>
        </w:rPr>
        <w:t xml:space="preserve">histidine reversion assay), chromosomal aberrations (mouse micronucleus and Chinese hamster ovary chromosome) and a </w:t>
      </w:r>
      <w:smartTag w:uri="urn:schemas-microsoft-com:office:smarttags" w:element="stockticker">
        <w:r w:rsidR="00567E52" w:rsidRPr="00567E52">
          <w:rPr>
            <w:rFonts w:ascii="Arial" w:hAnsi="Arial" w:cs="Arial"/>
            <w:szCs w:val="22"/>
          </w:rPr>
          <w:t>DNA</w:t>
        </w:r>
      </w:smartTag>
      <w:r w:rsidR="00567E52" w:rsidRPr="00567E52">
        <w:rPr>
          <w:rFonts w:ascii="Arial" w:hAnsi="Arial" w:cs="Arial"/>
          <w:szCs w:val="22"/>
        </w:rPr>
        <w:t xml:space="preserve"> repair assay (rat hepatocytes).  However, a positive result was obtained in the mouse lymphoma L51</w:t>
      </w:r>
      <w:r w:rsidR="003B54CA" w:rsidRPr="003B54CA">
        <w:rPr>
          <w:rFonts w:ascii="Arial" w:hAnsi="Arial" w:cs="Arial"/>
          <w:szCs w:val="22"/>
        </w:rPr>
        <w:t>78Y/tk</w:t>
      </w:r>
      <w:r w:rsidR="009D0AAB" w:rsidRPr="009D0AAB">
        <w:rPr>
          <w:rFonts w:ascii="Arial" w:hAnsi="Arial" w:cs="Arial"/>
          <w:szCs w:val="22"/>
          <w:vertAlign w:val="superscript"/>
        </w:rPr>
        <w:t>+/-</w:t>
      </w:r>
      <w:r w:rsidR="009D0AAB" w:rsidRPr="009D0AAB">
        <w:rPr>
          <w:rFonts w:ascii="Arial" w:hAnsi="Arial" w:cs="Arial"/>
          <w:szCs w:val="22"/>
        </w:rPr>
        <w:t xml:space="preserve"> assay in the presence of metabolic activation.</w:t>
      </w:r>
    </w:p>
    <w:p w:rsidR="00922616" w:rsidRPr="00922616" w:rsidRDefault="00D54072">
      <w:pPr>
        <w:spacing w:after="120"/>
        <w:rPr>
          <w:rFonts w:ascii="Arial" w:hAnsi="Arial" w:cs="Arial"/>
          <w:szCs w:val="22"/>
        </w:rPr>
      </w:pPr>
      <w:r w:rsidRPr="00D54072">
        <w:rPr>
          <w:rFonts w:ascii="Arial" w:hAnsi="Arial" w:cs="Arial"/>
          <w:szCs w:val="22"/>
        </w:rPr>
        <w:t>Daily administration of remifentanil to male rats was associated with pathological changes in the epididymides at exposures to remifentanil and its major metabolite GR90291 of &lt;1 and &gt;200 fold, respectively, the anticipated clinical exposure, and pathological changes in the testes and reduced fertility and pregnancies at exposures to remifentanil and GR90291 of 1-2 and &gt;600 fold, respectively, the anticipated clinical exposure.</w:t>
      </w:r>
    </w:p>
    <w:p w:rsidR="00E9027E" w:rsidRDefault="00E9027E">
      <w:pPr>
        <w:spacing w:after="120"/>
        <w:rPr>
          <w:rFonts w:ascii="Arial" w:hAnsi="Arial" w:cs="Arial"/>
          <w:strike/>
          <w:szCs w:val="22"/>
        </w:rPr>
      </w:pPr>
    </w:p>
    <w:p w:rsidR="009A75F1" w:rsidRDefault="009A75F1">
      <w:pPr>
        <w:spacing w:after="120"/>
        <w:rPr>
          <w:rFonts w:ascii="Arial" w:hAnsi="Arial" w:cs="Arial"/>
          <w:b/>
          <w:szCs w:val="22"/>
        </w:rPr>
      </w:pPr>
    </w:p>
    <w:p w:rsidR="00E9027E" w:rsidRDefault="00D54072">
      <w:pPr>
        <w:spacing w:after="120"/>
        <w:rPr>
          <w:rFonts w:ascii="Arial" w:hAnsi="Arial" w:cs="Arial"/>
          <w:b/>
          <w:szCs w:val="22"/>
        </w:rPr>
      </w:pPr>
      <w:r w:rsidRPr="00D54072">
        <w:rPr>
          <w:rFonts w:ascii="Arial" w:hAnsi="Arial" w:cs="Arial"/>
          <w:b/>
          <w:szCs w:val="22"/>
        </w:rPr>
        <w:t>Use in Pregnancy</w:t>
      </w:r>
    </w:p>
    <w:p w:rsidR="00E9027E" w:rsidRDefault="00D54072">
      <w:pPr>
        <w:spacing w:after="120"/>
        <w:rPr>
          <w:rFonts w:ascii="Arial" w:hAnsi="Arial" w:cs="Arial"/>
          <w:b/>
          <w:szCs w:val="22"/>
        </w:rPr>
      </w:pPr>
      <w:r w:rsidRPr="00D54072">
        <w:rPr>
          <w:rFonts w:ascii="Arial" w:hAnsi="Arial" w:cs="Arial"/>
          <w:b/>
          <w:szCs w:val="22"/>
        </w:rPr>
        <w:t>Pregnancy Category: C</w:t>
      </w:r>
    </w:p>
    <w:p w:rsidR="00E9027E" w:rsidRDefault="00D54072">
      <w:pPr>
        <w:spacing w:after="120"/>
        <w:rPr>
          <w:rFonts w:ascii="Arial" w:hAnsi="Arial" w:cs="Arial"/>
          <w:szCs w:val="22"/>
        </w:rPr>
      </w:pPr>
      <w:r w:rsidRPr="00D54072">
        <w:rPr>
          <w:rFonts w:ascii="Arial" w:hAnsi="Arial" w:cs="Arial"/>
          <w:szCs w:val="22"/>
        </w:rPr>
        <w:t>Although placental transfer of remifentanil and its major metabolite GR90291 was found in rats, rabbits and monkeys, there was no evidence of teratogenicity in rats at exposures to remifentanil and its major metabolite of 6 and &gt;200 fold, respectively, the anticipated clinical exposure.  In rabbits, teratogenicity was observed only at remifentanil doses greater than those producing maternotoxicity and fetotoxicity, with remifentanil exposures of about 200 fold anticipated human remifentanil exposure.  However, there are no adequate and well-controlled studies in pregnant women.  The use of Ultiva in pregnant women is not recommended.</w:t>
      </w:r>
    </w:p>
    <w:p w:rsidR="00E9027E" w:rsidRDefault="00E9027E">
      <w:pPr>
        <w:spacing w:after="120"/>
        <w:rPr>
          <w:rFonts w:ascii="Arial" w:hAnsi="Arial" w:cs="Arial"/>
          <w:szCs w:val="22"/>
        </w:rPr>
      </w:pPr>
    </w:p>
    <w:p w:rsidR="00E9027E" w:rsidRDefault="00D54072">
      <w:pPr>
        <w:spacing w:after="120"/>
        <w:rPr>
          <w:rFonts w:ascii="Arial" w:hAnsi="Arial" w:cs="Arial"/>
          <w:b/>
          <w:szCs w:val="22"/>
        </w:rPr>
      </w:pPr>
      <w:r w:rsidRPr="00D54072">
        <w:rPr>
          <w:rFonts w:ascii="Arial" w:hAnsi="Arial" w:cs="Arial"/>
          <w:b/>
          <w:szCs w:val="22"/>
        </w:rPr>
        <w:t>Use in Lactation</w:t>
      </w:r>
    </w:p>
    <w:p w:rsidR="00E9027E" w:rsidRDefault="00D54072">
      <w:pPr>
        <w:spacing w:after="120"/>
        <w:rPr>
          <w:rFonts w:ascii="Arial" w:hAnsi="Arial" w:cs="Arial"/>
          <w:szCs w:val="22"/>
        </w:rPr>
      </w:pPr>
      <w:r w:rsidRPr="00D54072">
        <w:rPr>
          <w:rFonts w:ascii="Arial" w:hAnsi="Arial" w:cs="Arial"/>
          <w:szCs w:val="22"/>
        </w:rPr>
        <w:t>It is not known whether Ultiva is excreted in human milk.  However, because fentanyl analogues are excreted in human milk and remifentanil-related material was found in rat milk after dosing with Ultiva, caution should be exercised when Ultiva is administered to mothers who are breastfeeding.</w:t>
      </w:r>
    </w:p>
    <w:p w:rsidR="00E9027E" w:rsidRDefault="00E9027E">
      <w:pPr>
        <w:spacing w:after="120"/>
        <w:rPr>
          <w:rFonts w:ascii="Arial" w:hAnsi="Arial" w:cs="Arial"/>
          <w:szCs w:val="22"/>
        </w:rPr>
      </w:pPr>
    </w:p>
    <w:p w:rsidR="00E9027E" w:rsidRDefault="00D54072">
      <w:pPr>
        <w:spacing w:after="120"/>
        <w:rPr>
          <w:rFonts w:ascii="Arial" w:hAnsi="Arial" w:cs="Arial"/>
          <w:b/>
          <w:szCs w:val="22"/>
        </w:rPr>
      </w:pPr>
      <w:r w:rsidRPr="00D54072">
        <w:rPr>
          <w:rFonts w:ascii="Arial" w:hAnsi="Arial" w:cs="Arial"/>
          <w:b/>
          <w:szCs w:val="22"/>
        </w:rPr>
        <w:t>Use in Obstetrics</w:t>
      </w:r>
    </w:p>
    <w:p w:rsidR="00E9027E" w:rsidRDefault="00D54072">
      <w:pPr>
        <w:spacing w:after="120"/>
        <w:rPr>
          <w:rFonts w:ascii="Arial" w:hAnsi="Arial" w:cs="Arial"/>
          <w:szCs w:val="22"/>
        </w:rPr>
      </w:pPr>
      <w:r w:rsidRPr="00D54072">
        <w:rPr>
          <w:rFonts w:ascii="Arial" w:hAnsi="Arial" w:cs="Arial"/>
          <w:szCs w:val="22"/>
        </w:rPr>
        <w:t>The safety profile of Ultiva during labour or delivery has not been demonstrated.  Ultiva should not be used during labour and caesarean sections because it is known that remifentanil crosses the placental barrier and fentanyl analogues can cause respiratory depression in the infant.</w:t>
      </w:r>
    </w:p>
    <w:p w:rsidR="00E9027E" w:rsidRDefault="00E9027E">
      <w:pPr>
        <w:spacing w:after="120"/>
        <w:rPr>
          <w:rFonts w:ascii="Arial" w:hAnsi="Arial" w:cs="Arial"/>
          <w:szCs w:val="22"/>
        </w:rPr>
      </w:pPr>
    </w:p>
    <w:p w:rsidR="00E9027E" w:rsidRDefault="00D54072">
      <w:pPr>
        <w:spacing w:after="120"/>
        <w:rPr>
          <w:rFonts w:ascii="Arial" w:hAnsi="Arial" w:cs="Arial"/>
          <w:b/>
          <w:szCs w:val="22"/>
        </w:rPr>
      </w:pPr>
      <w:r w:rsidRPr="00D54072">
        <w:rPr>
          <w:rFonts w:ascii="Arial" w:hAnsi="Arial" w:cs="Arial"/>
          <w:b/>
          <w:szCs w:val="22"/>
        </w:rPr>
        <w:t>Effects on the ability to drive and operate machinery</w:t>
      </w:r>
    </w:p>
    <w:p w:rsidR="00E9027E" w:rsidRDefault="00D54072">
      <w:pPr>
        <w:spacing w:after="120"/>
        <w:rPr>
          <w:rFonts w:ascii="Arial" w:hAnsi="Arial" w:cs="Arial"/>
          <w:szCs w:val="22"/>
        </w:rPr>
      </w:pPr>
      <w:r w:rsidRPr="00D54072">
        <w:rPr>
          <w:rFonts w:ascii="Arial" w:hAnsi="Arial" w:cs="Arial"/>
          <w:szCs w:val="22"/>
        </w:rPr>
        <w:t>Following treatment using anaesthetic agents, patients should be advised not to drive or operate machinery.</w:t>
      </w:r>
    </w:p>
    <w:p w:rsidR="00E9027E" w:rsidRDefault="00E9027E">
      <w:pPr>
        <w:spacing w:after="120"/>
        <w:rPr>
          <w:rFonts w:ascii="Arial" w:hAnsi="Arial" w:cs="Arial"/>
          <w:szCs w:val="22"/>
        </w:rPr>
      </w:pPr>
    </w:p>
    <w:p w:rsidR="00E9027E" w:rsidRDefault="00D54072">
      <w:pPr>
        <w:spacing w:after="120"/>
        <w:rPr>
          <w:rFonts w:ascii="Arial" w:hAnsi="Arial" w:cs="Arial"/>
          <w:b/>
          <w:szCs w:val="22"/>
        </w:rPr>
      </w:pPr>
      <w:r w:rsidRPr="00D54072">
        <w:rPr>
          <w:rFonts w:ascii="Arial" w:hAnsi="Arial" w:cs="Arial"/>
          <w:b/>
          <w:szCs w:val="22"/>
        </w:rPr>
        <w:t>INTERACTIONS WITH OTHER MEDICINES:</w:t>
      </w:r>
    </w:p>
    <w:p w:rsidR="00922616" w:rsidRPr="00922616" w:rsidRDefault="00D54072">
      <w:pPr>
        <w:spacing w:after="120"/>
        <w:rPr>
          <w:rFonts w:ascii="Arial" w:hAnsi="Arial" w:cs="Arial"/>
          <w:szCs w:val="22"/>
        </w:rPr>
      </w:pPr>
      <w:r w:rsidRPr="00D54072">
        <w:rPr>
          <w:rFonts w:ascii="Arial" w:hAnsi="Arial" w:cs="Arial"/>
          <w:szCs w:val="22"/>
        </w:rPr>
        <w:t>Ultiva is not metabolised by plasma cholinesterase therefore interactions with drugs metabolised by this enzyme are not anticipated.</w:t>
      </w:r>
    </w:p>
    <w:p w:rsidR="00922616" w:rsidRPr="00922616" w:rsidRDefault="00D54072">
      <w:pPr>
        <w:spacing w:after="120"/>
        <w:rPr>
          <w:rFonts w:ascii="Arial" w:hAnsi="Arial" w:cs="Arial"/>
          <w:b/>
          <w:szCs w:val="22"/>
        </w:rPr>
      </w:pPr>
      <w:r w:rsidRPr="00D54072">
        <w:rPr>
          <w:rFonts w:ascii="Arial" w:hAnsi="Arial" w:cs="Arial"/>
          <w:b/>
          <w:szCs w:val="22"/>
        </w:rPr>
        <w:t xml:space="preserve">As with other opioids, Ultiva decreases the dose of inhaled and intravenous anaesthetics and benzodiazepines required for anaesthesia (see DOSAGE </w:t>
      </w:r>
      <w:r w:rsidR="00D1131E">
        <w:rPr>
          <w:rFonts w:ascii="Arial" w:hAnsi="Arial" w:cs="Arial"/>
          <w:b/>
          <w:szCs w:val="22"/>
        </w:rPr>
        <w:t>and</w:t>
      </w:r>
      <w:r w:rsidR="00A56518" w:rsidRPr="00A56518">
        <w:rPr>
          <w:rFonts w:ascii="Arial" w:hAnsi="Arial" w:cs="Arial"/>
          <w:b/>
          <w:szCs w:val="22"/>
        </w:rPr>
        <w:t xml:space="preserve"> ADMINISTRATION).  If doses of concomitantly administered </w:t>
      </w:r>
      <w:smartTag w:uri="urn:schemas-microsoft-com:office:smarttags" w:element="stockticker">
        <w:r w:rsidR="00A56518" w:rsidRPr="00A56518">
          <w:rPr>
            <w:rFonts w:ascii="Arial" w:hAnsi="Arial" w:cs="Arial"/>
            <w:b/>
            <w:szCs w:val="22"/>
          </w:rPr>
          <w:t>CNS</w:t>
        </w:r>
      </w:smartTag>
      <w:r w:rsidR="00A56518" w:rsidRPr="00A56518">
        <w:rPr>
          <w:rFonts w:ascii="Arial" w:hAnsi="Arial" w:cs="Arial"/>
          <w:b/>
          <w:szCs w:val="22"/>
        </w:rPr>
        <w:t xml:space="preserve"> depressant drugs</w:t>
      </w:r>
      <w:r w:rsidR="00A56518" w:rsidRPr="00A56518">
        <w:rPr>
          <w:rFonts w:ascii="Arial" w:hAnsi="Arial" w:cs="Arial"/>
          <w:b/>
          <w:szCs w:val="22"/>
          <w:shd w:val="clear" w:color="auto" w:fill="FFFFFF"/>
        </w:rPr>
        <w:t xml:space="preserve"> are not reduced,</w:t>
      </w:r>
      <w:r w:rsidR="00A56518" w:rsidRPr="00A56518">
        <w:rPr>
          <w:rFonts w:ascii="Arial" w:hAnsi="Arial" w:cs="Arial"/>
          <w:b/>
          <w:szCs w:val="22"/>
        </w:rPr>
        <w:t xml:space="preserve"> patients may experience an increased incidence of adverse effects associated with these agents.</w:t>
      </w:r>
    </w:p>
    <w:p w:rsidR="00922616" w:rsidRPr="00922616" w:rsidRDefault="00567E52">
      <w:pPr>
        <w:pStyle w:val="BodyText2"/>
        <w:spacing w:after="120"/>
        <w:rPr>
          <w:rFonts w:ascii="Arial" w:hAnsi="Arial" w:cs="Arial"/>
          <w:szCs w:val="22"/>
        </w:rPr>
      </w:pPr>
      <w:r w:rsidRPr="00567E52">
        <w:rPr>
          <w:rFonts w:ascii="Arial" w:hAnsi="Arial" w:cs="Arial"/>
          <w:szCs w:val="22"/>
        </w:rPr>
        <w:t xml:space="preserve">The cardiovascular effects of </w:t>
      </w:r>
      <w:r w:rsidR="003B54CA" w:rsidRPr="003B54CA">
        <w:rPr>
          <w:rFonts w:ascii="Arial" w:hAnsi="Arial" w:cs="Arial"/>
          <w:szCs w:val="22"/>
        </w:rPr>
        <w:t xml:space="preserve">Ultiva (hypotension and bradycardia), may be exacerbated in patients receiving </w:t>
      </w:r>
      <w:r w:rsidR="009D0AAB" w:rsidRPr="009D0AAB">
        <w:rPr>
          <w:rFonts w:ascii="Arial" w:hAnsi="Arial" w:cs="Arial"/>
          <w:szCs w:val="22"/>
        </w:rPr>
        <w:t>concomitant cardiac depressant drugs, such as beta-blockers and calcium channel blocking agents.</w:t>
      </w:r>
    </w:p>
    <w:p w:rsidR="00E9027E" w:rsidRDefault="00E9027E">
      <w:pPr>
        <w:pStyle w:val="BodyText2"/>
        <w:spacing w:before="120" w:after="120"/>
        <w:rPr>
          <w:rFonts w:ascii="Arial" w:hAnsi="Arial" w:cs="Arial"/>
          <w:szCs w:val="22"/>
        </w:rPr>
      </w:pPr>
    </w:p>
    <w:p w:rsidR="003502B8" w:rsidRDefault="003502B8">
      <w:pPr>
        <w:rPr>
          <w:rFonts w:ascii="Arial" w:hAnsi="Arial" w:cs="Arial"/>
          <w:b/>
          <w:szCs w:val="22"/>
        </w:rPr>
      </w:pPr>
      <w:r>
        <w:rPr>
          <w:rFonts w:ascii="Arial" w:hAnsi="Arial" w:cs="Arial"/>
          <w:szCs w:val="22"/>
        </w:rPr>
        <w:br w:type="page"/>
      </w:r>
    </w:p>
    <w:p w:rsidR="00E9027E" w:rsidRDefault="00D54072">
      <w:pPr>
        <w:pStyle w:val="BodyText2"/>
        <w:spacing w:before="120" w:after="120"/>
        <w:rPr>
          <w:rFonts w:ascii="Arial" w:hAnsi="Arial" w:cs="Arial"/>
          <w:szCs w:val="22"/>
        </w:rPr>
      </w:pPr>
      <w:r w:rsidRPr="00D54072">
        <w:rPr>
          <w:rFonts w:ascii="Arial" w:hAnsi="Arial" w:cs="Arial"/>
          <w:szCs w:val="22"/>
        </w:rPr>
        <w:lastRenderedPageBreak/>
        <w:t>AD</w:t>
      </w:r>
      <w:smartTag w:uri="schemas-GSKSiteLocations-com/fourthcoffee" w:element="flavor">
        <w:r w:rsidRPr="00D54072">
          <w:rPr>
            <w:rFonts w:ascii="Arial" w:hAnsi="Arial" w:cs="Arial"/>
            <w:szCs w:val="22"/>
          </w:rPr>
          <w:t>VER</w:t>
        </w:r>
      </w:smartTag>
      <w:r w:rsidRPr="00D54072">
        <w:rPr>
          <w:rFonts w:ascii="Arial" w:hAnsi="Arial" w:cs="Arial"/>
          <w:szCs w:val="22"/>
        </w:rPr>
        <w:t>SE EFFECTS:</w:t>
      </w:r>
    </w:p>
    <w:p w:rsidR="00922616" w:rsidRPr="00922616" w:rsidRDefault="00D54072">
      <w:pPr>
        <w:spacing w:after="120"/>
        <w:rPr>
          <w:rFonts w:ascii="Arial" w:hAnsi="Arial" w:cs="Arial"/>
          <w:szCs w:val="22"/>
        </w:rPr>
      </w:pPr>
      <w:r w:rsidRPr="00D54072">
        <w:rPr>
          <w:rFonts w:ascii="Arial" w:hAnsi="Arial" w:cs="Arial"/>
          <w:szCs w:val="22"/>
        </w:rPr>
        <w:t>The most common adverse events associated with remifentanil are direct extensions of µ-opioid agonist pharmacology, such as respiratory depression, bradycardia, hypotension and skeletal muscle rigidity.  These are dose dependent events and hence dissipate within minutes of discontinuing or decreasing the infusion rate of Ultiva.  Hypotension may be relatively more common in the elderly (&gt;65 years).</w:t>
      </w:r>
    </w:p>
    <w:p w:rsidR="00E9027E" w:rsidRDefault="00D54072">
      <w:pPr>
        <w:spacing w:after="120"/>
        <w:rPr>
          <w:rFonts w:ascii="Arial" w:hAnsi="Arial" w:cs="Arial"/>
          <w:szCs w:val="22"/>
        </w:rPr>
      </w:pPr>
      <w:r w:rsidRPr="00D54072">
        <w:rPr>
          <w:rFonts w:ascii="Arial" w:hAnsi="Arial" w:cs="Arial"/>
          <w:szCs w:val="22"/>
        </w:rPr>
        <w:t xml:space="preserve">Approximately 3,800 patients have been exposed to Ultiva in controlled clinical trials. </w:t>
      </w:r>
    </w:p>
    <w:p w:rsidR="00E9027E" w:rsidRDefault="00D54072">
      <w:pPr>
        <w:spacing w:after="120"/>
        <w:rPr>
          <w:rFonts w:ascii="Arial" w:hAnsi="Arial" w:cs="Arial"/>
          <w:szCs w:val="22"/>
        </w:rPr>
      </w:pPr>
      <w:r w:rsidRPr="00D54072">
        <w:rPr>
          <w:rFonts w:ascii="Arial" w:hAnsi="Arial" w:cs="Arial"/>
          <w:szCs w:val="22"/>
        </w:rPr>
        <w:t>The frequencies of adverse events during general anaesthesia with the recommended doses of Ultiva are given in Table 3. Each patient was counted once for each type of adverse event.</w:t>
      </w:r>
    </w:p>
    <w:p w:rsidR="00E9027E" w:rsidRDefault="00D54072">
      <w:pPr>
        <w:pStyle w:val="BodyTextIndent"/>
        <w:spacing w:after="120"/>
        <w:rPr>
          <w:rFonts w:ascii="Arial" w:hAnsi="Arial" w:cs="Arial"/>
          <w:szCs w:val="22"/>
        </w:rPr>
      </w:pPr>
      <w:r w:rsidRPr="00D54072">
        <w:rPr>
          <w:rFonts w:ascii="Arial" w:hAnsi="Arial" w:cs="Arial"/>
          <w:szCs w:val="22"/>
        </w:rPr>
        <w:t>Table 3:</w:t>
      </w:r>
      <w:r w:rsidRPr="00D54072">
        <w:rPr>
          <w:rFonts w:ascii="Arial" w:hAnsi="Arial" w:cs="Arial"/>
          <w:szCs w:val="22"/>
        </w:rPr>
        <w:tab/>
        <w:t xml:space="preserve">Adverse Events Reported in </w:t>
      </w:r>
      <w:r w:rsidR="00A56518" w:rsidRPr="00A56518">
        <w:rPr>
          <w:rFonts w:ascii="Arial" w:hAnsi="Arial" w:cs="Arial"/>
          <w:szCs w:val="22"/>
        </w:rPr>
        <w:sym w:font="Symbol" w:char="F0B3"/>
      </w:r>
      <w:r w:rsidR="00A56518" w:rsidRPr="00A56518">
        <w:rPr>
          <w:rFonts w:ascii="Arial" w:hAnsi="Arial" w:cs="Arial"/>
          <w:szCs w:val="22"/>
        </w:rPr>
        <w:t xml:space="preserve"> 1% of Patients in General Anaesthesia Studies at the Recommended Doses of Ultiva</w:t>
      </w:r>
      <w:r w:rsidR="00A56518" w:rsidRPr="00A56518">
        <w:rPr>
          <w:rFonts w:ascii="Arial" w:hAnsi="Arial" w:cs="Arial"/>
          <w:i/>
          <w:szCs w:val="22"/>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18"/>
        <w:gridCol w:w="1142"/>
        <w:gridCol w:w="1143"/>
        <w:gridCol w:w="1142"/>
        <w:gridCol w:w="1237"/>
      </w:tblGrid>
      <w:tr w:rsidR="005A21BD" w:rsidRPr="00003BCC">
        <w:trPr>
          <w:jc w:val="center"/>
        </w:trPr>
        <w:tc>
          <w:tcPr>
            <w:tcW w:w="2518" w:type="dxa"/>
            <w:tcBorders>
              <w:bottom w:val="nil"/>
            </w:tcBorders>
          </w:tcPr>
          <w:p w:rsidR="005A21BD" w:rsidRPr="00003BCC" w:rsidRDefault="005A21BD">
            <w:pPr>
              <w:jc w:val="center"/>
              <w:rPr>
                <w:rFonts w:ascii="Arial" w:hAnsi="Arial"/>
                <w:sz w:val="20"/>
              </w:rPr>
            </w:pPr>
          </w:p>
        </w:tc>
        <w:tc>
          <w:tcPr>
            <w:tcW w:w="2285" w:type="dxa"/>
            <w:gridSpan w:val="2"/>
          </w:tcPr>
          <w:p w:rsidR="005A21BD" w:rsidRPr="00003BCC" w:rsidRDefault="00D54072">
            <w:pPr>
              <w:spacing w:before="120" w:after="120"/>
              <w:jc w:val="center"/>
              <w:rPr>
                <w:rFonts w:ascii="Arial" w:hAnsi="Arial"/>
                <w:sz w:val="20"/>
              </w:rPr>
            </w:pPr>
            <w:r w:rsidRPr="00D54072">
              <w:rPr>
                <w:rFonts w:ascii="Arial" w:hAnsi="Arial"/>
                <w:sz w:val="20"/>
              </w:rPr>
              <w:t>Induction/Maintenance</w:t>
            </w:r>
          </w:p>
        </w:tc>
        <w:tc>
          <w:tcPr>
            <w:tcW w:w="2378" w:type="dxa"/>
            <w:gridSpan w:val="2"/>
          </w:tcPr>
          <w:p w:rsidR="005A21BD" w:rsidRPr="00003BCC" w:rsidRDefault="00D54072">
            <w:pPr>
              <w:spacing w:before="120" w:after="120"/>
              <w:jc w:val="center"/>
              <w:rPr>
                <w:rFonts w:ascii="Arial" w:hAnsi="Arial"/>
                <w:sz w:val="20"/>
              </w:rPr>
            </w:pPr>
            <w:r w:rsidRPr="00D54072">
              <w:rPr>
                <w:rFonts w:ascii="Arial" w:hAnsi="Arial"/>
                <w:sz w:val="20"/>
              </w:rPr>
              <w:t>After Discontinuation</w:t>
            </w:r>
          </w:p>
        </w:tc>
      </w:tr>
      <w:tr w:rsidR="005A21BD" w:rsidRPr="00003BCC">
        <w:trPr>
          <w:jc w:val="center"/>
        </w:trPr>
        <w:tc>
          <w:tcPr>
            <w:tcW w:w="2518" w:type="dxa"/>
            <w:tcBorders>
              <w:top w:val="nil"/>
            </w:tcBorders>
          </w:tcPr>
          <w:p w:rsidR="005A21BD" w:rsidRPr="00003BCC" w:rsidRDefault="00D54072">
            <w:pPr>
              <w:spacing w:before="120" w:after="120"/>
              <w:jc w:val="center"/>
              <w:rPr>
                <w:rFonts w:ascii="Arial" w:hAnsi="Arial"/>
                <w:sz w:val="20"/>
              </w:rPr>
            </w:pPr>
            <w:r w:rsidRPr="00D54072">
              <w:rPr>
                <w:rFonts w:ascii="Arial" w:hAnsi="Arial"/>
                <w:sz w:val="20"/>
              </w:rPr>
              <w:t>Adverse Event</w:t>
            </w:r>
          </w:p>
        </w:tc>
        <w:tc>
          <w:tcPr>
            <w:tcW w:w="1142" w:type="dxa"/>
          </w:tcPr>
          <w:p w:rsidR="005A21BD" w:rsidRPr="00003BCC" w:rsidRDefault="00D54072">
            <w:pPr>
              <w:spacing w:before="120" w:after="120"/>
              <w:jc w:val="center"/>
              <w:rPr>
                <w:rFonts w:ascii="Arial" w:hAnsi="Arial"/>
                <w:sz w:val="20"/>
              </w:rPr>
            </w:pPr>
            <w:r w:rsidRPr="00D54072">
              <w:rPr>
                <w:rFonts w:ascii="Arial" w:hAnsi="Arial"/>
                <w:sz w:val="20"/>
              </w:rPr>
              <w:t>Ultiva</w:t>
            </w:r>
          </w:p>
        </w:tc>
        <w:tc>
          <w:tcPr>
            <w:tcW w:w="1142" w:type="dxa"/>
          </w:tcPr>
          <w:p w:rsidR="005A21BD" w:rsidRPr="00003BCC" w:rsidRDefault="00D54072">
            <w:pPr>
              <w:spacing w:before="120" w:after="120"/>
              <w:jc w:val="center"/>
              <w:rPr>
                <w:rFonts w:ascii="Arial" w:hAnsi="Arial"/>
                <w:sz w:val="20"/>
              </w:rPr>
            </w:pPr>
            <w:r w:rsidRPr="00D54072">
              <w:rPr>
                <w:rFonts w:ascii="Arial" w:hAnsi="Arial"/>
                <w:sz w:val="20"/>
              </w:rPr>
              <w:t>Alfentanil/Fentanyl</w:t>
            </w:r>
          </w:p>
        </w:tc>
        <w:tc>
          <w:tcPr>
            <w:tcW w:w="1142" w:type="dxa"/>
          </w:tcPr>
          <w:p w:rsidR="005A21BD" w:rsidRPr="00003BCC" w:rsidRDefault="00D54072" w:rsidP="00FC257F">
            <w:pPr>
              <w:spacing w:before="120" w:after="120"/>
              <w:jc w:val="center"/>
              <w:rPr>
                <w:rFonts w:ascii="Arial" w:hAnsi="Arial"/>
                <w:sz w:val="20"/>
              </w:rPr>
            </w:pPr>
            <w:r w:rsidRPr="00D54072">
              <w:rPr>
                <w:rFonts w:ascii="Arial" w:hAnsi="Arial"/>
                <w:sz w:val="20"/>
              </w:rPr>
              <w:t>Ultiva</w:t>
            </w:r>
          </w:p>
        </w:tc>
        <w:tc>
          <w:tcPr>
            <w:tcW w:w="1237" w:type="dxa"/>
          </w:tcPr>
          <w:p w:rsidR="005A21BD" w:rsidRPr="00003BCC" w:rsidRDefault="00D54072" w:rsidP="00FC257F">
            <w:pPr>
              <w:spacing w:before="120" w:after="120"/>
              <w:jc w:val="center"/>
              <w:rPr>
                <w:rFonts w:ascii="Arial" w:hAnsi="Arial"/>
                <w:sz w:val="20"/>
              </w:rPr>
            </w:pPr>
            <w:r w:rsidRPr="00D54072">
              <w:rPr>
                <w:rFonts w:ascii="Arial" w:hAnsi="Arial"/>
                <w:sz w:val="20"/>
              </w:rPr>
              <w:t>Alfentanil/Fentanyl</w:t>
            </w:r>
          </w:p>
        </w:tc>
      </w:tr>
      <w:tr w:rsidR="005A21BD" w:rsidRPr="00003BCC">
        <w:trPr>
          <w:jc w:val="center"/>
        </w:trPr>
        <w:tc>
          <w:tcPr>
            <w:tcW w:w="2518" w:type="dxa"/>
            <w:tcBorders>
              <w:bottom w:val="nil"/>
            </w:tcBorders>
          </w:tcPr>
          <w:p w:rsidR="005A21BD" w:rsidRPr="00003BCC" w:rsidRDefault="005A21BD">
            <w:pPr>
              <w:spacing w:before="120" w:after="120"/>
              <w:rPr>
                <w:rFonts w:ascii="Arial" w:hAnsi="Arial"/>
                <w:sz w:val="20"/>
              </w:rPr>
            </w:pPr>
          </w:p>
        </w:tc>
        <w:tc>
          <w:tcPr>
            <w:tcW w:w="1142" w:type="dxa"/>
            <w:tcBorders>
              <w:bottom w:val="nil"/>
            </w:tcBorders>
          </w:tcPr>
          <w:p w:rsidR="005A21BD" w:rsidRPr="00003BCC" w:rsidRDefault="00D54072">
            <w:pPr>
              <w:spacing w:before="120" w:after="120"/>
              <w:jc w:val="center"/>
              <w:rPr>
                <w:rFonts w:ascii="Arial" w:hAnsi="Arial"/>
                <w:sz w:val="20"/>
              </w:rPr>
            </w:pPr>
            <w:r w:rsidRPr="00D54072">
              <w:rPr>
                <w:rFonts w:ascii="Arial" w:hAnsi="Arial"/>
                <w:sz w:val="20"/>
              </w:rPr>
              <w:t>(n = 921)</w:t>
            </w:r>
          </w:p>
        </w:tc>
        <w:tc>
          <w:tcPr>
            <w:tcW w:w="1142" w:type="dxa"/>
            <w:tcBorders>
              <w:bottom w:val="nil"/>
            </w:tcBorders>
          </w:tcPr>
          <w:p w:rsidR="005A21BD" w:rsidRPr="00003BCC" w:rsidRDefault="00D54072">
            <w:pPr>
              <w:spacing w:before="120" w:after="120"/>
              <w:jc w:val="center"/>
              <w:rPr>
                <w:rFonts w:ascii="Arial" w:hAnsi="Arial"/>
                <w:sz w:val="20"/>
              </w:rPr>
            </w:pPr>
            <w:r w:rsidRPr="00D54072">
              <w:rPr>
                <w:rFonts w:ascii="Arial" w:hAnsi="Arial"/>
                <w:sz w:val="20"/>
              </w:rPr>
              <w:t>(n = 466)</w:t>
            </w:r>
          </w:p>
        </w:tc>
        <w:tc>
          <w:tcPr>
            <w:tcW w:w="1142" w:type="dxa"/>
            <w:tcBorders>
              <w:bottom w:val="nil"/>
            </w:tcBorders>
          </w:tcPr>
          <w:p w:rsidR="005A21BD" w:rsidRPr="00003BCC" w:rsidRDefault="00D54072">
            <w:pPr>
              <w:spacing w:before="120" w:after="120"/>
              <w:jc w:val="center"/>
              <w:rPr>
                <w:rFonts w:ascii="Arial" w:hAnsi="Arial"/>
                <w:sz w:val="20"/>
              </w:rPr>
            </w:pPr>
            <w:r w:rsidRPr="00D54072">
              <w:rPr>
                <w:rFonts w:ascii="Arial" w:hAnsi="Arial"/>
                <w:sz w:val="20"/>
              </w:rPr>
              <w:t>(n = 929)</w:t>
            </w:r>
          </w:p>
        </w:tc>
        <w:tc>
          <w:tcPr>
            <w:tcW w:w="1237" w:type="dxa"/>
            <w:tcBorders>
              <w:bottom w:val="nil"/>
            </w:tcBorders>
          </w:tcPr>
          <w:p w:rsidR="005A21BD" w:rsidRPr="00003BCC" w:rsidRDefault="00D54072">
            <w:pPr>
              <w:spacing w:before="120" w:after="120"/>
              <w:jc w:val="center"/>
              <w:rPr>
                <w:rFonts w:ascii="Arial" w:hAnsi="Arial"/>
                <w:sz w:val="20"/>
              </w:rPr>
            </w:pPr>
            <w:r w:rsidRPr="00D54072">
              <w:rPr>
                <w:rFonts w:ascii="Arial" w:hAnsi="Arial"/>
                <w:sz w:val="20"/>
              </w:rPr>
              <w:t>(n = 466)</w:t>
            </w:r>
          </w:p>
        </w:tc>
      </w:tr>
      <w:tr w:rsidR="005A21BD" w:rsidRPr="00003BCC">
        <w:trPr>
          <w:jc w:val="center"/>
        </w:trPr>
        <w:tc>
          <w:tcPr>
            <w:tcW w:w="2518" w:type="dxa"/>
            <w:tcBorders>
              <w:bottom w:val="nil"/>
            </w:tcBorders>
          </w:tcPr>
          <w:p w:rsidR="005A21BD" w:rsidRPr="00003BCC" w:rsidRDefault="00D54072">
            <w:pPr>
              <w:rPr>
                <w:rFonts w:ascii="Arial" w:hAnsi="Arial"/>
                <w:sz w:val="20"/>
              </w:rPr>
            </w:pPr>
            <w:r w:rsidRPr="00D54072">
              <w:rPr>
                <w:rFonts w:ascii="Arial" w:hAnsi="Arial"/>
                <w:sz w:val="20"/>
              </w:rPr>
              <w:t>GASTROINTESTINAL</w:t>
            </w:r>
          </w:p>
        </w:tc>
        <w:tc>
          <w:tcPr>
            <w:tcW w:w="1142" w:type="dxa"/>
            <w:tcBorders>
              <w:bottom w:val="nil"/>
            </w:tcBorders>
          </w:tcPr>
          <w:p w:rsidR="005A21BD" w:rsidRPr="00003BCC" w:rsidRDefault="005A21BD">
            <w:pPr>
              <w:jc w:val="center"/>
              <w:rPr>
                <w:rFonts w:ascii="Arial" w:hAnsi="Arial"/>
                <w:sz w:val="20"/>
              </w:rPr>
            </w:pPr>
          </w:p>
        </w:tc>
        <w:tc>
          <w:tcPr>
            <w:tcW w:w="1142" w:type="dxa"/>
            <w:tcBorders>
              <w:bottom w:val="nil"/>
            </w:tcBorders>
          </w:tcPr>
          <w:p w:rsidR="005A21BD" w:rsidRPr="00003BCC" w:rsidRDefault="005A21BD">
            <w:pPr>
              <w:jc w:val="center"/>
              <w:rPr>
                <w:rFonts w:ascii="Arial" w:hAnsi="Arial"/>
                <w:sz w:val="20"/>
              </w:rPr>
            </w:pPr>
          </w:p>
        </w:tc>
        <w:tc>
          <w:tcPr>
            <w:tcW w:w="1142" w:type="dxa"/>
            <w:tcBorders>
              <w:bottom w:val="nil"/>
            </w:tcBorders>
          </w:tcPr>
          <w:p w:rsidR="005A21BD" w:rsidRPr="00003BCC" w:rsidRDefault="005A21BD">
            <w:pPr>
              <w:jc w:val="center"/>
              <w:rPr>
                <w:rFonts w:ascii="Arial" w:hAnsi="Arial"/>
                <w:sz w:val="20"/>
              </w:rPr>
            </w:pPr>
          </w:p>
        </w:tc>
        <w:tc>
          <w:tcPr>
            <w:tcW w:w="1237" w:type="dxa"/>
            <w:tcBorders>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Nausea</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36%</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43%</w:t>
            </w: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Vomiting</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16%</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20%</w:t>
            </w:r>
          </w:p>
        </w:tc>
      </w:tr>
      <w:tr w:rsidR="005A21BD" w:rsidRPr="00003BCC">
        <w:trPr>
          <w:jc w:val="center"/>
        </w:trPr>
        <w:tc>
          <w:tcPr>
            <w:tcW w:w="2518"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CARDIOVASCULAR</w:t>
            </w: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Hypotension</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19%</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6%</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Bradycardia</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7%</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5%</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1%</w:t>
            </w: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Hypertension</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Tachycardia</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RESPIRATORY</w:t>
            </w: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Respiratory Depression</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4%</w:t>
            </w:r>
          </w:p>
        </w:tc>
      </w:tr>
      <w:tr w:rsidR="005A21BD" w:rsidRPr="00003BCC">
        <w:trPr>
          <w:jc w:val="center"/>
        </w:trPr>
        <w:tc>
          <w:tcPr>
            <w:tcW w:w="2518" w:type="dxa"/>
            <w:tcBorders>
              <w:top w:val="nil"/>
              <w:bottom w:val="nil"/>
            </w:tcBorders>
            <w:shd w:val="clear" w:color="auto" w:fill="FFFFFF"/>
          </w:tcPr>
          <w:p w:rsidR="005A21BD" w:rsidRPr="00003BCC" w:rsidRDefault="00D54072">
            <w:pPr>
              <w:rPr>
                <w:rFonts w:ascii="Arial" w:hAnsi="Arial"/>
                <w:sz w:val="20"/>
              </w:rPr>
            </w:pPr>
            <w:r w:rsidRPr="00D54072">
              <w:rPr>
                <w:rFonts w:ascii="Arial" w:hAnsi="Arial"/>
                <w:sz w:val="20"/>
              </w:rPr>
              <w:t xml:space="preserve">Apnoea  </w:t>
            </w:r>
          </w:p>
        </w:tc>
        <w:tc>
          <w:tcPr>
            <w:tcW w:w="1142" w:type="dxa"/>
            <w:tcBorders>
              <w:top w:val="nil"/>
              <w:bottom w:val="nil"/>
            </w:tcBorders>
            <w:shd w:val="clear" w:color="auto" w:fill="FFFFFF"/>
          </w:tcPr>
          <w:p w:rsidR="005A21BD" w:rsidRPr="00003BCC" w:rsidRDefault="00D54072">
            <w:pPr>
              <w:jc w:val="center"/>
              <w:rPr>
                <w:rFonts w:ascii="Arial" w:hAnsi="Arial"/>
                <w:sz w:val="20"/>
              </w:rPr>
            </w:pPr>
            <w:r w:rsidRPr="00D54072">
              <w:rPr>
                <w:rFonts w:ascii="Arial" w:hAnsi="Arial"/>
                <w:sz w:val="20"/>
              </w:rPr>
              <w:t>0</w:t>
            </w:r>
          </w:p>
        </w:tc>
        <w:tc>
          <w:tcPr>
            <w:tcW w:w="1142" w:type="dxa"/>
            <w:tcBorders>
              <w:top w:val="nil"/>
              <w:bottom w:val="nil"/>
            </w:tcBorders>
            <w:shd w:val="clear" w:color="auto" w:fill="FFFFFF"/>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shd w:val="clear" w:color="auto" w:fill="FFFFFF"/>
          </w:tcPr>
          <w:p w:rsidR="005A21BD" w:rsidRPr="00003BCC" w:rsidRDefault="00D54072">
            <w:pPr>
              <w:jc w:val="center"/>
              <w:rPr>
                <w:rFonts w:ascii="Arial" w:hAnsi="Arial"/>
                <w:sz w:val="20"/>
              </w:rPr>
            </w:pPr>
            <w:r w:rsidRPr="00D54072">
              <w:rPr>
                <w:rFonts w:ascii="Arial" w:hAnsi="Arial"/>
                <w:sz w:val="20"/>
              </w:rPr>
              <w:t>&lt;1%</w:t>
            </w:r>
          </w:p>
        </w:tc>
        <w:tc>
          <w:tcPr>
            <w:tcW w:w="1237" w:type="dxa"/>
            <w:tcBorders>
              <w:top w:val="nil"/>
              <w:bottom w:val="nil"/>
            </w:tcBorders>
            <w:shd w:val="clear" w:color="auto" w:fill="FFFFFF"/>
          </w:tcPr>
          <w:p w:rsidR="005A21BD" w:rsidRPr="00003BCC" w:rsidRDefault="00D54072">
            <w:pPr>
              <w:jc w:val="center"/>
              <w:rPr>
                <w:rFonts w:ascii="Arial" w:hAnsi="Arial"/>
                <w:sz w:val="20"/>
              </w:rPr>
            </w:pPr>
            <w:r w:rsidRPr="00D54072">
              <w:rPr>
                <w:rFonts w:ascii="Arial" w:hAnsi="Arial"/>
                <w:sz w:val="20"/>
              </w:rPr>
              <w:t>&lt;1%</w:t>
            </w:r>
          </w:p>
        </w:tc>
      </w:tr>
      <w:tr w:rsidR="005A21BD" w:rsidRPr="00003BCC">
        <w:trPr>
          <w:jc w:val="center"/>
        </w:trPr>
        <w:tc>
          <w:tcPr>
            <w:tcW w:w="2518" w:type="dxa"/>
            <w:tcBorders>
              <w:top w:val="nil"/>
              <w:bottom w:val="nil"/>
            </w:tcBorders>
          </w:tcPr>
          <w:p w:rsidR="005A21BD" w:rsidRPr="00003BCC" w:rsidRDefault="00D54072">
            <w:pPr>
              <w:pStyle w:val="Footer"/>
              <w:tabs>
                <w:tab w:val="clear" w:pos="4320"/>
                <w:tab w:val="clear" w:pos="8640"/>
              </w:tabs>
              <w:rPr>
                <w:rFonts w:ascii="Arial" w:hAnsi="Arial"/>
                <w:sz w:val="20"/>
              </w:rPr>
            </w:pPr>
            <w:r w:rsidRPr="00D54072">
              <w:rPr>
                <w:rFonts w:ascii="Arial" w:hAnsi="Arial"/>
                <w:sz w:val="20"/>
              </w:rPr>
              <w:t>Hypoxia</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MUSCULOSKELETAL</w:t>
            </w: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Muscle Rigidity</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11%</w:t>
            </w:r>
            <w:r w:rsidRPr="00D54072">
              <w:rPr>
                <w:rFonts w:ascii="Arial" w:hAnsi="Arial"/>
                <w:b/>
                <w:i/>
                <w:sz w:val="20"/>
              </w:rPr>
              <w:t>#</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8%</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Shivering</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5%</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NEUROLOGICAL</w:t>
            </w: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142" w:type="dxa"/>
            <w:tcBorders>
              <w:top w:val="nil"/>
              <w:bottom w:val="nil"/>
            </w:tcBorders>
          </w:tcPr>
          <w:p w:rsidR="005A21BD" w:rsidRPr="00003BCC" w:rsidRDefault="005A21BD">
            <w:pPr>
              <w:jc w:val="cente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Fever</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pPr>
              <w:jc w:val="center"/>
              <w:rPr>
                <w:rFonts w:ascii="Arial" w:hAnsi="Arial"/>
                <w:sz w:val="20"/>
              </w:rPr>
            </w:pPr>
            <w:r w:rsidRPr="00D54072">
              <w:rPr>
                <w:rFonts w:ascii="Arial" w:hAnsi="Arial"/>
                <w:sz w:val="20"/>
              </w:rPr>
              <w:t>5%</w:t>
            </w:r>
          </w:p>
        </w:tc>
        <w:tc>
          <w:tcPr>
            <w:tcW w:w="1237" w:type="dxa"/>
            <w:tcBorders>
              <w:top w:val="nil"/>
              <w:bottom w:val="nil"/>
            </w:tcBorders>
          </w:tcPr>
          <w:p w:rsidR="005A21BD" w:rsidRPr="00003BCC" w:rsidRDefault="00D54072">
            <w:pPr>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D54072" w:rsidP="00FE1A57">
            <w:pPr>
              <w:spacing w:after="120"/>
              <w:rPr>
                <w:rFonts w:ascii="Arial" w:hAnsi="Arial"/>
                <w:sz w:val="20"/>
              </w:rPr>
            </w:pPr>
            <w:r w:rsidRPr="00D54072">
              <w:rPr>
                <w:rFonts w:ascii="Arial" w:hAnsi="Arial"/>
                <w:sz w:val="20"/>
              </w:rPr>
              <w:t>Dizziness</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3%</w:t>
            </w:r>
          </w:p>
        </w:tc>
        <w:tc>
          <w:tcPr>
            <w:tcW w:w="1237"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D54072" w:rsidP="00FE1A57">
            <w:pPr>
              <w:spacing w:after="120"/>
              <w:rPr>
                <w:rFonts w:ascii="Arial" w:hAnsi="Arial"/>
                <w:sz w:val="20"/>
              </w:rPr>
            </w:pPr>
            <w:r w:rsidRPr="00D54072">
              <w:rPr>
                <w:rFonts w:ascii="Arial" w:hAnsi="Arial"/>
                <w:sz w:val="20"/>
              </w:rPr>
              <w:t>Visual disturbance</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3%</w:t>
            </w:r>
          </w:p>
        </w:tc>
        <w:tc>
          <w:tcPr>
            <w:tcW w:w="1237"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3%</w:t>
            </w:r>
          </w:p>
        </w:tc>
      </w:tr>
      <w:tr w:rsidR="005A21BD" w:rsidRPr="00003BCC">
        <w:trPr>
          <w:jc w:val="center"/>
        </w:trPr>
        <w:tc>
          <w:tcPr>
            <w:tcW w:w="2518" w:type="dxa"/>
            <w:tcBorders>
              <w:top w:val="nil"/>
              <w:bottom w:val="nil"/>
            </w:tcBorders>
          </w:tcPr>
          <w:p w:rsidR="005A21BD" w:rsidRPr="00003BCC" w:rsidRDefault="00D54072" w:rsidP="00FE1A57">
            <w:pPr>
              <w:spacing w:after="120"/>
              <w:rPr>
                <w:rFonts w:ascii="Arial" w:hAnsi="Arial"/>
                <w:sz w:val="20"/>
              </w:rPr>
            </w:pPr>
            <w:r w:rsidRPr="00D54072">
              <w:rPr>
                <w:rFonts w:ascii="Arial" w:hAnsi="Arial"/>
                <w:sz w:val="20"/>
              </w:rPr>
              <w:t>Headache</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2%</w:t>
            </w:r>
          </w:p>
        </w:tc>
        <w:tc>
          <w:tcPr>
            <w:tcW w:w="1237"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2%</w:t>
            </w:r>
          </w:p>
        </w:tc>
      </w:tr>
      <w:tr w:rsidR="005A21BD" w:rsidRPr="00003BCC">
        <w:trPr>
          <w:jc w:val="center"/>
        </w:trPr>
        <w:tc>
          <w:tcPr>
            <w:tcW w:w="2518" w:type="dxa"/>
            <w:tcBorders>
              <w:top w:val="nil"/>
              <w:bottom w:val="nil"/>
            </w:tcBorders>
          </w:tcPr>
          <w:p w:rsidR="005A21BD" w:rsidRPr="00003BCC" w:rsidRDefault="00D54072" w:rsidP="00FE1A57">
            <w:pPr>
              <w:spacing w:after="120"/>
              <w:rPr>
                <w:rFonts w:ascii="Arial" w:hAnsi="Arial"/>
                <w:sz w:val="20"/>
              </w:rPr>
            </w:pPr>
            <w:r w:rsidRPr="00D54072">
              <w:rPr>
                <w:rFonts w:ascii="Arial" w:hAnsi="Arial"/>
                <w:sz w:val="20"/>
              </w:rPr>
              <w:t>Post-operative Pain</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&lt;1%</w:t>
            </w:r>
          </w:p>
        </w:tc>
        <w:tc>
          <w:tcPr>
            <w:tcW w:w="1237"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1%</w:t>
            </w:r>
          </w:p>
        </w:tc>
      </w:tr>
      <w:tr w:rsidR="005A21BD" w:rsidRPr="00003BCC">
        <w:trPr>
          <w:jc w:val="center"/>
        </w:trPr>
        <w:tc>
          <w:tcPr>
            <w:tcW w:w="2518" w:type="dxa"/>
            <w:tcBorders>
              <w:top w:val="nil"/>
              <w:bottom w:val="nil"/>
            </w:tcBorders>
          </w:tcPr>
          <w:p w:rsidR="005A21BD" w:rsidRPr="00003BCC" w:rsidRDefault="00D54072" w:rsidP="00FE1A57">
            <w:pPr>
              <w:spacing w:after="120"/>
              <w:rPr>
                <w:rFonts w:ascii="Arial" w:hAnsi="Arial"/>
                <w:sz w:val="20"/>
              </w:rPr>
            </w:pPr>
            <w:r w:rsidRPr="00D54072">
              <w:rPr>
                <w:rFonts w:ascii="Arial" w:hAnsi="Arial"/>
                <w:sz w:val="20"/>
              </w:rPr>
              <w:t>Agitation</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&lt;1%</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0</w:t>
            </w:r>
          </w:p>
        </w:tc>
        <w:tc>
          <w:tcPr>
            <w:tcW w:w="1142"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&lt;1%</w:t>
            </w:r>
          </w:p>
        </w:tc>
        <w:tc>
          <w:tcPr>
            <w:tcW w:w="1237" w:type="dxa"/>
            <w:tcBorders>
              <w:top w:val="nil"/>
              <w:bottom w:val="nil"/>
            </w:tcBorders>
          </w:tcPr>
          <w:p w:rsidR="005A21BD" w:rsidRPr="00003BCC" w:rsidRDefault="00D54072" w:rsidP="00FE1A57">
            <w:pPr>
              <w:spacing w:after="120"/>
              <w:jc w:val="center"/>
              <w:rPr>
                <w:rFonts w:ascii="Arial" w:hAnsi="Arial"/>
                <w:sz w:val="20"/>
              </w:rPr>
            </w:pPr>
            <w:r w:rsidRPr="00D54072">
              <w:rPr>
                <w:rFonts w:ascii="Arial" w:hAnsi="Arial"/>
                <w:sz w:val="20"/>
              </w:rPr>
              <w:t>&lt;1%</w:t>
            </w:r>
          </w:p>
        </w:tc>
      </w:tr>
      <w:tr w:rsidR="005A21BD" w:rsidRPr="00003BCC">
        <w:trPr>
          <w:jc w:val="center"/>
        </w:trPr>
        <w:tc>
          <w:tcPr>
            <w:tcW w:w="2518"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bottom w:val="nil"/>
            </w:tcBorders>
          </w:tcPr>
          <w:p w:rsidR="005A21BD" w:rsidRPr="00003BCC" w:rsidRDefault="00D54072">
            <w:pPr>
              <w:rPr>
                <w:rFonts w:ascii="Arial" w:hAnsi="Arial"/>
                <w:sz w:val="20"/>
              </w:rPr>
            </w:pPr>
            <w:r w:rsidRPr="00D54072">
              <w:rPr>
                <w:rFonts w:ascii="Arial" w:hAnsi="Arial"/>
                <w:sz w:val="20"/>
              </w:rPr>
              <w:t>D</w:t>
            </w:r>
            <w:smartTag w:uri="schemas-GSKSiteLocations-com/fourthcoffee" w:element="flavor">
              <w:r w:rsidRPr="00D54072">
                <w:rPr>
                  <w:rFonts w:ascii="Arial" w:hAnsi="Arial"/>
                  <w:sz w:val="20"/>
                </w:rPr>
                <w:t>ERM</w:t>
              </w:r>
            </w:smartTag>
            <w:r w:rsidRPr="00D54072">
              <w:rPr>
                <w:rFonts w:ascii="Arial" w:hAnsi="Arial"/>
                <w:sz w:val="20"/>
              </w:rPr>
              <w:t>ATOLOGICAL</w:t>
            </w:r>
          </w:p>
        </w:tc>
        <w:tc>
          <w:tcPr>
            <w:tcW w:w="1142"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rPr>
                <w:rFonts w:ascii="Arial" w:hAnsi="Arial"/>
                <w:sz w:val="20"/>
              </w:rPr>
            </w:pPr>
          </w:p>
        </w:tc>
        <w:tc>
          <w:tcPr>
            <w:tcW w:w="1142" w:type="dxa"/>
            <w:tcBorders>
              <w:top w:val="nil"/>
              <w:bottom w:val="nil"/>
            </w:tcBorders>
          </w:tcPr>
          <w:p w:rsidR="005A21BD" w:rsidRPr="00003BCC" w:rsidRDefault="005A21BD">
            <w:pPr>
              <w:rPr>
                <w:rFonts w:ascii="Arial" w:hAnsi="Arial"/>
                <w:sz w:val="20"/>
              </w:rPr>
            </w:pPr>
          </w:p>
        </w:tc>
        <w:tc>
          <w:tcPr>
            <w:tcW w:w="1237" w:type="dxa"/>
            <w:tcBorders>
              <w:top w:val="nil"/>
              <w:bottom w:val="nil"/>
            </w:tcBorders>
          </w:tcPr>
          <w:p w:rsidR="005A21BD" w:rsidRPr="00003BCC" w:rsidRDefault="005A21BD">
            <w:pPr>
              <w:jc w:val="center"/>
              <w:rPr>
                <w:rFonts w:ascii="Arial" w:hAnsi="Arial"/>
                <w:sz w:val="20"/>
              </w:rPr>
            </w:pPr>
          </w:p>
        </w:tc>
      </w:tr>
      <w:tr w:rsidR="005A21BD" w:rsidRPr="00003BCC">
        <w:trPr>
          <w:jc w:val="center"/>
        </w:trPr>
        <w:tc>
          <w:tcPr>
            <w:tcW w:w="2518" w:type="dxa"/>
            <w:tcBorders>
              <w:top w:val="nil"/>
            </w:tcBorders>
          </w:tcPr>
          <w:p w:rsidR="005A21BD" w:rsidRPr="00003BCC" w:rsidRDefault="00D54072">
            <w:pPr>
              <w:pStyle w:val="Footer"/>
              <w:tabs>
                <w:tab w:val="clear" w:pos="4320"/>
                <w:tab w:val="clear" w:pos="8640"/>
              </w:tabs>
              <w:spacing w:after="120"/>
              <w:rPr>
                <w:rFonts w:ascii="Arial" w:hAnsi="Arial"/>
                <w:sz w:val="20"/>
              </w:rPr>
            </w:pPr>
            <w:r w:rsidRPr="00D54072">
              <w:rPr>
                <w:rFonts w:ascii="Arial" w:hAnsi="Arial"/>
                <w:sz w:val="20"/>
              </w:rPr>
              <w:t>Pruritus</w:t>
            </w:r>
          </w:p>
        </w:tc>
        <w:tc>
          <w:tcPr>
            <w:tcW w:w="1142" w:type="dxa"/>
            <w:tcBorders>
              <w:top w:val="nil"/>
            </w:tcBorders>
          </w:tcPr>
          <w:p w:rsidR="005A21BD" w:rsidRPr="00003BCC" w:rsidRDefault="00D54072">
            <w:pPr>
              <w:spacing w:after="120"/>
              <w:jc w:val="center"/>
              <w:rPr>
                <w:rFonts w:ascii="Arial" w:hAnsi="Arial"/>
                <w:sz w:val="20"/>
              </w:rPr>
            </w:pPr>
            <w:r w:rsidRPr="00D54072">
              <w:rPr>
                <w:rFonts w:ascii="Arial" w:hAnsi="Arial"/>
                <w:sz w:val="20"/>
              </w:rPr>
              <w:t>&lt;1%</w:t>
            </w:r>
          </w:p>
        </w:tc>
        <w:tc>
          <w:tcPr>
            <w:tcW w:w="1142" w:type="dxa"/>
            <w:tcBorders>
              <w:top w:val="nil"/>
            </w:tcBorders>
          </w:tcPr>
          <w:p w:rsidR="005A21BD" w:rsidRPr="00003BCC" w:rsidRDefault="00D54072">
            <w:pPr>
              <w:spacing w:after="120"/>
              <w:jc w:val="center"/>
              <w:rPr>
                <w:rFonts w:ascii="Arial" w:hAnsi="Arial"/>
                <w:sz w:val="20"/>
              </w:rPr>
            </w:pPr>
            <w:r w:rsidRPr="00D54072">
              <w:rPr>
                <w:rFonts w:ascii="Arial" w:hAnsi="Arial"/>
                <w:sz w:val="20"/>
              </w:rPr>
              <w:t>0</w:t>
            </w:r>
          </w:p>
        </w:tc>
        <w:tc>
          <w:tcPr>
            <w:tcW w:w="1142" w:type="dxa"/>
            <w:tcBorders>
              <w:top w:val="nil"/>
            </w:tcBorders>
          </w:tcPr>
          <w:p w:rsidR="005A21BD" w:rsidRPr="00003BCC" w:rsidRDefault="00D54072">
            <w:pPr>
              <w:spacing w:after="120"/>
              <w:jc w:val="center"/>
              <w:rPr>
                <w:rFonts w:ascii="Arial" w:hAnsi="Arial"/>
                <w:sz w:val="20"/>
              </w:rPr>
            </w:pPr>
            <w:r w:rsidRPr="00D54072">
              <w:rPr>
                <w:rFonts w:ascii="Arial" w:hAnsi="Arial"/>
                <w:sz w:val="20"/>
              </w:rPr>
              <w:t>2%</w:t>
            </w:r>
          </w:p>
        </w:tc>
        <w:tc>
          <w:tcPr>
            <w:tcW w:w="1237" w:type="dxa"/>
            <w:tcBorders>
              <w:top w:val="nil"/>
            </w:tcBorders>
          </w:tcPr>
          <w:p w:rsidR="005A21BD" w:rsidRPr="00003BCC" w:rsidRDefault="00D54072">
            <w:pPr>
              <w:spacing w:after="120"/>
              <w:jc w:val="center"/>
              <w:rPr>
                <w:rFonts w:ascii="Arial" w:hAnsi="Arial"/>
                <w:sz w:val="20"/>
              </w:rPr>
            </w:pPr>
            <w:r w:rsidRPr="00D54072">
              <w:rPr>
                <w:rFonts w:ascii="Arial" w:hAnsi="Arial"/>
                <w:sz w:val="20"/>
              </w:rPr>
              <w:t>2%</w:t>
            </w:r>
          </w:p>
        </w:tc>
      </w:tr>
    </w:tbl>
    <w:p w:rsidR="005A21BD" w:rsidRPr="00003BCC" w:rsidRDefault="005A21BD">
      <w:pPr>
        <w:rPr>
          <w:rFonts w:ascii="Agfa Rotis Semisans" w:hAnsi="Agfa Rotis Semisans"/>
          <w:sz w:val="20"/>
        </w:rPr>
      </w:pPr>
    </w:p>
    <w:p w:rsidR="00922616" w:rsidRPr="00922616" w:rsidRDefault="00D54072">
      <w:pPr>
        <w:spacing w:after="120"/>
        <w:rPr>
          <w:rFonts w:ascii="Arial" w:hAnsi="Arial" w:cs="Arial"/>
          <w:sz w:val="20"/>
        </w:rPr>
      </w:pPr>
      <w:r w:rsidRPr="00D54072">
        <w:rPr>
          <w:rFonts w:ascii="Arial" w:hAnsi="Arial" w:cs="Arial"/>
          <w:sz w:val="20"/>
        </w:rPr>
        <w:t>The doses of comparator opioids used in these studies were as follows:</w:t>
      </w:r>
    </w:p>
    <w:p w:rsidR="00E9027E" w:rsidRDefault="00D54072">
      <w:pPr>
        <w:pStyle w:val="BodyText"/>
        <w:numPr>
          <w:ilvl w:val="0"/>
          <w:numId w:val="15"/>
        </w:numPr>
        <w:tabs>
          <w:tab w:val="clear" w:pos="360"/>
          <w:tab w:val="num" w:pos="426"/>
          <w:tab w:val="left" w:pos="1134"/>
          <w:tab w:val="left" w:pos="1560"/>
        </w:tabs>
        <w:spacing w:after="120"/>
        <w:rPr>
          <w:rFonts w:ascii="Arial" w:hAnsi="Arial" w:cs="Arial"/>
          <w:sz w:val="20"/>
        </w:rPr>
      </w:pPr>
      <w:r w:rsidRPr="00D54072">
        <w:rPr>
          <w:rFonts w:ascii="Arial" w:hAnsi="Arial" w:cs="Arial"/>
          <w:sz w:val="20"/>
        </w:rPr>
        <w:t xml:space="preserve">Alfentanil: </w:t>
      </w:r>
      <w:r w:rsidRPr="00D54072">
        <w:rPr>
          <w:rFonts w:ascii="Arial" w:hAnsi="Arial" w:cs="Arial"/>
          <w:sz w:val="20"/>
        </w:rPr>
        <w:tab/>
        <w:t xml:space="preserve">20 - 50 </w:t>
      </w:r>
      <w:r w:rsidRPr="00D54072">
        <w:rPr>
          <w:rFonts w:ascii="Arial" w:hAnsi="Arial" w:cs="Arial"/>
          <w:sz w:val="20"/>
        </w:rPr>
        <w:sym w:font="Symbol" w:char="F06D"/>
      </w:r>
      <w:r w:rsidRPr="00D54072">
        <w:rPr>
          <w:rFonts w:ascii="Arial" w:hAnsi="Arial" w:cs="Arial"/>
          <w:sz w:val="20"/>
        </w:rPr>
        <w:t xml:space="preserve">g/kg bolus + 0.5 - 2 </w:t>
      </w:r>
      <w:r w:rsidRPr="00D54072">
        <w:rPr>
          <w:rFonts w:ascii="Arial" w:hAnsi="Arial" w:cs="Arial"/>
          <w:sz w:val="20"/>
        </w:rPr>
        <w:sym w:font="Symbol" w:char="F06D"/>
      </w:r>
      <w:r w:rsidRPr="00D54072">
        <w:rPr>
          <w:rFonts w:ascii="Arial" w:hAnsi="Arial" w:cs="Arial"/>
          <w:sz w:val="20"/>
        </w:rPr>
        <w:t>g/kg/min infusion.</w:t>
      </w:r>
    </w:p>
    <w:p w:rsidR="00E9027E" w:rsidRDefault="00D54072">
      <w:pPr>
        <w:pStyle w:val="listbull"/>
        <w:numPr>
          <w:ilvl w:val="0"/>
          <w:numId w:val="15"/>
        </w:numPr>
        <w:tabs>
          <w:tab w:val="clear" w:pos="360"/>
          <w:tab w:val="num" w:pos="426"/>
          <w:tab w:val="left" w:pos="1134"/>
          <w:tab w:val="left" w:pos="1560"/>
        </w:tabs>
        <w:rPr>
          <w:rFonts w:ascii="Arial" w:hAnsi="Arial" w:cs="Arial"/>
          <w:sz w:val="20"/>
        </w:rPr>
      </w:pPr>
      <w:r w:rsidRPr="00D54072">
        <w:rPr>
          <w:rFonts w:ascii="Arial" w:hAnsi="Arial" w:cs="Arial"/>
          <w:sz w:val="20"/>
        </w:rPr>
        <w:lastRenderedPageBreak/>
        <w:t xml:space="preserve">Fentanyl: </w:t>
      </w:r>
      <w:r w:rsidRPr="00D54072">
        <w:rPr>
          <w:rFonts w:ascii="Arial" w:hAnsi="Arial" w:cs="Arial"/>
          <w:sz w:val="20"/>
        </w:rPr>
        <w:tab/>
        <w:t xml:space="preserve">3 </w:t>
      </w:r>
      <w:r w:rsidRPr="00D54072">
        <w:rPr>
          <w:rFonts w:ascii="Arial" w:hAnsi="Arial" w:cs="Arial"/>
          <w:sz w:val="20"/>
        </w:rPr>
        <w:sym w:font="Symbol" w:char="F06D"/>
      </w:r>
      <w:r w:rsidRPr="00D54072">
        <w:rPr>
          <w:rFonts w:ascii="Arial" w:hAnsi="Arial" w:cs="Arial"/>
          <w:sz w:val="20"/>
        </w:rPr>
        <w:t xml:space="preserve">g/kg bolus + 1.5 - 3 </w:t>
      </w:r>
      <w:r w:rsidRPr="00D54072">
        <w:rPr>
          <w:rFonts w:ascii="Arial" w:hAnsi="Arial" w:cs="Arial"/>
          <w:sz w:val="20"/>
        </w:rPr>
        <w:sym w:font="Symbol" w:char="F06D"/>
      </w:r>
      <w:r w:rsidRPr="00D54072">
        <w:rPr>
          <w:rFonts w:ascii="Arial" w:hAnsi="Arial" w:cs="Arial"/>
          <w:sz w:val="20"/>
        </w:rPr>
        <w:t>g/kg bolus doses as required.</w:t>
      </w:r>
    </w:p>
    <w:p w:rsidR="00E9027E" w:rsidRDefault="00D54072">
      <w:pPr>
        <w:tabs>
          <w:tab w:val="left" w:pos="426"/>
        </w:tabs>
        <w:spacing w:after="120"/>
        <w:ind w:left="426" w:hanging="426"/>
        <w:rPr>
          <w:rFonts w:ascii="Arial" w:hAnsi="Arial" w:cs="Arial"/>
          <w:sz w:val="20"/>
        </w:rPr>
      </w:pPr>
      <w:r w:rsidRPr="00D54072">
        <w:rPr>
          <w:rFonts w:ascii="Arial" w:hAnsi="Arial" w:cs="Arial"/>
          <w:b/>
          <w:i/>
          <w:sz w:val="20"/>
        </w:rPr>
        <w:t>*</w:t>
      </w:r>
      <w:r w:rsidRPr="00D54072">
        <w:rPr>
          <w:rFonts w:ascii="Arial" w:hAnsi="Arial" w:cs="Arial"/>
          <w:b/>
          <w:sz w:val="20"/>
        </w:rPr>
        <w:t xml:space="preserve"> </w:t>
      </w:r>
      <w:r w:rsidRPr="00D54072">
        <w:rPr>
          <w:rFonts w:ascii="Arial" w:hAnsi="Arial" w:cs="Arial"/>
          <w:sz w:val="20"/>
        </w:rPr>
        <w:tab/>
        <w:t xml:space="preserve">See Table 4 for recommended doses of Ultiva.  Not all doses of Ultiva were equipotent to the comparator opioid.  Administration of Ultiva in excess of the recommended dose (i.e., doses &gt;1 and up to 20 </w:t>
      </w:r>
      <w:r w:rsidRPr="00D54072">
        <w:rPr>
          <w:rFonts w:ascii="Arial" w:hAnsi="Arial" w:cs="Arial"/>
          <w:sz w:val="20"/>
        </w:rPr>
        <w:sym w:font="Symbol" w:char="F06D"/>
      </w:r>
      <w:r w:rsidRPr="00D54072">
        <w:rPr>
          <w:rFonts w:ascii="Arial" w:hAnsi="Arial" w:cs="Arial"/>
          <w:sz w:val="20"/>
        </w:rPr>
        <w:t>g/kg) resulted in a higher incidence of some adverse events: muscle rigidity (37%), bradycardia (12%), hypertension (4%), and tachycardia (4%).</w:t>
      </w:r>
    </w:p>
    <w:p w:rsidR="00E9027E" w:rsidRDefault="00D54072">
      <w:pPr>
        <w:pStyle w:val="BodyText"/>
        <w:tabs>
          <w:tab w:val="left" w:pos="426"/>
        </w:tabs>
        <w:spacing w:after="120"/>
        <w:ind w:left="426" w:hanging="426"/>
        <w:jc w:val="left"/>
        <w:rPr>
          <w:rFonts w:ascii="Arial" w:hAnsi="Arial" w:cs="Arial"/>
          <w:sz w:val="20"/>
        </w:rPr>
      </w:pPr>
      <w:r w:rsidRPr="00D54072">
        <w:rPr>
          <w:rFonts w:ascii="Arial" w:hAnsi="Arial" w:cs="Arial"/>
          <w:b/>
          <w:i/>
          <w:sz w:val="20"/>
        </w:rPr>
        <w:t>#</w:t>
      </w:r>
      <w:r w:rsidRPr="00D54072">
        <w:rPr>
          <w:rFonts w:ascii="Arial" w:hAnsi="Arial" w:cs="Arial"/>
          <w:sz w:val="20"/>
        </w:rPr>
        <w:tab/>
        <w:t>Included in the muscle rigidity incidence is chest wall rigidity (5%).  The overall muscle rigidity incidence is &lt;1% when remifentanil is administered concurrently or after a hypnotic induction agent.</w:t>
      </w:r>
    </w:p>
    <w:p w:rsidR="00E9027E" w:rsidRDefault="00E9027E">
      <w:pPr>
        <w:pStyle w:val="BodyText"/>
        <w:tabs>
          <w:tab w:val="left" w:pos="426"/>
        </w:tabs>
        <w:spacing w:after="120"/>
        <w:ind w:left="426" w:hanging="426"/>
        <w:jc w:val="left"/>
        <w:rPr>
          <w:rFonts w:ascii="Arial" w:hAnsi="Arial" w:cs="Arial"/>
          <w:szCs w:val="22"/>
        </w:rPr>
      </w:pPr>
    </w:p>
    <w:p w:rsidR="00E9027E" w:rsidRDefault="00A56518">
      <w:pPr>
        <w:pStyle w:val="listbull"/>
        <w:numPr>
          <w:ilvl w:val="0"/>
          <w:numId w:val="0"/>
        </w:numPr>
        <w:rPr>
          <w:rFonts w:ascii="Arial" w:hAnsi="Arial" w:cs="Arial"/>
          <w:szCs w:val="22"/>
        </w:rPr>
      </w:pPr>
      <w:r w:rsidRPr="00A56518">
        <w:rPr>
          <w:rFonts w:ascii="Arial" w:hAnsi="Arial" w:cs="Arial"/>
          <w:b/>
          <w:szCs w:val="22"/>
        </w:rPr>
        <w:t xml:space="preserve">Cardiac </w:t>
      </w:r>
      <w:r w:rsidRPr="00A56518">
        <w:rPr>
          <w:rFonts w:ascii="Arial" w:hAnsi="Arial" w:cs="Arial"/>
          <w:b/>
          <w:szCs w:val="22"/>
          <w:shd w:val="clear" w:color="auto" w:fill="FFFFFF"/>
        </w:rPr>
        <w:t xml:space="preserve">Anaesthesia: </w:t>
      </w:r>
      <w:r w:rsidRPr="00A56518">
        <w:rPr>
          <w:rFonts w:ascii="Arial" w:hAnsi="Arial" w:cs="Arial"/>
          <w:szCs w:val="22"/>
          <w:shd w:val="clear" w:color="auto" w:fill="FFFFFF"/>
        </w:rPr>
        <w:t>The</w:t>
      </w:r>
      <w:r w:rsidR="00922616" w:rsidRPr="00922616">
        <w:rPr>
          <w:rFonts w:ascii="Arial" w:hAnsi="Arial" w:cs="Arial"/>
          <w:szCs w:val="22"/>
        </w:rPr>
        <w:t xml:space="preserve"> side-effect profile of Ultiva was consistent with the known pharmacology of </w:t>
      </w:r>
      <w:r w:rsidRPr="00A56518">
        <w:rPr>
          <w:rFonts w:ascii="Arial" w:hAnsi="Arial" w:cs="Arial"/>
          <w:szCs w:val="22"/>
        </w:rPr>
        <w:sym w:font="Symbol" w:char="F06D"/>
      </w:r>
      <w:r w:rsidRPr="00A56518">
        <w:rPr>
          <w:rFonts w:ascii="Arial" w:hAnsi="Arial" w:cs="Arial"/>
          <w:szCs w:val="22"/>
        </w:rPr>
        <w:t>-opioid agonists.  Hypotension observed in maintenance regimens (4% vs. 1%); and hypertension (2% vs. 0%), shivering (4% vs. 2%) and aches (2% vs. 0%) observed post-operatively; occurred at a greater frequency with remifentanil compared to “fast-track” comparator opioid (fentanyl and sufentanil) regimens.  Although there was a higher frequency of the above adverse events, the incidence of adverse cardiac outcomes in each of the randomised, double-blind trials was similar for remifentanil and comparator opioid.</w:t>
      </w:r>
    </w:p>
    <w:p w:rsidR="00E9027E" w:rsidRDefault="00E9027E">
      <w:pPr>
        <w:pStyle w:val="listbull"/>
        <w:numPr>
          <w:ilvl w:val="0"/>
          <w:numId w:val="0"/>
        </w:numPr>
        <w:rPr>
          <w:rFonts w:ascii="Arial" w:hAnsi="Arial" w:cs="Arial"/>
          <w:szCs w:val="22"/>
        </w:rPr>
      </w:pPr>
    </w:p>
    <w:p w:rsidR="00922616" w:rsidRPr="00922616" w:rsidRDefault="00A56518">
      <w:pPr>
        <w:pStyle w:val="listbull"/>
        <w:numPr>
          <w:ilvl w:val="0"/>
          <w:numId w:val="0"/>
        </w:numPr>
        <w:rPr>
          <w:rFonts w:ascii="Arial" w:hAnsi="Arial" w:cs="Arial"/>
          <w:szCs w:val="22"/>
        </w:rPr>
      </w:pPr>
      <w:r w:rsidRPr="00A56518">
        <w:rPr>
          <w:rFonts w:ascii="Arial" w:hAnsi="Arial" w:cs="Arial"/>
          <w:b/>
          <w:szCs w:val="22"/>
        </w:rPr>
        <w:t xml:space="preserve">Paediatric </w:t>
      </w:r>
      <w:r w:rsidRPr="00A56518">
        <w:rPr>
          <w:rFonts w:ascii="Arial" w:hAnsi="Arial" w:cs="Arial"/>
          <w:b/>
          <w:szCs w:val="22"/>
          <w:shd w:val="clear" w:color="auto" w:fill="FFFFFF"/>
        </w:rPr>
        <w:t xml:space="preserve">Anaesthesia: </w:t>
      </w:r>
      <w:r w:rsidRPr="00A56518">
        <w:rPr>
          <w:rFonts w:ascii="Arial" w:hAnsi="Arial" w:cs="Arial"/>
          <w:szCs w:val="22"/>
        </w:rPr>
        <w:t>Ultiva was well tolerated and the incidence of adverse events at the recommended doses was similar to that reported for adults.</w:t>
      </w:r>
    </w:p>
    <w:p w:rsidR="00E9027E" w:rsidRDefault="00E9027E">
      <w:pPr>
        <w:pStyle w:val="BodyText"/>
        <w:spacing w:after="120"/>
        <w:jc w:val="left"/>
        <w:rPr>
          <w:rFonts w:ascii="Arial" w:hAnsi="Arial" w:cs="Arial"/>
          <w:b/>
          <w:szCs w:val="22"/>
        </w:rPr>
      </w:pPr>
    </w:p>
    <w:p w:rsidR="00E9027E" w:rsidRDefault="00A56518">
      <w:pPr>
        <w:pStyle w:val="BodyText"/>
        <w:spacing w:after="120"/>
        <w:jc w:val="left"/>
        <w:rPr>
          <w:rFonts w:ascii="Arial" w:hAnsi="Arial" w:cs="Arial"/>
          <w:snapToGrid w:val="0"/>
          <w:szCs w:val="22"/>
          <w:lang w:eastAsia="en-US"/>
        </w:rPr>
      </w:pPr>
      <w:r w:rsidRPr="00A56518">
        <w:rPr>
          <w:rFonts w:ascii="Arial" w:hAnsi="Arial" w:cs="Arial"/>
          <w:b/>
          <w:szCs w:val="22"/>
        </w:rPr>
        <w:t>Intensive Care Unit:</w:t>
      </w:r>
      <w:r w:rsidR="00D54072" w:rsidRPr="00D54072">
        <w:rPr>
          <w:rFonts w:ascii="Arial" w:hAnsi="Arial" w:cs="Arial"/>
          <w:szCs w:val="22"/>
        </w:rPr>
        <w:t xml:space="preserve"> </w:t>
      </w:r>
      <w:r w:rsidRPr="00A56518">
        <w:rPr>
          <w:rFonts w:ascii="Arial" w:hAnsi="Arial" w:cs="Arial"/>
          <w:snapToGrid w:val="0"/>
          <w:szCs w:val="22"/>
          <w:lang w:eastAsia="en-US"/>
        </w:rPr>
        <w:t xml:space="preserve">The overall incidence of drug-related adverse events across treatment groups was: remifentanil 22% vs. fentanyl 17% vs. morphine 16%. </w:t>
      </w:r>
      <w:r w:rsidRPr="00A56518">
        <w:rPr>
          <w:rFonts w:ascii="Arial" w:hAnsi="Arial" w:cs="Arial"/>
          <w:snapToGrid w:val="0"/>
          <w:szCs w:val="22"/>
          <w:lang w:val="en-AU" w:eastAsia="en-US"/>
        </w:rPr>
        <w:t>The incidence of hypotension was comparable between groups (remifentanil 9% vs. fentanyl 9%</w:t>
      </w:r>
      <w:r w:rsidRPr="00A56518">
        <w:rPr>
          <w:rFonts w:ascii="Arial" w:hAnsi="Arial" w:cs="Arial"/>
          <w:snapToGrid w:val="0"/>
          <w:szCs w:val="22"/>
          <w:lang w:eastAsia="en-US"/>
        </w:rPr>
        <w:t xml:space="preserve"> </w:t>
      </w:r>
      <w:r w:rsidRPr="00A56518">
        <w:rPr>
          <w:rFonts w:ascii="Arial" w:hAnsi="Arial" w:cs="Arial"/>
          <w:snapToGrid w:val="0"/>
          <w:szCs w:val="22"/>
          <w:lang w:val="en-AU" w:eastAsia="en-US"/>
        </w:rPr>
        <w:t>vs. morphine 7%); the majorit</w:t>
      </w:r>
      <w:r w:rsidR="00922616" w:rsidRPr="00922616">
        <w:rPr>
          <w:rFonts w:ascii="Arial" w:hAnsi="Arial" w:cs="Arial"/>
          <w:snapToGrid w:val="0"/>
          <w:szCs w:val="22"/>
          <w:lang w:val="en-AU" w:eastAsia="en-US"/>
        </w:rPr>
        <w:t>y of hypotensive reports being drug-related (remifentanil 6% vs. fentanyl 6% vs.</w:t>
      </w:r>
      <w:r w:rsidR="00567E52" w:rsidRPr="00567E52">
        <w:rPr>
          <w:rFonts w:ascii="Arial" w:hAnsi="Arial" w:cs="Arial"/>
          <w:snapToGrid w:val="0"/>
          <w:szCs w:val="22"/>
          <w:lang w:eastAsia="en-US"/>
        </w:rPr>
        <w:t xml:space="preserve"> </w:t>
      </w:r>
      <w:r w:rsidR="003B54CA" w:rsidRPr="003B54CA">
        <w:rPr>
          <w:rFonts w:ascii="Arial" w:hAnsi="Arial" w:cs="Arial"/>
          <w:snapToGrid w:val="0"/>
          <w:szCs w:val="22"/>
          <w:lang w:val="en-AU" w:eastAsia="en-US"/>
        </w:rPr>
        <w:t xml:space="preserve">morphine 6%). </w:t>
      </w:r>
      <w:r w:rsidR="009D0AAB" w:rsidRPr="009D0AAB">
        <w:rPr>
          <w:rFonts w:ascii="Arial" w:hAnsi="Arial" w:cs="Arial"/>
          <w:snapToGrid w:val="0"/>
          <w:color w:val="000000"/>
          <w:szCs w:val="22"/>
          <w:lang w:val="en-AU" w:eastAsia="en-US"/>
        </w:rPr>
        <w:t>Episodes of hypotension (defined as a mean arterial pressure, 50 mmHg) were more frequent with remifentanil (11% - 17% compared with morphine 2% and fentanyl 10%) however this was not associated with an increase in adverse even</w:t>
      </w:r>
      <w:r w:rsidR="00D54072" w:rsidRPr="00D54072">
        <w:rPr>
          <w:rFonts w:ascii="Arial" w:hAnsi="Arial" w:cs="Arial"/>
          <w:snapToGrid w:val="0"/>
          <w:color w:val="000000"/>
          <w:szCs w:val="22"/>
          <w:lang w:eastAsia="en-US"/>
        </w:rPr>
        <w:t>t reporting.</w:t>
      </w:r>
      <w:r w:rsidR="00D54072" w:rsidRPr="00D54072">
        <w:rPr>
          <w:rFonts w:ascii="Arial" w:hAnsi="Arial" w:cs="Arial"/>
          <w:snapToGrid w:val="0"/>
          <w:szCs w:val="22"/>
          <w:lang w:val="en-AU" w:eastAsia="en-US"/>
        </w:rPr>
        <w:t xml:space="preserve"> (see </w:t>
      </w:r>
      <w:r w:rsidR="00D54072" w:rsidRPr="00D54072">
        <w:rPr>
          <w:rFonts w:ascii="Arial" w:hAnsi="Arial" w:cs="Arial"/>
          <w:b/>
          <w:snapToGrid w:val="0"/>
          <w:szCs w:val="22"/>
          <w:lang w:val="en-AU" w:eastAsia="en-US"/>
        </w:rPr>
        <w:t>PRECAUTIONS – Cardiovascular effects</w:t>
      </w:r>
      <w:r w:rsidR="00D54072" w:rsidRPr="00D54072">
        <w:rPr>
          <w:rFonts w:ascii="Arial" w:hAnsi="Arial" w:cs="Arial"/>
          <w:snapToGrid w:val="0"/>
          <w:szCs w:val="22"/>
          <w:lang w:val="en-AU" w:eastAsia="en-US"/>
        </w:rPr>
        <w:t>).</w:t>
      </w:r>
      <w:r w:rsidR="00D54072" w:rsidRPr="00D54072">
        <w:rPr>
          <w:rFonts w:ascii="Arial" w:hAnsi="Arial" w:cs="Arial"/>
          <w:b/>
          <w:snapToGrid w:val="0"/>
          <w:szCs w:val="22"/>
          <w:lang w:val="en-AU" w:eastAsia="en-US"/>
        </w:rPr>
        <w:t xml:space="preserve"> </w:t>
      </w:r>
      <w:r w:rsidR="00D54072" w:rsidRPr="00D54072">
        <w:rPr>
          <w:rFonts w:ascii="Arial" w:hAnsi="Arial" w:cs="Arial"/>
          <w:snapToGrid w:val="0"/>
          <w:szCs w:val="22"/>
          <w:lang w:val="en-AU" w:eastAsia="en-US"/>
        </w:rPr>
        <w:t>In the remifentanil group the majority of drug-related episodes of hypotension</w:t>
      </w:r>
      <w:r w:rsidR="00D54072" w:rsidRPr="00D54072">
        <w:rPr>
          <w:rFonts w:ascii="Arial" w:hAnsi="Arial" w:cs="Arial"/>
          <w:snapToGrid w:val="0"/>
          <w:szCs w:val="22"/>
          <w:lang w:eastAsia="en-US"/>
        </w:rPr>
        <w:t xml:space="preserve"> </w:t>
      </w:r>
      <w:r w:rsidR="00D54072" w:rsidRPr="00D54072">
        <w:rPr>
          <w:rFonts w:ascii="Arial" w:hAnsi="Arial" w:cs="Arial"/>
          <w:snapToGrid w:val="0"/>
          <w:szCs w:val="22"/>
          <w:lang w:val="en-AU" w:eastAsia="en-US"/>
        </w:rPr>
        <w:t>were mild or moderate in severity and in the majority of cases, the average duration was less than</w:t>
      </w:r>
      <w:r w:rsidR="00D54072" w:rsidRPr="00D54072">
        <w:rPr>
          <w:rFonts w:ascii="Arial" w:hAnsi="Arial" w:cs="Arial"/>
          <w:snapToGrid w:val="0"/>
          <w:szCs w:val="22"/>
          <w:lang w:eastAsia="en-US"/>
        </w:rPr>
        <w:t xml:space="preserve"> </w:t>
      </w:r>
      <w:r w:rsidR="00D54072" w:rsidRPr="00D54072">
        <w:rPr>
          <w:rFonts w:ascii="Arial" w:hAnsi="Arial" w:cs="Arial"/>
          <w:snapToGrid w:val="0"/>
          <w:szCs w:val="22"/>
          <w:lang w:val="en-AU" w:eastAsia="en-US"/>
        </w:rPr>
        <w:t>20 mi</w:t>
      </w:r>
      <w:r w:rsidR="00D54072" w:rsidRPr="00D54072">
        <w:rPr>
          <w:rFonts w:ascii="Arial" w:hAnsi="Arial" w:cs="Arial"/>
          <w:snapToGrid w:val="0"/>
          <w:szCs w:val="22"/>
          <w:lang w:eastAsia="en-US"/>
        </w:rPr>
        <w:t>nutes.</w:t>
      </w:r>
    </w:p>
    <w:p w:rsidR="00E9027E" w:rsidRDefault="00D54072">
      <w:pPr>
        <w:spacing w:after="120"/>
        <w:rPr>
          <w:rFonts w:ascii="Arial" w:hAnsi="Arial" w:cs="Arial"/>
          <w:snapToGrid w:val="0"/>
          <w:szCs w:val="22"/>
          <w:lang w:val="en-AU" w:eastAsia="en-US"/>
        </w:rPr>
      </w:pPr>
      <w:r w:rsidRPr="00D54072">
        <w:rPr>
          <w:rFonts w:ascii="Arial" w:hAnsi="Arial" w:cs="Arial"/>
          <w:snapToGrid w:val="0"/>
          <w:szCs w:val="22"/>
          <w:lang w:val="en-AU" w:eastAsia="en-US"/>
        </w:rPr>
        <w:t>Pruritus was one of the most commonly reported drug-related adverse events in the remifentanil</w:t>
      </w:r>
      <w:r w:rsidRPr="00D54072">
        <w:rPr>
          <w:rFonts w:ascii="Arial" w:hAnsi="Arial" w:cs="Arial"/>
          <w:snapToGrid w:val="0"/>
          <w:szCs w:val="22"/>
          <w:lang w:eastAsia="en-US"/>
        </w:rPr>
        <w:t xml:space="preserve"> group (2% incidence).</w:t>
      </w:r>
    </w:p>
    <w:p w:rsidR="00E9027E" w:rsidRDefault="00E9027E">
      <w:pPr>
        <w:pStyle w:val="BodyText"/>
        <w:spacing w:after="120"/>
        <w:rPr>
          <w:rFonts w:ascii="Arial" w:hAnsi="Arial" w:cs="Arial"/>
          <w:szCs w:val="22"/>
        </w:rPr>
      </w:pPr>
    </w:p>
    <w:p w:rsidR="00E9027E" w:rsidRDefault="00A56518">
      <w:pPr>
        <w:pStyle w:val="BodyText"/>
        <w:spacing w:after="120"/>
        <w:rPr>
          <w:rFonts w:ascii="Arial" w:hAnsi="Arial" w:cs="Arial"/>
          <w:szCs w:val="22"/>
        </w:rPr>
      </w:pPr>
      <w:r w:rsidRPr="00A56518">
        <w:rPr>
          <w:rFonts w:ascii="Arial" w:hAnsi="Arial" w:cs="Arial"/>
          <w:b/>
          <w:szCs w:val="22"/>
        </w:rPr>
        <w:t xml:space="preserve">Other Adverse Events: </w:t>
      </w:r>
      <w:r w:rsidRPr="00A56518">
        <w:rPr>
          <w:rFonts w:ascii="Arial" w:hAnsi="Arial" w:cs="Arial"/>
          <w:szCs w:val="22"/>
        </w:rPr>
        <w:t xml:space="preserve">Less commonly reported adverse clinical events </w:t>
      </w:r>
      <w:r w:rsidRPr="00A56518">
        <w:rPr>
          <w:rFonts w:ascii="Arial" w:hAnsi="Arial" w:cs="Arial"/>
          <w:b/>
          <w:szCs w:val="22"/>
        </w:rPr>
        <w:t>(incidence</w:t>
      </w:r>
      <w:r w:rsidR="00922616" w:rsidRPr="00922616">
        <w:rPr>
          <w:rFonts w:ascii="Arial" w:hAnsi="Arial" w:cs="Arial"/>
          <w:b/>
          <w:szCs w:val="22"/>
        </w:rPr>
        <w:t xml:space="preserve"> &lt; 1%)</w:t>
      </w:r>
      <w:r w:rsidR="00567E52" w:rsidRPr="00567E52">
        <w:rPr>
          <w:rFonts w:ascii="Arial" w:hAnsi="Arial" w:cs="Arial"/>
          <w:szCs w:val="22"/>
        </w:rPr>
        <w:t xml:space="preserve"> from all controlled studies are presented below:</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Digestive:</w:t>
      </w:r>
      <w:r w:rsidRPr="00D54072">
        <w:rPr>
          <w:rFonts w:ascii="Arial" w:hAnsi="Arial" w:cs="Arial"/>
          <w:szCs w:val="22"/>
          <w:u w:val="single"/>
        </w:rPr>
        <w:t xml:space="preserve"> </w:t>
      </w:r>
      <w:r w:rsidRPr="00D54072">
        <w:rPr>
          <w:rFonts w:ascii="Arial" w:hAnsi="Arial" w:cs="Arial"/>
          <w:szCs w:val="22"/>
        </w:rPr>
        <w:t>constipation, abdominal discomfort, xerostomia, gastro-oesophageal reflux, dysphagia, diarrhoea, heartburn, ileus.</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Cardiovascular:</w:t>
      </w:r>
      <w:r w:rsidRPr="00D54072">
        <w:rPr>
          <w:rFonts w:ascii="Arial" w:hAnsi="Arial" w:cs="Arial"/>
          <w:szCs w:val="22"/>
          <w:u w:val="single"/>
        </w:rPr>
        <w:t xml:space="preserve"> </w:t>
      </w:r>
      <w:r w:rsidRPr="00D54072">
        <w:rPr>
          <w:rFonts w:ascii="Arial" w:hAnsi="Arial" w:cs="Arial"/>
          <w:szCs w:val="22"/>
        </w:rPr>
        <w:t xml:space="preserve">various atrial and ventricular arrhythmias, heart block, ECG change consistent with myocardial ischaemia, elevated </w:t>
      </w:r>
      <w:smartTag w:uri="urn:schemas-microsoft-com:office:smarttags" w:element="stockticker">
        <w:r w:rsidRPr="00D54072">
          <w:rPr>
            <w:rFonts w:ascii="Arial" w:hAnsi="Arial" w:cs="Arial"/>
            <w:szCs w:val="22"/>
          </w:rPr>
          <w:t>CPK</w:t>
        </w:r>
      </w:smartTag>
      <w:r w:rsidRPr="00D54072">
        <w:rPr>
          <w:rFonts w:ascii="Arial" w:hAnsi="Arial" w:cs="Arial"/>
          <w:szCs w:val="22"/>
        </w:rPr>
        <w:t>-MB level, syncope.</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Musculoskeletal:</w:t>
      </w:r>
      <w:r w:rsidRPr="00D54072">
        <w:rPr>
          <w:rFonts w:ascii="Arial" w:hAnsi="Arial" w:cs="Arial"/>
          <w:szCs w:val="22"/>
          <w:u w:val="single"/>
        </w:rPr>
        <w:t xml:space="preserve"> </w:t>
      </w:r>
      <w:r w:rsidRPr="00D54072">
        <w:rPr>
          <w:rFonts w:ascii="Arial" w:hAnsi="Arial" w:cs="Arial"/>
          <w:szCs w:val="22"/>
        </w:rPr>
        <w:t>muscle stiffness, musculoskeletal chest pain, post-operative aches.</w:t>
      </w:r>
    </w:p>
    <w:p w:rsidR="00922616" w:rsidRPr="00922616" w:rsidRDefault="00D54072">
      <w:pPr>
        <w:pStyle w:val="BodyText"/>
        <w:spacing w:after="120"/>
        <w:ind w:left="272"/>
        <w:jc w:val="left"/>
        <w:rPr>
          <w:rFonts w:ascii="Arial" w:hAnsi="Arial" w:cs="Arial"/>
          <w:szCs w:val="22"/>
          <w:u w:val="single"/>
        </w:rPr>
      </w:pPr>
      <w:r w:rsidRPr="00D54072">
        <w:rPr>
          <w:rFonts w:ascii="Arial" w:hAnsi="Arial" w:cs="Arial"/>
          <w:b/>
          <w:szCs w:val="22"/>
          <w:u w:val="single"/>
        </w:rPr>
        <w:t>Respiratory:</w:t>
      </w:r>
      <w:r w:rsidRPr="00D54072">
        <w:rPr>
          <w:rFonts w:ascii="Arial" w:hAnsi="Arial" w:cs="Arial"/>
          <w:szCs w:val="22"/>
          <w:u w:val="single"/>
        </w:rPr>
        <w:t xml:space="preserve"> </w:t>
      </w:r>
      <w:r w:rsidRPr="00D54072">
        <w:rPr>
          <w:rFonts w:ascii="Arial" w:hAnsi="Arial" w:cs="Arial"/>
          <w:szCs w:val="22"/>
        </w:rPr>
        <w:t>cough, dyspnoea, bronchospasm, laryngospasm, rhonchi, stridor, nasal congestion, pharyngitis, pleural effusion, hiccups, pulmonary oedema, rales, bronchitis, rhinorrhoea.</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Nervous:</w:t>
      </w:r>
      <w:r w:rsidRPr="00D54072">
        <w:rPr>
          <w:rFonts w:ascii="Arial" w:hAnsi="Arial" w:cs="Arial"/>
          <w:szCs w:val="22"/>
          <w:u w:val="single"/>
        </w:rPr>
        <w:t xml:space="preserve"> </w:t>
      </w:r>
      <w:r w:rsidRPr="00D54072">
        <w:rPr>
          <w:rFonts w:ascii="Arial" w:hAnsi="Arial" w:cs="Arial"/>
          <w:szCs w:val="22"/>
        </w:rPr>
        <w:t xml:space="preserve">anxiety, involuntary movement, prolonged emergence from anaesthesia, confusion, awareness under anaesthesia without pain, rapid awakening from anaesthesia, </w:t>
      </w:r>
      <w:r w:rsidRPr="00D54072">
        <w:rPr>
          <w:rFonts w:ascii="Arial" w:hAnsi="Arial" w:cs="Arial"/>
          <w:szCs w:val="22"/>
        </w:rPr>
        <w:lastRenderedPageBreak/>
        <w:t>tremors, disorientation, dysphoria, nightmares, hallucinations, paraesthesia, nystagmus, twitch, sleep disorder, seizure, amnaesia</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Body as a whole:</w:t>
      </w:r>
      <w:r w:rsidRPr="00D54072">
        <w:rPr>
          <w:rFonts w:ascii="Arial" w:hAnsi="Arial" w:cs="Arial"/>
          <w:szCs w:val="22"/>
          <w:u w:val="single"/>
        </w:rPr>
        <w:t xml:space="preserve"> </w:t>
      </w:r>
      <w:r w:rsidRPr="00D54072">
        <w:rPr>
          <w:rFonts w:ascii="Arial" w:hAnsi="Arial" w:cs="Arial"/>
          <w:szCs w:val="22"/>
        </w:rPr>
        <w:t>decreased body temperature, anaphylactic reaction, delayed recovery from neuromuscular block.</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Skin:</w:t>
      </w:r>
      <w:r w:rsidRPr="00D54072">
        <w:rPr>
          <w:rFonts w:ascii="Arial" w:hAnsi="Arial" w:cs="Arial"/>
          <w:szCs w:val="22"/>
          <w:u w:val="single"/>
        </w:rPr>
        <w:t xml:space="preserve"> </w:t>
      </w:r>
      <w:r w:rsidRPr="00D54072">
        <w:rPr>
          <w:rFonts w:ascii="Arial" w:hAnsi="Arial" w:cs="Arial"/>
          <w:szCs w:val="22"/>
        </w:rPr>
        <w:t>rash, urticaria.</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Urogenital:</w:t>
      </w:r>
      <w:r w:rsidRPr="00D54072">
        <w:rPr>
          <w:rFonts w:ascii="Arial" w:hAnsi="Arial" w:cs="Arial"/>
          <w:szCs w:val="22"/>
          <w:u w:val="single"/>
        </w:rPr>
        <w:t xml:space="preserve"> </w:t>
      </w:r>
      <w:r w:rsidRPr="00D54072">
        <w:rPr>
          <w:rFonts w:ascii="Arial" w:hAnsi="Arial" w:cs="Arial"/>
          <w:szCs w:val="22"/>
        </w:rPr>
        <w:t>urine retention, oliguria, dysuria, urine incontinence.</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Infusion site reactions:</w:t>
      </w:r>
      <w:r w:rsidRPr="00D54072">
        <w:rPr>
          <w:rFonts w:ascii="Arial" w:hAnsi="Arial" w:cs="Arial"/>
          <w:szCs w:val="22"/>
          <w:u w:val="single"/>
        </w:rPr>
        <w:t xml:space="preserve"> </w:t>
      </w:r>
      <w:r w:rsidRPr="00D54072">
        <w:rPr>
          <w:rFonts w:ascii="Arial" w:hAnsi="Arial" w:cs="Arial"/>
          <w:szCs w:val="22"/>
        </w:rPr>
        <w:t>erythema, pruritus, rash.</w:t>
      </w:r>
    </w:p>
    <w:p w:rsidR="00922616" w:rsidRPr="00922616" w:rsidRDefault="00D54072">
      <w:pPr>
        <w:pStyle w:val="BodyText"/>
        <w:spacing w:after="120"/>
        <w:ind w:left="272"/>
        <w:jc w:val="left"/>
        <w:rPr>
          <w:rFonts w:ascii="Arial" w:hAnsi="Arial" w:cs="Arial"/>
          <w:szCs w:val="22"/>
        </w:rPr>
      </w:pPr>
      <w:r w:rsidRPr="00D54072">
        <w:rPr>
          <w:rFonts w:ascii="Arial" w:hAnsi="Arial" w:cs="Arial"/>
          <w:b/>
          <w:szCs w:val="22"/>
          <w:u w:val="single"/>
        </w:rPr>
        <w:t>Metabolic and nutrition:</w:t>
      </w:r>
      <w:r w:rsidRPr="00D54072">
        <w:rPr>
          <w:rFonts w:ascii="Arial" w:hAnsi="Arial" w:cs="Arial"/>
          <w:szCs w:val="22"/>
          <w:u w:val="single"/>
        </w:rPr>
        <w:t xml:space="preserve"> </w:t>
      </w:r>
      <w:r w:rsidRPr="00D54072">
        <w:rPr>
          <w:rFonts w:ascii="Arial" w:hAnsi="Arial" w:cs="Arial"/>
          <w:szCs w:val="22"/>
        </w:rPr>
        <w:t xml:space="preserve">abnormal liver function, hyperglycaemia, electrolyte disorders, increased </w:t>
      </w:r>
      <w:smartTag w:uri="urn:schemas-microsoft-com:office:smarttags" w:element="stockticker">
        <w:r w:rsidRPr="00D54072">
          <w:rPr>
            <w:rFonts w:ascii="Arial" w:hAnsi="Arial" w:cs="Arial"/>
            <w:szCs w:val="22"/>
          </w:rPr>
          <w:t>CPK</w:t>
        </w:r>
      </w:smartTag>
      <w:r w:rsidRPr="00D54072">
        <w:rPr>
          <w:rFonts w:ascii="Arial" w:hAnsi="Arial" w:cs="Arial"/>
          <w:szCs w:val="22"/>
        </w:rPr>
        <w:t xml:space="preserve"> level.</w:t>
      </w:r>
    </w:p>
    <w:p w:rsidR="00E9027E" w:rsidRDefault="00D54072">
      <w:pPr>
        <w:pStyle w:val="BodyText"/>
        <w:spacing w:after="120"/>
        <w:ind w:left="270"/>
        <w:jc w:val="left"/>
        <w:rPr>
          <w:rFonts w:ascii="Arial" w:hAnsi="Arial" w:cs="Arial"/>
          <w:szCs w:val="22"/>
        </w:rPr>
      </w:pPr>
      <w:r w:rsidRPr="00D54072">
        <w:rPr>
          <w:rFonts w:ascii="Arial" w:hAnsi="Arial" w:cs="Arial"/>
          <w:b/>
          <w:szCs w:val="22"/>
          <w:u w:val="single"/>
        </w:rPr>
        <w:t>Haematologic and Lymphatic:</w:t>
      </w:r>
      <w:r w:rsidRPr="00D54072">
        <w:rPr>
          <w:rFonts w:ascii="Arial" w:hAnsi="Arial" w:cs="Arial"/>
          <w:szCs w:val="22"/>
          <w:u w:val="single"/>
        </w:rPr>
        <w:t xml:space="preserve"> </w:t>
      </w:r>
      <w:r w:rsidRPr="00D54072">
        <w:rPr>
          <w:rFonts w:ascii="Arial" w:hAnsi="Arial" w:cs="Arial"/>
          <w:szCs w:val="22"/>
        </w:rPr>
        <w:t>anaemia, lymphopaenia, leukocytosis, thrombocytopaenia.</w:t>
      </w:r>
    </w:p>
    <w:p w:rsidR="00E9027E" w:rsidRDefault="00E9027E">
      <w:pPr>
        <w:pStyle w:val="BodyText"/>
        <w:spacing w:after="120"/>
        <w:rPr>
          <w:rFonts w:ascii="Arial" w:hAnsi="Arial" w:cs="Arial"/>
          <w:b/>
          <w:szCs w:val="22"/>
        </w:rPr>
      </w:pPr>
    </w:p>
    <w:p w:rsidR="00E9027E" w:rsidRDefault="00D54072">
      <w:pPr>
        <w:tabs>
          <w:tab w:val="left" w:pos="274"/>
          <w:tab w:val="left" w:pos="547"/>
          <w:tab w:val="right" w:pos="4464"/>
          <w:tab w:val="right" w:pos="8928"/>
        </w:tabs>
        <w:spacing w:after="120"/>
        <w:rPr>
          <w:rFonts w:ascii="Arial" w:hAnsi="Arial" w:cs="Arial"/>
          <w:snapToGrid w:val="0"/>
          <w:szCs w:val="22"/>
          <w:lang w:val="en-US" w:eastAsia="en-US"/>
        </w:rPr>
      </w:pPr>
      <w:r w:rsidRPr="00D54072">
        <w:rPr>
          <w:rFonts w:ascii="Arial" w:hAnsi="Arial" w:cs="Arial"/>
          <w:b/>
          <w:snapToGrid w:val="0"/>
          <w:szCs w:val="22"/>
          <w:lang w:val="en-US" w:eastAsia="en-US"/>
        </w:rPr>
        <w:t>Observed During Clinical Practice:</w:t>
      </w:r>
      <w:r w:rsidRPr="00D54072">
        <w:rPr>
          <w:rFonts w:ascii="Arial" w:hAnsi="Arial" w:cs="Arial"/>
          <w:snapToGrid w:val="0"/>
          <w:szCs w:val="22"/>
          <w:lang w:val="en-US" w:eastAsia="en-US"/>
        </w:rPr>
        <w:t xml:space="preserve"> In addition to adverse events reported from clinical trials, the following events have been identified during post-approval use of remifentanil in conjunction with one or more anaesthetic agents in clinical practice. Because they are reported voluntarily from a population of unknown size, estimates of frequency cannot be made. These events have been chosen for inclusion due to a combination of their seriousness, frequency of reporting, or potential causal connection to remifentanil:</w:t>
      </w:r>
    </w:p>
    <w:p w:rsidR="00E9027E" w:rsidRDefault="00D54072">
      <w:pPr>
        <w:tabs>
          <w:tab w:val="left" w:pos="274"/>
          <w:tab w:val="left" w:pos="547"/>
          <w:tab w:val="right" w:pos="4464"/>
          <w:tab w:val="right" w:pos="8928"/>
        </w:tabs>
        <w:spacing w:after="120"/>
        <w:ind w:left="274" w:hanging="274"/>
        <w:rPr>
          <w:rFonts w:ascii="Arial" w:hAnsi="Arial" w:cs="Arial"/>
          <w:b/>
          <w:szCs w:val="22"/>
        </w:rPr>
      </w:pPr>
      <w:r w:rsidRPr="00D54072">
        <w:rPr>
          <w:rFonts w:ascii="Arial" w:hAnsi="Arial" w:cs="Arial"/>
          <w:b/>
          <w:snapToGrid w:val="0"/>
          <w:szCs w:val="22"/>
          <w:lang w:val="en-US" w:eastAsia="en-US"/>
        </w:rPr>
        <w:tab/>
      </w:r>
      <w:r w:rsidRPr="00D54072">
        <w:rPr>
          <w:rFonts w:ascii="Arial" w:hAnsi="Arial" w:cs="Arial"/>
          <w:b/>
          <w:snapToGrid w:val="0"/>
          <w:szCs w:val="22"/>
          <w:u w:val="single"/>
          <w:lang w:val="en-US" w:eastAsia="en-US"/>
        </w:rPr>
        <w:t>Non-site specific</w:t>
      </w:r>
      <w:r w:rsidRPr="00D54072">
        <w:rPr>
          <w:rFonts w:ascii="Arial" w:hAnsi="Arial" w:cs="Arial"/>
          <w:b/>
          <w:snapToGrid w:val="0"/>
          <w:szCs w:val="22"/>
          <w:lang w:val="en-US" w:eastAsia="en-US"/>
        </w:rPr>
        <w:t xml:space="preserve">: </w:t>
      </w:r>
      <w:r w:rsidRPr="00D54072">
        <w:rPr>
          <w:rFonts w:ascii="Arial" w:hAnsi="Arial" w:cs="Arial"/>
          <w:snapToGrid w:val="0"/>
          <w:szCs w:val="22"/>
          <w:lang w:val="en-US" w:eastAsia="en-US"/>
        </w:rPr>
        <w:t>Very rarely, allergic reactions including anaphylaxis have been reported in patients receiving Ultiva in conjunction with one or more anaesthetic agents</w:t>
      </w:r>
      <w:r w:rsidRPr="00D54072">
        <w:rPr>
          <w:rFonts w:ascii="Arial" w:hAnsi="Arial" w:cs="Arial"/>
          <w:b/>
          <w:szCs w:val="22"/>
        </w:rPr>
        <w:t>.</w:t>
      </w:r>
    </w:p>
    <w:p w:rsidR="00E9027E" w:rsidRDefault="00D54072">
      <w:pPr>
        <w:tabs>
          <w:tab w:val="left" w:pos="274"/>
          <w:tab w:val="left" w:pos="547"/>
          <w:tab w:val="right" w:pos="4464"/>
          <w:tab w:val="right" w:pos="8928"/>
        </w:tabs>
        <w:spacing w:after="120"/>
        <w:ind w:left="274" w:hanging="274"/>
        <w:rPr>
          <w:rFonts w:ascii="Arial" w:hAnsi="Arial" w:cs="Arial"/>
          <w:szCs w:val="22"/>
        </w:rPr>
      </w:pPr>
      <w:r w:rsidRPr="00D54072">
        <w:rPr>
          <w:rFonts w:ascii="Arial" w:hAnsi="Arial" w:cs="Arial"/>
          <w:b/>
          <w:snapToGrid w:val="0"/>
          <w:szCs w:val="22"/>
          <w:lang w:val="en-US" w:eastAsia="en-US"/>
        </w:rPr>
        <w:tab/>
      </w:r>
      <w:r w:rsidRPr="00D54072">
        <w:rPr>
          <w:rFonts w:ascii="Arial" w:hAnsi="Arial" w:cs="Arial"/>
          <w:b/>
          <w:snapToGrid w:val="0"/>
          <w:szCs w:val="22"/>
          <w:u w:val="single"/>
          <w:lang w:val="en-US" w:eastAsia="en-US"/>
        </w:rPr>
        <w:t>Cardiovascular:</w:t>
      </w:r>
      <w:r w:rsidRPr="00D54072">
        <w:rPr>
          <w:rFonts w:ascii="Arial" w:hAnsi="Arial" w:cs="Arial"/>
          <w:b/>
          <w:szCs w:val="22"/>
        </w:rPr>
        <w:t xml:space="preserve"> </w:t>
      </w:r>
      <w:r w:rsidRPr="00D54072">
        <w:rPr>
          <w:rFonts w:ascii="Arial" w:hAnsi="Arial" w:cs="Arial"/>
          <w:szCs w:val="22"/>
        </w:rPr>
        <w:t>Rare cases of asystole/cardiac arrest, usually preceded by bradycardia, have been reported in patients receiving remifentanil in conjunction with other anaesthetic agents.</w:t>
      </w:r>
    </w:p>
    <w:p w:rsidR="00E9027E" w:rsidRDefault="00E9027E">
      <w:pPr>
        <w:spacing w:after="120"/>
        <w:rPr>
          <w:rFonts w:ascii="Arial" w:hAnsi="Arial" w:cs="Arial"/>
          <w:b/>
          <w:szCs w:val="22"/>
        </w:rPr>
      </w:pPr>
    </w:p>
    <w:p w:rsidR="00E9027E" w:rsidRDefault="00D54072">
      <w:pPr>
        <w:spacing w:after="120"/>
        <w:rPr>
          <w:rFonts w:ascii="Arial" w:hAnsi="Arial" w:cs="Arial"/>
          <w:b/>
          <w:szCs w:val="22"/>
        </w:rPr>
      </w:pPr>
      <w:r w:rsidRPr="00D54072">
        <w:rPr>
          <w:rFonts w:ascii="Arial" w:hAnsi="Arial" w:cs="Arial"/>
          <w:b/>
          <w:szCs w:val="22"/>
        </w:rPr>
        <w:t xml:space="preserve">DOSAGE </w:t>
      </w:r>
      <w:smartTag w:uri="urn:schemas-microsoft-com:office:smarttags" w:element="stockticker">
        <w:r w:rsidRPr="00D54072">
          <w:rPr>
            <w:rFonts w:ascii="Arial" w:hAnsi="Arial" w:cs="Arial"/>
            <w:b/>
            <w:szCs w:val="22"/>
          </w:rPr>
          <w:t>AND</w:t>
        </w:r>
      </w:smartTag>
      <w:r w:rsidRPr="00D54072">
        <w:rPr>
          <w:rFonts w:ascii="Arial" w:hAnsi="Arial" w:cs="Arial"/>
          <w:b/>
          <w:szCs w:val="22"/>
        </w:rPr>
        <w:t xml:space="preserve"> ADMINISTRATION:</w:t>
      </w:r>
    </w:p>
    <w:p w:rsidR="00922616" w:rsidRPr="00922616" w:rsidRDefault="00D54072">
      <w:pPr>
        <w:spacing w:after="120"/>
        <w:rPr>
          <w:rFonts w:ascii="Arial" w:hAnsi="Arial" w:cs="Arial"/>
          <w:szCs w:val="22"/>
        </w:rPr>
      </w:pPr>
      <w:r w:rsidRPr="00D54072">
        <w:rPr>
          <w:rFonts w:ascii="Arial" w:hAnsi="Arial" w:cs="Arial"/>
          <w:szCs w:val="22"/>
        </w:rPr>
        <w:t>Ultiva should be administered only in a setting fully equipped for the monitoring and support of respiratory and cardiovascular function and by medically qualified persons specifically trained in the use of anaesthetic drugs and the recognition and management of the expected adverse effects of potent opioids, including respiratory and cardiac resuscitation.  Such training must include intubation, and assisted ventilation.</w:t>
      </w:r>
    </w:p>
    <w:p w:rsidR="00E9027E" w:rsidRDefault="00D54072">
      <w:pPr>
        <w:spacing w:after="120"/>
        <w:rPr>
          <w:rFonts w:ascii="Arial" w:hAnsi="Arial" w:cs="Arial"/>
          <w:szCs w:val="22"/>
        </w:rPr>
      </w:pPr>
      <w:r w:rsidRPr="00D54072">
        <w:rPr>
          <w:rFonts w:ascii="Arial" w:hAnsi="Arial" w:cs="Arial"/>
          <w:szCs w:val="22"/>
        </w:rPr>
        <w:t xml:space="preserve">Continuous infusions of Ultiva must be administered by a calibrated infusion device, where possible  via a dedicated intravenous line, otherwise into a fast flowing IV line.  The Ultiva infusion line should be connected at, or close to, the intravenous cannula and primed, to minimise the potential dead space (see </w:t>
      </w:r>
      <w:r w:rsidRPr="00D54072">
        <w:rPr>
          <w:rFonts w:ascii="Arial" w:hAnsi="Arial" w:cs="Arial"/>
          <w:b/>
          <w:szCs w:val="22"/>
        </w:rPr>
        <w:t>INSTRUCTIONS FOR USE</w:t>
      </w:r>
      <w:r w:rsidRPr="00D54072">
        <w:rPr>
          <w:rFonts w:ascii="Arial" w:hAnsi="Arial" w:cs="Arial"/>
          <w:szCs w:val="22"/>
        </w:rPr>
        <w:t xml:space="preserve"> for additional information, including tables with examples of infusion rates by body weight to help titrate Ultiva to the patient’s anaesthetic needs).</w:t>
      </w:r>
    </w:p>
    <w:p w:rsidR="00922616" w:rsidRPr="00922616" w:rsidRDefault="00D54072">
      <w:pPr>
        <w:spacing w:after="120"/>
        <w:rPr>
          <w:rFonts w:ascii="Arial" w:hAnsi="Arial" w:cs="Arial"/>
          <w:szCs w:val="22"/>
        </w:rPr>
      </w:pPr>
      <w:r w:rsidRPr="00D54072">
        <w:rPr>
          <w:rFonts w:ascii="Arial" w:hAnsi="Arial" w:cs="Arial"/>
          <w:szCs w:val="22"/>
        </w:rPr>
        <w:t>Care should be taken to avoid obstruction or disconnection of infusion lines and to adequately clear the lines to remove residual Ultiva after use (see</w:t>
      </w:r>
      <w:r w:rsidRPr="00D54072">
        <w:rPr>
          <w:rFonts w:ascii="Arial" w:hAnsi="Arial" w:cs="Arial"/>
          <w:b/>
          <w:szCs w:val="22"/>
        </w:rPr>
        <w:t xml:space="preserve"> PRECAUTIONS</w:t>
      </w:r>
      <w:r w:rsidRPr="00D54072">
        <w:rPr>
          <w:rFonts w:ascii="Arial" w:hAnsi="Arial" w:cs="Arial"/>
          <w:szCs w:val="22"/>
        </w:rPr>
        <w:t>).  Failure to clear the intravenous tubing to remove residual Ultiva has been associated with the appearance of respiratory depression, apnoea and muscle rigidity upon later administration of fluids or medications through the same IV tubing.</w:t>
      </w:r>
    </w:p>
    <w:p w:rsidR="00922616" w:rsidRPr="00922616" w:rsidRDefault="00D54072">
      <w:pPr>
        <w:pStyle w:val="BodyText2"/>
        <w:spacing w:after="120"/>
        <w:rPr>
          <w:rFonts w:ascii="Arial" w:hAnsi="Arial" w:cs="Arial"/>
          <w:szCs w:val="22"/>
        </w:rPr>
      </w:pPr>
      <w:r w:rsidRPr="00D54072">
        <w:rPr>
          <w:rFonts w:ascii="Arial" w:hAnsi="Arial" w:cs="Arial"/>
          <w:szCs w:val="22"/>
        </w:rPr>
        <w:t xml:space="preserve">Ultiva is for intravenous use only and must not be administered by epidural or </w:t>
      </w:r>
      <w:r w:rsidRPr="00E9027E">
        <w:rPr>
          <w:rFonts w:ascii="Arial" w:hAnsi="Arial" w:cs="Arial"/>
          <w:szCs w:val="22"/>
        </w:rPr>
        <w:t>intrathecal injection (see CONTRAINDICATIONS).</w:t>
      </w:r>
    </w:p>
    <w:p w:rsidR="00922616" w:rsidRDefault="00922616">
      <w:pPr>
        <w:pStyle w:val="BodyText2"/>
        <w:spacing w:after="120"/>
        <w:rPr>
          <w:rFonts w:ascii="Arial" w:hAnsi="Arial" w:cs="Arial"/>
          <w:szCs w:val="22"/>
          <w:u w:val="single"/>
        </w:rPr>
      </w:pPr>
    </w:p>
    <w:p w:rsidR="00922616" w:rsidRPr="00922616" w:rsidRDefault="00D54072">
      <w:pPr>
        <w:pStyle w:val="BodyText2"/>
        <w:spacing w:after="120"/>
        <w:rPr>
          <w:rFonts w:ascii="Arial" w:hAnsi="Arial" w:cs="Arial"/>
          <w:szCs w:val="22"/>
          <w:u w:val="single"/>
        </w:rPr>
      </w:pPr>
      <w:r w:rsidRPr="00D54072">
        <w:rPr>
          <w:rFonts w:ascii="Arial" w:hAnsi="Arial" w:cs="Arial"/>
          <w:szCs w:val="22"/>
          <w:u w:val="single"/>
        </w:rPr>
        <w:lastRenderedPageBreak/>
        <w:t>Administration by Manually-Controlled Infusion</w:t>
      </w:r>
    </w:p>
    <w:p w:rsidR="00922616" w:rsidRPr="00922616" w:rsidRDefault="00D54072">
      <w:pPr>
        <w:pStyle w:val="BodyText2"/>
        <w:spacing w:after="120"/>
        <w:rPr>
          <w:rFonts w:ascii="Arial" w:hAnsi="Arial" w:cs="Arial"/>
          <w:b w:val="0"/>
          <w:szCs w:val="22"/>
        </w:rPr>
      </w:pPr>
      <w:r w:rsidRPr="00D54072">
        <w:rPr>
          <w:rFonts w:ascii="Arial" w:hAnsi="Arial" w:cs="Arial"/>
          <w:b w:val="0"/>
          <w:szCs w:val="22"/>
        </w:rPr>
        <w:t>For manually-controlled infusion Ultiva can be diluted to concentrations of 20 to 250 micrograms/mL (50 micrograms/mL is the recommended dilution for adults and 20 to 25 micrograms/mL for paediatric patients aged 1 year and over).</w:t>
      </w:r>
    </w:p>
    <w:p w:rsidR="009A75F1" w:rsidRDefault="009A75F1">
      <w:pPr>
        <w:pStyle w:val="BodyText2"/>
        <w:spacing w:after="120"/>
        <w:rPr>
          <w:rFonts w:ascii="Arial" w:hAnsi="Arial" w:cs="Arial"/>
          <w:szCs w:val="22"/>
          <w:u w:val="single"/>
        </w:rPr>
      </w:pPr>
    </w:p>
    <w:p w:rsidR="009A75F1" w:rsidRDefault="009A75F1">
      <w:pPr>
        <w:pStyle w:val="BodyText2"/>
        <w:spacing w:after="120"/>
        <w:rPr>
          <w:rFonts w:ascii="Arial" w:hAnsi="Arial" w:cs="Arial"/>
          <w:szCs w:val="22"/>
          <w:u w:val="single"/>
        </w:rPr>
      </w:pPr>
    </w:p>
    <w:p w:rsidR="00922616" w:rsidRPr="00922616" w:rsidRDefault="00D54072">
      <w:pPr>
        <w:pStyle w:val="BodyText2"/>
        <w:spacing w:after="120"/>
        <w:rPr>
          <w:rFonts w:ascii="Arial" w:hAnsi="Arial" w:cs="Arial"/>
          <w:szCs w:val="22"/>
          <w:u w:val="single"/>
        </w:rPr>
      </w:pPr>
      <w:r w:rsidRPr="00D54072">
        <w:rPr>
          <w:rFonts w:ascii="Arial" w:hAnsi="Arial" w:cs="Arial"/>
          <w:szCs w:val="22"/>
          <w:u w:val="single"/>
        </w:rPr>
        <w:t>Administration by Target-Controlled Infusion</w:t>
      </w:r>
    </w:p>
    <w:p w:rsidR="00922616" w:rsidRPr="00922616" w:rsidRDefault="00567E52">
      <w:pPr>
        <w:pStyle w:val="BodyText2"/>
        <w:spacing w:after="120"/>
        <w:rPr>
          <w:rFonts w:ascii="Arial" w:hAnsi="Arial" w:cs="Arial"/>
          <w:b w:val="0"/>
          <w:szCs w:val="22"/>
        </w:rPr>
      </w:pPr>
      <w:r w:rsidRPr="00567E52">
        <w:rPr>
          <w:rFonts w:ascii="Arial" w:hAnsi="Arial" w:cs="Arial"/>
          <w:b w:val="0"/>
          <w:szCs w:val="22"/>
        </w:rPr>
        <w:t xml:space="preserve">Ultiva may </w:t>
      </w:r>
      <w:r w:rsidR="003B54CA">
        <w:rPr>
          <w:rFonts w:ascii="Arial" w:hAnsi="Arial" w:cs="Arial"/>
          <w:szCs w:val="22"/>
        </w:rPr>
        <w:t>also</w:t>
      </w:r>
      <w:r w:rsidR="00A56518" w:rsidRPr="00A56518">
        <w:rPr>
          <w:rFonts w:ascii="Arial" w:hAnsi="Arial" w:cs="Arial"/>
          <w:szCs w:val="22"/>
        </w:rPr>
        <w:t xml:space="preserve"> </w:t>
      </w:r>
      <w:r w:rsidR="00922616" w:rsidRPr="00922616">
        <w:rPr>
          <w:rFonts w:ascii="Arial" w:hAnsi="Arial" w:cs="Arial"/>
          <w:b w:val="0"/>
          <w:szCs w:val="22"/>
        </w:rPr>
        <w:t xml:space="preserve">be given by </w:t>
      </w:r>
      <w:r w:rsidRPr="00567E52">
        <w:rPr>
          <w:rFonts w:ascii="Arial" w:hAnsi="Arial" w:cs="Arial"/>
          <w:szCs w:val="22"/>
        </w:rPr>
        <w:t xml:space="preserve">target-controlled infusion (TCI) with an approved infusion device incorporating </w:t>
      </w:r>
      <w:r w:rsidR="003B54CA" w:rsidRPr="003B54CA">
        <w:rPr>
          <w:rFonts w:ascii="Arial" w:hAnsi="Arial" w:cs="Arial"/>
          <w:b w:val="0"/>
          <w:szCs w:val="22"/>
        </w:rPr>
        <w:t>a validated pharmacokinetic model (</w:t>
      </w:r>
      <w:r w:rsidR="009D0AAB" w:rsidRPr="009D0AAB">
        <w:rPr>
          <w:rFonts w:ascii="Arial" w:hAnsi="Arial" w:cs="Arial"/>
          <w:szCs w:val="22"/>
        </w:rPr>
        <w:t>the Minto pharmacokinetic model with covariates for age and lean body mass (LBM)</w:t>
      </w:r>
      <w:r w:rsidR="00D54072" w:rsidRPr="00D54072">
        <w:rPr>
          <w:rFonts w:ascii="Arial" w:hAnsi="Arial" w:cs="Arial"/>
          <w:b w:val="0"/>
          <w:szCs w:val="22"/>
        </w:rPr>
        <w:t xml:space="preserve"> is an example of a model available with current devices. </w:t>
      </w:r>
    </w:p>
    <w:p w:rsidR="00922616" w:rsidRPr="00922616" w:rsidRDefault="00D54072">
      <w:pPr>
        <w:pStyle w:val="BodyText2"/>
        <w:spacing w:after="120"/>
        <w:rPr>
          <w:rFonts w:ascii="Arial" w:hAnsi="Arial" w:cs="Arial"/>
          <w:b w:val="0"/>
          <w:szCs w:val="22"/>
        </w:rPr>
      </w:pPr>
      <w:r w:rsidRPr="00E9027E">
        <w:rPr>
          <w:rFonts w:ascii="Arial" w:hAnsi="Arial" w:cs="Arial"/>
          <w:b w:val="0"/>
          <w:szCs w:val="22"/>
        </w:rPr>
        <w:t>TCI can be used for induction and maintenance of ASA I and II adult patients</w:t>
      </w:r>
      <w:r w:rsidR="00505B29">
        <w:rPr>
          <w:rFonts w:ascii="Arial" w:hAnsi="Arial" w:cs="Arial"/>
          <w:b w:val="0"/>
          <w:szCs w:val="22"/>
        </w:rPr>
        <w:t xml:space="preserve"> in </w:t>
      </w:r>
      <w:r w:rsidR="003B54CA" w:rsidRPr="003B54CA">
        <w:rPr>
          <w:rFonts w:ascii="Arial" w:hAnsi="Arial" w:cs="Arial"/>
          <w:b w:val="0"/>
          <w:szCs w:val="22"/>
        </w:rPr>
        <w:t xml:space="preserve">general </w:t>
      </w:r>
      <w:r w:rsidR="007A0421">
        <w:rPr>
          <w:rFonts w:ascii="Arial" w:hAnsi="Arial" w:cs="Arial"/>
          <w:b w:val="0"/>
          <w:szCs w:val="22"/>
        </w:rPr>
        <w:t xml:space="preserve">and </w:t>
      </w:r>
      <w:r w:rsidR="003904BC">
        <w:rPr>
          <w:rFonts w:ascii="Arial" w:hAnsi="Arial" w:cs="Arial"/>
          <w:b w:val="0"/>
          <w:szCs w:val="22"/>
        </w:rPr>
        <w:t xml:space="preserve">cardiac </w:t>
      </w:r>
      <w:r w:rsidR="009D0AAB" w:rsidRPr="009D0AAB">
        <w:rPr>
          <w:rFonts w:ascii="Arial" w:hAnsi="Arial" w:cs="Arial"/>
          <w:b w:val="0"/>
          <w:szCs w:val="22"/>
        </w:rPr>
        <w:t>anaesthesia</w:t>
      </w:r>
      <w:r w:rsidR="003B54CA" w:rsidRPr="003B54CA">
        <w:rPr>
          <w:rFonts w:ascii="Arial" w:hAnsi="Arial" w:cs="Arial"/>
          <w:b w:val="0"/>
          <w:szCs w:val="22"/>
        </w:rPr>
        <w:t xml:space="preserve">. </w:t>
      </w:r>
      <w:r w:rsidRPr="00D54072">
        <w:rPr>
          <w:rFonts w:ascii="Arial" w:hAnsi="Arial" w:cs="Arial"/>
          <w:b w:val="0"/>
          <w:szCs w:val="22"/>
        </w:rPr>
        <w:t>There are insufficient data to make recommendations</w:t>
      </w:r>
      <w:r w:rsidR="00A56518" w:rsidRPr="00A56518">
        <w:rPr>
          <w:rFonts w:ascii="Arial" w:hAnsi="Arial" w:cs="Arial"/>
          <w:szCs w:val="22"/>
        </w:rPr>
        <w:t xml:space="preserve"> </w:t>
      </w:r>
      <w:r w:rsidR="00A56518" w:rsidRPr="00A56518">
        <w:rPr>
          <w:rFonts w:ascii="Arial" w:hAnsi="Arial" w:cs="Arial"/>
          <w:b w:val="0"/>
          <w:szCs w:val="22"/>
        </w:rPr>
        <w:t>for d</w:t>
      </w:r>
      <w:r w:rsidR="00922616" w:rsidRPr="00922616">
        <w:rPr>
          <w:rFonts w:ascii="Arial" w:hAnsi="Arial" w:cs="Arial"/>
          <w:b w:val="0"/>
          <w:szCs w:val="22"/>
        </w:rPr>
        <w:t xml:space="preserve">elivery of Ultiva by TCI for </w:t>
      </w:r>
      <w:r w:rsidRPr="00E9027E">
        <w:rPr>
          <w:rFonts w:ascii="Arial" w:hAnsi="Arial" w:cs="Arial"/>
          <w:b w:val="0"/>
          <w:szCs w:val="22"/>
        </w:rPr>
        <w:t>ASA III and IV patients</w:t>
      </w:r>
      <w:r w:rsidR="007A0421">
        <w:rPr>
          <w:rFonts w:ascii="Arial" w:hAnsi="Arial" w:cs="Arial"/>
          <w:b w:val="0"/>
          <w:szCs w:val="22"/>
        </w:rPr>
        <w:t>,</w:t>
      </w:r>
      <w:r w:rsidR="00505B29">
        <w:rPr>
          <w:rFonts w:ascii="Arial" w:hAnsi="Arial" w:cs="Arial"/>
          <w:b w:val="0"/>
          <w:szCs w:val="22"/>
        </w:rPr>
        <w:t xml:space="preserve"> </w:t>
      </w:r>
      <w:r w:rsidR="00922616" w:rsidRPr="00922616">
        <w:rPr>
          <w:rFonts w:ascii="Arial" w:hAnsi="Arial" w:cs="Arial"/>
          <w:b w:val="0"/>
          <w:szCs w:val="22"/>
        </w:rPr>
        <w:t>spontaneous ventilation anaesthesia, use in ICU sedation, monitored conscious sedation or in children.</w:t>
      </w:r>
    </w:p>
    <w:p w:rsidR="00922616" w:rsidRPr="00922616" w:rsidRDefault="003B54CA">
      <w:pPr>
        <w:pStyle w:val="BodyText2"/>
        <w:spacing w:after="120"/>
        <w:rPr>
          <w:rFonts w:ascii="Arial" w:hAnsi="Arial" w:cs="Arial"/>
          <w:b w:val="0"/>
          <w:szCs w:val="22"/>
        </w:rPr>
      </w:pPr>
      <w:r w:rsidRPr="003B54CA">
        <w:rPr>
          <w:rFonts w:ascii="Arial" w:hAnsi="Arial" w:cs="Arial"/>
          <w:b w:val="0"/>
          <w:szCs w:val="22"/>
        </w:rPr>
        <w:t>For TCI in adults the recommended dilution of Ultiva is 20 to 50 micrograms/mL.</w:t>
      </w:r>
    </w:p>
    <w:p w:rsidR="00E9027E" w:rsidRDefault="00A56518">
      <w:pPr>
        <w:shd w:val="clear" w:color="auto" w:fill="FFFFFF"/>
        <w:spacing w:after="120"/>
        <w:rPr>
          <w:rFonts w:ascii="Arial" w:hAnsi="Arial" w:cs="Arial"/>
          <w:szCs w:val="22"/>
        </w:rPr>
      </w:pPr>
      <w:r w:rsidRPr="00A56518">
        <w:rPr>
          <w:rFonts w:ascii="Arial" w:hAnsi="Arial" w:cs="Arial"/>
          <w:szCs w:val="22"/>
        </w:rPr>
        <w:t>The administration of Ultiva</w:t>
      </w:r>
      <w:r w:rsidR="00922616" w:rsidRPr="00922616">
        <w:rPr>
          <w:rFonts w:ascii="Arial" w:hAnsi="Arial" w:cs="Arial"/>
          <w:szCs w:val="22"/>
        </w:rPr>
        <w:t xml:space="preserve"> must be individualised based on the patient's response.  </w:t>
      </w:r>
      <w:r w:rsidR="00567E52" w:rsidRPr="00567E52">
        <w:rPr>
          <w:rFonts w:ascii="Arial" w:hAnsi="Arial" w:cs="Arial"/>
          <w:szCs w:val="22"/>
          <w:shd w:val="clear" w:color="auto" w:fill="FFFFFF"/>
        </w:rPr>
        <w:t>It is not recommended for use as the sole agent in general anaesthesia.</w:t>
      </w:r>
    </w:p>
    <w:p w:rsidR="00E9027E" w:rsidRDefault="00E9027E">
      <w:pPr>
        <w:shd w:val="clear" w:color="auto" w:fill="FFFFFF"/>
        <w:spacing w:after="120"/>
        <w:rPr>
          <w:rFonts w:ascii="Arial" w:hAnsi="Arial" w:cs="Arial"/>
          <w:szCs w:val="22"/>
        </w:rPr>
      </w:pPr>
    </w:p>
    <w:p w:rsidR="00E9027E" w:rsidRDefault="00D54072">
      <w:pPr>
        <w:pStyle w:val="Heading8"/>
        <w:tabs>
          <w:tab w:val="left" w:pos="426"/>
        </w:tabs>
        <w:spacing w:after="120"/>
        <w:rPr>
          <w:rFonts w:ascii="Arial" w:hAnsi="Arial" w:cs="Arial"/>
          <w:i w:val="0"/>
          <w:szCs w:val="22"/>
        </w:rPr>
      </w:pPr>
      <w:r w:rsidRPr="00D54072">
        <w:rPr>
          <w:rFonts w:ascii="Arial" w:hAnsi="Arial" w:cs="Arial"/>
          <w:i w:val="0"/>
          <w:szCs w:val="22"/>
        </w:rPr>
        <w:t>1.</w:t>
      </w:r>
      <w:r w:rsidRPr="00D54072">
        <w:rPr>
          <w:rFonts w:ascii="Arial" w:hAnsi="Arial" w:cs="Arial"/>
          <w:i w:val="0"/>
          <w:szCs w:val="22"/>
        </w:rPr>
        <w:tab/>
        <w:t>General Anaesthesia:</w:t>
      </w:r>
    </w:p>
    <w:p w:rsidR="00E9027E" w:rsidRDefault="00A56518">
      <w:pPr>
        <w:tabs>
          <w:tab w:val="left" w:pos="426"/>
        </w:tabs>
        <w:spacing w:after="120"/>
        <w:rPr>
          <w:rFonts w:ascii="Arial" w:hAnsi="Arial" w:cs="Arial"/>
          <w:b/>
          <w:szCs w:val="22"/>
        </w:rPr>
      </w:pPr>
      <w:r w:rsidRPr="00A56518">
        <w:rPr>
          <w:rFonts w:ascii="Arial" w:hAnsi="Arial" w:cs="Arial"/>
          <w:b/>
          <w:szCs w:val="22"/>
          <w:shd w:val="clear" w:color="auto" w:fill="FFFFFF"/>
        </w:rPr>
        <w:t>1.1</w:t>
      </w:r>
      <w:r w:rsidRPr="00A56518">
        <w:rPr>
          <w:rFonts w:ascii="Arial" w:hAnsi="Arial" w:cs="Arial"/>
          <w:b/>
          <w:szCs w:val="22"/>
          <w:shd w:val="clear" w:color="auto" w:fill="FFFFFF"/>
        </w:rPr>
        <w:tab/>
        <w:t>Dosage in</w:t>
      </w:r>
      <w:r w:rsidR="00922616" w:rsidRPr="00922616">
        <w:rPr>
          <w:rFonts w:ascii="Arial" w:hAnsi="Arial" w:cs="Arial"/>
          <w:b/>
          <w:szCs w:val="22"/>
        </w:rPr>
        <w:t xml:space="preserve"> Adults</w:t>
      </w:r>
    </w:p>
    <w:p w:rsidR="00E9027E" w:rsidRDefault="00D54072">
      <w:pPr>
        <w:pStyle w:val="BodyText"/>
        <w:spacing w:after="120"/>
        <w:rPr>
          <w:rFonts w:ascii="Arial" w:hAnsi="Arial" w:cs="Arial"/>
          <w:b/>
          <w:szCs w:val="22"/>
          <w:u w:val="single"/>
        </w:rPr>
      </w:pPr>
      <w:r w:rsidRPr="00D54072">
        <w:rPr>
          <w:rFonts w:ascii="Arial" w:hAnsi="Arial" w:cs="Arial"/>
          <w:b/>
          <w:szCs w:val="22"/>
          <w:u w:val="single"/>
        </w:rPr>
        <w:t>Administration by Manually-Controlled Infusion</w:t>
      </w:r>
    </w:p>
    <w:p w:rsidR="00E9027E" w:rsidRDefault="00A56518">
      <w:pPr>
        <w:pStyle w:val="BodyText"/>
        <w:spacing w:after="120"/>
        <w:jc w:val="left"/>
        <w:rPr>
          <w:rFonts w:ascii="Arial" w:hAnsi="Arial" w:cs="Arial"/>
          <w:szCs w:val="22"/>
        </w:rPr>
      </w:pPr>
      <w:r w:rsidRPr="00A56518">
        <w:rPr>
          <w:rFonts w:ascii="Arial" w:hAnsi="Arial" w:cs="Arial"/>
          <w:szCs w:val="22"/>
        </w:rPr>
        <w:t>The following table summarises</w:t>
      </w:r>
      <w:r w:rsidR="00922616" w:rsidRPr="00922616">
        <w:rPr>
          <w:rFonts w:ascii="Arial" w:hAnsi="Arial" w:cs="Arial"/>
          <w:szCs w:val="22"/>
        </w:rPr>
        <w:t xml:space="preserve"> the starting infusion rates and dose range for various anaesthetic situations:</w:t>
      </w:r>
    </w:p>
    <w:p w:rsidR="00E9027E" w:rsidRDefault="00567E52">
      <w:pPr>
        <w:keepNext/>
        <w:keepLines/>
        <w:spacing w:after="120"/>
        <w:jc w:val="center"/>
        <w:rPr>
          <w:rFonts w:ascii="Arial" w:hAnsi="Arial" w:cs="Arial"/>
          <w:b/>
          <w:szCs w:val="22"/>
        </w:rPr>
      </w:pPr>
      <w:r w:rsidRPr="00567E52">
        <w:rPr>
          <w:rFonts w:ascii="Arial" w:hAnsi="Arial" w:cs="Arial"/>
          <w:b/>
          <w:szCs w:val="22"/>
        </w:rPr>
        <w:t xml:space="preserve">Table 4: DOSING GUIDELINES FOR ADULTS </w:t>
      </w:r>
    </w:p>
    <w:p w:rsidR="005A21BD" w:rsidRDefault="005A21BD">
      <w:pPr>
        <w:pStyle w:val="Footer"/>
        <w:keepNext/>
        <w:keepLines/>
        <w:tabs>
          <w:tab w:val="clear" w:pos="4320"/>
          <w:tab w:val="clear" w:pos="8640"/>
        </w:tabs>
        <w:rPr>
          <w:rFonts w:ascii="Agfa Rotis Semisans" w:hAnsi="Agfa Rotis Semisans"/>
        </w:rPr>
      </w:pPr>
    </w:p>
    <w:tbl>
      <w:tblPr>
        <w:tblW w:w="0" w:type="auto"/>
        <w:tblLayout w:type="fixed"/>
        <w:tblLook w:val="0000"/>
      </w:tblPr>
      <w:tblGrid>
        <w:gridCol w:w="3227"/>
        <w:gridCol w:w="2835"/>
        <w:gridCol w:w="1716"/>
        <w:gridCol w:w="1510"/>
      </w:tblGrid>
      <w:tr w:rsidR="005A21BD" w:rsidRPr="007C4DF6">
        <w:trPr>
          <w:cantSplit/>
        </w:trPr>
        <w:tc>
          <w:tcPr>
            <w:tcW w:w="3227" w:type="dxa"/>
            <w:vMerge w:val="restart"/>
            <w:tcBorders>
              <w:top w:val="single" w:sz="12" w:space="0" w:color="auto"/>
              <w:left w:val="single" w:sz="12" w:space="0" w:color="auto"/>
              <w:right w:val="single" w:sz="6" w:space="0" w:color="auto"/>
            </w:tcBorders>
            <w:vAlign w:val="center"/>
          </w:tcPr>
          <w:p w:rsidR="005A21BD" w:rsidRPr="007C4DF6" w:rsidRDefault="00D54072">
            <w:pPr>
              <w:keepNext/>
              <w:keepLines/>
              <w:rPr>
                <w:rFonts w:ascii="Arial" w:hAnsi="Arial"/>
                <w:b/>
                <w:sz w:val="20"/>
              </w:rPr>
            </w:pPr>
            <w:r w:rsidRPr="00D54072">
              <w:rPr>
                <w:rFonts w:ascii="Arial" w:hAnsi="Arial"/>
                <w:b/>
                <w:sz w:val="20"/>
              </w:rPr>
              <w:t>INDICATION</w:t>
            </w:r>
          </w:p>
        </w:tc>
        <w:tc>
          <w:tcPr>
            <w:tcW w:w="2835" w:type="dxa"/>
            <w:tcBorders>
              <w:top w:val="single" w:sz="12" w:space="0" w:color="auto"/>
              <w:left w:val="single" w:sz="6" w:space="0" w:color="auto"/>
              <w:bottom w:val="single" w:sz="12" w:space="0" w:color="auto"/>
              <w:right w:val="single" w:sz="6" w:space="0" w:color="auto"/>
            </w:tcBorders>
            <w:vAlign w:val="center"/>
          </w:tcPr>
          <w:p w:rsidR="005A21BD" w:rsidRPr="007C4DF6" w:rsidRDefault="00D54072">
            <w:pPr>
              <w:keepNext/>
              <w:keepLines/>
              <w:jc w:val="center"/>
              <w:rPr>
                <w:rFonts w:ascii="Arial" w:hAnsi="Arial"/>
                <w:b/>
                <w:sz w:val="20"/>
              </w:rPr>
            </w:pPr>
            <w:r w:rsidRPr="00D54072">
              <w:rPr>
                <w:rFonts w:ascii="Arial" w:hAnsi="Arial"/>
                <w:b/>
                <w:sz w:val="20"/>
              </w:rPr>
              <w:t>Ultiva</w:t>
            </w:r>
          </w:p>
        </w:tc>
        <w:tc>
          <w:tcPr>
            <w:tcW w:w="3226" w:type="dxa"/>
            <w:gridSpan w:val="2"/>
            <w:tcBorders>
              <w:top w:val="single" w:sz="12" w:space="0" w:color="auto"/>
              <w:left w:val="single" w:sz="6" w:space="0" w:color="auto"/>
              <w:bottom w:val="single" w:sz="12" w:space="0" w:color="auto"/>
              <w:right w:val="single" w:sz="12" w:space="0" w:color="auto"/>
            </w:tcBorders>
            <w:vAlign w:val="center"/>
          </w:tcPr>
          <w:p w:rsidR="005A21BD" w:rsidRPr="007C4DF6" w:rsidRDefault="00D54072">
            <w:pPr>
              <w:keepNext/>
              <w:keepLines/>
              <w:jc w:val="center"/>
              <w:rPr>
                <w:rFonts w:ascii="Arial" w:hAnsi="Arial"/>
                <w:b/>
                <w:sz w:val="20"/>
              </w:rPr>
            </w:pPr>
            <w:r w:rsidRPr="00D54072">
              <w:rPr>
                <w:rFonts w:ascii="Arial" w:hAnsi="Arial"/>
                <w:b/>
                <w:sz w:val="20"/>
              </w:rPr>
              <w:t xml:space="preserve">Ultiva </w:t>
            </w:r>
          </w:p>
          <w:p w:rsidR="005A21BD" w:rsidRPr="007C4DF6" w:rsidRDefault="00D54072">
            <w:pPr>
              <w:keepNext/>
              <w:keepLines/>
              <w:jc w:val="center"/>
              <w:rPr>
                <w:rFonts w:ascii="Arial" w:hAnsi="Arial"/>
                <w:b/>
                <w:sz w:val="20"/>
              </w:rPr>
            </w:pPr>
            <w:r w:rsidRPr="00D54072">
              <w:rPr>
                <w:rFonts w:ascii="Arial" w:hAnsi="Arial"/>
                <w:b/>
                <w:sz w:val="20"/>
              </w:rPr>
              <w:t>Continuous Infusion</w:t>
            </w:r>
          </w:p>
        </w:tc>
      </w:tr>
      <w:tr w:rsidR="005A21BD" w:rsidRPr="007C4DF6">
        <w:trPr>
          <w:cantSplit/>
        </w:trPr>
        <w:tc>
          <w:tcPr>
            <w:tcW w:w="3227" w:type="dxa"/>
            <w:vMerge/>
            <w:tcBorders>
              <w:left w:val="single" w:sz="12" w:space="0" w:color="auto"/>
              <w:bottom w:val="single" w:sz="6" w:space="0" w:color="auto"/>
              <w:right w:val="single" w:sz="6" w:space="0" w:color="auto"/>
            </w:tcBorders>
          </w:tcPr>
          <w:p w:rsidR="005A21BD" w:rsidRPr="007C4DF6" w:rsidRDefault="005A21BD">
            <w:pPr>
              <w:keepNext/>
              <w:keepLines/>
              <w:rPr>
                <w:rFonts w:ascii="Arial" w:hAnsi="Arial"/>
                <w:sz w:val="20"/>
              </w:rPr>
            </w:pPr>
          </w:p>
        </w:tc>
        <w:tc>
          <w:tcPr>
            <w:tcW w:w="2835" w:type="dxa"/>
            <w:tcBorders>
              <w:top w:val="single" w:sz="12" w:space="0" w:color="auto"/>
              <w:left w:val="single" w:sz="6" w:space="0" w:color="auto"/>
              <w:bottom w:val="single" w:sz="6" w:space="0" w:color="auto"/>
              <w:right w:val="single" w:sz="6" w:space="0" w:color="auto"/>
            </w:tcBorders>
          </w:tcPr>
          <w:p w:rsidR="005A21BD" w:rsidRPr="007C4DF6" w:rsidRDefault="00D54072">
            <w:pPr>
              <w:keepNext/>
              <w:keepLines/>
              <w:jc w:val="center"/>
              <w:rPr>
                <w:rFonts w:ascii="Arial" w:hAnsi="Arial"/>
                <w:sz w:val="20"/>
              </w:rPr>
            </w:pPr>
            <w:r w:rsidRPr="00D54072">
              <w:rPr>
                <w:rFonts w:ascii="Arial" w:hAnsi="Arial"/>
                <w:sz w:val="20"/>
              </w:rPr>
              <w:t>Slow Bolus Injection</w:t>
            </w:r>
          </w:p>
          <w:p w:rsidR="005A21BD" w:rsidRPr="007C4DF6" w:rsidRDefault="00D54072">
            <w:pPr>
              <w:keepNext/>
              <w:keepLines/>
              <w:jc w:val="center"/>
              <w:rPr>
                <w:rFonts w:ascii="Arial" w:hAnsi="Arial"/>
                <w:sz w:val="20"/>
              </w:rPr>
            </w:pPr>
            <w:r w:rsidRPr="00D54072">
              <w:rPr>
                <w:rFonts w:ascii="Arial" w:hAnsi="Arial"/>
                <w:sz w:val="20"/>
              </w:rPr>
              <w:t>(µg/kg)</w:t>
            </w:r>
          </w:p>
        </w:tc>
        <w:tc>
          <w:tcPr>
            <w:tcW w:w="1716" w:type="dxa"/>
            <w:tcBorders>
              <w:top w:val="single" w:sz="12" w:space="0" w:color="auto"/>
              <w:left w:val="single" w:sz="6" w:space="0" w:color="auto"/>
              <w:bottom w:val="single" w:sz="6" w:space="0" w:color="auto"/>
              <w:right w:val="single" w:sz="6" w:space="0" w:color="auto"/>
            </w:tcBorders>
          </w:tcPr>
          <w:p w:rsidR="005A21BD" w:rsidRPr="007C4DF6" w:rsidRDefault="00D54072">
            <w:pPr>
              <w:keepNext/>
              <w:keepLines/>
              <w:jc w:val="center"/>
              <w:rPr>
                <w:rFonts w:ascii="Arial" w:hAnsi="Arial"/>
                <w:sz w:val="20"/>
              </w:rPr>
            </w:pPr>
            <w:r w:rsidRPr="00D54072">
              <w:rPr>
                <w:rFonts w:ascii="Arial" w:hAnsi="Arial"/>
                <w:sz w:val="20"/>
              </w:rPr>
              <w:t>Starting Rate</w:t>
            </w:r>
          </w:p>
          <w:p w:rsidR="005A21BD" w:rsidRPr="007C4DF6" w:rsidRDefault="00D54072">
            <w:pPr>
              <w:keepNext/>
              <w:keepLines/>
              <w:jc w:val="center"/>
              <w:rPr>
                <w:rFonts w:ascii="Arial" w:hAnsi="Arial"/>
                <w:sz w:val="20"/>
              </w:rPr>
            </w:pPr>
            <w:r w:rsidRPr="00D54072">
              <w:rPr>
                <w:rFonts w:ascii="Arial" w:hAnsi="Arial"/>
                <w:sz w:val="20"/>
              </w:rPr>
              <w:t>(µg/kg/min)</w:t>
            </w:r>
          </w:p>
        </w:tc>
        <w:tc>
          <w:tcPr>
            <w:tcW w:w="1509" w:type="dxa"/>
            <w:tcBorders>
              <w:top w:val="single" w:sz="12" w:space="0" w:color="auto"/>
              <w:left w:val="single" w:sz="6" w:space="0" w:color="auto"/>
              <w:bottom w:val="single" w:sz="6" w:space="0" w:color="auto"/>
              <w:right w:val="single" w:sz="12" w:space="0" w:color="auto"/>
            </w:tcBorders>
          </w:tcPr>
          <w:p w:rsidR="005A21BD" w:rsidRPr="007C4DF6" w:rsidRDefault="00D54072">
            <w:pPr>
              <w:keepNext/>
              <w:keepLines/>
              <w:jc w:val="center"/>
              <w:rPr>
                <w:rFonts w:ascii="Arial" w:hAnsi="Arial"/>
                <w:sz w:val="20"/>
              </w:rPr>
            </w:pPr>
            <w:r w:rsidRPr="00D54072">
              <w:rPr>
                <w:rFonts w:ascii="Arial" w:hAnsi="Arial"/>
                <w:sz w:val="20"/>
              </w:rPr>
              <w:t>Range</w:t>
            </w:r>
          </w:p>
          <w:p w:rsidR="005A21BD" w:rsidRPr="007C4DF6" w:rsidRDefault="00D54072">
            <w:pPr>
              <w:keepNext/>
              <w:keepLines/>
              <w:jc w:val="center"/>
              <w:rPr>
                <w:rFonts w:ascii="Arial" w:hAnsi="Arial"/>
                <w:sz w:val="20"/>
              </w:rPr>
            </w:pPr>
            <w:r w:rsidRPr="00D54072">
              <w:rPr>
                <w:rFonts w:ascii="Arial" w:hAnsi="Arial"/>
                <w:sz w:val="20"/>
              </w:rPr>
              <w:t>(µg/kg/min)</w:t>
            </w:r>
          </w:p>
        </w:tc>
      </w:tr>
      <w:tr w:rsidR="005A21BD" w:rsidRPr="007C4DF6">
        <w:trPr>
          <w:cantSplit/>
        </w:trPr>
        <w:tc>
          <w:tcPr>
            <w:tcW w:w="3227" w:type="dxa"/>
            <w:tcBorders>
              <w:top w:val="single" w:sz="6" w:space="0" w:color="auto"/>
              <w:left w:val="single" w:sz="12" w:space="0" w:color="auto"/>
              <w:bottom w:val="single" w:sz="6" w:space="0" w:color="auto"/>
              <w:right w:val="single" w:sz="6" w:space="0" w:color="auto"/>
            </w:tcBorders>
          </w:tcPr>
          <w:p w:rsidR="005A21BD" w:rsidRPr="007C4DF6" w:rsidRDefault="00D54072">
            <w:pPr>
              <w:keepNext/>
              <w:keepLines/>
              <w:rPr>
                <w:rFonts w:ascii="Arial" w:hAnsi="Arial"/>
                <w:sz w:val="20"/>
              </w:rPr>
            </w:pPr>
            <w:r w:rsidRPr="00D54072">
              <w:rPr>
                <w:rFonts w:ascii="Arial" w:hAnsi="Arial"/>
                <w:sz w:val="20"/>
              </w:rPr>
              <w:t>Induction of anaesthesia</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A21BD" w:rsidRPr="007C4DF6" w:rsidRDefault="00D54072">
            <w:pPr>
              <w:keepNext/>
              <w:keepLines/>
              <w:shd w:val="clear" w:color="auto" w:fill="FFFFFF"/>
              <w:jc w:val="center"/>
              <w:rPr>
                <w:rFonts w:ascii="Arial" w:hAnsi="Arial"/>
                <w:sz w:val="20"/>
              </w:rPr>
            </w:pPr>
            <w:r w:rsidRPr="00D54072">
              <w:rPr>
                <w:rFonts w:ascii="Arial" w:hAnsi="Arial"/>
                <w:sz w:val="20"/>
              </w:rPr>
              <w:t>1</w:t>
            </w:r>
          </w:p>
          <w:p w:rsidR="005A21BD" w:rsidRPr="007C4DF6" w:rsidRDefault="00780E84" w:rsidP="00780E84">
            <w:pPr>
              <w:keepNext/>
              <w:keepLines/>
              <w:shd w:val="clear" w:color="auto" w:fill="FFFFFF"/>
              <w:ind w:right="-108"/>
              <w:jc w:val="center"/>
              <w:rPr>
                <w:rFonts w:ascii="Arial" w:hAnsi="Arial"/>
                <w:sz w:val="20"/>
              </w:rPr>
            </w:pPr>
            <w:r>
              <w:rPr>
                <w:rFonts w:ascii="Arial" w:hAnsi="Arial"/>
                <w:sz w:val="20"/>
                <w:shd w:val="clear" w:color="auto" w:fill="FFFFFF"/>
              </w:rPr>
              <w:t xml:space="preserve">(administer over 60 </w:t>
            </w:r>
            <w:r w:rsidR="00D54072" w:rsidRPr="00D54072">
              <w:rPr>
                <w:rFonts w:ascii="Arial" w:hAnsi="Arial"/>
                <w:sz w:val="20"/>
                <w:shd w:val="clear" w:color="auto" w:fill="FFFFFF"/>
              </w:rPr>
              <w:t>seconds)</w:t>
            </w:r>
            <w:r w:rsidR="00D54072" w:rsidRPr="00D54072">
              <w:rPr>
                <w:rFonts w:ascii="Arial" w:hAnsi="Arial"/>
                <w:b/>
                <w:sz w:val="20"/>
                <w:shd w:val="clear" w:color="auto" w:fill="FFFFFF"/>
              </w:rPr>
              <w:t>*</w:t>
            </w:r>
          </w:p>
        </w:tc>
        <w:tc>
          <w:tcPr>
            <w:tcW w:w="1716" w:type="dxa"/>
            <w:tcBorders>
              <w:top w:val="single" w:sz="6" w:space="0" w:color="auto"/>
              <w:left w:val="single" w:sz="6" w:space="0" w:color="auto"/>
              <w:bottom w:val="single" w:sz="6" w:space="0" w:color="auto"/>
              <w:right w:val="single" w:sz="6" w:space="0" w:color="auto"/>
            </w:tcBorders>
          </w:tcPr>
          <w:p w:rsidR="005A21BD" w:rsidRPr="007C4DF6" w:rsidRDefault="00D54072">
            <w:pPr>
              <w:keepNext/>
              <w:keepLines/>
              <w:jc w:val="center"/>
              <w:rPr>
                <w:rFonts w:ascii="Arial" w:hAnsi="Arial"/>
                <w:sz w:val="20"/>
              </w:rPr>
            </w:pPr>
            <w:r w:rsidRPr="00D54072">
              <w:rPr>
                <w:rFonts w:ascii="Arial" w:hAnsi="Arial"/>
                <w:sz w:val="20"/>
              </w:rPr>
              <w:t>0.5 to 1</w:t>
            </w:r>
          </w:p>
        </w:tc>
        <w:tc>
          <w:tcPr>
            <w:tcW w:w="1509" w:type="dxa"/>
            <w:tcBorders>
              <w:top w:val="single" w:sz="6" w:space="0" w:color="auto"/>
              <w:left w:val="single" w:sz="6" w:space="0" w:color="auto"/>
              <w:bottom w:val="single" w:sz="6" w:space="0" w:color="auto"/>
              <w:right w:val="single" w:sz="12" w:space="0" w:color="auto"/>
            </w:tcBorders>
          </w:tcPr>
          <w:p w:rsidR="005A21BD" w:rsidRPr="007C4DF6" w:rsidRDefault="00D54072">
            <w:pPr>
              <w:keepNext/>
              <w:keepLines/>
              <w:jc w:val="center"/>
              <w:rPr>
                <w:rFonts w:ascii="Arial" w:hAnsi="Arial"/>
                <w:sz w:val="20"/>
              </w:rPr>
            </w:pPr>
            <w:r w:rsidRPr="00D54072">
              <w:rPr>
                <w:rFonts w:ascii="Arial" w:hAnsi="Arial"/>
                <w:sz w:val="20"/>
              </w:rPr>
              <w:t>-</w:t>
            </w:r>
          </w:p>
        </w:tc>
      </w:tr>
      <w:tr w:rsidR="005A21BD" w:rsidRPr="007C4DF6">
        <w:trPr>
          <w:cantSplit/>
        </w:trPr>
        <w:tc>
          <w:tcPr>
            <w:tcW w:w="3227" w:type="dxa"/>
            <w:tcBorders>
              <w:top w:val="single" w:sz="6" w:space="0" w:color="auto"/>
              <w:left w:val="single" w:sz="12" w:space="0" w:color="auto"/>
              <w:bottom w:val="single" w:sz="6" w:space="0" w:color="auto"/>
              <w:right w:val="single" w:sz="6" w:space="0" w:color="auto"/>
            </w:tcBorders>
          </w:tcPr>
          <w:p w:rsidR="005A21BD" w:rsidRPr="007C4DF6" w:rsidRDefault="00D54072">
            <w:pPr>
              <w:keepNext/>
              <w:keepLines/>
              <w:tabs>
                <w:tab w:val="left" w:pos="426"/>
              </w:tabs>
              <w:spacing w:before="60"/>
              <w:rPr>
                <w:rFonts w:ascii="Arial" w:hAnsi="Arial"/>
                <w:sz w:val="20"/>
              </w:rPr>
            </w:pPr>
            <w:r w:rsidRPr="00D54072">
              <w:rPr>
                <w:rFonts w:ascii="Arial" w:hAnsi="Arial"/>
                <w:sz w:val="20"/>
              </w:rPr>
              <w:t>Maintenance of anaesthesia</w:t>
            </w:r>
          </w:p>
          <w:p w:rsidR="005A21BD" w:rsidRPr="007C4DF6" w:rsidRDefault="00D54072">
            <w:pPr>
              <w:keepNext/>
              <w:keepLines/>
              <w:tabs>
                <w:tab w:val="left" w:pos="426"/>
              </w:tabs>
              <w:rPr>
                <w:rFonts w:ascii="Arial" w:hAnsi="Arial"/>
                <w:sz w:val="20"/>
              </w:rPr>
            </w:pPr>
            <w:r w:rsidRPr="00D54072">
              <w:rPr>
                <w:rFonts w:ascii="Arial" w:hAnsi="Arial"/>
                <w:sz w:val="20"/>
              </w:rPr>
              <w:t>e.g. with any one of:</w:t>
            </w:r>
          </w:p>
          <w:p w:rsidR="005A21BD" w:rsidRPr="007C4DF6" w:rsidRDefault="00D54072" w:rsidP="00780E84">
            <w:pPr>
              <w:pStyle w:val="listbull"/>
              <w:keepNext/>
              <w:keepLines/>
              <w:numPr>
                <w:ilvl w:val="0"/>
                <w:numId w:val="0"/>
              </w:numPr>
              <w:spacing w:after="0"/>
              <w:ind w:right="-108"/>
              <w:rPr>
                <w:rFonts w:ascii="Arial" w:hAnsi="Arial"/>
                <w:sz w:val="20"/>
              </w:rPr>
            </w:pPr>
            <w:r w:rsidRPr="00D54072">
              <w:rPr>
                <w:rFonts w:ascii="Arial" w:hAnsi="Arial"/>
                <w:sz w:val="20"/>
              </w:rPr>
              <w:t>Nitrous oxide (66%)</w:t>
            </w:r>
          </w:p>
          <w:p w:rsidR="005A21BD" w:rsidRPr="007C4DF6" w:rsidRDefault="003852EE" w:rsidP="003852EE">
            <w:pPr>
              <w:keepNext/>
              <w:keepLines/>
              <w:rPr>
                <w:rFonts w:ascii="Arial" w:hAnsi="Arial"/>
                <w:sz w:val="20"/>
              </w:rPr>
            </w:pPr>
            <w:r>
              <w:rPr>
                <w:rFonts w:ascii="Arial" w:hAnsi="Arial"/>
                <w:sz w:val="20"/>
              </w:rPr>
              <w:t xml:space="preserve">Isoflurane (Starting dose 0.5 </w:t>
            </w:r>
            <w:smartTag w:uri="urn:schemas-microsoft-com:office:smarttags" w:element="stockticker">
              <w:r w:rsidR="00D54072" w:rsidRPr="00D54072">
                <w:rPr>
                  <w:rFonts w:ascii="Arial" w:hAnsi="Arial"/>
                  <w:sz w:val="20"/>
                </w:rPr>
                <w:t>MAC</w:t>
              </w:r>
            </w:smartTag>
            <w:r w:rsidR="00D54072" w:rsidRPr="00D54072">
              <w:rPr>
                <w:rFonts w:ascii="Arial" w:hAnsi="Arial"/>
                <w:sz w:val="20"/>
              </w:rPr>
              <w:t>)</w:t>
            </w:r>
          </w:p>
          <w:p w:rsidR="005A21BD" w:rsidRPr="007C4DF6" w:rsidRDefault="003852EE" w:rsidP="003852EE">
            <w:pPr>
              <w:keepNext/>
              <w:keepLines/>
              <w:rPr>
                <w:rFonts w:ascii="Arial" w:hAnsi="Arial"/>
                <w:sz w:val="20"/>
              </w:rPr>
            </w:pPr>
            <w:r>
              <w:rPr>
                <w:rFonts w:ascii="Arial" w:hAnsi="Arial"/>
                <w:sz w:val="20"/>
              </w:rPr>
              <w:t xml:space="preserve">Propofol (Starting dose </w:t>
            </w:r>
            <w:r w:rsidR="00D54072" w:rsidRPr="00D54072">
              <w:rPr>
                <w:rFonts w:ascii="Arial" w:hAnsi="Arial"/>
                <w:sz w:val="20"/>
              </w:rPr>
              <w:t>100 µg/kg/min)</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A21BD" w:rsidRPr="007C4DF6" w:rsidRDefault="005A21BD">
            <w:pPr>
              <w:keepNext/>
              <w:keepLines/>
              <w:jc w:val="center"/>
              <w:rPr>
                <w:rFonts w:ascii="Arial" w:hAnsi="Arial"/>
                <w:sz w:val="20"/>
              </w:rPr>
            </w:pPr>
          </w:p>
          <w:p w:rsidR="005A21BD" w:rsidRPr="007C4DF6" w:rsidRDefault="005A21BD">
            <w:pPr>
              <w:keepNext/>
              <w:keepLines/>
              <w:jc w:val="center"/>
              <w:rPr>
                <w:rFonts w:ascii="Arial" w:hAnsi="Arial"/>
                <w:sz w:val="20"/>
              </w:rPr>
            </w:pPr>
          </w:p>
          <w:p w:rsidR="005A21BD" w:rsidRPr="007C4DF6" w:rsidRDefault="005A21BD">
            <w:pPr>
              <w:keepNext/>
              <w:keepLines/>
              <w:shd w:val="clear" w:color="auto" w:fill="FFFFFF"/>
              <w:jc w:val="center"/>
              <w:rPr>
                <w:rFonts w:ascii="Arial" w:hAnsi="Arial"/>
                <w:sz w:val="20"/>
              </w:rPr>
            </w:pPr>
          </w:p>
          <w:p w:rsidR="005A21BD" w:rsidRPr="007C4DF6" w:rsidRDefault="005A21BD">
            <w:pPr>
              <w:keepNext/>
              <w:keepLines/>
              <w:shd w:val="clear" w:color="auto" w:fill="FFFFFF"/>
              <w:jc w:val="center"/>
              <w:rPr>
                <w:rFonts w:ascii="Arial" w:hAnsi="Arial"/>
                <w:sz w:val="20"/>
              </w:rPr>
            </w:pPr>
          </w:p>
          <w:p w:rsidR="005A21BD" w:rsidRPr="007C4DF6" w:rsidRDefault="00D54072">
            <w:pPr>
              <w:keepNext/>
              <w:keepLines/>
              <w:spacing w:before="60"/>
              <w:jc w:val="center"/>
              <w:rPr>
                <w:rFonts w:ascii="Arial" w:hAnsi="Arial"/>
                <w:sz w:val="20"/>
                <w:shd w:val="clear" w:color="auto" w:fill="FFFFFF"/>
              </w:rPr>
            </w:pPr>
            <w:r w:rsidRPr="00D54072">
              <w:rPr>
                <w:rFonts w:ascii="Arial" w:hAnsi="Arial"/>
                <w:sz w:val="20"/>
                <w:shd w:val="clear" w:color="auto" w:fill="FFFFFF"/>
              </w:rPr>
              <w:t>0.5-1</w:t>
            </w:r>
          </w:p>
          <w:p w:rsidR="005A21BD" w:rsidRPr="007C4DF6" w:rsidRDefault="005A21BD">
            <w:pPr>
              <w:keepNext/>
              <w:keepLines/>
              <w:shd w:val="clear" w:color="auto" w:fill="FFFFFF"/>
              <w:jc w:val="center"/>
              <w:rPr>
                <w:rFonts w:ascii="Arial" w:hAnsi="Arial"/>
                <w:sz w:val="20"/>
              </w:rPr>
            </w:pPr>
          </w:p>
          <w:p w:rsidR="005A21BD" w:rsidRPr="007C4DF6" w:rsidRDefault="005A21BD">
            <w:pPr>
              <w:keepNext/>
              <w:keepLines/>
              <w:shd w:val="clear" w:color="auto" w:fill="FFFFFF"/>
              <w:jc w:val="center"/>
              <w:rPr>
                <w:rFonts w:ascii="Arial" w:hAnsi="Arial"/>
                <w:sz w:val="20"/>
              </w:rPr>
            </w:pPr>
          </w:p>
          <w:p w:rsidR="005A21BD" w:rsidRPr="007C4DF6" w:rsidRDefault="005A21BD">
            <w:pPr>
              <w:keepNext/>
              <w:keepLines/>
              <w:rPr>
                <w:rFonts w:ascii="Arial" w:hAnsi="Arial"/>
                <w:sz w:val="20"/>
              </w:rPr>
            </w:pPr>
          </w:p>
        </w:tc>
        <w:tc>
          <w:tcPr>
            <w:tcW w:w="1716" w:type="dxa"/>
            <w:tcBorders>
              <w:top w:val="single" w:sz="6" w:space="0" w:color="auto"/>
              <w:left w:val="single" w:sz="6" w:space="0" w:color="auto"/>
              <w:bottom w:val="single" w:sz="6" w:space="0" w:color="auto"/>
              <w:right w:val="single" w:sz="6" w:space="0" w:color="auto"/>
            </w:tcBorders>
          </w:tcPr>
          <w:p w:rsidR="005A21BD" w:rsidRPr="007C4DF6" w:rsidRDefault="005A21BD">
            <w:pPr>
              <w:keepNext/>
              <w:keepLines/>
              <w:jc w:val="center"/>
              <w:rPr>
                <w:rFonts w:ascii="Arial" w:hAnsi="Arial"/>
                <w:sz w:val="20"/>
              </w:rPr>
            </w:pPr>
          </w:p>
          <w:p w:rsidR="005A21BD" w:rsidRPr="007C4DF6" w:rsidRDefault="005A21BD">
            <w:pPr>
              <w:keepNext/>
              <w:keepLines/>
              <w:jc w:val="center"/>
              <w:rPr>
                <w:rFonts w:ascii="Arial" w:hAnsi="Arial"/>
                <w:sz w:val="20"/>
              </w:rPr>
            </w:pPr>
          </w:p>
          <w:p w:rsidR="005A21BD" w:rsidRPr="007C4DF6" w:rsidRDefault="00D54072">
            <w:pPr>
              <w:keepNext/>
              <w:keepLines/>
              <w:spacing w:before="60"/>
              <w:jc w:val="center"/>
              <w:rPr>
                <w:rFonts w:ascii="Arial" w:hAnsi="Arial"/>
                <w:sz w:val="20"/>
              </w:rPr>
            </w:pPr>
            <w:r w:rsidRPr="00D54072">
              <w:rPr>
                <w:rFonts w:ascii="Arial" w:hAnsi="Arial"/>
                <w:sz w:val="20"/>
              </w:rPr>
              <w:t>0.4</w:t>
            </w:r>
          </w:p>
          <w:p w:rsidR="005A21BD" w:rsidRPr="007C4DF6" w:rsidRDefault="005A21BD">
            <w:pPr>
              <w:keepNext/>
              <w:keepLines/>
              <w:jc w:val="center"/>
              <w:rPr>
                <w:rFonts w:ascii="Arial" w:hAnsi="Arial"/>
                <w:sz w:val="20"/>
              </w:rPr>
            </w:pPr>
          </w:p>
          <w:p w:rsidR="005A21BD" w:rsidRPr="007C4DF6" w:rsidRDefault="00D54072">
            <w:pPr>
              <w:keepNext/>
              <w:keepLines/>
              <w:jc w:val="center"/>
              <w:rPr>
                <w:rFonts w:ascii="Arial" w:hAnsi="Arial"/>
                <w:sz w:val="20"/>
              </w:rPr>
            </w:pPr>
            <w:r w:rsidRPr="00D54072">
              <w:rPr>
                <w:rFonts w:ascii="Arial" w:hAnsi="Arial"/>
                <w:sz w:val="20"/>
              </w:rPr>
              <w:t>0.25</w:t>
            </w:r>
          </w:p>
          <w:p w:rsidR="005A21BD" w:rsidRPr="007C4DF6" w:rsidRDefault="005A21BD">
            <w:pPr>
              <w:keepNext/>
              <w:keepLines/>
              <w:jc w:val="center"/>
              <w:rPr>
                <w:rFonts w:ascii="Arial" w:hAnsi="Arial"/>
                <w:sz w:val="20"/>
              </w:rPr>
            </w:pPr>
          </w:p>
          <w:p w:rsidR="005A21BD" w:rsidRPr="007C4DF6" w:rsidRDefault="00D54072">
            <w:pPr>
              <w:keepNext/>
              <w:keepLines/>
              <w:jc w:val="center"/>
              <w:rPr>
                <w:rFonts w:ascii="Arial" w:hAnsi="Arial"/>
                <w:sz w:val="20"/>
              </w:rPr>
            </w:pPr>
            <w:r w:rsidRPr="00D54072">
              <w:rPr>
                <w:rFonts w:ascii="Arial" w:hAnsi="Arial"/>
                <w:sz w:val="20"/>
              </w:rPr>
              <w:t>0.25</w:t>
            </w:r>
          </w:p>
        </w:tc>
        <w:tc>
          <w:tcPr>
            <w:tcW w:w="1509" w:type="dxa"/>
            <w:tcBorders>
              <w:top w:val="single" w:sz="6" w:space="0" w:color="auto"/>
              <w:left w:val="single" w:sz="6" w:space="0" w:color="auto"/>
              <w:bottom w:val="single" w:sz="6" w:space="0" w:color="auto"/>
              <w:right w:val="single" w:sz="12" w:space="0" w:color="auto"/>
            </w:tcBorders>
          </w:tcPr>
          <w:p w:rsidR="005A21BD" w:rsidRPr="007C4DF6" w:rsidRDefault="005A21BD">
            <w:pPr>
              <w:keepNext/>
              <w:keepLines/>
              <w:jc w:val="center"/>
              <w:rPr>
                <w:rFonts w:ascii="Arial" w:hAnsi="Arial"/>
                <w:sz w:val="20"/>
              </w:rPr>
            </w:pPr>
          </w:p>
          <w:p w:rsidR="005A21BD" w:rsidRPr="007C4DF6" w:rsidRDefault="005A21BD">
            <w:pPr>
              <w:keepNext/>
              <w:keepLines/>
              <w:jc w:val="center"/>
              <w:rPr>
                <w:rFonts w:ascii="Arial" w:hAnsi="Arial"/>
                <w:sz w:val="20"/>
              </w:rPr>
            </w:pPr>
          </w:p>
          <w:p w:rsidR="005A21BD" w:rsidRPr="007C4DF6" w:rsidRDefault="00D54072">
            <w:pPr>
              <w:keepNext/>
              <w:keepLines/>
              <w:numPr>
                <w:ilvl w:val="1"/>
                <w:numId w:val="5"/>
              </w:numPr>
              <w:spacing w:before="60"/>
              <w:ind w:left="0" w:firstLine="0"/>
              <w:jc w:val="center"/>
              <w:rPr>
                <w:rFonts w:ascii="Arial" w:hAnsi="Arial"/>
                <w:sz w:val="20"/>
              </w:rPr>
            </w:pPr>
            <w:r w:rsidRPr="00D54072">
              <w:rPr>
                <w:rFonts w:ascii="Arial" w:hAnsi="Arial"/>
                <w:sz w:val="20"/>
              </w:rPr>
              <w:t>to 2</w:t>
            </w:r>
          </w:p>
          <w:p w:rsidR="005A21BD" w:rsidRPr="007C4DF6" w:rsidRDefault="005A21BD">
            <w:pPr>
              <w:keepNext/>
              <w:keepLines/>
              <w:rPr>
                <w:rFonts w:ascii="Arial" w:hAnsi="Arial"/>
                <w:sz w:val="20"/>
              </w:rPr>
            </w:pPr>
          </w:p>
          <w:p w:rsidR="005A21BD" w:rsidRPr="007C4DF6" w:rsidRDefault="00D54072">
            <w:pPr>
              <w:keepNext/>
              <w:keepLines/>
              <w:jc w:val="center"/>
              <w:rPr>
                <w:rFonts w:ascii="Arial" w:hAnsi="Arial"/>
                <w:sz w:val="20"/>
              </w:rPr>
            </w:pPr>
            <w:r w:rsidRPr="00D54072">
              <w:rPr>
                <w:rFonts w:ascii="Arial" w:hAnsi="Arial"/>
                <w:sz w:val="20"/>
              </w:rPr>
              <w:t>0.05 to 2</w:t>
            </w:r>
          </w:p>
          <w:p w:rsidR="005A21BD" w:rsidRPr="007C4DF6" w:rsidRDefault="005A21BD">
            <w:pPr>
              <w:keepNext/>
              <w:keepLines/>
              <w:jc w:val="center"/>
              <w:rPr>
                <w:rFonts w:ascii="Arial" w:hAnsi="Arial"/>
                <w:sz w:val="20"/>
              </w:rPr>
            </w:pPr>
          </w:p>
          <w:p w:rsidR="005A21BD" w:rsidRPr="007C4DF6" w:rsidRDefault="00D54072">
            <w:pPr>
              <w:keepNext/>
              <w:keepLines/>
              <w:jc w:val="center"/>
              <w:rPr>
                <w:rFonts w:ascii="Arial" w:hAnsi="Arial"/>
                <w:sz w:val="20"/>
              </w:rPr>
            </w:pPr>
            <w:r w:rsidRPr="00D54072">
              <w:rPr>
                <w:rFonts w:ascii="Arial" w:hAnsi="Arial"/>
                <w:sz w:val="20"/>
              </w:rPr>
              <w:t>0.05 to 2</w:t>
            </w:r>
          </w:p>
        </w:tc>
      </w:tr>
    </w:tbl>
    <w:p w:rsidR="005A21BD" w:rsidRPr="00003BCC" w:rsidRDefault="00D54072">
      <w:pPr>
        <w:keepNext/>
        <w:keepLines/>
        <w:shd w:val="clear" w:color="auto" w:fill="FFFFFF"/>
        <w:spacing w:before="120"/>
        <w:rPr>
          <w:rFonts w:ascii="Arial" w:hAnsi="Arial"/>
          <w:sz w:val="20"/>
        </w:rPr>
      </w:pPr>
      <w:smartTag w:uri="urn:schemas-microsoft-com:office:smarttags" w:element="stockticker">
        <w:r w:rsidRPr="00D54072">
          <w:rPr>
            <w:rFonts w:ascii="Arial" w:hAnsi="Arial"/>
            <w:sz w:val="20"/>
          </w:rPr>
          <w:t>MAC</w:t>
        </w:r>
      </w:smartTag>
      <w:r w:rsidRPr="00D54072">
        <w:rPr>
          <w:rFonts w:ascii="Arial" w:hAnsi="Arial"/>
          <w:sz w:val="20"/>
        </w:rPr>
        <w:t xml:space="preserve"> = minimum alveolar concentration</w:t>
      </w:r>
    </w:p>
    <w:p w:rsidR="005A21BD" w:rsidRDefault="005A21BD">
      <w:pPr>
        <w:shd w:val="clear" w:color="auto" w:fill="FFFFFF"/>
        <w:rPr>
          <w:rFonts w:ascii="Arial" w:hAnsi="Arial"/>
        </w:rPr>
      </w:pPr>
    </w:p>
    <w:p w:rsidR="00E9027E" w:rsidRDefault="005A21BD">
      <w:pPr>
        <w:pStyle w:val="BodyText3"/>
        <w:shd w:val="clear" w:color="auto" w:fill="FFFFFF"/>
        <w:tabs>
          <w:tab w:val="left" w:pos="284"/>
        </w:tabs>
        <w:spacing w:after="120"/>
        <w:ind w:left="284" w:hanging="284"/>
        <w:rPr>
          <w:rFonts w:ascii="Arial" w:hAnsi="Arial"/>
        </w:rPr>
      </w:pPr>
      <w:r>
        <w:rPr>
          <w:rFonts w:ascii="Arial" w:hAnsi="Arial"/>
          <w:shd w:val="clear" w:color="auto" w:fill="FFFFFF"/>
        </w:rPr>
        <w:t>*</w:t>
      </w:r>
      <w:r>
        <w:rPr>
          <w:rFonts w:ascii="Arial" w:hAnsi="Arial"/>
          <w:shd w:val="clear" w:color="auto" w:fill="FFFFFF"/>
        </w:rPr>
        <w:tab/>
        <w:t>When given by bolus infusion AT INDUCTION, Ultiva should be administered over 60 seconds (see</w:t>
      </w:r>
      <w:r>
        <w:rPr>
          <w:rFonts w:ascii="Arial" w:hAnsi="Arial"/>
        </w:rPr>
        <w:t xml:space="preserve"> </w:t>
      </w:r>
      <w:r>
        <w:rPr>
          <w:rFonts w:ascii="Arial" w:hAnsi="Arial"/>
          <w:shd w:val="clear" w:color="auto" w:fill="FFFFFF"/>
        </w:rPr>
        <w:t>PRECAUTIONS: Muscle Rigidity).</w:t>
      </w:r>
    </w:p>
    <w:p w:rsidR="00922616" w:rsidRDefault="005A21BD">
      <w:pPr>
        <w:shd w:val="clear" w:color="auto" w:fill="FFFFFF"/>
        <w:spacing w:after="120"/>
        <w:rPr>
          <w:rFonts w:ascii="Arial" w:hAnsi="Arial"/>
        </w:rPr>
      </w:pPr>
      <w:r>
        <w:rPr>
          <w:rFonts w:ascii="Arial" w:hAnsi="Arial"/>
        </w:rPr>
        <w:lastRenderedPageBreak/>
        <w:t xml:space="preserve">(See </w:t>
      </w:r>
      <w:r>
        <w:rPr>
          <w:rFonts w:ascii="Arial" w:hAnsi="Arial"/>
          <w:b/>
        </w:rPr>
        <w:t>INSTRUCTIONS FOR USE</w:t>
      </w:r>
      <w:r>
        <w:rPr>
          <w:rFonts w:ascii="Arial" w:hAnsi="Arial"/>
        </w:rPr>
        <w:t xml:space="preserve"> for additional information, including tables to help titrate Ultiva to the patient's anaesthetic needs.)</w:t>
      </w:r>
    </w:p>
    <w:p w:rsidR="00922616" w:rsidRDefault="005A21BD">
      <w:pPr>
        <w:spacing w:after="120"/>
        <w:rPr>
          <w:rFonts w:ascii="Arial" w:hAnsi="Arial"/>
        </w:rPr>
      </w:pPr>
      <w:r>
        <w:rPr>
          <w:rFonts w:ascii="Arial" w:hAnsi="Arial"/>
        </w:rPr>
        <w:t xml:space="preserve">At the doses recommended above, Ultiva significantly reduces the amount of hypnotic agent required to maintain anaesthesia.  Therefore,  isoflurane and propofol should be administered as recommended above to avoid excessive depth of anaesthesia (see </w:t>
      </w:r>
      <w:r>
        <w:rPr>
          <w:rFonts w:ascii="Arial" w:hAnsi="Arial"/>
          <w:b/>
        </w:rPr>
        <w:t>Concomitant medication</w:t>
      </w:r>
      <w:r>
        <w:rPr>
          <w:rFonts w:ascii="Arial" w:hAnsi="Arial"/>
        </w:rPr>
        <w:t>).</w:t>
      </w:r>
    </w:p>
    <w:p w:rsidR="00E9027E" w:rsidRDefault="005A21BD">
      <w:pPr>
        <w:pStyle w:val="BodyText"/>
        <w:spacing w:after="120"/>
        <w:rPr>
          <w:rFonts w:ascii="Arial" w:hAnsi="Arial"/>
        </w:rPr>
      </w:pPr>
      <w:r>
        <w:rPr>
          <w:rFonts w:ascii="Arial" w:hAnsi="Arial"/>
        </w:rPr>
        <w:t>No data are available for dosage recommendations for simultaneous use of other hypnotics with Ultiva.</w:t>
      </w:r>
    </w:p>
    <w:p w:rsidR="00E9027E" w:rsidRDefault="00E9027E">
      <w:pPr>
        <w:pStyle w:val="Footer"/>
        <w:tabs>
          <w:tab w:val="clear" w:pos="4320"/>
          <w:tab w:val="clear" w:pos="8640"/>
        </w:tabs>
        <w:spacing w:after="120"/>
        <w:rPr>
          <w:rFonts w:ascii="Arial" w:hAnsi="Arial"/>
        </w:rPr>
      </w:pPr>
    </w:p>
    <w:p w:rsidR="00780E84" w:rsidRDefault="00780E84">
      <w:pPr>
        <w:spacing w:after="120"/>
        <w:rPr>
          <w:rFonts w:ascii="Arial" w:hAnsi="Arial"/>
          <w:b/>
        </w:rPr>
      </w:pPr>
    </w:p>
    <w:p w:rsidR="00E9027E" w:rsidRDefault="005A21BD">
      <w:pPr>
        <w:spacing w:after="120"/>
        <w:rPr>
          <w:rFonts w:ascii="Arial" w:hAnsi="Arial"/>
        </w:rPr>
      </w:pPr>
      <w:r>
        <w:rPr>
          <w:rFonts w:ascii="Arial" w:hAnsi="Arial"/>
          <w:b/>
        </w:rPr>
        <w:t>Induction of anaesthesia</w:t>
      </w:r>
    </w:p>
    <w:p w:rsidR="00E9027E" w:rsidRDefault="005A21BD">
      <w:pPr>
        <w:spacing w:after="120"/>
        <w:rPr>
          <w:rFonts w:ascii="Arial" w:hAnsi="Arial"/>
        </w:rPr>
      </w:pPr>
      <w:r>
        <w:rPr>
          <w:rFonts w:ascii="Arial" w:hAnsi="Arial"/>
        </w:rPr>
        <w:t xml:space="preserve">Ultiva should be administered with a hypnotic agent, such as propofol, thiopentone or isoflurane, for the induction of anaesthesia  </w:t>
      </w:r>
      <w:r>
        <w:rPr>
          <w:rFonts w:ascii="Arial" w:hAnsi="Arial"/>
          <w:b/>
          <w:shd w:val="clear" w:color="auto" w:fill="FFFFFF"/>
        </w:rPr>
        <w:t xml:space="preserve">(see </w:t>
      </w:r>
      <w:r w:rsidR="001224C3">
        <w:rPr>
          <w:rFonts w:ascii="Arial" w:hAnsi="Arial"/>
          <w:b/>
          <w:shd w:val="clear" w:color="auto" w:fill="FFFFFF"/>
        </w:rPr>
        <w:t>PRECAUTIONS</w:t>
      </w:r>
      <w:r>
        <w:rPr>
          <w:rFonts w:ascii="Arial" w:hAnsi="Arial"/>
          <w:b/>
          <w:shd w:val="clear" w:color="auto" w:fill="FFFFFF"/>
        </w:rPr>
        <w:t>: Muscle rigidity - prevention and management)</w:t>
      </w:r>
      <w:r>
        <w:rPr>
          <w:rFonts w:ascii="Arial" w:hAnsi="Arial"/>
          <w:shd w:val="clear" w:color="auto" w:fill="FFFFFF"/>
        </w:rPr>
        <w:t>.</w:t>
      </w:r>
      <w:r>
        <w:rPr>
          <w:rFonts w:ascii="Arial" w:hAnsi="Arial"/>
        </w:rPr>
        <w:t xml:space="preserve">  Ultiva can be administered at an infusion rate of 0.5 to 1 µg/kg/min with or without an </w:t>
      </w:r>
      <w:r>
        <w:rPr>
          <w:rFonts w:ascii="Arial" w:hAnsi="Arial"/>
          <w:b/>
        </w:rPr>
        <w:t xml:space="preserve">initial bolus infusion of 1 µg/kg </w:t>
      </w:r>
      <w:r>
        <w:rPr>
          <w:rFonts w:ascii="Arial" w:hAnsi="Arial"/>
          <w:b/>
          <w:shd w:val="clear" w:color="auto" w:fill="FFFFFF"/>
        </w:rPr>
        <w:t>over 60 seconds</w:t>
      </w:r>
      <w:r>
        <w:rPr>
          <w:rFonts w:ascii="Arial" w:hAnsi="Arial"/>
          <w:shd w:val="clear" w:color="auto" w:fill="FFFFFF"/>
        </w:rPr>
        <w:t xml:space="preserve">.  If endotracheal intubation is to occur more than 8 to 10 minutes after the start of the infusion of </w:t>
      </w:r>
      <w:r>
        <w:rPr>
          <w:rFonts w:ascii="Arial" w:hAnsi="Arial"/>
        </w:rPr>
        <w:t>Ultiva, then a bolus infusion is not necessary.</w:t>
      </w:r>
    </w:p>
    <w:p w:rsidR="00E9027E" w:rsidRDefault="00E9027E">
      <w:pPr>
        <w:pStyle w:val="Footer"/>
        <w:tabs>
          <w:tab w:val="clear" w:pos="4320"/>
          <w:tab w:val="clear" w:pos="8640"/>
        </w:tabs>
        <w:spacing w:after="120"/>
        <w:rPr>
          <w:rFonts w:ascii="Arial" w:hAnsi="Arial"/>
        </w:rPr>
      </w:pPr>
    </w:p>
    <w:p w:rsidR="00E9027E" w:rsidRDefault="005A21BD">
      <w:pPr>
        <w:pStyle w:val="Heading6"/>
        <w:spacing w:after="120"/>
        <w:rPr>
          <w:rFonts w:ascii="Arial" w:hAnsi="Arial"/>
        </w:rPr>
      </w:pPr>
      <w:r>
        <w:rPr>
          <w:rFonts w:ascii="Arial" w:hAnsi="Arial"/>
        </w:rPr>
        <w:t>Maintenance of anaesthesia in ventilated patients</w:t>
      </w:r>
    </w:p>
    <w:p w:rsidR="00E9027E" w:rsidRDefault="005A21BD">
      <w:pPr>
        <w:pStyle w:val="BodyText"/>
        <w:spacing w:after="120"/>
        <w:rPr>
          <w:rFonts w:ascii="Arial" w:hAnsi="Arial"/>
        </w:rPr>
      </w:pPr>
      <w:r>
        <w:rPr>
          <w:rFonts w:ascii="Arial" w:hAnsi="Arial"/>
        </w:rPr>
        <w:t>After endotracheal intubation, the infusion rate of Ultiva should be decreased, according to anaesthetic technique, as indicated in the above table.  Due to the fast onset and short duration of action of Ultiva, the rate of administration during anaesthesia can be titrated upward in 25% to 100% increments or downward in 25% to 50% decrements, every 2 to 5 minutes to attain the desired level of µ-opioid response.  In response to light anaesthesia, supplemental bolus infusions may be administered every 2 to 5 minutes.</w:t>
      </w:r>
    </w:p>
    <w:p w:rsidR="00E9027E" w:rsidRDefault="00E9027E">
      <w:pPr>
        <w:spacing w:after="120"/>
        <w:rPr>
          <w:rFonts w:ascii="Arial" w:hAnsi="Arial"/>
        </w:rPr>
      </w:pPr>
    </w:p>
    <w:p w:rsidR="00E9027E" w:rsidRDefault="005A21BD">
      <w:pPr>
        <w:spacing w:after="120"/>
        <w:rPr>
          <w:rFonts w:ascii="Arial" w:hAnsi="Arial"/>
          <w:b/>
        </w:rPr>
      </w:pPr>
      <w:r>
        <w:rPr>
          <w:rFonts w:ascii="Arial" w:hAnsi="Arial"/>
          <w:b/>
        </w:rPr>
        <w:t>Analgesia</w:t>
      </w:r>
    </w:p>
    <w:p w:rsidR="00E9027E" w:rsidRDefault="005A21BD">
      <w:pPr>
        <w:spacing w:after="120"/>
        <w:rPr>
          <w:rFonts w:ascii="Arial" w:hAnsi="Arial"/>
        </w:rPr>
      </w:pPr>
      <w:r>
        <w:rPr>
          <w:rFonts w:ascii="Arial" w:hAnsi="Arial"/>
        </w:rPr>
        <w:t>On cessation of infusion, Ultiva has a short-lasting analgesic effect.  Post-operative pain management should be considered and, where appropriate, begun prior to the termination of Ultiva infusion.</w:t>
      </w:r>
    </w:p>
    <w:p w:rsidR="00E9027E" w:rsidRDefault="00E9027E">
      <w:pPr>
        <w:spacing w:after="120"/>
        <w:rPr>
          <w:rFonts w:ascii="Arial" w:hAnsi="Arial"/>
        </w:rPr>
      </w:pPr>
    </w:p>
    <w:p w:rsidR="00E9027E" w:rsidRDefault="005A21BD">
      <w:pPr>
        <w:spacing w:after="120"/>
        <w:rPr>
          <w:rFonts w:ascii="Arial" w:hAnsi="Arial"/>
          <w:b/>
        </w:rPr>
      </w:pPr>
      <w:r>
        <w:rPr>
          <w:rFonts w:ascii="Arial" w:hAnsi="Arial"/>
          <w:b/>
        </w:rPr>
        <w:t>Guidelines for discontinuation</w:t>
      </w:r>
    </w:p>
    <w:p w:rsidR="00E9027E" w:rsidRDefault="005A21BD">
      <w:pPr>
        <w:spacing w:after="120"/>
        <w:rPr>
          <w:rFonts w:ascii="Arial" w:hAnsi="Arial"/>
        </w:rPr>
      </w:pPr>
      <w:r>
        <w:rPr>
          <w:rFonts w:ascii="Arial" w:hAnsi="Arial"/>
        </w:rPr>
        <w:t xml:space="preserve">Upon discontinuation of Ultiva the intravenous tubing should be cleared to prevent the inadvertent administration of Ultiva at a later point in time (see </w:t>
      </w:r>
      <w:r>
        <w:rPr>
          <w:rFonts w:ascii="Arial" w:hAnsi="Arial"/>
          <w:b/>
        </w:rPr>
        <w:t>PRECAUTIONS</w:t>
      </w:r>
      <w:r>
        <w:rPr>
          <w:rFonts w:ascii="Arial" w:hAnsi="Arial"/>
        </w:rPr>
        <w:t>).  Due to the rapid offset of action of Ultiva, no residual opioid activity will be present within 5 to 10 minutes after discontinuation. For those patients undergoing surgical procedures where post-operative pain is generally anticipated, alternative analgesics should be administered prior to discontinuation of Ultiva.  Sufficient time must be allowed to reach the maximum effect of the longer acting analgesic.  The choice of analgesic should be appropriate for the patient's surgical procedure and the level of follow-up care.</w:t>
      </w:r>
    </w:p>
    <w:p w:rsidR="00E9027E" w:rsidRDefault="00E9027E">
      <w:pPr>
        <w:pStyle w:val="Footer"/>
        <w:tabs>
          <w:tab w:val="clear" w:pos="4320"/>
          <w:tab w:val="clear" w:pos="8640"/>
        </w:tabs>
        <w:spacing w:after="120"/>
        <w:rPr>
          <w:rFonts w:ascii="Arial" w:hAnsi="Arial"/>
        </w:rPr>
      </w:pPr>
    </w:p>
    <w:p w:rsidR="00E9027E" w:rsidRDefault="005A21BD">
      <w:pPr>
        <w:pStyle w:val="Heading6"/>
        <w:spacing w:after="120"/>
        <w:rPr>
          <w:rFonts w:ascii="Arial" w:hAnsi="Arial"/>
        </w:rPr>
      </w:pPr>
      <w:r>
        <w:rPr>
          <w:rFonts w:ascii="Arial" w:hAnsi="Arial"/>
        </w:rPr>
        <w:t>Concomitant medication</w:t>
      </w:r>
    </w:p>
    <w:p w:rsidR="00922616" w:rsidRDefault="005A21BD">
      <w:pPr>
        <w:spacing w:after="120"/>
        <w:rPr>
          <w:rFonts w:ascii="Arial" w:hAnsi="Arial"/>
        </w:rPr>
      </w:pPr>
      <w:r>
        <w:rPr>
          <w:rFonts w:ascii="Arial" w:hAnsi="Arial"/>
        </w:rPr>
        <w:t xml:space="preserve">Ultiva decreases the dose of inhaled anaesthetics, hypnotics and benzodiazepines required for anaesthesia (see </w:t>
      </w:r>
      <w:r>
        <w:rPr>
          <w:rFonts w:ascii="Arial" w:hAnsi="Arial"/>
          <w:b/>
        </w:rPr>
        <w:t>PRECAUTIONS</w:t>
      </w:r>
      <w:r>
        <w:rPr>
          <w:rFonts w:ascii="Arial" w:hAnsi="Arial"/>
        </w:rPr>
        <w:t xml:space="preserve"> and </w:t>
      </w:r>
      <w:r w:rsidR="00D1131E">
        <w:rPr>
          <w:rFonts w:ascii="Arial" w:hAnsi="Arial"/>
          <w:b/>
        </w:rPr>
        <w:t>INTERACTIONS WITH OTHER MEDICINES</w:t>
      </w:r>
      <w:r>
        <w:rPr>
          <w:rFonts w:ascii="Arial" w:hAnsi="Arial"/>
        </w:rPr>
        <w:t>).</w:t>
      </w:r>
    </w:p>
    <w:p w:rsidR="00E9027E" w:rsidRDefault="005A21BD">
      <w:pPr>
        <w:spacing w:after="120"/>
        <w:rPr>
          <w:rFonts w:ascii="Arial" w:hAnsi="Arial"/>
        </w:rPr>
      </w:pPr>
      <w:r>
        <w:rPr>
          <w:rFonts w:ascii="Arial" w:hAnsi="Arial"/>
        </w:rPr>
        <w:lastRenderedPageBreak/>
        <w:t>Doses of the following agents used in anaesthesia, isoflurane, thiopentone, propofol and temazepam have been reduced by up to 75% when used concurrently with Ultiva.</w:t>
      </w:r>
    </w:p>
    <w:p w:rsidR="00E9027E" w:rsidRDefault="00E9027E">
      <w:pPr>
        <w:spacing w:after="120"/>
        <w:rPr>
          <w:rFonts w:ascii="Arial" w:hAnsi="Arial"/>
        </w:rPr>
      </w:pPr>
    </w:p>
    <w:p w:rsidR="00E9027E" w:rsidRDefault="00D54072">
      <w:pPr>
        <w:spacing w:after="120"/>
        <w:rPr>
          <w:rFonts w:ascii="Arial" w:hAnsi="Arial"/>
          <w:b/>
          <w:u w:val="single"/>
        </w:rPr>
      </w:pPr>
      <w:r w:rsidRPr="00D54072">
        <w:rPr>
          <w:rFonts w:ascii="Arial" w:hAnsi="Arial"/>
          <w:b/>
          <w:u w:val="single"/>
        </w:rPr>
        <w:t>Administration by Target-Controlled Infusion</w:t>
      </w:r>
    </w:p>
    <w:p w:rsidR="00E9027E" w:rsidRDefault="00D54072">
      <w:pPr>
        <w:spacing w:after="120"/>
        <w:rPr>
          <w:rFonts w:ascii="Arial" w:hAnsi="Arial" w:cs="Arial"/>
        </w:rPr>
      </w:pPr>
      <w:r w:rsidRPr="00D54072">
        <w:rPr>
          <w:rFonts w:ascii="Arial" w:hAnsi="Arial" w:cs="Arial"/>
          <w:b/>
        </w:rPr>
        <w:t>Induction and maintenance of anaesthesia in ventilated patients</w:t>
      </w:r>
      <w:r w:rsidRPr="00D54072">
        <w:rPr>
          <w:rFonts w:ascii="Arial" w:hAnsi="Arial" w:cs="Arial"/>
        </w:rPr>
        <w:t xml:space="preserve">: </w:t>
      </w:r>
      <w:r w:rsidR="00191D3E">
        <w:rPr>
          <w:rFonts w:ascii="Arial" w:hAnsi="Arial" w:cs="Arial"/>
        </w:rPr>
        <w:t>Ultiva</w:t>
      </w:r>
      <w:r w:rsidRPr="00D54072">
        <w:rPr>
          <w:rFonts w:ascii="Arial" w:hAnsi="Arial" w:cs="Arial"/>
        </w:rPr>
        <w:t xml:space="preserve"> TCI should be used in association with an intravenous or inhalational hypnotic agent during the induction and maintenance of anaesthesia in ventilated adult patients (see Table 4). In association with these agents, adequate analgesia for induction of anaesthesia and surgery can generally be achieved with target blood remifentanil concentrations ranging from 3 to 8 ng/m</w:t>
      </w:r>
      <w:r w:rsidR="00191D3E">
        <w:rPr>
          <w:rFonts w:ascii="Arial" w:hAnsi="Arial" w:cs="Arial"/>
        </w:rPr>
        <w:t>L</w:t>
      </w:r>
      <w:r w:rsidRPr="00D54072">
        <w:rPr>
          <w:rFonts w:ascii="Arial" w:hAnsi="Arial" w:cs="Arial"/>
        </w:rPr>
        <w:t xml:space="preserve">.  </w:t>
      </w:r>
      <w:r w:rsidR="00FC4081">
        <w:rPr>
          <w:rFonts w:ascii="Arial" w:hAnsi="Arial" w:cs="Arial"/>
        </w:rPr>
        <w:t xml:space="preserve">Ultiva </w:t>
      </w:r>
      <w:r w:rsidRPr="00D54072">
        <w:rPr>
          <w:rFonts w:ascii="Arial" w:hAnsi="Arial" w:cs="Arial"/>
        </w:rPr>
        <w:t xml:space="preserve"> should be titrated to individual patient response.  For particularly stimulating surgical procedures target blood concentrations up to 15 ng/m</w:t>
      </w:r>
      <w:r w:rsidR="00FC4081">
        <w:rPr>
          <w:rFonts w:ascii="Arial" w:hAnsi="Arial" w:cs="Arial"/>
        </w:rPr>
        <w:t>L</w:t>
      </w:r>
      <w:r w:rsidRPr="00D54072">
        <w:rPr>
          <w:rFonts w:ascii="Arial" w:hAnsi="Arial" w:cs="Arial"/>
        </w:rPr>
        <w:t xml:space="preserve"> may be required.</w:t>
      </w:r>
    </w:p>
    <w:p w:rsidR="00E9027E" w:rsidRDefault="002D4930">
      <w:pPr>
        <w:spacing w:after="120"/>
        <w:rPr>
          <w:rFonts w:ascii="Arial" w:hAnsi="Arial" w:cs="Arial"/>
        </w:rPr>
      </w:pPr>
      <w:r>
        <w:rPr>
          <w:rFonts w:ascii="Arial" w:hAnsi="Arial" w:cs="Arial"/>
        </w:rPr>
        <w:t>As with manually-controlled infusion, a</w:t>
      </w:r>
      <w:r w:rsidR="00D54072" w:rsidRPr="00D54072">
        <w:rPr>
          <w:rFonts w:ascii="Arial" w:hAnsi="Arial" w:cs="Arial"/>
        </w:rPr>
        <w:t xml:space="preserve">t the doses recommended above, </w:t>
      </w:r>
      <w:r w:rsidR="00FC4081">
        <w:rPr>
          <w:rFonts w:ascii="Arial" w:hAnsi="Arial" w:cs="Arial"/>
        </w:rPr>
        <w:t>Ultiva</w:t>
      </w:r>
      <w:r w:rsidR="00D54072" w:rsidRPr="00D54072">
        <w:rPr>
          <w:rFonts w:ascii="Arial" w:hAnsi="Arial" w:cs="Arial"/>
        </w:rPr>
        <w:t xml:space="preserve"> significantly reduces the amount of hypnotic agent required to maintain anaesthesia.  Therefore, isoflurane and propofol should be administered as recommended above to avoid excessive depth of anaesthesia (see Table 4).</w:t>
      </w:r>
    </w:p>
    <w:p w:rsidR="00E9027E" w:rsidRDefault="00D54072">
      <w:pPr>
        <w:spacing w:after="120"/>
        <w:rPr>
          <w:rFonts w:ascii="Arial" w:hAnsi="Arial" w:cs="Arial"/>
        </w:rPr>
      </w:pPr>
      <w:r w:rsidRPr="00D54072">
        <w:rPr>
          <w:rFonts w:ascii="Arial" w:hAnsi="Arial" w:cs="Arial"/>
        </w:rPr>
        <w:t>There are insufficient data to make recommendations on the use of TCI for spontaneous ventilation anaesthesia.</w:t>
      </w:r>
    </w:p>
    <w:p w:rsidR="00E9027E" w:rsidRDefault="00E9027E">
      <w:pPr>
        <w:spacing w:after="120"/>
        <w:rPr>
          <w:rFonts w:ascii="Arial" w:hAnsi="Arial" w:cs="Arial"/>
        </w:rPr>
      </w:pPr>
    </w:p>
    <w:p w:rsidR="00E9027E" w:rsidRDefault="00D54072">
      <w:pPr>
        <w:spacing w:after="120"/>
        <w:rPr>
          <w:rFonts w:ascii="Arial" w:hAnsi="Arial" w:cs="Arial"/>
          <w:b/>
        </w:rPr>
      </w:pPr>
      <w:r w:rsidRPr="00D54072">
        <w:rPr>
          <w:rFonts w:ascii="Arial" w:hAnsi="Arial" w:cs="Arial"/>
          <w:b/>
        </w:rPr>
        <w:t>Guidelines for discontinuation/continuation into the immediate post-operative period:</w:t>
      </w:r>
      <w:r w:rsidRPr="00D54072">
        <w:rPr>
          <w:rFonts w:ascii="Arial" w:hAnsi="Arial" w:cs="Arial"/>
        </w:rPr>
        <w:t xml:space="preserve"> At the end of surgery when the TCI infusion is stopped or the target concentration reduced, spontaneous respiration is likely to return at calculated remifentanil concentrations in the region of 1 to 2 ng/m</w:t>
      </w:r>
      <w:r w:rsidR="00191D3E">
        <w:rPr>
          <w:rFonts w:ascii="Arial" w:hAnsi="Arial" w:cs="Arial"/>
        </w:rPr>
        <w:t>L</w:t>
      </w:r>
      <w:r w:rsidRPr="00D54072">
        <w:rPr>
          <w:rFonts w:ascii="Arial" w:hAnsi="Arial" w:cs="Arial"/>
        </w:rPr>
        <w:t>.  As with manually-controlled infusion, post-operative analgesia should be established before the end of surgery with longer acting analgesics (</w:t>
      </w:r>
      <w:r w:rsidRPr="00D54072">
        <w:rPr>
          <w:rFonts w:ascii="Arial" w:hAnsi="Arial" w:cs="Arial"/>
          <w:i/>
        </w:rPr>
        <w:t>see</w:t>
      </w:r>
      <w:r w:rsidRPr="00D54072">
        <w:rPr>
          <w:rFonts w:ascii="Arial" w:hAnsi="Arial" w:cs="Arial"/>
          <w:b/>
          <w:i/>
        </w:rPr>
        <w:t xml:space="preserve"> Guidelines for discontinuation </w:t>
      </w:r>
      <w:r w:rsidRPr="00D54072">
        <w:rPr>
          <w:rFonts w:ascii="Arial" w:hAnsi="Arial" w:cs="Arial"/>
        </w:rPr>
        <w:t>under</w:t>
      </w:r>
      <w:r w:rsidRPr="00D54072">
        <w:rPr>
          <w:rFonts w:ascii="Arial" w:hAnsi="Arial" w:cs="Arial"/>
          <w:b/>
          <w:i/>
        </w:rPr>
        <w:t xml:space="preserve"> </w:t>
      </w:r>
      <w:r w:rsidR="00D1131E">
        <w:rPr>
          <w:rFonts w:ascii="Arial" w:hAnsi="Arial" w:cs="Arial"/>
          <w:b/>
          <w:i/>
        </w:rPr>
        <w:t>DOSAGE and ADMINISTRATION</w:t>
      </w:r>
      <w:r w:rsidRPr="00D54072">
        <w:rPr>
          <w:rFonts w:ascii="Arial" w:hAnsi="Arial" w:cs="Arial"/>
          <w:b/>
          <w:i/>
        </w:rPr>
        <w:t xml:space="preserve"> - General Anaesthesia </w:t>
      </w:r>
      <w:r w:rsidR="00FC4081">
        <w:rPr>
          <w:rFonts w:ascii="Arial" w:hAnsi="Arial" w:cs="Arial"/>
          <w:b/>
          <w:i/>
        </w:rPr>
        <w:t>–</w:t>
      </w:r>
      <w:r w:rsidRPr="00D54072">
        <w:rPr>
          <w:rFonts w:ascii="Arial" w:hAnsi="Arial" w:cs="Arial"/>
          <w:b/>
          <w:i/>
        </w:rPr>
        <w:t xml:space="preserve"> </w:t>
      </w:r>
      <w:r w:rsidR="00FC4081">
        <w:rPr>
          <w:rFonts w:ascii="Arial" w:hAnsi="Arial" w:cs="Arial"/>
          <w:b/>
          <w:i/>
        </w:rPr>
        <w:t xml:space="preserve">Dosage in </w:t>
      </w:r>
      <w:r w:rsidRPr="00D54072">
        <w:rPr>
          <w:rFonts w:ascii="Arial" w:hAnsi="Arial" w:cs="Arial"/>
          <w:b/>
          <w:i/>
        </w:rPr>
        <w:t xml:space="preserve">Adults </w:t>
      </w:r>
      <w:r w:rsidR="00FC4081">
        <w:rPr>
          <w:rFonts w:ascii="Arial" w:hAnsi="Arial" w:cs="Arial"/>
          <w:b/>
          <w:i/>
        </w:rPr>
        <w:t>–</w:t>
      </w:r>
      <w:r w:rsidRPr="00D54072">
        <w:rPr>
          <w:rFonts w:ascii="Arial" w:hAnsi="Arial" w:cs="Arial"/>
          <w:b/>
          <w:i/>
        </w:rPr>
        <w:t xml:space="preserve"> </w:t>
      </w:r>
      <w:r w:rsidR="00FC4081">
        <w:rPr>
          <w:rFonts w:ascii="Arial" w:hAnsi="Arial" w:cs="Arial"/>
          <w:b/>
          <w:i/>
        </w:rPr>
        <w:t xml:space="preserve">Administration by </w:t>
      </w:r>
      <w:r w:rsidRPr="00D54072">
        <w:rPr>
          <w:rFonts w:ascii="Arial" w:hAnsi="Arial" w:cs="Arial"/>
          <w:b/>
          <w:i/>
        </w:rPr>
        <w:t>Manually-Controlled Infusion</w:t>
      </w:r>
      <w:r w:rsidRPr="00D54072">
        <w:rPr>
          <w:rFonts w:ascii="Arial" w:hAnsi="Arial" w:cs="Arial"/>
          <w:b/>
        </w:rPr>
        <w:t>).</w:t>
      </w:r>
    </w:p>
    <w:p w:rsidR="00E9027E" w:rsidRDefault="00E9027E">
      <w:pPr>
        <w:spacing w:after="120"/>
        <w:rPr>
          <w:rFonts w:ascii="Arial" w:hAnsi="Arial" w:cs="Arial"/>
          <w:b/>
        </w:rPr>
      </w:pPr>
    </w:p>
    <w:p w:rsidR="00E9027E" w:rsidRDefault="00D54072">
      <w:pPr>
        <w:spacing w:after="120"/>
        <w:rPr>
          <w:rFonts w:ascii="Arial" w:hAnsi="Arial" w:cs="Arial"/>
        </w:rPr>
      </w:pPr>
      <w:r w:rsidRPr="00D54072">
        <w:rPr>
          <w:rFonts w:ascii="Arial" w:hAnsi="Arial" w:cs="Arial"/>
        </w:rPr>
        <w:t xml:space="preserve">There are insufficient data to make recommendations on the use of TCI for the management of post-operative analgesia. </w:t>
      </w:r>
    </w:p>
    <w:p w:rsidR="00E9027E" w:rsidRDefault="00E9027E">
      <w:pPr>
        <w:spacing w:after="120"/>
        <w:rPr>
          <w:rFonts w:ascii="Arial" w:hAnsi="Arial"/>
        </w:rPr>
      </w:pPr>
    </w:p>
    <w:p w:rsidR="00E9027E" w:rsidRDefault="005A21BD">
      <w:pPr>
        <w:pStyle w:val="BodyText"/>
        <w:tabs>
          <w:tab w:val="left" w:pos="426"/>
        </w:tabs>
        <w:spacing w:after="120"/>
        <w:rPr>
          <w:rFonts w:ascii="Arial" w:hAnsi="Arial"/>
          <w:b/>
        </w:rPr>
      </w:pPr>
      <w:r>
        <w:rPr>
          <w:rFonts w:ascii="Arial" w:hAnsi="Arial"/>
          <w:b/>
        </w:rPr>
        <w:t>1.2</w:t>
      </w:r>
      <w:r>
        <w:rPr>
          <w:rFonts w:ascii="Arial" w:hAnsi="Arial"/>
          <w:b/>
        </w:rPr>
        <w:tab/>
      </w:r>
      <w:r>
        <w:rPr>
          <w:rFonts w:ascii="Arial" w:hAnsi="Arial"/>
          <w:b/>
          <w:shd w:val="clear" w:color="auto" w:fill="FFFFFF"/>
        </w:rPr>
        <w:t>Dosage in</w:t>
      </w:r>
      <w:r>
        <w:rPr>
          <w:rFonts w:ascii="Arial" w:hAnsi="Arial"/>
          <w:b/>
        </w:rPr>
        <w:t xml:space="preserve"> Paediatric patients (1-12 years of age)</w:t>
      </w:r>
    </w:p>
    <w:p w:rsidR="00E9027E" w:rsidRDefault="00003BCC">
      <w:pPr>
        <w:pStyle w:val="BodyText"/>
        <w:spacing w:after="120"/>
        <w:rPr>
          <w:rFonts w:ascii="Arial" w:hAnsi="Arial"/>
          <w:b/>
          <w:u w:val="single"/>
        </w:rPr>
      </w:pPr>
      <w:r w:rsidRPr="00003BCC">
        <w:rPr>
          <w:rFonts w:ascii="Arial" w:hAnsi="Arial"/>
          <w:b/>
          <w:u w:val="single"/>
        </w:rPr>
        <w:t>Administration by Manually-Controlled Infusion</w:t>
      </w:r>
    </w:p>
    <w:p w:rsidR="00922616" w:rsidRDefault="005A21BD">
      <w:pPr>
        <w:pStyle w:val="NoNumHead3"/>
        <w:keepNext w:val="0"/>
        <w:tabs>
          <w:tab w:val="left" w:pos="2552"/>
        </w:tabs>
        <w:spacing w:before="0" w:after="120"/>
        <w:rPr>
          <w:sz w:val="22"/>
        </w:rPr>
      </w:pPr>
      <w:r>
        <w:rPr>
          <w:sz w:val="22"/>
        </w:rPr>
        <w:t xml:space="preserve">Induction of anaesthesia: </w:t>
      </w:r>
    </w:p>
    <w:p w:rsidR="00922616" w:rsidRDefault="005A21BD">
      <w:pPr>
        <w:pStyle w:val="NoNumHead3"/>
        <w:keepNext w:val="0"/>
        <w:tabs>
          <w:tab w:val="left" w:pos="2552"/>
        </w:tabs>
        <w:spacing w:before="0" w:after="120"/>
        <w:rPr>
          <w:b w:val="0"/>
          <w:sz w:val="22"/>
        </w:rPr>
      </w:pPr>
      <w:r>
        <w:rPr>
          <w:b w:val="0"/>
          <w:sz w:val="22"/>
        </w:rPr>
        <w:t>There are insufficient data to make a dosage recommendation.</w:t>
      </w:r>
    </w:p>
    <w:p w:rsidR="00E9027E" w:rsidRDefault="00E9027E">
      <w:pPr>
        <w:rPr>
          <w:rFonts w:cs="Arial"/>
          <w:b/>
          <w:szCs w:val="22"/>
        </w:rPr>
      </w:pPr>
    </w:p>
    <w:p w:rsidR="00E9027E" w:rsidRDefault="00D54072">
      <w:pPr>
        <w:rPr>
          <w:rFonts w:ascii="Arial" w:hAnsi="Arial" w:cs="Arial"/>
          <w:szCs w:val="22"/>
        </w:rPr>
      </w:pPr>
      <w:r w:rsidRPr="00D54072">
        <w:rPr>
          <w:rFonts w:ascii="Arial" w:hAnsi="Arial" w:cs="Arial"/>
          <w:b/>
          <w:szCs w:val="22"/>
        </w:rPr>
        <w:t>Maintenance of anaesthesia:</w:t>
      </w:r>
    </w:p>
    <w:p w:rsidR="00E9027E" w:rsidRDefault="00E9027E">
      <w:pPr>
        <w:rPr>
          <w:rFonts w:ascii="Arial" w:hAnsi="Arial" w:cs="Arial"/>
          <w:szCs w:val="22"/>
        </w:rPr>
      </w:pPr>
    </w:p>
    <w:p w:rsidR="00E9027E" w:rsidRDefault="00D54072">
      <w:pPr>
        <w:jc w:val="center"/>
        <w:rPr>
          <w:rFonts w:ascii="Arial" w:hAnsi="Arial" w:cs="Arial"/>
          <w:b/>
          <w:szCs w:val="22"/>
        </w:rPr>
      </w:pPr>
      <w:r w:rsidRPr="00D54072">
        <w:rPr>
          <w:rFonts w:ascii="Arial" w:hAnsi="Arial" w:cs="Arial"/>
          <w:b/>
          <w:szCs w:val="22"/>
        </w:rPr>
        <w:t>Table 5: DOSING GUIDELINES FOR MAINTENANCE OF ANAESTHESIA</w:t>
      </w:r>
    </w:p>
    <w:p w:rsidR="00E9027E" w:rsidRDefault="00D54072">
      <w:pPr>
        <w:jc w:val="center"/>
        <w:rPr>
          <w:rFonts w:ascii="Arial" w:hAnsi="Arial" w:cs="Arial"/>
          <w:b/>
          <w:szCs w:val="22"/>
        </w:rPr>
      </w:pPr>
      <w:r w:rsidRPr="00D54072">
        <w:rPr>
          <w:rFonts w:ascii="Arial" w:hAnsi="Arial" w:cs="Arial"/>
          <w:b/>
          <w:szCs w:val="22"/>
        </w:rPr>
        <w:t>IN PAEDIATRIC PATIENTS (1-12 years of age)</w:t>
      </w:r>
    </w:p>
    <w:p w:rsidR="00E9027E" w:rsidRDefault="00E9027E">
      <w:pPr>
        <w:rPr>
          <w:rFonts w:ascii="Arial" w:hAnsi="Arial" w:cs="Arial"/>
          <w:sz w:val="20"/>
        </w:rPr>
      </w:pPr>
    </w:p>
    <w:tbl>
      <w:tblPr>
        <w:tblW w:w="0" w:type="auto"/>
        <w:tblLayout w:type="fixed"/>
        <w:tblCellMar>
          <w:left w:w="107" w:type="dxa"/>
          <w:right w:w="107" w:type="dxa"/>
        </w:tblCellMar>
        <w:tblLook w:val="0000"/>
      </w:tblPr>
      <w:tblGrid>
        <w:gridCol w:w="3437"/>
        <w:gridCol w:w="1439"/>
        <w:gridCol w:w="2126"/>
        <w:gridCol w:w="2127"/>
      </w:tblGrid>
      <w:tr w:rsidR="005A21BD" w:rsidRPr="007C4DF6">
        <w:trPr>
          <w:cantSplit/>
        </w:trPr>
        <w:tc>
          <w:tcPr>
            <w:tcW w:w="3437" w:type="dxa"/>
            <w:vMerge w:val="restart"/>
            <w:tcBorders>
              <w:top w:val="single" w:sz="6" w:space="0" w:color="auto"/>
              <w:left w:val="single" w:sz="6" w:space="0" w:color="auto"/>
              <w:right w:val="single" w:sz="6" w:space="0" w:color="auto"/>
            </w:tcBorders>
            <w:vAlign w:val="center"/>
          </w:tcPr>
          <w:p w:rsidR="00E9027E" w:rsidRDefault="00D54072">
            <w:pPr>
              <w:rPr>
                <w:rFonts w:ascii="Arial" w:hAnsi="Arial" w:cs="Arial"/>
                <w:sz w:val="20"/>
              </w:rPr>
            </w:pPr>
            <w:r w:rsidRPr="00D54072">
              <w:rPr>
                <w:rFonts w:ascii="Arial" w:hAnsi="Arial" w:cs="Arial"/>
                <w:sz w:val="20"/>
              </w:rPr>
              <w:t>*Concomitant Anaesthetic Agent</w:t>
            </w:r>
          </w:p>
        </w:tc>
        <w:tc>
          <w:tcPr>
            <w:tcW w:w="1439" w:type="dxa"/>
            <w:vMerge w:val="restart"/>
            <w:tcBorders>
              <w:top w:val="single" w:sz="6" w:space="0" w:color="auto"/>
              <w:left w:val="nil"/>
              <w:right w:val="single" w:sz="6" w:space="0" w:color="auto"/>
            </w:tcBorders>
          </w:tcPr>
          <w:p w:rsidR="00E9027E" w:rsidRDefault="00D54072">
            <w:pPr>
              <w:rPr>
                <w:rFonts w:ascii="Arial" w:hAnsi="Arial" w:cs="Arial"/>
                <w:sz w:val="20"/>
              </w:rPr>
            </w:pPr>
            <w:r w:rsidRPr="00D54072">
              <w:rPr>
                <w:rFonts w:ascii="Arial" w:hAnsi="Arial" w:cs="Arial"/>
                <w:sz w:val="20"/>
              </w:rPr>
              <w:t>Ultiva</w:t>
            </w:r>
          </w:p>
          <w:p w:rsidR="00E9027E" w:rsidRDefault="00D54072">
            <w:pPr>
              <w:rPr>
                <w:rFonts w:ascii="Arial" w:hAnsi="Arial" w:cs="Arial"/>
                <w:sz w:val="20"/>
              </w:rPr>
            </w:pPr>
            <w:r w:rsidRPr="00D54072">
              <w:rPr>
                <w:rFonts w:ascii="Arial" w:hAnsi="Arial" w:cs="Arial"/>
                <w:sz w:val="20"/>
              </w:rPr>
              <w:t>Bolus Injection</w:t>
            </w:r>
          </w:p>
          <w:p w:rsidR="00E9027E" w:rsidRDefault="00D54072">
            <w:pPr>
              <w:rPr>
                <w:rFonts w:ascii="Arial" w:hAnsi="Arial" w:cs="Arial"/>
                <w:sz w:val="20"/>
              </w:rPr>
            </w:pPr>
            <w:r w:rsidRPr="00D54072">
              <w:rPr>
                <w:rFonts w:ascii="Arial" w:hAnsi="Arial" w:cs="Arial"/>
                <w:sz w:val="20"/>
              </w:rPr>
              <w:t>(Optional)</w:t>
            </w:r>
            <w:r w:rsidRPr="00D54072">
              <w:rPr>
                <w:rFonts w:ascii="Arial" w:hAnsi="Arial" w:cs="Arial"/>
                <w:sz w:val="20"/>
              </w:rPr>
              <w:br/>
              <w:t>(</w:t>
            </w:r>
            <w:r w:rsidR="008540FE" w:rsidRPr="00D54072">
              <w:rPr>
                <w:rFonts w:ascii="Arial" w:hAnsi="Arial" w:cs="Arial"/>
                <w:sz w:val="20"/>
              </w:rPr>
              <w:fldChar w:fldCharType="begin"/>
            </w:r>
            <w:r w:rsidRPr="00D54072">
              <w:rPr>
                <w:rFonts w:ascii="Arial" w:hAnsi="Arial" w:cs="Arial"/>
                <w:sz w:val="20"/>
              </w:rPr>
              <w:instrText>SYMBOL 109 \f "Symbol"</w:instrText>
            </w:r>
            <w:r w:rsidR="008540FE" w:rsidRPr="00D54072">
              <w:rPr>
                <w:rFonts w:ascii="Arial" w:hAnsi="Arial" w:cs="Arial"/>
                <w:sz w:val="20"/>
              </w:rPr>
              <w:fldChar w:fldCharType="end"/>
            </w:r>
            <w:r w:rsidRPr="00D54072">
              <w:rPr>
                <w:rFonts w:ascii="Arial" w:hAnsi="Arial" w:cs="Arial"/>
                <w:sz w:val="20"/>
              </w:rPr>
              <w:t>g/kg)</w:t>
            </w:r>
          </w:p>
        </w:tc>
        <w:tc>
          <w:tcPr>
            <w:tcW w:w="4253" w:type="dxa"/>
            <w:gridSpan w:val="2"/>
            <w:tcBorders>
              <w:top w:val="single" w:sz="6" w:space="0" w:color="auto"/>
              <w:left w:val="nil"/>
              <w:bottom w:val="single" w:sz="6" w:space="0" w:color="auto"/>
              <w:right w:val="single" w:sz="6" w:space="0" w:color="auto"/>
            </w:tcBorders>
            <w:vAlign w:val="center"/>
          </w:tcPr>
          <w:p w:rsidR="00E9027E" w:rsidRDefault="00D54072">
            <w:pPr>
              <w:rPr>
                <w:rFonts w:ascii="Arial" w:hAnsi="Arial" w:cs="Arial"/>
                <w:sz w:val="20"/>
              </w:rPr>
            </w:pPr>
            <w:r w:rsidRPr="00D54072">
              <w:rPr>
                <w:rFonts w:ascii="Arial" w:hAnsi="Arial" w:cs="Arial"/>
                <w:sz w:val="20"/>
              </w:rPr>
              <w:t>Ultiva Continuous Infusion</w:t>
            </w:r>
            <w:r w:rsidRPr="00D54072">
              <w:rPr>
                <w:rFonts w:ascii="Arial" w:hAnsi="Arial" w:cs="Arial"/>
                <w:sz w:val="20"/>
              </w:rPr>
              <w:br/>
              <w:t>(</w:t>
            </w:r>
            <w:r w:rsidR="008540FE" w:rsidRPr="00D54072">
              <w:rPr>
                <w:rFonts w:ascii="Arial" w:hAnsi="Arial" w:cs="Arial"/>
                <w:sz w:val="20"/>
              </w:rPr>
              <w:fldChar w:fldCharType="begin"/>
            </w:r>
            <w:r w:rsidRPr="00D54072">
              <w:rPr>
                <w:rFonts w:ascii="Arial" w:hAnsi="Arial" w:cs="Arial"/>
                <w:sz w:val="20"/>
              </w:rPr>
              <w:instrText>SYMBOL 109 \f "Symbol"</w:instrText>
            </w:r>
            <w:r w:rsidR="008540FE" w:rsidRPr="00D54072">
              <w:rPr>
                <w:rFonts w:ascii="Arial" w:hAnsi="Arial" w:cs="Arial"/>
                <w:sz w:val="20"/>
              </w:rPr>
              <w:fldChar w:fldCharType="end"/>
            </w:r>
            <w:r w:rsidRPr="00D54072">
              <w:rPr>
                <w:rFonts w:ascii="Arial" w:hAnsi="Arial" w:cs="Arial"/>
                <w:sz w:val="20"/>
              </w:rPr>
              <w:t>g/kg/min)</w:t>
            </w:r>
          </w:p>
        </w:tc>
      </w:tr>
      <w:tr w:rsidR="005A21BD" w:rsidRPr="007C4DF6">
        <w:trPr>
          <w:cantSplit/>
        </w:trPr>
        <w:tc>
          <w:tcPr>
            <w:tcW w:w="3437" w:type="dxa"/>
            <w:vMerge/>
            <w:tcBorders>
              <w:left w:val="single" w:sz="6" w:space="0" w:color="auto"/>
              <w:bottom w:val="single" w:sz="4" w:space="0" w:color="auto"/>
              <w:right w:val="single" w:sz="6" w:space="0" w:color="auto"/>
            </w:tcBorders>
          </w:tcPr>
          <w:p w:rsidR="00E9027E" w:rsidRDefault="00E9027E">
            <w:pPr>
              <w:rPr>
                <w:rFonts w:ascii="Arial" w:hAnsi="Arial" w:cs="Arial"/>
                <w:sz w:val="20"/>
              </w:rPr>
            </w:pPr>
          </w:p>
        </w:tc>
        <w:tc>
          <w:tcPr>
            <w:tcW w:w="1439" w:type="dxa"/>
            <w:vMerge/>
            <w:tcBorders>
              <w:left w:val="nil"/>
              <w:bottom w:val="single" w:sz="4" w:space="0" w:color="auto"/>
              <w:right w:val="single" w:sz="6" w:space="0" w:color="auto"/>
            </w:tcBorders>
          </w:tcPr>
          <w:p w:rsidR="00E9027E" w:rsidRDefault="00E9027E">
            <w:pPr>
              <w:rPr>
                <w:rFonts w:ascii="Arial" w:hAnsi="Arial" w:cs="Arial"/>
                <w:sz w:val="20"/>
              </w:rPr>
            </w:pPr>
          </w:p>
        </w:tc>
        <w:tc>
          <w:tcPr>
            <w:tcW w:w="2126" w:type="dxa"/>
            <w:tcBorders>
              <w:top w:val="single" w:sz="6" w:space="0" w:color="auto"/>
              <w:left w:val="nil"/>
              <w:bottom w:val="single" w:sz="4" w:space="0" w:color="auto"/>
              <w:right w:val="single" w:sz="6" w:space="0" w:color="auto"/>
            </w:tcBorders>
          </w:tcPr>
          <w:p w:rsidR="00E9027E" w:rsidRDefault="00D54072">
            <w:pPr>
              <w:rPr>
                <w:rFonts w:ascii="Arial" w:hAnsi="Arial" w:cs="Arial"/>
                <w:sz w:val="20"/>
              </w:rPr>
            </w:pPr>
            <w:r w:rsidRPr="00D54072">
              <w:rPr>
                <w:rFonts w:ascii="Arial" w:hAnsi="Arial" w:cs="Arial"/>
                <w:sz w:val="20"/>
              </w:rPr>
              <w:t>Starting Rate</w:t>
            </w:r>
          </w:p>
        </w:tc>
        <w:tc>
          <w:tcPr>
            <w:tcW w:w="2126" w:type="dxa"/>
            <w:tcBorders>
              <w:top w:val="single" w:sz="6" w:space="0" w:color="auto"/>
              <w:left w:val="single" w:sz="6" w:space="0" w:color="auto"/>
              <w:bottom w:val="single" w:sz="4" w:space="0" w:color="auto"/>
              <w:right w:val="single" w:sz="6" w:space="0" w:color="auto"/>
            </w:tcBorders>
          </w:tcPr>
          <w:p w:rsidR="00E9027E" w:rsidRDefault="00D54072">
            <w:pPr>
              <w:rPr>
                <w:rFonts w:ascii="Arial" w:hAnsi="Arial" w:cs="Arial"/>
                <w:sz w:val="20"/>
              </w:rPr>
            </w:pPr>
            <w:r w:rsidRPr="00D54072">
              <w:rPr>
                <w:rFonts w:ascii="Arial" w:hAnsi="Arial" w:cs="Arial"/>
                <w:sz w:val="20"/>
              </w:rPr>
              <w:t>Typical Maintenance Rates</w:t>
            </w:r>
          </w:p>
        </w:tc>
      </w:tr>
      <w:tr w:rsidR="005A21BD" w:rsidRPr="007C4DF6">
        <w:tc>
          <w:tcPr>
            <w:tcW w:w="3437" w:type="dxa"/>
            <w:tcBorders>
              <w:left w:val="single" w:sz="6" w:space="0" w:color="auto"/>
              <w:right w:val="single" w:sz="6" w:space="0" w:color="auto"/>
            </w:tcBorders>
          </w:tcPr>
          <w:p w:rsidR="00E9027E" w:rsidRDefault="00D54072">
            <w:pPr>
              <w:rPr>
                <w:rFonts w:ascii="Arial" w:hAnsi="Arial" w:cs="Arial"/>
                <w:sz w:val="20"/>
              </w:rPr>
            </w:pPr>
            <w:r w:rsidRPr="00D54072">
              <w:rPr>
                <w:rFonts w:ascii="Arial" w:hAnsi="Arial" w:cs="Arial"/>
                <w:sz w:val="20"/>
              </w:rPr>
              <w:t>Halothane (starting dose 0.3</w:t>
            </w:r>
            <w:smartTag w:uri="urn:schemas-microsoft-com:office:smarttags" w:element="stockticker">
              <w:r w:rsidRPr="00D54072">
                <w:rPr>
                  <w:rFonts w:ascii="Arial" w:hAnsi="Arial" w:cs="Arial"/>
                  <w:sz w:val="20"/>
                </w:rPr>
                <w:t>MAC</w:t>
              </w:r>
            </w:smartTag>
            <w:r w:rsidRPr="00D54072">
              <w:rPr>
                <w:rFonts w:ascii="Arial" w:hAnsi="Arial" w:cs="Arial"/>
                <w:sz w:val="20"/>
              </w:rPr>
              <w:t>)</w:t>
            </w:r>
          </w:p>
        </w:tc>
        <w:tc>
          <w:tcPr>
            <w:tcW w:w="1439" w:type="dxa"/>
            <w:tcBorders>
              <w:left w:val="nil"/>
              <w:right w:val="single" w:sz="6" w:space="0" w:color="auto"/>
            </w:tcBorders>
          </w:tcPr>
          <w:p w:rsidR="00E9027E" w:rsidRDefault="00D54072">
            <w:pPr>
              <w:rPr>
                <w:rFonts w:ascii="Arial" w:hAnsi="Arial" w:cs="Arial"/>
                <w:sz w:val="20"/>
              </w:rPr>
            </w:pPr>
            <w:r w:rsidRPr="00D54072">
              <w:rPr>
                <w:rFonts w:ascii="Arial" w:hAnsi="Arial" w:cs="Arial"/>
                <w:sz w:val="20"/>
              </w:rPr>
              <w:t>1</w:t>
            </w:r>
          </w:p>
        </w:tc>
        <w:tc>
          <w:tcPr>
            <w:tcW w:w="2126" w:type="dxa"/>
            <w:tcBorders>
              <w:left w:val="nil"/>
              <w:right w:val="single" w:sz="6" w:space="0" w:color="auto"/>
            </w:tcBorders>
          </w:tcPr>
          <w:p w:rsidR="00E9027E" w:rsidRDefault="00D54072">
            <w:pPr>
              <w:rPr>
                <w:rFonts w:ascii="Arial" w:hAnsi="Arial" w:cs="Arial"/>
                <w:sz w:val="20"/>
              </w:rPr>
            </w:pPr>
            <w:r w:rsidRPr="00D54072">
              <w:rPr>
                <w:rFonts w:ascii="Arial" w:hAnsi="Arial" w:cs="Arial"/>
                <w:sz w:val="20"/>
              </w:rPr>
              <w:t>0.25</w:t>
            </w:r>
          </w:p>
        </w:tc>
        <w:tc>
          <w:tcPr>
            <w:tcW w:w="2126" w:type="dxa"/>
            <w:tcBorders>
              <w:left w:val="nil"/>
              <w:right w:val="single" w:sz="6" w:space="0" w:color="auto"/>
            </w:tcBorders>
          </w:tcPr>
          <w:p w:rsidR="00E9027E" w:rsidRDefault="00D54072">
            <w:pPr>
              <w:rPr>
                <w:rFonts w:ascii="Arial" w:hAnsi="Arial" w:cs="Arial"/>
                <w:sz w:val="20"/>
              </w:rPr>
            </w:pPr>
            <w:r w:rsidRPr="00D54072">
              <w:rPr>
                <w:rFonts w:ascii="Arial" w:hAnsi="Arial" w:cs="Arial"/>
                <w:sz w:val="20"/>
              </w:rPr>
              <w:t>0.05 to 1.3</w:t>
            </w:r>
          </w:p>
        </w:tc>
      </w:tr>
      <w:tr w:rsidR="005A21BD" w:rsidRPr="007C4DF6">
        <w:tc>
          <w:tcPr>
            <w:tcW w:w="3437" w:type="dxa"/>
            <w:tcBorders>
              <w:left w:val="single" w:sz="6" w:space="0" w:color="auto"/>
              <w:right w:val="single" w:sz="6" w:space="0" w:color="auto"/>
            </w:tcBorders>
          </w:tcPr>
          <w:p w:rsidR="00E9027E" w:rsidRDefault="00D54072">
            <w:pPr>
              <w:rPr>
                <w:rFonts w:ascii="Arial" w:hAnsi="Arial" w:cs="Arial"/>
                <w:sz w:val="20"/>
              </w:rPr>
            </w:pPr>
            <w:r w:rsidRPr="00D54072">
              <w:rPr>
                <w:rFonts w:ascii="Arial" w:hAnsi="Arial" w:cs="Arial"/>
                <w:sz w:val="20"/>
              </w:rPr>
              <w:t>Sevoflurane (starting dose 0.3</w:t>
            </w:r>
            <w:smartTag w:uri="urn:schemas-microsoft-com:office:smarttags" w:element="stockticker">
              <w:r w:rsidRPr="00D54072">
                <w:rPr>
                  <w:rFonts w:ascii="Arial" w:hAnsi="Arial" w:cs="Arial"/>
                  <w:sz w:val="20"/>
                </w:rPr>
                <w:t>MAC</w:t>
              </w:r>
            </w:smartTag>
            <w:r w:rsidRPr="00D54072">
              <w:rPr>
                <w:rFonts w:ascii="Arial" w:hAnsi="Arial" w:cs="Arial"/>
                <w:sz w:val="20"/>
              </w:rPr>
              <w:t>)</w:t>
            </w:r>
          </w:p>
        </w:tc>
        <w:tc>
          <w:tcPr>
            <w:tcW w:w="1439" w:type="dxa"/>
            <w:tcBorders>
              <w:left w:val="nil"/>
              <w:right w:val="single" w:sz="6" w:space="0" w:color="auto"/>
            </w:tcBorders>
          </w:tcPr>
          <w:p w:rsidR="00E9027E" w:rsidRDefault="00D54072">
            <w:pPr>
              <w:rPr>
                <w:rFonts w:ascii="Arial" w:hAnsi="Arial" w:cs="Arial"/>
                <w:sz w:val="20"/>
              </w:rPr>
            </w:pPr>
            <w:r w:rsidRPr="00D54072">
              <w:rPr>
                <w:rFonts w:ascii="Arial" w:hAnsi="Arial" w:cs="Arial"/>
                <w:sz w:val="20"/>
              </w:rPr>
              <w:t>1</w:t>
            </w:r>
          </w:p>
        </w:tc>
        <w:tc>
          <w:tcPr>
            <w:tcW w:w="2126" w:type="dxa"/>
            <w:tcBorders>
              <w:left w:val="nil"/>
              <w:right w:val="single" w:sz="6" w:space="0" w:color="auto"/>
            </w:tcBorders>
          </w:tcPr>
          <w:p w:rsidR="00E9027E" w:rsidRDefault="00D54072">
            <w:pPr>
              <w:rPr>
                <w:rFonts w:ascii="Arial" w:hAnsi="Arial" w:cs="Arial"/>
                <w:sz w:val="20"/>
              </w:rPr>
            </w:pPr>
            <w:r w:rsidRPr="00D54072">
              <w:rPr>
                <w:rFonts w:ascii="Arial" w:hAnsi="Arial" w:cs="Arial"/>
                <w:sz w:val="20"/>
              </w:rPr>
              <w:t>0.25</w:t>
            </w:r>
          </w:p>
        </w:tc>
        <w:tc>
          <w:tcPr>
            <w:tcW w:w="2126" w:type="dxa"/>
            <w:tcBorders>
              <w:left w:val="nil"/>
              <w:right w:val="single" w:sz="6" w:space="0" w:color="auto"/>
            </w:tcBorders>
          </w:tcPr>
          <w:p w:rsidR="00E9027E" w:rsidRDefault="00D54072">
            <w:pPr>
              <w:rPr>
                <w:rFonts w:ascii="Arial" w:hAnsi="Arial" w:cs="Arial"/>
                <w:sz w:val="20"/>
              </w:rPr>
            </w:pPr>
            <w:r w:rsidRPr="00D54072">
              <w:rPr>
                <w:rFonts w:ascii="Arial" w:hAnsi="Arial" w:cs="Arial"/>
                <w:sz w:val="20"/>
              </w:rPr>
              <w:t>0.05 to 0.9</w:t>
            </w:r>
          </w:p>
        </w:tc>
      </w:tr>
      <w:tr w:rsidR="005A21BD" w:rsidRPr="007C4DF6">
        <w:tc>
          <w:tcPr>
            <w:tcW w:w="3437" w:type="dxa"/>
            <w:tcBorders>
              <w:left w:val="single" w:sz="4" w:space="0" w:color="auto"/>
              <w:bottom w:val="single" w:sz="4" w:space="0" w:color="auto"/>
              <w:right w:val="single" w:sz="4" w:space="0" w:color="auto"/>
            </w:tcBorders>
          </w:tcPr>
          <w:p w:rsidR="00E9027E" w:rsidRDefault="00D54072">
            <w:pPr>
              <w:rPr>
                <w:rFonts w:ascii="Arial" w:hAnsi="Arial" w:cs="Arial"/>
                <w:sz w:val="20"/>
              </w:rPr>
            </w:pPr>
            <w:r w:rsidRPr="00D54072">
              <w:rPr>
                <w:rFonts w:ascii="Arial" w:hAnsi="Arial" w:cs="Arial"/>
                <w:sz w:val="20"/>
              </w:rPr>
              <w:lastRenderedPageBreak/>
              <w:t>Isoflurane (starting dose 0.5</w:t>
            </w:r>
            <w:smartTag w:uri="urn:schemas-microsoft-com:office:smarttags" w:element="stockticker">
              <w:r w:rsidRPr="00D54072">
                <w:rPr>
                  <w:rFonts w:ascii="Arial" w:hAnsi="Arial" w:cs="Arial"/>
                  <w:sz w:val="20"/>
                </w:rPr>
                <w:t>MAC</w:t>
              </w:r>
            </w:smartTag>
            <w:r w:rsidRPr="00D54072">
              <w:rPr>
                <w:rFonts w:ascii="Arial" w:hAnsi="Arial" w:cs="Arial"/>
                <w:sz w:val="20"/>
              </w:rPr>
              <w:t>)</w:t>
            </w:r>
          </w:p>
        </w:tc>
        <w:tc>
          <w:tcPr>
            <w:tcW w:w="1439" w:type="dxa"/>
            <w:tcBorders>
              <w:left w:val="single" w:sz="4" w:space="0" w:color="auto"/>
              <w:bottom w:val="single" w:sz="4" w:space="0" w:color="auto"/>
              <w:right w:val="single" w:sz="4" w:space="0" w:color="auto"/>
            </w:tcBorders>
          </w:tcPr>
          <w:p w:rsidR="00E9027E" w:rsidRDefault="00D54072">
            <w:pPr>
              <w:rPr>
                <w:rFonts w:ascii="Arial" w:hAnsi="Arial" w:cs="Arial"/>
                <w:sz w:val="20"/>
              </w:rPr>
            </w:pPr>
            <w:r w:rsidRPr="00D54072">
              <w:rPr>
                <w:rFonts w:ascii="Arial" w:hAnsi="Arial" w:cs="Arial"/>
                <w:sz w:val="20"/>
              </w:rPr>
              <w:t>1</w:t>
            </w:r>
          </w:p>
        </w:tc>
        <w:tc>
          <w:tcPr>
            <w:tcW w:w="2126" w:type="dxa"/>
            <w:tcBorders>
              <w:left w:val="single" w:sz="4" w:space="0" w:color="auto"/>
              <w:bottom w:val="single" w:sz="4" w:space="0" w:color="auto"/>
              <w:right w:val="single" w:sz="4" w:space="0" w:color="auto"/>
            </w:tcBorders>
          </w:tcPr>
          <w:p w:rsidR="00E9027E" w:rsidRDefault="00D54072">
            <w:pPr>
              <w:rPr>
                <w:rFonts w:ascii="Arial" w:hAnsi="Arial" w:cs="Arial"/>
                <w:sz w:val="20"/>
              </w:rPr>
            </w:pPr>
            <w:r w:rsidRPr="00D54072">
              <w:rPr>
                <w:rFonts w:ascii="Arial" w:hAnsi="Arial" w:cs="Arial"/>
                <w:sz w:val="20"/>
              </w:rPr>
              <w:t>0.25</w:t>
            </w:r>
          </w:p>
        </w:tc>
        <w:tc>
          <w:tcPr>
            <w:tcW w:w="2126" w:type="dxa"/>
            <w:tcBorders>
              <w:left w:val="single" w:sz="4" w:space="0" w:color="auto"/>
              <w:bottom w:val="single" w:sz="4" w:space="0" w:color="auto"/>
              <w:right w:val="single" w:sz="4" w:space="0" w:color="auto"/>
            </w:tcBorders>
          </w:tcPr>
          <w:p w:rsidR="00E9027E" w:rsidRDefault="00D54072">
            <w:pPr>
              <w:rPr>
                <w:rFonts w:ascii="Arial" w:hAnsi="Arial" w:cs="Arial"/>
                <w:sz w:val="20"/>
              </w:rPr>
            </w:pPr>
            <w:r w:rsidRPr="00D54072">
              <w:rPr>
                <w:rFonts w:ascii="Arial" w:hAnsi="Arial" w:cs="Arial"/>
                <w:sz w:val="20"/>
              </w:rPr>
              <w:t>0.06 to 0.9</w:t>
            </w:r>
          </w:p>
        </w:tc>
      </w:tr>
    </w:tbl>
    <w:p w:rsidR="00E9027E" w:rsidRDefault="00D54072">
      <w:pPr>
        <w:rPr>
          <w:rFonts w:ascii="Arial" w:hAnsi="Arial" w:cs="Arial"/>
          <w:sz w:val="20"/>
        </w:rPr>
      </w:pPr>
      <w:r w:rsidRPr="00D54072">
        <w:rPr>
          <w:rFonts w:ascii="Arial" w:hAnsi="Arial" w:cs="Arial"/>
          <w:sz w:val="20"/>
        </w:rPr>
        <w:t>*co-administered with nitrous oxide/oxygen in a ratio of 2:1</w:t>
      </w:r>
    </w:p>
    <w:p w:rsidR="005A21BD" w:rsidRDefault="005A21BD">
      <w:pPr>
        <w:tabs>
          <w:tab w:val="left" w:pos="2552"/>
        </w:tabs>
        <w:rPr>
          <w:rFonts w:ascii="Arial" w:hAnsi="Arial"/>
        </w:rPr>
      </w:pPr>
    </w:p>
    <w:p w:rsidR="00E9027E" w:rsidRDefault="00A56518">
      <w:pPr>
        <w:tabs>
          <w:tab w:val="left" w:pos="2552"/>
        </w:tabs>
        <w:spacing w:after="120"/>
        <w:rPr>
          <w:rFonts w:ascii="Arial" w:hAnsi="Arial"/>
          <w:szCs w:val="22"/>
        </w:rPr>
      </w:pPr>
      <w:r w:rsidRPr="00A56518">
        <w:rPr>
          <w:rFonts w:ascii="Arial" w:hAnsi="Arial"/>
          <w:szCs w:val="22"/>
        </w:rPr>
        <w:t xml:space="preserve">When given by bolus injection Ultiva should be administered </w:t>
      </w:r>
      <w:r w:rsidRPr="00A56518">
        <w:rPr>
          <w:rFonts w:ascii="Arial" w:hAnsi="Arial"/>
          <w:szCs w:val="22"/>
          <w:shd w:val="clear" w:color="auto" w:fill="FFFFFF"/>
        </w:rPr>
        <w:t xml:space="preserve">over not less than 30 </w:t>
      </w:r>
      <w:r w:rsidR="00922616" w:rsidRPr="00922616">
        <w:rPr>
          <w:rFonts w:ascii="Arial" w:hAnsi="Arial"/>
          <w:szCs w:val="22"/>
          <w:shd w:val="clear" w:color="auto" w:fill="FFFFFF"/>
        </w:rPr>
        <w:t>seconds.</w:t>
      </w:r>
      <w:r w:rsidR="00567E52" w:rsidRPr="00567E52">
        <w:rPr>
          <w:rFonts w:ascii="Arial" w:hAnsi="Arial"/>
          <w:szCs w:val="22"/>
        </w:rPr>
        <w:t xml:space="preserve">  Surgery should not commence until at least 5 minutes after the start of the Ultiva infusion, if a simultaneous bolus dose has not been given.  Paediatric patients should be monitored and the dose titrated to the depth of ana</w:t>
      </w:r>
      <w:r w:rsidR="003B54CA" w:rsidRPr="003B54CA">
        <w:rPr>
          <w:rFonts w:ascii="Arial" w:hAnsi="Arial"/>
          <w:szCs w:val="22"/>
        </w:rPr>
        <w:t>lgesia appropriate for the sur</w:t>
      </w:r>
      <w:r w:rsidR="009D0AAB" w:rsidRPr="009D0AAB">
        <w:rPr>
          <w:rFonts w:ascii="Arial" w:hAnsi="Arial"/>
          <w:szCs w:val="22"/>
        </w:rPr>
        <w:t>gical procedure.</w:t>
      </w:r>
    </w:p>
    <w:p w:rsidR="00E9027E" w:rsidRDefault="00D54072">
      <w:pPr>
        <w:shd w:val="clear" w:color="auto" w:fill="FFFFFF"/>
        <w:tabs>
          <w:tab w:val="left" w:pos="2552"/>
        </w:tabs>
        <w:spacing w:after="120"/>
        <w:rPr>
          <w:rFonts w:ascii="Arial" w:hAnsi="Arial"/>
          <w:b/>
          <w:szCs w:val="22"/>
        </w:rPr>
      </w:pPr>
      <w:r w:rsidRPr="00D54072">
        <w:rPr>
          <w:rFonts w:ascii="Arial" w:hAnsi="Arial"/>
          <w:b/>
          <w:szCs w:val="22"/>
        </w:rPr>
        <w:t xml:space="preserve">Concomitant medication:  </w:t>
      </w:r>
    </w:p>
    <w:p w:rsidR="00E9027E" w:rsidRDefault="00D54072">
      <w:pPr>
        <w:shd w:val="clear" w:color="auto" w:fill="FFFFFF"/>
        <w:tabs>
          <w:tab w:val="left" w:pos="2552"/>
        </w:tabs>
        <w:spacing w:after="120"/>
        <w:rPr>
          <w:rFonts w:ascii="Arial" w:hAnsi="Arial"/>
          <w:szCs w:val="22"/>
        </w:rPr>
      </w:pPr>
      <w:r w:rsidRPr="00D54072">
        <w:rPr>
          <w:rFonts w:ascii="Arial" w:hAnsi="Arial"/>
          <w:szCs w:val="22"/>
        </w:rPr>
        <w:t xml:space="preserve">At the doses recommended above, Ultiva significantly reduces the amount of hypnotic agent required to maintain anaesthesia.  Therefore isoflurane, halothane and sevoflurane should be administered as recommended above to avoid excessive depth of anaesthesia.  No data are available for dosage recommendations for simultaneous use of other hypnotics with Ultiva (see </w:t>
      </w:r>
      <w:r w:rsidRPr="00D54072">
        <w:rPr>
          <w:rFonts w:ascii="Arial" w:hAnsi="Arial"/>
          <w:b/>
          <w:szCs w:val="22"/>
          <w:shd w:val="clear" w:color="auto" w:fill="FFFFFF"/>
        </w:rPr>
        <w:t xml:space="preserve">Dosage in </w:t>
      </w:r>
      <w:r w:rsidRPr="00D54072">
        <w:rPr>
          <w:rFonts w:ascii="Arial" w:hAnsi="Arial"/>
          <w:b/>
          <w:szCs w:val="22"/>
        </w:rPr>
        <w:t>Adults - Concomitant medication</w:t>
      </w:r>
      <w:r w:rsidRPr="00D54072">
        <w:rPr>
          <w:rFonts w:ascii="Arial" w:hAnsi="Arial"/>
          <w:szCs w:val="22"/>
        </w:rPr>
        <w:t>).</w:t>
      </w:r>
    </w:p>
    <w:p w:rsidR="00E9027E" w:rsidRDefault="00E9027E">
      <w:pPr>
        <w:pStyle w:val="Footer"/>
        <w:shd w:val="clear" w:color="auto" w:fill="FFFFFF"/>
        <w:tabs>
          <w:tab w:val="clear" w:pos="4320"/>
          <w:tab w:val="clear" w:pos="8640"/>
          <w:tab w:val="left" w:pos="2552"/>
        </w:tabs>
        <w:spacing w:after="120"/>
        <w:rPr>
          <w:rFonts w:ascii="Arial" w:hAnsi="Arial"/>
          <w:szCs w:val="22"/>
        </w:rPr>
      </w:pPr>
    </w:p>
    <w:p w:rsidR="009A75F1" w:rsidRDefault="009A75F1">
      <w:pPr>
        <w:shd w:val="clear" w:color="auto" w:fill="FFFFFF"/>
        <w:tabs>
          <w:tab w:val="left" w:pos="2552"/>
        </w:tabs>
        <w:spacing w:after="120"/>
        <w:rPr>
          <w:rFonts w:ascii="Arial" w:hAnsi="Arial"/>
          <w:b/>
          <w:szCs w:val="22"/>
        </w:rPr>
      </w:pPr>
    </w:p>
    <w:p w:rsidR="00E9027E" w:rsidRDefault="00D54072">
      <w:pPr>
        <w:shd w:val="clear" w:color="auto" w:fill="FFFFFF"/>
        <w:tabs>
          <w:tab w:val="left" w:pos="2552"/>
        </w:tabs>
        <w:spacing w:after="120"/>
        <w:rPr>
          <w:rFonts w:ascii="Arial" w:hAnsi="Arial"/>
          <w:szCs w:val="22"/>
        </w:rPr>
      </w:pPr>
      <w:r w:rsidRPr="00D54072">
        <w:rPr>
          <w:rFonts w:ascii="Arial" w:hAnsi="Arial"/>
          <w:b/>
          <w:szCs w:val="22"/>
        </w:rPr>
        <w:t>Guidelines for discontinuation:</w:t>
      </w:r>
      <w:r w:rsidRPr="00D54072">
        <w:rPr>
          <w:rFonts w:ascii="Arial" w:hAnsi="Arial"/>
          <w:szCs w:val="22"/>
        </w:rPr>
        <w:t xml:space="preserve">  </w:t>
      </w:r>
    </w:p>
    <w:p w:rsidR="00E9027E" w:rsidRDefault="00D54072">
      <w:pPr>
        <w:shd w:val="clear" w:color="auto" w:fill="FFFFFF"/>
        <w:tabs>
          <w:tab w:val="left" w:pos="2552"/>
        </w:tabs>
        <w:spacing w:after="120"/>
        <w:rPr>
          <w:rFonts w:ascii="Arial" w:hAnsi="Arial"/>
          <w:szCs w:val="22"/>
        </w:rPr>
      </w:pPr>
      <w:r w:rsidRPr="00D54072">
        <w:rPr>
          <w:rFonts w:ascii="Arial" w:hAnsi="Arial"/>
          <w:szCs w:val="22"/>
        </w:rPr>
        <w:t xml:space="preserve">Following discontinuation of the infusion, the offset of analgesic effect of Ultiva is rapid and similar to that seen in adult patients.  Appropriate post-operative analgesic requirements should be anticipated and implemented (see </w:t>
      </w:r>
      <w:r w:rsidRPr="00D54072">
        <w:rPr>
          <w:rFonts w:ascii="Arial" w:hAnsi="Arial"/>
          <w:b/>
          <w:szCs w:val="22"/>
          <w:shd w:val="clear" w:color="auto" w:fill="FFFFFF"/>
        </w:rPr>
        <w:t xml:space="preserve">Dosage in </w:t>
      </w:r>
      <w:r w:rsidRPr="00D54072">
        <w:rPr>
          <w:rFonts w:ascii="Arial" w:hAnsi="Arial"/>
          <w:b/>
          <w:szCs w:val="22"/>
        </w:rPr>
        <w:t>Adults - Guidelines for discontinuation</w:t>
      </w:r>
      <w:r w:rsidRPr="00D54072">
        <w:rPr>
          <w:rFonts w:ascii="Arial" w:hAnsi="Arial"/>
          <w:szCs w:val="22"/>
        </w:rPr>
        <w:t>).</w:t>
      </w:r>
    </w:p>
    <w:p w:rsidR="00E9027E" w:rsidRDefault="00E9027E">
      <w:pPr>
        <w:shd w:val="clear" w:color="auto" w:fill="FFFFFF"/>
        <w:tabs>
          <w:tab w:val="left" w:pos="2552"/>
        </w:tabs>
        <w:spacing w:after="120"/>
        <w:rPr>
          <w:rFonts w:ascii="Arial" w:hAnsi="Arial"/>
          <w:szCs w:val="22"/>
        </w:rPr>
      </w:pPr>
    </w:p>
    <w:p w:rsidR="00E9027E" w:rsidRDefault="00D54072">
      <w:pPr>
        <w:shd w:val="clear" w:color="auto" w:fill="FFFFFF"/>
        <w:tabs>
          <w:tab w:val="left" w:pos="2552"/>
        </w:tabs>
        <w:spacing w:after="120"/>
        <w:rPr>
          <w:rFonts w:ascii="Arial" w:hAnsi="Arial"/>
          <w:b/>
          <w:szCs w:val="22"/>
          <w:u w:val="single"/>
        </w:rPr>
      </w:pPr>
      <w:r w:rsidRPr="00D54072">
        <w:rPr>
          <w:rFonts w:ascii="Arial" w:hAnsi="Arial"/>
          <w:b/>
          <w:szCs w:val="22"/>
          <w:u w:val="single"/>
        </w:rPr>
        <w:t>Administration by Target-Controlled Infusion</w:t>
      </w:r>
    </w:p>
    <w:p w:rsidR="00E9027E" w:rsidRDefault="00A56518">
      <w:pPr>
        <w:shd w:val="clear" w:color="auto" w:fill="FFFFFF"/>
        <w:tabs>
          <w:tab w:val="left" w:pos="2552"/>
        </w:tabs>
        <w:spacing w:after="120"/>
        <w:rPr>
          <w:rFonts w:ascii="Arial" w:hAnsi="Arial"/>
          <w:szCs w:val="22"/>
        </w:rPr>
      </w:pPr>
      <w:r w:rsidRPr="00A56518">
        <w:rPr>
          <w:rFonts w:ascii="Arial" w:hAnsi="Arial"/>
          <w:szCs w:val="22"/>
        </w:rPr>
        <w:t>Ultiva TCI has not been studied in paediatric patients.</w:t>
      </w:r>
    </w:p>
    <w:p w:rsidR="00E9027E" w:rsidRDefault="00E9027E">
      <w:pPr>
        <w:shd w:val="clear" w:color="auto" w:fill="FFFFFF"/>
        <w:tabs>
          <w:tab w:val="left" w:pos="2552"/>
        </w:tabs>
        <w:spacing w:after="120"/>
        <w:rPr>
          <w:rFonts w:ascii="Arial" w:hAnsi="Arial"/>
          <w:b/>
          <w:szCs w:val="22"/>
        </w:rPr>
      </w:pPr>
    </w:p>
    <w:p w:rsidR="00E9027E" w:rsidRDefault="00567E52">
      <w:pPr>
        <w:pStyle w:val="Heading6"/>
        <w:tabs>
          <w:tab w:val="left" w:pos="2552"/>
        </w:tabs>
        <w:spacing w:after="120"/>
        <w:rPr>
          <w:rFonts w:ascii="Arial" w:hAnsi="Arial"/>
          <w:szCs w:val="22"/>
        </w:rPr>
      </w:pPr>
      <w:r w:rsidRPr="00567E52">
        <w:rPr>
          <w:rFonts w:ascii="Arial" w:hAnsi="Arial"/>
          <w:szCs w:val="22"/>
        </w:rPr>
        <w:t xml:space="preserve">Paediatric patients aged less than 1 year: </w:t>
      </w:r>
    </w:p>
    <w:p w:rsidR="00E9027E" w:rsidRDefault="009D0AAB">
      <w:pPr>
        <w:tabs>
          <w:tab w:val="left" w:pos="2552"/>
        </w:tabs>
        <w:spacing w:after="120"/>
        <w:rPr>
          <w:rFonts w:ascii="Arial" w:hAnsi="Arial"/>
          <w:szCs w:val="22"/>
        </w:rPr>
      </w:pPr>
      <w:r w:rsidRPr="009D0AAB">
        <w:rPr>
          <w:rFonts w:ascii="Arial" w:hAnsi="Arial"/>
          <w:szCs w:val="22"/>
        </w:rPr>
        <w:t>The pharmacokinetic profile of remifentanil in paediatric patients aged more than 2 months is comparable to that seen in adults after correction for body weight differences.  However, there are insufficient pharmacokinetic and clinical data to make dosage recommendations for patients aged less than</w:t>
      </w:r>
      <w:r w:rsidR="00D54072" w:rsidRPr="00D54072">
        <w:rPr>
          <w:rFonts w:ascii="Arial" w:hAnsi="Arial"/>
          <w:szCs w:val="22"/>
        </w:rPr>
        <w:t xml:space="preserve"> 1 year.</w:t>
      </w:r>
    </w:p>
    <w:p w:rsidR="00E9027E" w:rsidRDefault="00E9027E">
      <w:pPr>
        <w:tabs>
          <w:tab w:val="left" w:pos="2552"/>
        </w:tabs>
        <w:spacing w:after="120"/>
        <w:rPr>
          <w:rFonts w:ascii="Arial" w:hAnsi="Arial"/>
          <w:szCs w:val="22"/>
        </w:rPr>
      </w:pPr>
    </w:p>
    <w:p w:rsidR="00E9027E" w:rsidRDefault="00D54072">
      <w:pPr>
        <w:pStyle w:val="Footer"/>
        <w:numPr>
          <w:ilvl w:val="0"/>
          <w:numId w:val="19"/>
        </w:numPr>
        <w:shd w:val="clear" w:color="auto" w:fill="FFFFFF"/>
        <w:tabs>
          <w:tab w:val="clear" w:pos="4320"/>
          <w:tab w:val="clear" w:pos="8640"/>
        </w:tabs>
        <w:spacing w:after="120"/>
        <w:rPr>
          <w:rFonts w:ascii="Arial" w:hAnsi="Arial"/>
          <w:b/>
          <w:szCs w:val="22"/>
        </w:rPr>
      </w:pPr>
      <w:r w:rsidRPr="00D54072">
        <w:rPr>
          <w:rFonts w:ascii="Arial" w:hAnsi="Arial"/>
          <w:b/>
          <w:szCs w:val="22"/>
        </w:rPr>
        <w:t>Cardiac Anaesthesia:</w:t>
      </w:r>
    </w:p>
    <w:p w:rsidR="00E9027E" w:rsidRDefault="00A56518">
      <w:pPr>
        <w:numPr>
          <w:ilvl w:val="1"/>
          <w:numId w:val="7"/>
        </w:numPr>
        <w:tabs>
          <w:tab w:val="clear" w:pos="360"/>
          <w:tab w:val="left" w:pos="426"/>
        </w:tabs>
        <w:spacing w:after="120"/>
        <w:ind w:left="426" w:hanging="426"/>
        <w:rPr>
          <w:rFonts w:ascii="Arial" w:hAnsi="Arial"/>
          <w:b/>
          <w:szCs w:val="22"/>
        </w:rPr>
      </w:pPr>
      <w:r w:rsidRPr="00A56518">
        <w:rPr>
          <w:rFonts w:ascii="Arial" w:hAnsi="Arial"/>
          <w:b/>
          <w:szCs w:val="22"/>
        </w:rPr>
        <w:t>Dosage in Adults</w:t>
      </w:r>
    </w:p>
    <w:p w:rsidR="00E9027E" w:rsidRDefault="00D54072">
      <w:pPr>
        <w:tabs>
          <w:tab w:val="left" w:pos="426"/>
        </w:tabs>
        <w:spacing w:after="120"/>
        <w:rPr>
          <w:rFonts w:ascii="Arial" w:hAnsi="Arial"/>
          <w:b/>
          <w:szCs w:val="22"/>
          <w:u w:val="single"/>
        </w:rPr>
      </w:pPr>
      <w:r w:rsidRPr="00D54072">
        <w:rPr>
          <w:rFonts w:ascii="Arial" w:hAnsi="Arial"/>
          <w:b/>
          <w:szCs w:val="22"/>
          <w:u w:val="single"/>
        </w:rPr>
        <w:t>Administration by Manually-Controlled Infusion</w:t>
      </w:r>
    </w:p>
    <w:p w:rsidR="00E9027E" w:rsidRDefault="00A56518">
      <w:pPr>
        <w:pStyle w:val="Heading5"/>
        <w:shd w:val="clear" w:color="auto" w:fill="FFFFFF"/>
        <w:spacing w:after="120"/>
        <w:rPr>
          <w:rFonts w:ascii="Arial" w:hAnsi="Arial"/>
          <w:szCs w:val="22"/>
        </w:rPr>
      </w:pPr>
      <w:r w:rsidRPr="00A56518">
        <w:rPr>
          <w:rFonts w:ascii="Arial" w:hAnsi="Arial"/>
          <w:szCs w:val="22"/>
        </w:rPr>
        <w:t>Table 6: DOSING GUIDELINES FOR CARDIAC ANAESTHESIA</w:t>
      </w:r>
    </w:p>
    <w:tbl>
      <w:tblPr>
        <w:tblW w:w="0" w:type="auto"/>
        <w:tblLayout w:type="fixed"/>
        <w:tblCellMar>
          <w:left w:w="107" w:type="dxa"/>
          <w:right w:w="107" w:type="dxa"/>
        </w:tblCellMar>
        <w:tblLook w:val="0000"/>
      </w:tblPr>
      <w:tblGrid>
        <w:gridCol w:w="3033"/>
        <w:gridCol w:w="1843"/>
        <w:gridCol w:w="2126"/>
        <w:gridCol w:w="2127"/>
      </w:tblGrid>
      <w:tr w:rsidR="005A21BD" w:rsidRPr="00FA788F">
        <w:trPr>
          <w:cantSplit/>
        </w:trPr>
        <w:tc>
          <w:tcPr>
            <w:tcW w:w="3033" w:type="dxa"/>
            <w:vMerge w:val="restart"/>
            <w:tcBorders>
              <w:top w:val="single" w:sz="6" w:space="0" w:color="auto"/>
              <w:left w:val="single" w:sz="6" w:space="0" w:color="auto"/>
              <w:right w:val="single" w:sz="6" w:space="0" w:color="auto"/>
            </w:tcBorders>
            <w:shd w:val="clear" w:color="auto" w:fill="FFFFFF"/>
            <w:vAlign w:val="center"/>
          </w:tcPr>
          <w:p w:rsidR="005A21BD" w:rsidRPr="00FA788F" w:rsidRDefault="00D54072" w:rsidP="009D0563">
            <w:pPr>
              <w:pStyle w:val="Heading5"/>
              <w:shd w:val="clear" w:color="auto" w:fill="FFFFFF"/>
              <w:rPr>
                <w:rFonts w:ascii="Arial" w:hAnsi="Arial"/>
                <w:sz w:val="20"/>
              </w:rPr>
            </w:pPr>
            <w:r w:rsidRPr="00D54072">
              <w:rPr>
                <w:rFonts w:ascii="Arial" w:hAnsi="Arial"/>
                <w:sz w:val="20"/>
              </w:rPr>
              <w:t>Indication</w:t>
            </w:r>
          </w:p>
        </w:tc>
        <w:tc>
          <w:tcPr>
            <w:tcW w:w="1843" w:type="dxa"/>
            <w:vMerge w:val="restart"/>
            <w:tcBorders>
              <w:top w:val="single" w:sz="6" w:space="0" w:color="auto"/>
              <w:left w:val="nil"/>
              <w:right w:val="single" w:sz="6" w:space="0" w:color="auto"/>
            </w:tcBorders>
          </w:tcPr>
          <w:p w:rsidR="005A21BD" w:rsidRPr="00FA788F" w:rsidRDefault="00D54072" w:rsidP="009D0563">
            <w:pPr>
              <w:shd w:val="clear" w:color="auto" w:fill="FFFFFF"/>
              <w:jc w:val="center"/>
              <w:rPr>
                <w:rFonts w:ascii="Arial" w:hAnsi="Arial"/>
                <w:b/>
                <w:caps/>
                <w:sz w:val="20"/>
                <w:lang w:val="fr-FR"/>
              </w:rPr>
            </w:pPr>
            <w:r w:rsidRPr="00D54072">
              <w:rPr>
                <w:rFonts w:ascii="Arial" w:hAnsi="Arial"/>
                <w:b/>
                <w:sz w:val="20"/>
                <w:lang w:val="fr-FR"/>
              </w:rPr>
              <w:t>Ultiva</w:t>
            </w:r>
            <w:r w:rsidRPr="00D54072">
              <w:rPr>
                <w:rFonts w:ascii="Arial" w:hAnsi="Arial"/>
                <w:b/>
                <w:sz w:val="20"/>
                <w:lang w:val="fr-FR"/>
              </w:rPr>
              <w:br/>
              <w:t>Bolus Injection</w:t>
            </w:r>
            <w:r w:rsidRPr="00D54072">
              <w:rPr>
                <w:rFonts w:ascii="Arial" w:hAnsi="Arial"/>
                <w:b/>
                <w:sz w:val="20"/>
                <w:lang w:val="fr-FR"/>
              </w:rPr>
              <w:br/>
            </w:r>
            <w:r w:rsidRPr="00D54072">
              <w:rPr>
                <w:rFonts w:ascii="Arial" w:hAnsi="Arial"/>
                <w:b/>
                <w:sz w:val="20"/>
                <w:lang w:val="fr-FR"/>
              </w:rPr>
              <w:br/>
              <w:t>(</w:t>
            </w:r>
            <w:r w:rsidR="008540FE" w:rsidRPr="00D54072">
              <w:rPr>
                <w:rFonts w:ascii="Arial" w:hAnsi="Arial"/>
                <w:sz w:val="20"/>
              </w:rPr>
              <w:fldChar w:fldCharType="begin"/>
            </w:r>
            <w:r w:rsidRPr="00D54072">
              <w:rPr>
                <w:rFonts w:ascii="Arial" w:hAnsi="Arial"/>
                <w:sz w:val="20"/>
                <w:lang w:val="fr-FR"/>
              </w:rPr>
              <w:instrText>SYMBOL 109 \f "Symbol"</w:instrText>
            </w:r>
            <w:r w:rsidR="008540FE" w:rsidRPr="00D54072">
              <w:rPr>
                <w:rFonts w:ascii="Arial" w:hAnsi="Arial"/>
                <w:sz w:val="20"/>
              </w:rPr>
              <w:fldChar w:fldCharType="end"/>
            </w:r>
            <w:r w:rsidRPr="00D54072">
              <w:rPr>
                <w:rFonts w:ascii="Arial" w:hAnsi="Arial"/>
                <w:b/>
                <w:sz w:val="20"/>
                <w:lang w:val="fr-FR"/>
              </w:rPr>
              <w:t>g/kg)</w:t>
            </w:r>
          </w:p>
        </w:tc>
        <w:tc>
          <w:tcPr>
            <w:tcW w:w="4253" w:type="dxa"/>
            <w:gridSpan w:val="2"/>
            <w:tcBorders>
              <w:top w:val="single" w:sz="6" w:space="0" w:color="auto"/>
              <w:left w:val="nil"/>
              <w:bottom w:val="single" w:sz="6" w:space="0" w:color="auto"/>
              <w:right w:val="single" w:sz="6" w:space="0" w:color="auto"/>
            </w:tcBorders>
          </w:tcPr>
          <w:p w:rsidR="005A21BD" w:rsidRPr="00FA788F" w:rsidRDefault="00D54072" w:rsidP="009D0563">
            <w:pPr>
              <w:shd w:val="clear" w:color="auto" w:fill="FFFFFF"/>
              <w:jc w:val="center"/>
              <w:rPr>
                <w:rFonts w:ascii="Arial" w:hAnsi="Arial"/>
                <w:b/>
                <w:sz w:val="20"/>
                <w:lang w:val="fr-FR"/>
              </w:rPr>
            </w:pPr>
            <w:r w:rsidRPr="00D54072">
              <w:rPr>
                <w:rFonts w:ascii="Arial" w:hAnsi="Arial"/>
                <w:b/>
                <w:sz w:val="20"/>
                <w:lang w:val="fr-FR"/>
              </w:rPr>
              <w:t>Ultiva</w:t>
            </w:r>
            <w:r w:rsidRPr="00D54072">
              <w:rPr>
                <w:rFonts w:ascii="Arial" w:hAnsi="Arial"/>
                <w:b/>
                <w:sz w:val="20"/>
                <w:lang w:val="fr-FR"/>
              </w:rPr>
              <w:br/>
              <w:t>Continuous Infusion</w:t>
            </w:r>
            <w:r w:rsidRPr="00D54072">
              <w:rPr>
                <w:rFonts w:ascii="Arial" w:hAnsi="Arial"/>
                <w:b/>
                <w:sz w:val="20"/>
                <w:lang w:val="fr-FR"/>
              </w:rPr>
              <w:br/>
              <w:t>(</w:t>
            </w:r>
            <w:r w:rsidR="008540FE" w:rsidRPr="009D0563">
              <w:rPr>
                <w:rFonts w:ascii="Arial" w:hAnsi="Arial"/>
                <w:b/>
                <w:sz w:val="20"/>
              </w:rPr>
              <w:fldChar w:fldCharType="begin"/>
            </w:r>
            <w:r w:rsidRPr="009D0563">
              <w:rPr>
                <w:rFonts w:ascii="Arial" w:hAnsi="Arial"/>
                <w:b/>
                <w:sz w:val="20"/>
                <w:lang w:val="fr-FR"/>
              </w:rPr>
              <w:instrText>SYMBOL 109 \f "Symbol"</w:instrText>
            </w:r>
            <w:r w:rsidR="008540FE" w:rsidRPr="009D0563">
              <w:rPr>
                <w:rFonts w:ascii="Arial" w:hAnsi="Arial"/>
                <w:b/>
                <w:sz w:val="20"/>
              </w:rPr>
              <w:fldChar w:fldCharType="end"/>
            </w:r>
            <w:r w:rsidRPr="00D54072">
              <w:rPr>
                <w:rFonts w:ascii="Arial" w:hAnsi="Arial"/>
                <w:b/>
                <w:sz w:val="20"/>
                <w:lang w:val="fr-FR"/>
              </w:rPr>
              <w:t>g/kg/min)</w:t>
            </w:r>
          </w:p>
        </w:tc>
      </w:tr>
      <w:tr w:rsidR="005A21BD" w:rsidRPr="00FA788F" w:rsidTr="009D0563">
        <w:trPr>
          <w:cantSplit/>
        </w:trPr>
        <w:tc>
          <w:tcPr>
            <w:tcW w:w="3033" w:type="dxa"/>
            <w:vMerge/>
            <w:tcBorders>
              <w:left w:val="single" w:sz="6" w:space="0" w:color="auto"/>
              <w:right w:val="single" w:sz="6" w:space="0" w:color="auto"/>
            </w:tcBorders>
            <w:shd w:val="clear" w:color="auto" w:fill="FFFFFF"/>
          </w:tcPr>
          <w:p w:rsidR="005A21BD" w:rsidRPr="00FA788F" w:rsidRDefault="005A21BD" w:rsidP="009D0563">
            <w:pPr>
              <w:shd w:val="clear" w:color="auto" w:fill="FFFFFF"/>
              <w:rPr>
                <w:rFonts w:ascii="Arial" w:hAnsi="Arial"/>
                <w:sz w:val="20"/>
                <w:lang w:val="fr-FR"/>
              </w:rPr>
            </w:pPr>
          </w:p>
        </w:tc>
        <w:tc>
          <w:tcPr>
            <w:tcW w:w="1843" w:type="dxa"/>
            <w:vMerge/>
            <w:tcBorders>
              <w:left w:val="nil"/>
              <w:right w:val="single" w:sz="6" w:space="0" w:color="auto"/>
            </w:tcBorders>
          </w:tcPr>
          <w:p w:rsidR="005A21BD" w:rsidRPr="00FA788F" w:rsidRDefault="005A21BD" w:rsidP="009D0563">
            <w:pPr>
              <w:shd w:val="clear" w:color="auto" w:fill="FFFFFF"/>
              <w:jc w:val="center"/>
              <w:rPr>
                <w:rFonts w:ascii="Arial" w:hAnsi="Arial"/>
                <w:b/>
                <w:sz w:val="20"/>
                <w:lang w:val="fr-FR"/>
              </w:rPr>
            </w:pPr>
          </w:p>
        </w:tc>
        <w:tc>
          <w:tcPr>
            <w:tcW w:w="2126" w:type="dxa"/>
            <w:tcBorders>
              <w:top w:val="single" w:sz="6" w:space="0" w:color="auto"/>
              <w:left w:val="nil"/>
              <w:right w:val="single" w:sz="6" w:space="0" w:color="auto"/>
            </w:tcBorders>
          </w:tcPr>
          <w:p w:rsidR="005A21BD" w:rsidRPr="00FA788F" w:rsidRDefault="00D54072" w:rsidP="009D0563">
            <w:pPr>
              <w:shd w:val="clear" w:color="auto" w:fill="FFFFFF"/>
              <w:jc w:val="center"/>
              <w:rPr>
                <w:rFonts w:ascii="Arial" w:hAnsi="Arial"/>
                <w:sz w:val="20"/>
              </w:rPr>
            </w:pPr>
            <w:r w:rsidRPr="00D54072">
              <w:rPr>
                <w:rFonts w:ascii="Arial" w:hAnsi="Arial"/>
                <w:b/>
                <w:sz w:val="20"/>
              </w:rPr>
              <w:t>Starting Rate</w:t>
            </w:r>
          </w:p>
        </w:tc>
        <w:tc>
          <w:tcPr>
            <w:tcW w:w="2127" w:type="dxa"/>
            <w:tcBorders>
              <w:top w:val="single" w:sz="6" w:space="0" w:color="auto"/>
              <w:left w:val="single" w:sz="6" w:space="0" w:color="auto"/>
              <w:right w:val="single" w:sz="6" w:space="0" w:color="auto"/>
            </w:tcBorders>
          </w:tcPr>
          <w:p w:rsidR="005A21BD" w:rsidRPr="00FA788F" w:rsidRDefault="00D54072" w:rsidP="009D0563">
            <w:pPr>
              <w:shd w:val="clear" w:color="auto" w:fill="FFFFFF"/>
              <w:jc w:val="center"/>
              <w:rPr>
                <w:rFonts w:ascii="Arial" w:hAnsi="Arial"/>
                <w:sz w:val="20"/>
              </w:rPr>
            </w:pPr>
            <w:r w:rsidRPr="00D54072">
              <w:rPr>
                <w:rFonts w:ascii="Arial" w:hAnsi="Arial"/>
                <w:b/>
                <w:sz w:val="20"/>
              </w:rPr>
              <w:t>Typical</w:t>
            </w:r>
            <w:r w:rsidRPr="00D54072">
              <w:rPr>
                <w:rFonts w:ascii="Arial" w:hAnsi="Arial"/>
                <w:b/>
                <w:sz w:val="20"/>
              </w:rPr>
              <w:br/>
              <w:t>Infusion Rates</w:t>
            </w:r>
          </w:p>
        </w:tc>
      </w:tr>
      <w:tr w:rsidR="005A21BD" w:rsidRPr="00FA788F" w:rsidTr="009D0563">
        <w:tc>
          <w:tcPr>
            <w:tcW w:w="3033" w:type="dxa"/>
            <w:tcBorders>
              <w:top w:val="single" w:sz="4" w:space="0" w:color="auto"/>
              <w:left w:val="single" w:sz="6" w:space="0" w:color="auto"/>
              <w:right w:val="single" w:sz="6" w:space="0" w:color="auto"/>
            </w:tcBorders>
            <w:shd w:val="clear" w:color="auto" w:fill="FFFFFF"/>
          </w:tcPr>
          <w:p w:rsidR="005A21BD" w:rsidRPr="00FA788F" w:rsidRDefault="00D54072" w:rsidP="009D0563">
            <w:pPr>
              <w:pStyle w:val="CommentText"/>
              <w:shd w:val="clear" w:color="auto" w:fill="FFFFFF"/>
              <w:spacing w:after="0"/>
              <w:rPr>
                <w:rFonts w:ascii="Arial" w:hAnsi="Arial"/>
              </w:rPr>
            </w:pPr>
            <w:r w:rsidRPr="00D54072">
              <w:rPr>
                <w:rFonts w:ascii="Arial" w:hAnsi="Arial"/>
              </w:rPr>
              <w:t>Intubation</w:t>
            </w:r>
          </w:p>
        </w:tc>
        <w:tc>
          <w:tcPr>
            <w:tcW w:w="1843" w:type="dxa"/>
            <w:tcBorders>
              <w:top w:val="single" w:sz="4" w:space="0" w:color="auto"/>
              <w:left w:val="nil"/>
              <w:right w:val="single" w:sz="6" w:space="0" w:color="auto"/>
            </w:tcBorders>
            <w:shd w:val="clear" w:color="auto" w:fill="FFFFFF"/>
          </w:tcPr>
          <w:p w:rsidR="005A21BD" w:rsidRPr="00FA788F" w:rsidRDefault="00D54072" w:rsidP="009D0563">
            <w:pPr>
              <w:shd w:val="clear" w:color="auto" w:fill="FFFFFF"/>
              <w:jc w:val="center"/>
              <w:rPr>
                <w:rFonts w:ascii="Arial" w:hAnsi="Arial"/>
                <w:sz w:val="20"/>
              </w:rPr>
            </w:pPr>
            <w:r w:rsidRPr="00D54072">
              <w:rPr>
                <w:rFonts w:ascii="Arial" w:hAnsi="Arial"/>
                <w:sz w:val="20"/>
              </w:rPr>
              <w:t>Not recommended</w:t>
            </w:r>
          </w:p>
        </w:tc>
        <w:tc>
          <w:tcPr>
            <w:tcW w:w="2126" w:type="dxa"/>
            <w:tcBorders>
              <w:top w:val="single" w:sz="4" w:space="0" w:color="auto"/>
              <w:left w:val="nil"/>
              <w:right w:val="single" w:sz="6" w:space="0" w:color="auto"/>
            </w:tcBorders>
            <w:shd w:val="clear" w:color="auto" w:fill="FFFFFF"/>
          </w:tcPr>
          <w:p w:rsidR="005A21BD" w:rsidRPr="00FA788F" w:rsidRDefault="00D54072" w:rsidP="009D0563">
            <w:pPr>
              <w:shd w:val="clear" w:color="auto" w:fill="FFFFFF"/>
              <w:jc w:val="center"/>
              <w:rPr>
                <w:rFonts w:ascii="Arial" w:hAnsi="Arial"/>
                <w:sz w:val="20"/>
              </w:rPr>
            </w:pPr>
            <w:r w:rsidRPr="00D54072">
              <w:rPr>
                <w:rFonts w:ascii="Arial" w:hAnsi="Arial"/>
                <w:sz w:val="20"/>
              </w:rPr>
              <w:t>1</w:t>
            </w:r>
          </w:p>
        </w:tc>
        <w:tc>
          <w:tcPr>
            <w:tcW w:w="2127" w:type="dxa"/>
            <w:tcBorders>
              <w:top w:val="single" w:sz="4" w:space="0" w:color="auto"/>
              <w:left w:val="nil"/>
              <w:right w:val="single" w:sz="6" w:space="0" w:color="auto"/>
            </w:tcBorders>
            <w:shd w:val="clear" w:color="auto" w:fill="FFFFFF"/>
          </w:tcPr>
          <w:p w:rsidR="005A21BD" w:rsidRPr="00FA788F" w:rsidRDefault="00D54072" w:rsidP="009D0563">
            <w:pPr>
              <w:shd w:val="clear" w:color="auto" w:fill="FFFFFF"/>
              <w:jc w:val="center"/>
              <w:rPr>
                <w:rFonts w:ascii="Arial" w:hAnsi="Arial"/>
                <w:sz w:val="20"/>
              </w:rPr>
            </w:pPr>
            <w:r w:rsidRPr="00D54072">
              <w:rPr>
                <w:rFonts w:ascii="Arial" w:hAnsi="Arial"/>
                <w:sz w:val="20"/>
              </w:rPr>
              <w:t>_</w:t>
            </w:r>
          </w:p>
        </w:tc>
      </w:tr>
      <w:tr w:rsidR="005A21BD" w:rsidRPr="00FA788F" w:rsidTr="009D0563">
        <w:tc>
          <w:tcPr>
            <w:tcW w:w="3033" w:type="dxa"/>
            <w:tcBorders>
              <w:left w:val="single" w:sz="4" w:space="0" w:color="auto"/>
              <w:right w:val="single" w:sz="6" w:space="0" w:color="auto"/>
            </w:tcBorders>
            <w:shd w:val="clear" w:color="auto" w:fill="FFFFFF"/>
          </w:tcPr>
          <w:p w:rsidR="005A21BD" w:rsidRPr="00FA788F" w:rsidRDefault="00D54072" w:rsidP="009D0563">
            <w:pPr>
              <w:shd w:val="clear" w:color="auto" w:fill="FFFFFF"/>
              <w:rPr>
                <w:rFonts w:ascii="Arial" w:hAnsi="Arial"/>
                <w:sz w:val="20"/>
              </w:rPr>
            </w:pPr>
            <w:r w:rsidRPr="00D54072">
              <w:rPr>
                <w:rFonts w:ascii="Arial" w:hAnsi="Arial"/>
                <w:sz w:val="20"/>
              </w:rPr>
              <w:t>Maintenance of anaesthesia</w:t>
            </w:r>
          </w:p>
          <w:p w:rsidR="005A21BD" w:rsidRPr="00FA788F" w:rsidRDefault="005A21BD" w:rsidP="00CC098F">
            <w:pPr>
              <w:shd w:val="clear" w:color="auto" w:fill="FFFFFF"/>
              <w:rPr>
                <w:rFonts w:ascii="Arial" w:hAnsi="Arial"/>
                <w:sz w:val="20"/>
              </w:rPr>
            </w:pPr>
          </w:p>
          <w:p w:rsidR="005A21BD" w:rsidRPr="00FA788F" w:rsidRDefault="00D54072" w:rsidP="00CC098F">
            <w:pPr>
              <w:shd w:val="clear" w:color="auto" w:fill="FFFFFF"/>
              <w:rPr>
                <w:rFonts w:ascii="Arial" w:hAnsi="Arial"/>
                <w:sz w:val="20"/>
              </w:rPr>
            </w:pPr>
            <w:r w:rsidRPr="00D54072">
              <w:rPr>
                <w:rFonts w:ascii="Arial" w:hAnsi="Arial"/>
                <w:sz w:val="20"/>
              </w:rPr>
              <w:t>Isoflurane (starting dose 0.4</w:t>
            </w:r>
            <w:r w:rsidR="00780E84">
              <w:rPr>
                <w:rFonts w:ascii="Arial" w:hAnsi="Arial"/>
                <w:sz w:val="20"/>
              </w:rPr>
              <w:t xml:space="preserve"> </w:t>
            </w:r>
            <w:smartTag w:uri="urn:schemas-microsoft-com:office:smarttags" w:element="stockticker">
              <w:r w:rsidRPr="00D54072">
                <w:rPr>
                  <w:rFonts w:ascii="Arial" w:hAnsi="Arial"/>
                  <w:sz w:val="20"/>
                </w:rPr>
                <w:t>MAC</w:t>
              </w:r>
            </w:smartTag>
            <w:r w:rsidRPr="00D54072">
              <w:rPr>
                <w:rFonts w:ascii="Arial" w:hAnsi="Arial"/>
                <w:sz w:val="20"/>
              </w:rPr>
              <w:t>)</w:t>
            </w:r>
          </w:p>
          <w:p w:rsidR="005A21BD" w:rsidRPr="00FA788F" w:rsidRDefault="005A21BD" w:rsidP="00CC098F">
            <w:pPr>
              <w:shd w:val="clear" w:color="auto" w:fill="FFFFFF"/>
              <w:rPr>
                <w:rFonts w:ascii="Arial" w:hAnsi="Arial"/>
                <w:sz w:val="20"/>
              </w:rPr>
            </w:pPr>
          </w:p>
          <w:p w:rsidR="005A21BD" w:rsidRPr="00FA788F" w:rsidRDefault="00CC098F" w:rsidP="00CC098F">
            <w:pPr>
              <w:shd w:val="clear" w:color="auto" w:fill="FFFFFF"/>
              <w:rPr>
                <w:rFonts w:ascii="Arial" w:hAnsi="Arial"/>
                <w:sz w:val="20"/>
              </w:rPr>
            </w:pPr>
            <w:r>
              <w:rPr>
                <w:rFonts w:ascii="Arial" w:hAnsi="Arial"/>
                <w:sz w:val="20"/>
              </w:rPr>
              <w:t xml:space="preserve">Propofol (starting dose </w:t>
            </w:r>
            <w:r w:rsidR="00D54072" w:rsidRPr="00D54072">
              <w:rPr>
                <w:rFonts w:ascii="Arial" w:hAnsi="Arial"/>
                <w:sz w:val="20"/>
              </w:rPr>
              <w:t>50</w:t>
            </w:r>
            <w:r>
              <w:rPr>
                <w:rFonts w:ascii="Arial" w:hAnsi="Arial" w:cs="Arial"/>
                <w:sz w:val="20"/>
              </w:rPr>
              <w:t>µ</w:t>
            </w:r>
            <w:r w:rsidR="00D54072" w:rsidRPr="00D54072">
              <w:rPr>
                <w:rFonts w:ascii="Arial" w:hAnsi="Arial"/>
                <w:sz w:val="20"/>
              </w:rPr>
              <w:t>g/</w:t>
            </w:r>
            <w:r w:rsidR="00780E84">
              <w:rPr>
                <w:rFonts w:ascii="Arial" w:hAnsi="Arial"/>
                <w:sz w:val="20"/>
              </w:rPr>
              <w:t>kg/</w:t>
            </w:r>
            <w:r w:rsidR="00D54072" w:rsidRPr="00D54072">
              <w:rPr>
                <w:rFonts w:ascii="Arial" w:hAnsi="Arial"/>
                <w:sz w:val="20"/>
              </w:rPr>
              <w:t>min)</w:t>
            </w:r>
          </w:p>
          <w:p w:rsidR="005A21BD" w:rsidRPr="00FA788F" w:rsidRDefault="005A21BD" w:rsidP="009D0563">
            <w:pPr>
              <w:shd w:val="clear" w:color="auto" w:fill="FFFFFF"/>
              <w:rPr>
                <w:rFonts w:ascii="Arial" w:hAnsi="Arial"/>
                <w:sz w:val="20"/>
              </w:rPr>
            </w:pPr>
          </w:p>
        </w:tc>
        <w:tc>
          <w:tcPr>
            <w:tcW w:w="1843" w:type="dxa"/>
            <w:tcBorders>
              <w:left w:val="nil"/>
              <w:right w:val="single" w:sz="6" w:space="0" w:color="auto"/>
            </w:tcBorders>
            <w:shd w:val="clear" w:color="auto" w:fill="FFFFFF"/>
          </w:tcPr>
          <w:p w:rsidR="005A21BD" w:rsidRPr="00FA788F" w:rsidRDefault="005A21BD" w:rsidP="009D0563">
            <w:pPr>
              <w:shd w:val="clear" w:color="auto" w:fill="FFFFFF"/>
              <w:jc w:val="center"/>
              <w:rPr>
                <w:rFonts w:ascii="Arial" w:hAnsi="Arial"/>
                <w:sz w:val="20"/>
              </w:rPr>
            </w:pPr>
          </w:p>
          <w:p w:rsidR="005A21BD" w:rsidRPr="00FA788F" w:rsidRDefault="005A21BD" w:rsidP="009D0563">
            <w:pPr>
              <w:shd w:val="clear" w:color="auto" w:fill="FFFFFF"/>
              <w:jc w:val="center"/>
              <w:rPr>
                <w:rFonts w:ascii="Arial" w:hAnsi="Arial"/>
                <w:sz w:val="20"/>
              </w:rPr>
            </w:pPr>
          </w:p>
          <w:p w:rsidR="005A21BD" w:rsidRPr="00FA788F" w:rsidRDefault="00D54072" w:rsidP="009D0563">
            <w:pPr>
              <w:shd w:val="clear" w:color="auto" w:fill="FFFFFF"/>
              <w:jc w:val="center"/>
              <w:rPr>
                <w:rFonts w:ascii="Arial" w:hAnsi="Arial"/>
                <w:sz w:val="20"/>
              </w:rPr>
            </w:pPr>
            <w:r w:rsidRPr="00D54072">
              <w:rPr>
                <w:rFonts w:ascii="Arial" w:hAnsi="Arial"/>
                <w:sz w:val="20"/>
              </w:rPr>
              <w:t>0.5 to 1</w:t>
            </w:r>
          </w:p>
          <w:p w:rsidR="005A21BD" w:rsidRPr="00FA788F" w:rsidRDefault="005A21BD" w:rsidP="009D0563">
            <w:pPr>
              <w:shd w:val="clear" w:color="auto" w:fill="FFFFFF"/>
              <w:jc w:val="center"/>
              <w:rPr>
                <w:rFonts w:ascii="Arial" w:hAnsi="Arial"/>
                <w:sz w:val="20"/>
              </w:rPr>
            </w:pPr>
          </w:p>
          <w:p w:rsidR="005A21BD" w:rsidRPr="00FA788F" w:rsidRDefault="005A21BD" w:rsidP="009D0563">
            <w:pPr>
              <w:shd w:val="clear" w:color="auto" w:fill="FFFFFF"/>
              <w:jc w:val="center"/>
              <w:rPr>
                <w:rFonts w:ascii="Arial" w:hAnsi="Arial"/>
                <w:sz w:val="20"/>
              </w:rPr>
            </w:pPr>
          </w:p>
          <w:p w:rsidR="005A21BD" w:rsidRPr="00FA788F" w:rsidRDefault="00D54072" w:rsidP="009D0563">
            <w:pPr>
              <w:pStyle w:val="CommentText"/>
              <w:shd w:val="clear" w:color="auto" w:fill="FFFFFF"/>
              <w:spacing w:after="0"/>
              <w:jc w:val="center"/>
              <w:rPr>
                <w:rFonts w:ascii="Arial" w:hAnsi="Arial"/>
              </w:rPr>
            </w:pPr>
            <w:r w:rsidRPr="00D54072">
              <w:rPr>
                <w:rFonts w:ascii="Arial" w:hAnsi="Arial"/>
              </w:rPr>
              <w:t>0.5 to 1</w:t>
            </w:r>
          </w:p>
        </w:tc>
        <w:tc>
          <w:tcPr>
            <w:tcW w:w="2126" w:type="dxa"/>
            <w:tcBorders>
              <w:left w:val="nil"/>
              <w:right w:val="single" w:sz="6" w:space="0" w:color="auto"/>
            </w:tcBorders>
            <w:shd w:val="clear" w:color="auto" w:fill="FFFFFF"/>
          </w:tcPr>
          <w:p w:rsidR="005A21BD" w:rsidRPr="00FA788F" w:rsidRDefault="005A21BD" w:rsidP="009D0563">
            <w:pPr>
              <w:shd w:val="clear" w:color="auto" w:fill="FFFFFF"/>
              <w:jc w:val="center"/>
              <w:rPr>
                <w:rFonts w:ascii="Arial" w:hAnsi="Arial"/>
                <w:sz w:val="20"/>
              </w:rPr>
            </w:pPr>
          </w:p>
          <w:p w:rsidR="005A21BD" w:rsidRPr="00FA788F" w:rsidRDefault="005A21BD" w:rsidP="009D0563">
            <w:pPr>
              <w:shd w:val="clear" w:color="auto" w:fill="FFFFFF"/>
              <w:jc w:val="center"/>
              <w:rPr>
                <w:rFonts w:ascii="Arial" w:hAnsi="Arial"/>
                <w:sz w:val="20"/>
              </w:rPr>
            </w:pPr>
          </w:p>
          <w:p w:rsidR="005A21BD" w:rsidRPr="00FA788F" w:rsidRDefault="00D54072" w:rsidP="009D0563">
            <w:pPr>
              <w:shd w:val="clear" w:color="auto" w:fill="FFFFFF"/>
              <w:jc w:val="center"/>
              <w:rPr>
                <w:rFonts w:ascii="Arial" w:hAnsi="Arial"/>
                <w:sz w:val="20"/>
              </w:rPr>
            </w:pPr>
            <w:r w:rsidRPr="00D54072">
              <w:rPr>
                <w:rFonts w:ascii="Arial" w:hAnsi="Arial"/>
                <w:sz w:val="20"/>
              </w:rPr>
              <w:t>1</w:t>
            </w:r>
          </w:p>
          <w:p w:rsidR="005A21BD" w:rsidRPr="00FA788F" w:rsidRDefault="005A21BD" w:rsidP="009D0563">
            <w:pPr>
              <w:shd w:val="clear" w:color="auto" w:fill="FFFFFF"/>
              <w:jc w:val="center"/>
              <w:rPr>
                <w:rFonts w:ascii="Arial" w:hAnsi="Arial"/>
                <w:sz w:val="20"/>
              </w:rPr>
            </w:pPr>
          </w:p>
          <w:p w:rsidR="005A21BD" w:rsidRPr="00FA788F" w:rsidRDefault="005A21BD" w:rsidP="009D0563">
            <w:pPr>
              <w:shd w:val="clear" w:color="auto" w:fill="FFFFFF"/>
              <w:jc w:val="center"/>
              <w:rPr>
                <w:rFonts w:ascii="Arial" w:hAnsi="Arial"/>
                <w:sz w:val="20"/>
              </w:rPr>
            </w:pPr>
          </w:p>
          <w:p w:rsidR="005A21BD" w:rsidRPr="00FA788F" w:rsidRDefault="00D54072" w:rsidP="009D0563">
            <w:pPr>
              <w:shd w:val="clear" w:color="auto" w:fill="FFFFFF"/>
              <w:jc w:val="center"/>
              <w:rPr>
                <w:rFonts w:ascii="Arial" w:hAnsi="Arial"/>
                <w:sz w:val="20"/>
              </w:rPr>
            </w:pPr>
            <w:r w:rsidRPr="00D54072">
              <w:rPr>
                <w:rFonts w:ascii="Arial" w:hAnsi="Arial"/>
                <w:sz w:val="20"/>
              </w:rPr>
              <w:t>1</w:t>
            </w:r>
          </w:p>
        </w:tc>
        <w:tc>
          <w:tcPr>
            <w:tcW w:w="2127" w:type="dxa"/>
            <w:tcBorders>
              <w:left w:val="nil"/>
              <w:right w:val="single" w:sz="4" w:space="0" w:color="auto"/>
            </w:tcBorders>
            <w:shd w:val="clear" w:color="auto" w:fill="FFFFFF"/>
          </w:tcPr>
          <w:p w:rsidR="005A21BD" w:rsidRPr="00FA788F" w:rsidRDefault="005A21BD" w:rsidP="009D0563">
            <w:pPr>
              <w:shd w:val="clear" w:color="auto" w:fill="FFFFFF"/>
              <w:jc w:val="center"/>
              <w:rPr>
                <w:rFonts w:ascii="Arial" w:hAnsi="Arial"/>
                <w:sz w:val="20"/>
              </w:rPr>
            </w:pPr>
          </w:p>
          <w:p w:rsidR="005A21BD" w:rsidRPr="00FA788F" w:rsidRDefault="005A21BD" w:rsidP="009D0563">
            <w:pPr>
              <w:shd w:val="clear" w:color="auto" w:fill="FFFFFF"/>
              <w:jc w:val="center"/>
              <w:rPr>
                <w:rFonts w:ascii="Arial" w:hAnsi="Arial"/>
                <w:sz w:val="20"/>
              </w:rPr>
            </w:pPr>
          </w:p>
          <w:p w:rsidR="005A21BD" w:rsidRPr="00FA788F" w:rsidRDefault="00D54072" w:rsidP="009D0563">
            <w:pPr>
              <w:shd w:val="clear" w:color="auto" w:fill="FFFFFF"/>
              <w:jc w:val="center"/>
              <w:rPr>
                <w:rFonts w:ascii="Arial" w:hAnsi="Arial"/>
                <w:sz w:val="20"/>
              </w:rPr>
            </w:pPr>
            <w:r w:rsidRPr="00D54072">
              <w:rPr>
                <w:rFonts w:ascii="Arial" w:hAnsi="Arial"/>
                <w:sz w:val="20"/>
              </w:rPr>
              <w:t>0.003 to 4</w:t>
            </w:r>
          </w:p>
          <w:p w:rsidR="005A21BD" w:rsidRPr="00FA788F" w:rsidRDefault="005A21BD" w:rsidP="009D0563">
            <w:pPr>
              <w:shd w:val="clear" w:color="auto" w:fill="FFFFFF"/>
              <w:jc w:val="center"/>
              <w:rPr>
                <w:rFonts w:ascii="Arial" w:hAnsi="Arial"/>
                <w:sz w:val="20"/>
              </w:rPr>
            </w:pPr>
          </w:p>
          <w:p w:rsidR="005A21BD" w:rsidRPr="00FA788F" w:rsidRDefault="005A21BD" w:rsidP="009D0563">
            <w:pPr>
              <w:shd w:val="clear" w:color="auto" w:fill="FFFFFF"/>
              <w:jc w:val="center"/>
              <w:rPr>
                <w:rFonts w:ascii="Arial" w:hAnsi="Arial"/>
                <w:sz w:val="20"/>
              </w:rPr>
            </w:pPr>
          </w:p>
          <w:p w:rsidR="005A21BD" w:rsidRPr="00FA788F" w:rsidRDefault="00D54072" w:rsidP="009D0563">
            <w:pPr>
              <w:shd w:val="clear" w:color="auto" w:fill="FFFFFF"/>
              <w:jc w:val="center"/>
              <w:rPr>
                <w:rFonts w:ascii="Arial" w:hAnsi="Arial"/>
                <w:sz w:val="20"/>
              </w:rPr>
            </w:pPr>
            <w:r w:rsidRPr="00D54072">
              <w:rPr>
                <w:rFonts w:ascii="Arial" w:hAnsi="Arial"/>
                <w:sz w:val="20"/>
              </w:rPr>
              <w:t xml:space="preserve"> 0.01 to 4.3</w:t>
            </w:r>
          </w:p>
        </w:tc>
      </w:tr>
      <w:tr w:rsidR="005A21BD" w:rsidRPr="00FA788F" w:rsidTr="009D0563">
        <w:tc>
          <w:tcPr>
            <w:tcW w:w="3033" w:type="dxa"/>
            <w:tcBorders>
              <w:left w:val="single" w:sz="4" w:space="0" w:color="auto"/>
              <w:bottom w:val="single" w:sz="4" w:space="0" w:color="auto"/>
              <w:right w:val="single" w:sz="6" w:space="0" w:color="auto"/>
            </w:tcBorders>
            <w:shd w:val="clear" w:color="auto" w:fill="FFFFFF"/>
          </w:tcPr>
          <w:p w:rsidR="005A21BD" w:rsidRPr="00FA788F" w:rsidRDefault="00D54072" w:rsidP="009D0563">
            <w:pPr>
              <w:shd w:val="clear" w:color="auto" w:fill="FFFFFF"/>
              <w:rPr>
                <w:rFonts w:ascii="Arial" w:hAnsi="Arial"/>
                <w:sz w:val="20"/>
              </w:rPr>
            </w:pPr>
            <w:r w:rsidRPr="00D54072">
              <w:rPr>
                <w:rFonts w:ascii="Arial" w:hAnsi="Arial"/>
                <w:sz w:val="20"/>
              </w:rPr>
              <w:lastRenderedPageBreak/>
              <w:t>Continuation of post-operative analgesia, prior to extubation</w:t>
            </w:r>
          </w:p>
        </w:tc>
        <w:tc>
          <w:tcPr>
            <w:tcW w:w="1843" w:type="dxa"/>
            <w:tcBorders>
              <w:left w:val="nil"/>
              <w:bottom w:val="single" w:sz="4" w:space="0" w:color="auto"/>
              <w:right w:val="single" w:sz="6" w:space="0" w:color="auto"/>
            </w:tcBorders>
            <w:shd w:val="clear" w:color="auto" w:fill="FFFFFF"/>
          </w:tcPr>
          <w:p w:rsidR="005A21BD" w:rsidRPr="00FA788F" w:rsidRDefault="00D54072" w:rsidP="009D0563">
            <w:pPr>
              <w:shd w:val="clear" w:color="auto" w:fill="FFFFFF"/>
              <w:jc w:val="center"/>
              <w:rPr>
                <w:rFonts w:ascii="Arial" w:hAnsi="Arial"/>
                <w:sz w:val="20"/>
              </w:rPr>
            </w:pPr>
            <w:r w:rsidRPr="00D54072">
              <w:rPr>
                <w:rFonts w:ascii="Arial" w:hAnsi="Arial"/>
                <w:sz w:val="20"/>
              </w:rPr>
              <w:t>Not recommended</w:t>
            </w:r>
          </w:p>
          <w:p w:rsidR="005A21BD" w:rsidRPr="00FA788F" w:rsidRDefault="005A21BD" w:rsidP="009D0563">
            <w:pPr>
              <w:shd w:val="clear" w:color="auto" w:fill="FFFFFF"/>
              <w:jc w:val="center"/>
              <w:rPr>
                <w:rFonts w:ascii="Arial" w:hAnsi="Arial"/>
                <w:sz w:val="20"/>
              </w:rPr>
            </w:pPr>
          </w:p>
        </w:tc>
        <w:tc>
          <w:tcPr>
            <w:tcW w:w="2126" w:type="dxa"/>
            <w:tcBorders>
              <w:left w:val="nil"/>
              <w:bottom w:val="single" w:sz="4" w:space="0" w:color="auto"/>
              <w:right w:val="single" w:sz="6" w:space="0" w:color="auto"/>
            </w:tcBorders>
            <w:shd w:val="clear" w:color="auto" w:fill="FFFFFF"/>
          </w:tcPr>
          <w:p w:rsidR="005A21BD" w:rsidRPr="00FA788F" w:rsidRDefault="00D54072" w:rsidP="009D0563">
            <w:pPr>
              <w:shd w:val="clear" w:color="auto" w:fill="FFFFFF"/>
              <w:jc w:val="center"/>
              <w:rPr>
                <w:rFonts w:ascii="Arial" w:hAnsi="Arial"/>
                <w:sz w:val="20"/>
              </w:rPr>
            </w:pPr>
            <w:r w:rsidRPr="00D54072">
              <w:rPr>
                <w:rFonts w:ascii="Arial" w:hAnsi="Arial"/>
                <w:sz w:val="20"/>
              </w:rPr>
              <w:t>1</w:t>
            </w:r>
          </w:p>
        </w:tc>
        <w:tc>
          <w:tcPr>
            <w:tcW w:w="2127" w:type="dxa"/>
            <w:tcBorders>
              <w:left w:val="nil"/>
              <w:bottom w:val="single" w:sz="4" w:space="0" w:color="auto"/>
              <w:right w:val="single" w:sz="4" w:space="0" w:color="auto"/>
            </w:tcBorders>
            <w:shd w:val="clear" w:color="auto" w:fill="FFFFFF"/>
          </w:tcPr>
          <w:p w:rsidR="005A21BD" w:rsidRPr="00FA788F" w:rsidRDefault="00D54072" w:rsidP="009D0563">
            <w:pPr>
              <w:shd w:val="clear" w:color="auto" w:fill="FFFFFF"/>
              <w:jc w:val="center"/>
              <w:rPr>
                <w:rFonts w:ascii="Arial" w:hAnsi="Arial"/>
                <w:sz w:val="20"/>
              </w:rPr>
            </w:pPr>
            <w:r w:rsidRPr="00D54072">
              <w:rPr>
                <w:rFonts w:ascii="Arial" w:hAnsi="Arial"/>
                <w:sz w:val="20"/>
              </w:rPr>
              <w:t>0 to 1</w:t>
            </w:r>
          </w:p>
        </w:tc>
      </w:tr>
    </w:tbl>
    <w:p w:rsidR="009D0563" w:rsidRDefault="009D0563">
      <w:pPr>
        <w:shd w:val="clear" w:color="auto" w:fill="FFFFFF"/>
        <w:rPr>
          <w:rFonts w:ascii="Arial" w:hAnsi="Arial"/>
          <w:b/>
        </w:rPr>
      </w:pPr>
    </w:p>
    <w:p w:rsidR="00E9027E" w:rsidRDefault="00A56518">
      <w:pPr>
        <w:shd w:val="clear" w:color="auto" w:fill="FFFFFF"/>
        <w:spacing w:after="120"/>
        <w:rPr>
          <w:rFonts w:ascii="Arial" w:hAnsi="Arial" w:cs="Arial"/>
          <w:szCs w:val="22"/>
        </w:rPr>
      </w:pPr>
      <w:r w:rsidRPr="00A56518">
        <w:rPr>
          <w:rFonts w:ascii="Arial" w:hAnsi="Arial" w:cs="Arial"/>
          <w:b/>
          <w:szCs w:val="22"/>
        </w:rPr>
        <w:t>Induction period of anaesthesia:</w:t>
      </w:r>
      <w:r w:rsidRPr="00A56518">
        <w:rPr>
          <w:rFonts w:ascii="Arial" w:hAnsi="Arial" w:cs="Arial"/>
          <w:szCs w:val="22"/>
        </w:rPr>
        <w:t xml:space="preserve">  After administration of hypnotic to achieve loss of consciousness, Ultiva</w:t>
      </w:r>
      <w:r w:rsidR="00922616" w:rsidRPr="00922616">
        <w:rPr>
          <w:rFonts w:ascii="Arial" w:hAnsi="Arial" w:cs="Arial"/>
          <w:szCs w:val="22"/>
        </w:rPr>
        <w:t xml:space="preserve"> should be administered at an initial infusion rate of 1</w:t>
      </w:r>
      <w:r w:rsidR="008540FE" w:rsidRPr="00D54072">
        <w:rPr>
          <w:rFonts w:ascii="Arial" w:hAnsi="Arial" w:cs="Arial"/>
          <w:szCs w:val="22"/>
        </w:rPr>
        <w:fldChar w:fldCharType="begin"/>
      </w:r>
      <w:r w:rsidR="00D54072" w:rsidRPr="00D54072">
        <w:rPr>
          <w:rFonts w:ascii="Arial" w:hAnsi="Arial" w:cs="Arial"/>
          <w:szCs w:val="22"/>
        </w:rPr>
        <w:instrText>SYMBOL 109 \f "Symbol"</w:instrText>
      </w:r>
      <w:r w:rsidR="008540FE" w:rsidRPr="00D54072">
        <w:rPr>
          <w:rFonts w:ascii="Arial" w:hAnsi="Arial" w:cs="Arial"/>
          <w:szCs w:val="22"/>
        </w:rPr>
        <w:fldChar w:fldCharType="end"/>
      </w:r>
      <w:r w:rsidRPr="00A56518">
        <w:rPr>
          <w:rFonts w:ascii="Arial" w:hAnsi="Arial" w:cs="Arial"/>
          <w:szCs w:val="22"/>
        </w:rPr>
        <w:t>g/kg/min.  The use of bolus injections of Ultiva during induction in cardiac surgical patients is not recommended.  Endotracheal intubation should not occur until at least 6 minutes after the start of infusion in order to minimise the response to intubation.</w:t>
      </w:r>
    </w:p>
    <w:p w:rsidR="00E9027E" w:rsidRDefault="00E9027E">
      <w:pPr>
        <w:spacing w:after="120"/>
        <w:rPr>
          <w:rFonts w:ascii="Arial" w:hAnsi="Arial" w:cs="Arial"/>
          <w:szCs w:val="22"/>
        </w:rPr>
      </w:pPr>
    </w:p>
    <w:p w:rsidR="00E9027E" w:rsidRDefault="003B54CA">
      <w:pPr>
        <w:shd w:val="clear" w:color="auto" w:fill="FFFFFF"/>
        <w:spacing w:after="120"/>
        <w:rPr>
          <w:rFonts w:ascii="Arial" w:hAnsi="Arial" w:cs="Arial"/>
          <w:szCs w:val="22"/>
        </w:rPr>
      </w:pPr>
      <w:r w:rsidRPr="003B54CA">
        <w:rPr>
          <w:rFonts w:ascii="Arial" w:hAnsi="Arial" w:cs="Arial"/>
          <w:b/>
          <w:szCs w:val="22"/>
        </w:rPr>
        <w:t xml:space="preserve">Maintenance period of anaesthesia:  </w:t>
      </w:r>
      <w:r w:rsidR="009D0AAB" w:rsidRPr="009D0AAB">
        <w:rPr>
          <w:rFonts w:ascii="Arial" w:hAnsi="Arial" w:cs="Arial"/>
          <w:szCs w:val="22"/>
        </w:rPr>
        <w:t>After endotracheal intubation the infusion rate of Ultiva should be titrated according to patient need.  Supplemental bolus doses may al</w:t>
      </w:r>
      <w:r w:rsidR="00D54072" w:rsidRPr="00D54072">
        <w:rPr>
          <w:rFonts w:ascii="Arial" w:hAnsi="Arial" w:cs="Arial"/>
          <w:szCs w:val="22"/>
        </w:rPr>
        <w:t>so be given as required.  High risk cardiac patients, such as those with poor ventricular function, should be administered a maximum bolus dose of 0.5</w:t>
      </w:r>
      <w:r w:rsidR="008540FE" w:rsidRPr="00D54072">
        <w:rPr>
          <w:rFonts w:ascii="Arial" w:hAnsi="Arial" w:cs="Arial"/>
          <w:szCs w:val="22"/>
        </w:rPr>
        <w:fldChar w:fldCharType="begin"/>
      </w:r>
      <w:r w:rsidR="00D54072" w:rsidRPr="00D54072">
        <w:rPr>
          <w:rFonts w:ascii="Arial" w:hAnsi="Arial" w:cs="Arial"/>
          <w:szCs w:val="22"/>
        </w:rPr>
        <w:instrText>SYMBOL 109 \f "Symbol"</w:instrText>
      </w:r>
      <w:r w:rsidR="008540FE" w:rsidRPr="00D54072">
        <w:rPr>
          <w:rFonts w:ascii="Arial" w:hAnsi="Arial" w:cs="Arial"/>
          <w:szCs w:val="22"/>
        </w:rPr>
        <w:fldChar w:fldCharType="end"/>
      </w:r>
      <w:r w:rsidR="00A56518" w:rsidRPr="00A56518">
        <w:rPr>
          <w:rFonts w:ascii="Arial" w:hAnsi="Arial" w:cs="Arial"/>
          <w:szCs w:val="22"/>
        </w:rPr>
        <w:t>g/kg</w:t>
      </w:r>
      <w:r w:rsidR="00A56518" w:rsidRPr="00A56518">
        <w:rPr>
          <w:rFonts w:ascii="Arial" w:hAnsi="Arial" w:cs="Arial"/>
          <w:szCs w:val="22"/>
          <w:shd w:val="clear" w:color="auto" w:fill="FFFFFF"/>
        </w:rPr>
        <w:t xml:space="preserve">.  These dosing recommendations also apply during hypothermic cardiopulmonary </w:t>
      </w:r>
      <w:r w:rsidR="00922616" w:rsidRPr="00922616">
        <w:rPr>
          <w:rFonts w:ascii="Arial" w:hAnsi="Arial" w:cs="Arial"/>
          <w:szCs w:val="22"/>
          <w:shd w:val="clear" w:color="auto" w:fill="FFFFFF"/>
        </w:rPr>
        <w:t xml:space="preserve">bypass (see </w:t>
      </w:r>
      <w:r w:rsidR="00567E52" w:rsidRPr="00567E52">
        <w:rPr>
          <w:rFonts w:ascii="Arial" w:hAnsi="Arial" w:cs="Arial"/>
          <w:b/>
          <w:szCs w:val="22"/>
          <w:u w:val="single"/>
          <w:shd w:val="clear" w:color="auto" w:fill="FFFFFF"/>
        </w:rPr>
        <w:t>PHARMACOLOGY</w:t>
      </w:r>
      <w:r w:rsidR="009D0AAB" w:rsidRPr="009D0AAB">
        <w:rPr>
          <w:rFonts w:ascii="Arial" w:hAnsi="Arial" w:cs="Arial"/>
          <w:b/>
          <w:szCs w:val="22"/>
          <w:shd w:val="clear" w:color="auto" w:fill="FFFFFF"/>
        </w:rPr>
        <w:t xml:space="preserve"> - Cardiac anaesthesia</w:t>
      </w:r>
      <w:r w:rsidR="009D0AAB" w:rsidRPr="009D0AAB">
        <w:rPr>
          <w:rFonts w:ascii="Arial" w:hAnsi="Arial" w:cs="Arial"/>
          <w:szCs w:val="22"/>
          <w:shd w:val="clear" w:color="auto" w:fill="FFFFFF"/>
        </w:rPr>
        <w:t>).</w:t>
      </w:r>
    </w:p>
    <w:p w:rsidR="00E9027E" w:rsidRDefault="00E9027E">
      <w:pPr>
        <w:pStyle w:val="Footer"/>
        <w:shd w:val="clear" w:color="auto" w:fill="FFFFFF"/>
        <w:tabs>
          <w:tab w:val="clear" w:pos="4320"/>
          <w:tab w:val="clear" w:pos="8640"/>
        </w:tabs>
        <w:spacing w:after="120"/>
        <w:rPr>
          <w:rFonts w:ascii="Arial" w:hAnsi="Arial" w:cs="Arial"/>
          <w:szCs w:val="22"/>
        </w:rPr>
      </w:pPr>
    </w:p>
    <w:p w:rsidR="00E9027E" w:rsidRDefault="00D54072">
      <w:pPr>
        <w:shd w:val="clear" w:color="auto" w:fill="FFFFFF"/>
        <w:spacing w:after="120"/>
        <w:rPr>
          <w:rFonts w:ascii="Arial" w:hAnsi="Arial" w:cs="Arial"/>
          <w:szCs w:val="22"/>
        </w:rPr>
      </w:pPr>
      <w:r w:rsidRPr="00D54072">
        <w:rPr>
          <w:rFonts w:ascii="Arial" w:hAnsi="Arial" w:cs="Arial"/>
          <w:b/>
          <w:szCs w:val="22"/>
        </w:rPr>
        <w:t xml:space="preserve">Concomitant medication:  </w:t>
      </w:r>
      <w:r w:rsidRPr="00D54072">
        <w:rPr>
          <w:rFonts w:ascii="Arial" w:hAnsi="Arial" w:cs="Arial"/>
          <w:szCs w:val="22"/>
        </w:rPr>
        <w:t>At the doses recommended above, Ultiva significantly reduces the amount of hypnotic agent required to maintain anaesthesia.  Therefore, isoflurane and propofol should be administered as recommended above to avoid excessive depth of anaesthesia.  No data are available for dosage recommendations for simultaneous use of other hypnotics with Ultiva (see</w:t>
      </w:r>
      <w:r w:rsidRPr="00D54072">
        <w:rPr>
          <w:rFonts w:ascii="Arial" w:hAnsi="Arial" w:cs="Arial"/>
          <w:b/>
          <w:szCs w:val="22"/>
        </w:rPr>
        <w:t xml:space="preserve"> General Anaesthesia: </w:t>
      </w:r>
      <w:r w:rsidRPr="00D54072">
        <w:rPr>
          <w:rFonts w:ascii="Arial" w:hAnsi="Arial" w:cs="Arial"/>
          <w:b/>
          <w:szCs w:val="22"/>
          <w:u w:val="single"/>
        </w:rPr>
        <w:t>Dosage in Adults</w:t>
      </w:r>
      <w:r w:rsidRPr="00D54072">
        <w:rPr>
          <w:rFonts w:ascii="Arial" w:hAnsi="Arial" w:cs="Arial"/>
          <w:b/>
          <w:szCs w:val="22"/>
        </w:rPr>
        <w:t xml:space="preserve"> - Concomitant medication</w:t>
      </w:r>
      <w:r w:rsidRPr="00D54072">
        <w:rPr>
          <w:rFonts w:ascii="Arial" w:hAnsi="Arial" w:cs="Arial"/>
          <w:szCs w:val="22"/>
        </w:rPr>
        <w:t>).</w:t>
      </w:r>
    </w:p>
    <w:p w:rsidR="00E9027E" w:rsidRDefault="00E9027E">
      <w:pPr>
        <w:pStyle w:val="Footer"/>
        <w:shd w:val="clear" w:color="auto" w:fill="FFFFFF"/>
        <w:tabs>
          <w:tab w:val="clear" w:pos="4320"/>
          <w:tab w:val="clear" w:pos="8640"/>
        </w:tabs>
        <w:spacing w:after="120"/>
        <w:rPr>
          <w:rFonts w:ascii="Arial" w:hAnsi="Arial" w:cs="Arial"/>
          <w:szCs w:val="22"/>
        </w:rPr>
      </w:pPr>
    </w:p>
    <w:p w:rsidR="00E9027E" w:rsidRDefault="00D54072">
      <w:pPr>
        <w:shd w:val="clear" w:color="auto" w:fill="FFFFFF"/>
        <w:spacing w:after="120"/>
        <w:rPr>
          <w:rFonts w:ascii="Arial" w:hAnsi="Arial" w:cs="Arial"/>
          <w:szCs w:val="22"/>
        </w:rPr>
      </w:pPr>
      <w:r w:rsidRPr="00D54072">
        <w:rPr>
          <w:rFonts w:ascii="Arial" w:hAnsi="Arial" w:cs="Arial"/>
          <w:b/>
          <w:szCs w:val="22"/>
        </w:rPr>
        <w:t>Continuation of post-operative analgesia prior to extubation:</w:t>
      </w:r>
      <w:r w:rsidRPr="00D54072">
        <w:rPr>
          <w:rFonts w:ascii="Arial" w:hAnsi="Arial" w:cs="Arial"/>
          <w:szCs w:val="22"/>
        </w:rPr>
        <w:t xml:space="preserve"> It is recommended that the infusion of Ultiva should be maintained at the final intra-operative rate during transfer of patients to the post-operative care area.  Upon arrival into this area, the patient’s level of analgesia and sedation should be closely monitored and the Ultiva rate adjusted to meet the individual patient’s requirements.</w:t>
      </w:r>
    </w:p>
    <w:p w:rsidR="00E9027E" w:rsidRDefault="00E9027E">
      <w:pPr>
        <w:spacing w:after="120"/>
        <w:rPr>
          <w:rFonts w:ascii="Arial" w:hAnsi="Arial" w:cs="Arial"/>
          <w:i/>
          <w:szCs w:val="22"/>
        </w:rPr>
      </w:pPr>
    </w:p>
    <w:p w:rsidR="00922616" w:rsidRPr="00922616" w:rsidRDefault="00D54072">
      <w:pPr>
        <w:spacing w:after="120"/>
        <w:rPr>
          <w:rFonts w:ascii="Arial" w:hAnsi="Arial" w:cs="Arial"/>
          <w:szCs w:val="22"/>
        </w:rPr>
      </w:pPr>
      <w:r w:rsidRPr="00D54072">
        <w:rPr>
          <w:rFonts w:ascii="Arial" w:hAnsi="Arial" w:cs="Arial"/>
          <w:b/>
          <w:szCs w:val="22"/>
        </w:rPr>
        <w:t>Guidelines for discontinuation:</w:t>
      </w:r>
      <w:r w:rsidRPr="00D54072">
        <w:rPr>
          <w:rFonts w:ascii="Arial" w:hAnsi="Arial" w:cs="Arial"/>
          <w:szCs w:val="22"/>
        </w:rPr>
        <w:t xml:space="preserve"> Ultiva should only be continued as an analgesic in the immediate post-operative period, and subsequently discontinued during transition to longer acting analgesia, in a setting fully equipped for the monitoring and support of respiratory and cardiovascular function and by medically qualified persons specifically trained in the use of anaesthetic drugs and the recognition and management of the expected adverse effects of potent opioids, including respiratory and cardiac resuscitation.  Such training must include intubation, and assisted ventilation.</w:t>
      </w:r>
    </w:p>
    <w:p w:rsidR="00922616" w:rsidRPr="00922616" w:rsidRDefault="00D54072">
      <w:pPr>
        <w:spacing w:after="120"/>
        <w:rPr>
          <w:rFonts w:ascii="Arial" w:hAnsi="Arial" w:cs="Arial"/>
          <w:szCs w:val="22"/>
        </w:rPr>
      </w:pPr>
      <w:r w:rsidRPr="00D54072">
        <w:rPr>
          <w:rFonts w:ascii="Arial" w:hAnsi="Arial" w:cs="Arial"/>
          <w:szCs w:val="22"/>
        </w:rPr>
        <w:t xml:space="preserve">Prior to discontinuation of Ultiva, patients must be given alternative analgesic and sedative agents at a sufficient time in advance.  The choice and dose of agent(s) should be appropriate for the patient’s level of post-operative care (see </w:t>
      </w:r>
      <w:r w:rsidRPr="00D54072">
        <w:rPr>
          <w:rFonts w:ascii="Arial" w:hAnsi="Arial" w:cs="Arial"/>
          <w:b/>
          <w:szCs w:val="22"/>
          <w:u w:val="single"/>
        </w:rPr>
        <w:t>Dosage in Adults</w:t>
      </w:r>
      <w:r w:rsidRPr="00D54072">
        <w:rPr>
          <w:rFonts w:ascii="Arial" w:hAnsi="Arial" w:cs="Arial"/>
          <w:b/>
          <w:szCs w:val="22"/>
        </w:rPr>
        <w:t xml:space="preserve"> - Guidelines for discontinuation</w:t>
      </w:r>
      <w:r w:rsidRPr="00D54072">
        <w:rPr>
          <w:rFonts w:ascii="Arial" w:hAnsi="Arial" w:cs="Arial"/>
          <w:szCs w:val="22"/>
        </w:rPr>
        <w:t>).</w:t>
      </w:r>
    </w:p>
    <w:p w:rsidR="00922616" w:rsidRPr="00922616" w:rsidRDefault="00D54072">
      <w:pPr>
        <w:spacing w:after="120"/>
        <w:rPr>
          <w:rFonts w:ascii="Arial" w:hAnsi="Arial" w:cs="Arial"/>
          <w:szCs w:val="22"/>
        </w:rPr>
      </w:pPr>
      <w:r w:rsidRPr="00D54072">
        <w:rPr>
          <w:rFonts w:ascii="Arial" w:hAnsi="Arial" w:cs="Arial"/>
          <w:szCs w:val="22"/>
        </w:rPr>
        <w:t xml:space="preserve">It is recommended that the Ultiva infusion is discontinued by reducing the infusion rate by 25% decrements in at least 10 minute intervals until the infusion is discontinued.  During </w:t>
      </w:r>
      <w:r w:rsidRPr="00D54072">
        <w:rPr>
          <w:rFonts w:ascii="Arial" w:hAnsi="Arial" w:cs="Arial"/>
          <w:szCs w:val="22"/>
        </w:rPr>
        <w:lastRenderedPageBreak/>
        <w:t>weaning from the ventilator the Ultiva infusion should not be increased and only down titration should occur, supplemented as required with alternative analgesics.</w:t>
      </w:r>
    </w:p>
    <w:p w:rsidR="00E9027E" w:rsidRDefault="00D54072">
      <w:pPr>
        <w:spacing w:after="120"/>
        <w:rPr>
          <w:rFonts w:ascii="Arial" w:hAnsi="Arial" w:cs="Arial"/>
          <w:szCs w:val="22"/>
        </w:rPr>
      </w:pPr>
      <w:r w:rsidRPr="00D54072">
        <w:rPr>
          <w:rFonts w:ascii="Arial" w:hAnsi="Arial" w:cs="Arial"/>
          <w:szCs w:val="22"/>
        </w:rPr>
        <w:t xml:space="preserve">It is recommended that haemodynamic changes such as hypertension and tachycardia should be treated with alternative agents as appropriate.  </w:t>
      </w:r>
    </w:p>
    <w:p w:rsidR="00E9027E" w:rsidRDefault="00E9027E">
      <w:pPr>
        <w:spacing w:after="120"/>
        <w:rPr>
          <w:rFonts w:ascii="Arial" w:hAnsi="Arial" w:cs="Arial"/>
          <w:b/>
          <w:szCs w:val="22"/>
          <w:u w:val="single"/>
        </w:rPr>
      </w:pPr>
    </w:p>
    <w:p w:rsidR="00E9027E" w:rsidRDefault="00D54072">
      <w:pPr>
        <w:spacing w:after="120"/>
        <w:rPr>
          <w:rFonts w:ascii="Arial" w:hAnsi="Arial" w:cs="Arial"/>
          <w:b/>
          <w:szCs w:val="22"/>
          <w:u w:val="single"/>
        </w:rPr>
      </w:pPr>
      <w:r w:rsidRPr="00D54072">
        <w:rPr>
          <w:rFonts w:ascii="Arial" w:hAnsi="Arial" w:cs="Arial"/>
          <w:b/>
          <w:szCs w:val="22"/>
          <w:u w:val="single"/>
        </w:rPr>
        <w:t>Administration by Target-Controlled Infusion</w:t>
      </w:r>
    </w:p>
    <w:p w:rsidR="007A0421" w:rsidRDefault="007A0421" w:rsidP="007A0421">
      <w:pPr>
        <w:spacing w:after="120"/>
        <w:rPr>
          <w:rFonts w:ascii="Arial" w:hAnsi="Arial" w:cs="Arial"/>
          <w:szCs w:val="22"/>
        </w:rPr>
      </w:pPr>
    </w:p>
    <w:p w:rsidR="007A0421" w:rsidRDefault="00D54072" w:rsidP="007A0421">
      <w:pPr>
        <w:spacing w:after="120"/>
        <w:rPr>
          <w:rFonts w:ascii="Arial" w:hAnsi="Arial" w:cs="Arial"/>
          <w:szCs w:val="22"/>
        </w:rPr>
      </w:pPr>
      <w:r w:rsidRPr="00E9027E">
        <w:rPr>
          <w:rFonts w:ascii="Arial" w:hAnsi="Arial" w:cs="Arial"/>
          <w:szCs w:val="22"/>
        </w:rPr>
        <w:t>There are insufficient data to make recommendations for delivery of Ultiva by TCI for ASA III and IV patients undergoing cardiac surgery.</w:t>
      </w:r>
    </w:p>
    <w:p w:rsidR="00E9027E" w:rsidRDefault="007A0421">
      <w:pPr>
        <w:spacing w:after="120"/>
        <w:rPr>
          <w:rFonts w:ascii="Arial" w:hAnsi="Arial" w:cs="Arial"/>
          <w:szCs w:val="22"/>
        </w:rPr>
      </w:pPr>
      <w:r w:rsidRPr="003B54CA">
        <w:rPr>
          <w:rFonts w:ascii="Arial" w:hAnsi="Arial" w:cs="Arial"/>
          <w:szCs w:val="22"/>
        </w:rPr>
        <w:t>There are insufficient data to make recommendations on the use of TCI for the management of post-operative analgesia.</w:t>
      </w:r>
    </w:p>
    <w:p w:rsidR="00E9027E" w:rsidRDefault="00D54072">
      <w:pPr>
        <w:spacing w:after="120"/>
        <w:rPr>
          <w:rFonts w:ascii="Arial" w:hAnsi="Arial" w:cs="Arial"/>
          <w:b/>
          <w:szCs w:val="22"/>
        </w:rPr>
      </w:pPr>
      <w:r w:rsidRPr="00D54072">
        <w:rPr>
          <w:rFonts w:ascii="Arial" w:hAnsi="Arial" w:cs="Arial"/>
          <w:b/>
          <w:szCs w:val="22"/>
        </w:rPr>
        <w:t>Induction and maintenance of anaesthesia:</w:t>
      </w:r>
      <w:r w:rsidRPr="00D54072">
        <w:rPr>
          <w:rFonts w:ascii="Arial" w:hAnsi="Arial" w:cs="Arial"/>
          <w:szCs w:val="22"/>
        </w:rPr>
        <w:t xml:space="preserve"> </w:t>
      </w:r>
      <w:r w:rsidR="00A56518" w:rsidRPr="00A56518">
        <w:rPr>
          <w:rFonts w:ascii="Arial" w:hAnsi="Arial" w:cs="Arial"/>
          <w:szCs w:val="22"/>
        </w:rPr>
        <w:t>Ultiva</w:t>
      </w:r>
      <w:r w:rsidRPr="00D54072">
        <w:rPr>
          <w:rFonts w:ascii="Arial" w:hAnsi="Arial" w:cs="Arial"/>
          <w:szCs w:val="22"/>
        </w:rPr>
        <w:t xml:space="preserve"> TCI should be used in association with an intravenous or inhalational hypnotic agent during the induction and maintenance of anaesthesia in ventilated adult patients (see Table 6). In association with these agents, adequate analgesia for cardiac surgery is generally achieved at the higher end of the range of target blood remifentanil concentrations used for general surgical  procedures.  Following titration of remifentanil to individual patient response, blood concentrations as high as 20 ng/m</w:t>
      </w:r>
      <w:r w:rsidR="00A56518" w:rsidRPr="00A56518">
        <w:rPr>
          <w:rFonts w:ascii="Arial" w:hAnsi="Arial" w:cs="Arial"/>
          <w:szCs w:val="22"/>
        </w:rPr>
        <w:t>L</w:t>
      </w:r>
      <w:r w:rsidRPr="00D54072">
        <w:rPr>
          <w:rFonts w:ascii="Arial" w:hAnsi="Arial" w:cs="Arial"/>
          <w:szCs w:val="22"/>
        </w:rPr>
        <w:t xml:space="preserve"> have been used in clinical studies.  At the doses recommended above, remifentanil significantly reduces the amount of hypnotic agent required to maintain anaesthesia. Therefore, isoflurane and propofol should be administered as recommended above to avoid excessive depth of anaesthesia (see Table 6).</w:t>
      </w:r>
      <w:r w:rsidRPr="00D54072">
        <w:rPr>
          <w:rFonts w:ascii="Arial" w:hAnsi="Arial" w:cs="Arial"/>
          <w:b/>
          <w:szCs w:val="22"/>
        </w:rPr>
        <w:t xml:space="preserve"> </w:t>
      </w:r>
    </w:p>
    <w:p w:rsidR="00E9027E" w:rsidRDefault="00E9027E">
      <w:pPr>
        <w:spacing w:after="120"/>
        <w:rPr>
          <w:rFonts w:ascii="Arial" w:hAnsi="Arial" w:cs="Arial"/>
          <w:b/>
          <w:szCs w:val="22"/>
        </w:rPr>
      </w:pPr>
    </w:p>
    <w:p w:rsidR="00E9027E" w:rsidRDefault="00D54072">
      <w:pPr>
        <w:spacing w:after="120"/>
        <w:rPr>
          <w:rFonts w:ascii="Arial" w:hAnsi="Arial" w:cs="Arial"/>
          <w:b/>
          <w:szCs w:val="22"/>
        </w:rPr>
      </w:pPr>
      <w:r w:rsidRPr="00D54072">
        <w:rPr>
          <w:rFonts w:ascii="Arial" w:hAnsi="Arial" w:cs="Arial"/>
          <w:b/>
          <w:szCs w:val="22"/>
        </w:rPr>
        <w:t>Guidelines for discontinuation / continuation into the immediate post-operative period:</w:t>
      </w:r>
      <w:r w:rsidRPr="00D54072">
        <w:rPr>
          <w:rFonts w:ascii="Arial" w:hAnsi="Arial" w:cs="Arial"/>
          <w:szCs w:val="22"/>
        </w:rPr>
        <w:t xml:space="preserve"> At the end of surgery when the TCI infusion is stopped or the target concentration reduced, spontaneous respiration is likely to return at calculated remifentanil concentrations in the region of 1 to 2 ng/m</w:t>
      </w:r>
      <w:r w:rsidR="00A56518" w:rsidRPr="00A56518">
        <w:rPr>
          <w:rFonts w:ascii="Arial" w:hAnsi="Arial" w:cs="Arial"/>
          <w:szCs w:val="22"/>
        </w:rPr>
        <w:t>L</w:t>
      </w:r>
      <w:r w:rsidRPr="00D54072">
        <w:rPr>
          <w:rFonts w:ascii="Arial" w:hAnsi="Arial" w:cs="Arial"/>
          <w:szCs w:val="22"/>
        </w:rPr>
        <w:t>.  As with manually-controlled infusion, post-operative analgesia should be established before the end of surgery with longer acting analgesics (</w:t>
      </w:r>
      <w:r w:rsidRPr="004F1B1A">
        <w:rPr>
          <w:rFonts w:ascii="Arial" w:hAnsi="Arial" w:cs="Arial"/>
          <w:szCs w:val="22"/>
        </w:rPr>
        <w:t>see</w:t>
      </w:r>
      <w:r w:rsidRPr="004F1B1A">
        <w:rPr>
          <w:rFonts w:ascii="Arial" w:hAnsi="Arial" w:cs="Arial"/>
          <w:b/>
          <w:szCs w:val="22"/>
        </w:rPr>
        <w:t xml:space="preserve"> Guidelines for discontinuation </w:t>
      </w:r>
      <w:r w:rsidRPr="004F1B1A">
        <w:rPr>
          <w:rFonts w:ascii="Arial" w:hAnsi="Arial" w:cs="Arial"/>
          <w:szCs w:val="22"/>
        </w:rPr>
        <w:t>under</w:t>
      </w:r>
      <w:r w:rsidRPr="004F1B1A">
        <w:rPr>
          <w:rFonts w:ascii="Arial" w:hAnsi="Arial" w:cs="Arial"/>
          <w:b/>
          <w:szCs w:val="22"/>
        </w:rPr>
        <w:t xml:space="preserve"> Dosage and Administration - Cardiac Anaesthesia </w:t>
      </w:r>
      <w:r w:rsidR="00A56518" w:rsidRPr="004F1B1A">
        <w:rPr>
          <w:rFonts w:ascii="Arial" w:hAnsi="Arial" w:cs="Arial"/>
          <w:b/>
          <w:szCs w:val="22"/>
        </w:rPr>
        <w:t>–</w:t>
      </w:r>
      <w:r w:rsidRPr="004F1B1A">
        <w:rPr>
          <w:rFonts w:ascii="Arial" w:hAnsi="Arial" w:cs="Arial"/>
          <w:b/>
          <w:szCs w:val="22"/>
        </w:rPr>
        <w:t xml:space="preserve"> </w:t>
      </w:r>
      <w:r w:rsidR="00A56518" w:rsidRPr="004F1B1A">
        <w:rPr>
          <w:rFonts w:ascii="Arial" w:hAnsi="Arial" w:cs="Arial"/>
          <w:b/>
          <w:szCs w:val="22"/>
        </w:rPr>
        <w:t xml:space="preserve">Dosage in </w:t>
      </w:r>
      <w:r w:rsidRPr="004F1B1A">
        <w:rPr>
          <w:rFonts w:ascii="Arial" w:hAnsi="Arial" w:cs="Arial"/>
          <w:b/>
          <w:szCs w:val="22"/>
        </w:rPr>
        <w:t xml:space="preserve">Adults </w:t>
      </w:r>
      <w:r w:rsidR="00A56518" w:rsidRPr="004F1B1A">
        <w:rPr>
          <w:rFonts w:ascii="Arial" w:hAnsi="Arial" w:cs="Arial"/>
          <w:b/>
          <w:szCs w:val="22"/>
        </w:rPr>
        <w:t>–</w:t>
      </w:r>
      <w:r w:rsidRPr="004F1B1A">
        <w:rPr>
          <w:rFonts w:ascii="Arial" w:hAnsi="Arial" w:cs="Arial"/>
          <w:b/>
          <w:szCs w:val="22"/>
        </w:rPr>
        <w:t xml:space="preserve"> </w:t>
      </w:r>
      <w:r w:rsidR="00A56518" w:rsidRPr="004F1B1A">
        <w:rPr>
          <w:rFonts w:ascii="Arial" w:hAnsi="Arial" w:cs="Arial"/>
          <w:b/>
          <w:szCs w:val="22"/>
        </w:rPr>
        <w:t xml:space="preserve">Administration by </w:t>
      </w:r>
      <w:r w:rsidRPr="004F1B1A">
        <w:rPr>
          <w:rFonts w:ascii="Arial" w:hAnsi="Arial" w:cs="Arial"/>
          <w:b/>
          <w:szCs w:val="22"/>
        </w:rPr>
        <w:t>Manually-Controlled Infusion</w:t>
      </w:r>
      <w:r w:rsidRPr="00D54072">
        <w:rPr>
          <w:rFonts w:ascii="Arial" w:hAnsi="Arial" w:cs="Arial"/>
          <w:b/>
          <w:szCs w:val="22"/>
        </w:rPr>
        <w:t>).</w:t>
      </w:r>
    </w:p>
    <w:p w:rsidR="00E9027E" w:rsidRDefault="00E9027E">
      <w:pPr>
        <w:spacing w:after="120"/>
        <w:rPr>
          <w:rFonts w:ascii="Arial" w:hAnsi="Arial" w:cs="Arial"/>
          <w:b/>
          <w:szCs w:val="22"/>
        </w:rPr>
      </w:pPr>
    </w:p>
    <w:p w:rsidR="00E9027E" w:rsidRDefault="00922616">
      <w:pPr>
        <w:tabs>
          <w:tab w:val="left" w:pos="426"/>
        </w:tabs>
        <w:spacing w:after="120"/>
        <w:rPr>
          <w:rFonts w:ascii="Arial" w:hAnsi="Arial" w:cs="Arial"/>
          <w:b/>
          <w:szCs w:val="22"/>
        </w:rPr>
      </w:pPr>
      <w:r w:rsidRPr="00922616">
        <w:rPr>
          <w:rFonts w:ascii="Arial" w:hAnsi="Arial" w:cs="Arial"/>
          <w:b/>
          <w:szCs w:val="22"/>
        </w:rPr>
        <w:t>2.2  Dosage in Paediatric patients</w:t>
      </w:r>
    </w:p>
    <w:p w:rsidR="00E9027E" w:rsidRDefault="003B54CA">
      <w:pPr>
        <w:pStyle w:val="BodyText"/>
        <w:tabs>
          <w:tab w:val="left" w:pos="426"/>
        </w:tabs>
        <w:spacing w:after="120"/>
        <w:rPr>
          <w:rFonts w:ascii="Arial" w:hAnsi="Arial" w:cs="Arial"/>
          <w:szCs w:val="22"/>
        </w:rPr>
      </w:pPr>
      <w:r w:rsidRPr="003B54CA">
        <w:rPr>
          <w:rFonts w:ascii="Arial" w:hAnsi="Arial" w:cs="Arial"/>
          <w:szCs w:val="22"/>
        </w:rPr>
        <w:t>There are insufficient data to make a dosage recommendation for use during cardiac surgery.</w:t>
      </w:r>
    </w:p>
    <w:p w:rsidR="00E9027E" w:rsidRDefault="00E9027E">
      <w:pPr>
        <w:tabs>
          <w:tab w:val="left" w:pos="426"/>
        </w:tabs>
        <w:spacing w:after="120"/>
        <w:rPr>
          <w:rFonts w:ascii="Arial" w:hAnsi="Arial" w:cs="Arial"/>
          <w:szCs w:val="22"/>
        </w:rPr>
      </w:pPr>
    </w:p>
    <w:p w:rsidR="00E9027E" w:rsidRDefault="00D54072">
      <w:pPr>
        <w:tabs>
          <w:tab w:val="left" w:pos="426"/>
        </w:tabs>
        <w:spacing w:after="120"/>
        <w:rPr>
          <w:rFonts w:ascii="Arial" w:hAnsi="Arial" w:cs="Arial"/>
          <w:b/>
          <w:szCs w:val="22"/>
        </w:rPr>
      </w:pPr>
      <w:r w:rsidRPr="00D54072">
        <w:rPr>
          <w:rFonts w:ascii="Arial" w:hAnsi="Arial" w:cs="Arial"/>
          <w:b/>
          <w:szCs w:val="22"/>
        </w:rPr>
        <w:t>3.</w:t>
      </w:r>
      <w:r w:rsidRPr="00D54072">
        <w:rPr>
          <w:rFonts w:ascii="Arial" w:hAnsi="Arial" w:cs="Arial"/>
          <w:b/>
          <w:szCs w:val="22"/>
        </w:rPr>
        <w:tab/>
        <w:t>Special patient populations:</w:t>
      </w:r>
    </w:p>
    <w:p w:rsidR="00E9027E" w:rsidRDefault="00A56518">
      <w:pPr>
        <w:pStyle w:val="BodyText2"/>
        <w:tabs>
          <w:tab w:val="left" w:pos="426"/>
        </w:tabs>
        <w:spacing w:after="120"/>
        <w:rPr>
          <w:rFonts w:ascii="Arial" w:hAnsi="Arial" w:cs="Arial"/>
          <w:szCs w:val="22"/>
        </w:rPr>
      </w:pPr>
      <w:r w:rsidRPr="00A56518">
        <w:rPr>
          <w:rFonts w:ascii="Arial" w:hAnsi="Arial" w:cs="Arial"/>
          <w:szCs w:val="22"/>
        </w:rPr>
        <w:t>3.1</w:t>
      </w:r>
      <w:r w:rsidRPr="00A56518">
        <w:rPr>
          <w:rFonts w:ascii="Arial" w:hAnsi="Arial" w:cs="Arial"/>
          <w:szCs w:val="22"/>
        </w:rPr>
        <w:tab/>
        <w:t>Dosage in Elderly Patients (over 65 years of age)</w:t>
      </w:r>
    </w:p>
    <w:p w:rsidR="00922616" w:rsidRPr="00922616" w:rsidRDefault="00567E52">
      <w:pPr>
        <w:pStyle w:val="BodyText"/>
        <w:numPr>
          <w:ilvl w:val="0"/>
          <w:numId w:val="12"/>
        </w:numPr>
        <w:shd w:val="clear" w:color="auto" w:fill="FFFFFF"/>
        <w:spacing w:after="120"/>
        <w:rPr>
          <w:rFonts w:ascii="Arial" w:hAnsi="Arial" w:cs="Arial"/>
          <w:szCs w:val="22"/>
        </w:rPr>
      </w:pPr>
      <w:r w:rsidRPr="00567E52">
        <w:rPr>
          <w:rFonts w:ascii="Arial" w:hAnsi="Arial" w:cs="Arial"/>
          <w:b/>
          <w:szCs w:val="22"/>
        </w:rPr>
        <w:t>General anaesthesia:</w:t>
      </w:r>
      <w:r w:rsidR="003B54CA" w:rsidRPr="003B54CA">
        <w:rPr>
          <w:rFonts w:ascii="Arial" w:hAnsi="Arial" w:cs="Arial"/>
          <w:szCs w:val="22"/>
        </w:rPr>
        <w:t xml:space="preserve">  The initial starting dose of Ultiva administered to patients over 65 should be half the recommended adult dose and then titrated to individual patient need, as an increased sensitivity to the pharmacological effects of Ultiva has been seen in this patien</w:t>
      </w:r>
      <w:r w:rsidR="009D0AAB" w:rsidRPr="009D0AAB">
        <w:rPr>
          <w:rFonts w:ascii="Arial" w:hAnsi="Arial" w:cs="Arial"/>
          <w:szCs w:val="22"/>
        </w:rPr>
        <w:t xml:space="preserve">t population.  This dose </w:t>
      </w:r>
      <w:r w:rsidR="009D0AAB" w:rsidRPr="009D0AAB">
        <w:rPr>
          <w:rFonts w:ascii="Arial" w:hAnsi="Arial" w:cs="Arial"/>
          <w:szCs w:val="22"/>
          <w:shd w:val="clear" w:color="auto" w:fill="FFFFFF"/>
        </w:rPr>
        <w:t>adjustment applies to use in all phases of anaesthesia including induction, maintenance and immediate post-operative analgesia.</w:t>
      </w:r>
    </w:p>
    <w:p w:rsidR="00E9027E" w:rsidRDefault="00A56518">
      <w:pPr>
        <w:tabs>
          <w:tab w:val="left" w:pos="426"/>
        </w:tabs>
        <w:spacing w:after="120"/>
        <w:ind w:left="426" w:hanging="426"/>
        <w:rPr>
          <w:rFonts w:ascii="Arial" w:hAnsi="Arial" w:cs="Arial"/>
          <w:szCs w:val="22"/>
        </w:rPr>
      </w:pPr>
      <w:r w:rsidRPr="00A56518">
        <w:rPr>
          <w:rFonts w:ascii="Arial" w:hAnsi="Arial" w:cs="Arial"/>
          <w:b/>
          <w:szCs w:val="22"/>
        </w:rPr>
        <w:t>(b)</w:t>
      </w:r>
      <w:r w:rsidRPr="00A56518">
        <w:rPr>
          <w:rFonts w:ascii="Arial" w:hAnsi="Arial" w:cs="Arial"/>
          <w:b/>
          <w:szCs w:val="22"/>
        </w:rPr>
        <w:tab/>
        <w:t>Cardiac anaesthesia:</w:t>
      </w:r>
      <w:r w:rsidRPr="00A56518">
        <w:rPr>
          <w:rFonts w:ascii="Arial" w:hAnsi="Arial" w:cs="Arial"/>
          <w:szCs w:val="22"/>
        </w:rPr>
        <w:t xml:space="preserve">  No initial dose reduction is required (see </w:t>
      </w:r>
      <w:r w:rsidR="00922616" w:rsidRPr="00922616">
        <w:rPr>
          <w:rFonts w:ascii="Arial" w:hAnsi="Arial" w:cs="Arial"/>
          <w:b/>
          <w:szCs w:val="22"/>
        </w:rPr>
        <w:t>Cardiac anaesthesia – Dosing Guidelines for Cardiac  Anaesthesia</w:t>
      </w:r>
      <w:r w:rsidR="00567E52" w:rsidRPr="00567E52">
        <w:rPr>
          <w:rFonts w:ascii="Arial" w:hAnsi="Arial" w:cs="Arial"/>
          <w:szCs w:val="22"/>
        </w:rPr>
        <w:t>).</w:t>
      </w:r>
    </w:p>
    <w:p w:rsidR="00E9027E" w:rsidRDefault="00E9027E">
      <w:pPr>
        <w:pStyle w:val="Footer"/>
        <w:tabs>
          <w:tab w:val="clear" w:pos="4320"/>
          <w:tab w:val="clear" w:pos="8640"/>
          <w:tab w:val="left" w:pos="426"/>
        </w:tabs>
        <w:spacing w:after="120"/>
        <w:rPr>
          <w:rFonts w:ascii="Arial" w:hAnsi="Arial" w:cs="Arial"/>
          <w:szCs w:val="22"/>
        </w:rPr>
      </w:pPr>
    </w:p>
    <w:p w:rsidR="00E9027E" w:rsidRDefault="00D54072">
      <w:pPr>
        <w:pStyle w:val="Footer"/>
        <w:tabs>
          <w:tab w:val="clear" w:pos="4320"/>
          <w:tab w:val="clear" w:pos="8640"/>
          <w:tab w:val="left" w:pos="426"/>
        </w:tabs>
        <w:spacing w:after="120"/>
        <w:rPr>
          <w:rFonts w:ascii="Arial" w:hAnsi="Arial" w:cs="Arial"/>
          <w:b/>
          <w:szCs w:val="22"/>
          <w:u w:val="single"/>
        </w:rPr>
      </w:pPr>
      <w:r w:rsidRPr="00D54072">
        <w:rPr>
          <w:rFonts w:ascii="Arial" w:hAnsi="Arial" w:cs="Arial"/>
          <w:b/>
          <w:szCs w:val="22"/>
          <w:u w:val="single"/>
        </w:rPr>
        <w:lastRenderedPageBreak/>
        <w:t>Administration by Manually-Controlled Infusion</w:t>
      </w:r>
    </w:p>
    <w:p w:rsidR="00E9027E" w:rsidRDefault="00D54072">
      <w:pPr>
        <w:pStyle w:val="Footer"/>
        <w:tabs>
          <w:tab w:val="clear" w:pos="4320"/>
          <w:tab w:val="clear" w:pos="8640"/>
          <w:tab w:val="left" w:pos="426"/>
        </w:tabs>
        <w:spacing w:after="120"/>
        <w:rPr>
          <w:rFonts w:ascii="Arial" w:hAnsi="Arial" w:cs="Arial"/>
          <w:b/>
          <w:szCs w:val="22"/>
        </w:rPr>
      </w:pPr>
      <w:r w:rsidRPr="00D54072">
        <w:rPr>
          <w:rFonts w:ascii="Arial" w:hAnsi="Arial" w:cs="Arial"/>
          <w:b/>
          <w:szCs w:val="22"/>
        </w:rPr>
        <w:t>Intensive care:</w:t>
      </w:r>
      <w:r w:rsidR="00A56518" w:rsidRPr="00A56518">
        <w:rPr>
          <w:rFonts w:ascii="Arial" w:hAnsi="Arial" w:cs="Arial"/>
          <w:szCs w:val="22"/>
        </w:rPr>
        <w:t xml:space="preserve"> No initial dose reduction is required </w:t>
      </w:r>
      <w:r w:rsidRPr="00D54072">
        <w:rPr>
          <w:rFonts w:ascii="Arial" w:hAnsi="Arial" w:cs="Arial"/>
          <w:b/>
          <w:szCs w:val="22"/>
        </w:rPr>
        <w:t>(see DOSAGE and ADMINISTRATION, Use in Intensive Care).</w:t>
      </w:r>
    </w:p>
    <w:p w:rsidR="009D0563" w:rsidRDefault="009D0563">
      <w:pPr>
        <w:spacing w:after="120"/>
        <w:rPr>
          <w:rFonts w:ascii="Arial" w:hAnsi="Arial" w:cs="Arial"/>
          <w:b/>
          <w:szCs w:val="22"/>
          <w:u w:val="single"/>
        </w:rPr>
      </w:pPr>
    </w:p>
    <w:p w:rsidR="00E9027E" w:rsidRDefault="00D54072">
      <w:pPr>
        <w:spacing w:after="120"/>
        <w:rPr>
          <w:rFonts w:ascii="Arial" w:hAnsi="Arial" w:cs="Arial"/>
          <w:b/>
          <w:szCs w:val="22"/>
          <w:u w:val="single"/>
        </w:rPr>
      </w:pPr>
      <w:r w:rsidRPr="00D54072">
        <w:rPr>
          <w:rFonts w:ascii="Arial" w:hAnsi="Arial" w:cs="Arial"/>
          <w:b/>
          <w:szCs w:val="22"/>
          <w:u w:val="single"/>
        </w:rPr>
        <w:t>Administration by Target-Controlled Infusion</w:t>
      </w:r>
    </w:p>
    <w:p w:rsidR="00E9027E" w:rsidRDefault="00D54072">
      <w:pPr>
        <w:spacing w:after="120"/>
        <w:rPr>
          <w:rFonts w:ascii="Arial" w:hAnsi="Arial" w:cs="Arial"/>
          <w:szCs w:val="22"/>
        </w:rPr>
      </w:pPr>
      <w:r w:rsidRPr="00D54072">
        <w:rPr>
          <w:rFonts w:ascii="Arial" w:hAnsi="Arial" w:cs="Arial"/>
          <w:szCs w:val="22"/>
        </w:rPr>
        <w:t xml:space="preserve">General anaesthesia: Because of the increased sensitivity of elderly patients to remifentanil, when administering </w:t>
      </w:r>
      <w:r w:rsidR="00A56518" w:rsidRPr="00A56518">
        <w:rPr>
          <w:rFonts w:ascii="Arial" w:hAnsi="Arial" w:cs="Arial"/>
          <w:szCs w:val="22"/>
        </w:rPr>
        <w:t>Ultiva</w:t>
      </w:r>
      <w:r w:rsidRPr="00D54072">
        <w:rPr>
          <w:rFonts w:ascii="Arial" w:hAnsi="Arial" w:cs="Arial"/>
          <w:szCs w:val="22"/>
        </w:rPr>
        <w:t xml:space="preserve"> by TCI in this population </w:t>
      </w:r>
      <w:r w:rsidRPr="00D54072">
        <w:rPr>
          <w:rStyle w:val="CSIchar"/>
          <w:rFonts w:ascii="Arial" w:hAnsi="Arial" w:cs="Arial"/>
          <w:szCs w:val="22"/>
          <w:shd w:val="clear" w:color="auto" w:fill="auto"/>
        </w:rPr>
        <w:t>the initial target concentration should be 1.5 to 4 ng/mL with subsequent titration to response</w:t>
      </w:r>
      <w:r w:rsidRPr="00D54072">
        <w:rPr>
          <w:rFonts w:ascii="Arial" w:hAnsi="Arial" w:cs="Arial"/>
          <w:szCs w:val="22"/>
        </w:rPr>
        <w:t>.</w:t>
      </w:r>
    </w:p>
    <w:p w:rsidR="00E9027E" w:rsidRDefault="00E9027E">
      <w:pPr>
        <w:pStyle w:val="Footer"/>
        <w:tabs>
          <w:tab w:val="clear" w:pos="4320"/>
          <w:tab w:val="clear" w:pos="8640"/>
          <w:tab w:val="left" w:pos="426"/>
        </w:tabs>
        <w:spacing w:after="120"/>
        <w:rPr>
          <w:rFonts w:ascii="Arial" w:hAnsi="Arial" w:cs="Arial"/>
          <w:szCs w:val="22"/>
        </w:rPr>
      </w:pPr>
    </w:p>
    <w:p w:rsidR="00E9027E" w:rsidRDefault="00D54072">
      <w:pPr>
        <w:tabs>
          <w:tab w:val="left" w:pos="426"/>
        </w:tabs>
        <w:spacing w:after="120"/>
        <w:rPr>
          <w:rFonts w:ascii="Arial" w:hAnsi="Arial" w:cs="Arial"/>
          <w:b/>
          <w:szCs w:val="22"/>
        </w:rPr>
      </w:pPr>
      <w:r w:rsidRPr="00D54072">
        <w:rPr>
          <w:rFonts w:ascii="Arial" w:hAnsi="Arial" w:cs="Arial"/>
          <w:b/>
          <w:szCs w:val="22"/>
        </w:rPr>
        <w:t>3.2</w:t>
      </w:r>
      <w:r w:rsidRPr="00D54072">
        <w:rPr>
          <w:rFonts w:ascii="Arial" w:hAnsi="Arial" w:cs="Arial"/>
          <w:b/>
          <w:szCs w:val="22"/>
        </w:rPr>
        <w:tab/>
        <w:t>Dosage in Obese Patients</w:t>
      </w:r>
    </w:p>
    <w:p w:rsidR="00E9027E" w:rsidRDefault="00E9027E">
      <w:pPr>
        <w:tabs>
          <w:tab w:val="left" w:pos="426"/>
        </w:tabs>
        <w:spacing w:after="120"/>
        <w:rPr>
          <w:rFonts w:ascii="Arial" w:hAnsi="Arial" w:cs="Arial"/>
          <w:b/>
          <w:szCs w:val="22"/>
        </w:rPr>
      </w:pPr>
    </w:p>
    <w:p w:rsidR="00E9027E" w:rsidRDefault="00D54072">
      <w:pPr>
        <w:tabs>
          <w:tab w:val="left" w:pos="426"/>
        </w:tabs>
        <w:spacing w:after="120"/>
        <w:rPr>
          <w:rFonts w:ascii="Arial" w:hAnsi="Arial" w:cs="Arial"/>
          <w:b/>
          <w:szCs w:val="22"/>
        </w:rPr>
      </w:pPr>
      <w:r w:rsidRPr="00D54072">
        <w:rPr>
          <w:rFonts w:ascii="Arial" w:hAnsi="Arial" w:cs="Arial"/>
          <w:b/>
          <w:szCs w:val="22"/>
        </w:rPr>
        <w:t>Administration by Manually-Controlled Infusion</w:t>
      </w:r>
    </w:p>
    <w:p w:rsidR="00E9027E" w:rsidRDefault="00D54072">
      <w:pPr>
        <w:tabs>
          <w:tab w:val="left" w:pos="426"/>
        </w:tabs>
        <w:spacing w:after="120"/>
        <w:rPr>
          <w:rFonts w:ascii="Arial" w:hAnsi="Arial" w:cs="Arial"/>
          <w:szCs w:val="22"/>
        </w:rPr>
      </w:pPr>
      <w:r w:rsidRPr="00D54072">
        <w:rPr>
          <w:rFonts w:ascii="Arial" w:hAnsi="Arial" w:cs="Arial"/>
          <w:szCs w:val="22"/>
        </w:rPr>
        <w:t>For manually controlled infusion, it is recommended that for obese patients the dosage of Ultiva should be reduced and based upon ideal body weight as the clearance and volume of distribution of remifentanil are better correlated with ideal body weight than actual body weight in this population.</w:t>
      </w:r>
    </w:p>
    <w:p w:rsidR="00E9027E" w:rsidRDefault="00E9027E">
      <w:pPr>
        <w:tabs>
          <w:tab w:val="left" w:pos="426"/>
        </w:tabs>
        <w:spacing w:after="120"/>
        <w:rPr>
          <w:rFonts w:ascii="Arial" w:hAnsi="Arial" w:cs="Arial"/>
          <w:szCs w:val="22"/>
        </w:rPr>
      </w:pPr>
    </w:p>
    <w:p w:rsidR="00807166" w:rsidRDefault="00807166">
      <w:pPr>
        <w:spacing w:after="120"/>
        <w:rPr>
          <w:rFonts w:ascii="Arial" w:hAnsi="Arial" w:cs="Arial"/>
          <w:b/>
          <w:szCs w:val="22"/>
        </w:rPr>
      </w:pPr>
    </w:p>
    <w:p w:rsidR="00807166" w:rsidRDefault="00807166">
      <w:pPr>
        <w:spacing w:after="120"/>
        <w:rPr>
          <w:rFonts w:ascii="Arial" w:hAnsi="Arial" w:cs="Arial"/>
          <w:b/>
          <w:szCs w:val="22"/>
        </w:rPr>
      </w:pPr>
    </w:p>
    <w:p w:rsidR="00E9027E" w:rsidRDefault="00D54072">
      <w:pPr>
        <w:spacing w:after="120"/>
        <w:rPr>
          <w:rFonts w:ascii="Arial" w:hAnsi="Arial" w:cs="Arial"/>
          <w:b/>
          <w:szCs w:val="22"/>
        </w:rPr>
      </w:pPr>
      <w:r w:rsidRPr="00D54072">
        <w:rPr>
          <w:rFonts w:ascii="Arial" w:hAnsi="Arial" w:cs="Arial"/>
          <w:b/>
          <w:szCs w:val="22"/>
        </w:rPr>
        <w:t>Administration by Target-Controlled Infusion</w:t>
      </w:r>
    </w:p>
    <w:p w:rsidR="00922616" w:rsidRPr="00922616" w:rsidRDefault="00D54072">
      <w:pPr>
        <w:rPr>
          <w:rFonts w:ascii="Arial" w:hAnsi="Arial" w:cs="Arial"/>
        </w:rPr>
      </w:pPr>
      <w:r w:rsidRPr="00D54072">
        <w:rPr>
          <w:rFonts w:ascii="Arial" w:hAnsi="Arial" w:cs="Arial"/>
        </w:rPr>
        <w:t xml:space="preserve">With the calculation of lean body mass (LBM) used in the Minto model, LBM is likely to be underestimated in female patients with a body mass index (BMI) greater than 35 kg/m2 and in male patients with BMI greater than 40 kg/m2.  To avoid underdosing in these patients, </w:t>
      </w:r>
      <w:r w:rsidRPr="00D54072">
        <w:t>Ultiva</w:t>
      </w:r>
      <w:r w:rsidRPr="00D54072">
        <w:rPr>
          <w:rFonts w:ascii="Arial" w:hAnsi="Arial" w:cs="Arial"/>
        </w:rPr>
        <w:t xml:space="preserve"> TCI should be titrated carefully to individual response. </w:t>
      </w:r>
    </w:p>
    <w:p w:rsidR="00E9027E" w:rsidRDefault="00D54072">
      <w:pPr>
        <w:tabs>
          <w:tab w:val="left" w:pos="426"/>
        </w:tabs>
        <w:spacing w:after="120"/>
        <w:rPr>
          <w:rFonts w:ascii="Arial" w:hAnsi="Arial" w:cs="Arial"/>
          <w:b/>
          <w:szCs w:val="22"/>
        </w:rPr>
      </w:pPr>
      <w:r w:rsidRPr="00D54072">
        <w:rPr>
          <w:rFonts w:ascii="Arial" w:hAnsi="Arial" w:cs="Arial"/>
          <w:b/>
          <w:szCs w:val="22"/>
        </w:rPr>
        <w:tab/>
      </w:r>
    </w:p>
    <w:p w:rsidR="00E9027E" w:rsidRDefault="00D54072">
      <w:pPr>
        <w:tabs>
          <w:tab w:val="left" w:pos="426"/>
        </w:tabs>
        <w:spacing w:after="120"/>
        <w:rPr>
          <w:rFonts w:ascii="Arial" w:hAnsi="Arial" w:cs="Arial"/>
          <w:b/>
          <w:szCs w:val="22"/>
        </w:rPr>
      </w:pPr>
      <w:r w:rsidRPr="00D54072">
        <w:rPr>
          <w:rFonts w:ascii="Arial" w:hAnsi="Arial" w:cs="Arial"/>
          <w:b/>
          <w:szCs w:val="22"/>
        </w:rPr>
        <w:t>3.3  Dosage in Patients with Renal Impairment</w:t>
      </w:r>
    </w:p>
    <w:p w:rsidR="00E9027E" w:rsidRDefault="00D54072">
      <w:pPr>
        <w:tabs>
          <w:tab w:val="left" w:pos="426"/>
        </w:tabs>
        <w:spacing w:after="120"/>
        <w:rPr>
          <w:rFonts w:ascii="Arial" w:hAnsi="Arial" w:cs="Arial"/>
          <w:szCs w:val="22"/>
        </w:rPr>
      </w:pPr>
      <w:r w:rsidRPr="00D54072">
        <w:rPr>
          <w:rFonts w:ascii="Arial" w:hAnsi="Arial" w:cs="Arial"/>
          <w:szCs w:val="22"/>
        </w:rPr>
        <w:t>No dosage adjustment, relative to that used in healthy adults, is necessary as the pharmacokinetic profile of Ultiva is unchanged in this patient population.</w:t>
      </w:r>
    </w:p>
    <w:p w:rsidR="00E9027E" w:rsidRDefault="00E9027E">
      <w:pPr>
        <w:tabs>
          <w:tab w:val="left" w:pos="426"/>
        </w:tabs>
        <w:spacing w:after="120"/>
        <w:rPr>
          <w:rFonts w:ascii="Arial" w:hAnsi="Arial" w:cs="Arial"/>
          <w:szCs w:val="22"/>
        </w:rPr>
      </w:pPr>
    </w:p>
    <w:p w:rsidR="00E9027E" w:rsidRDefault="00D54072">
      <w:pPr>
        <w:tabs>
          <w:tab w:val="left" w:pos="426"/>
        </w:tabs>
        <w:spacing w:after="120"/>
        <w:rPr>
          <w:rFonts w:ascii="Arial" w:hAnsi="Arial" w:cs="Arial"/>
          <w:b/>
          <w:szCs w:val="22"/>
        </w:rPr>
      </w:pPr>
      <w:r w:rsidRPr="00D54072">
        <w:rPr>
          <w:rFonts w:ascii="Arial" w:hAnsi="Arial" w:cs="Arial"/>
          <w:b/>
          <w:szCs w:val="22"/>
        </w:rPr>
        <w:t>3.4</w:t>
      </w:r>
      <w:r w:rsidRPr="00D54072">
        <w:rPr>
          <w:rFonts w:ascii="Arial" w:hAnsi="Arial" w:cs="Arial"/>
          <w:b/>
          <w:szCs w:val="22"/>
        </w:rPr>
        <w:tab/>
        <w:t>Dosage in Patients with Hepatic Impairment</w:t>
      </w:r>
    </w:p>
    <w:p w:rsidR="00E9027E" w:rsidRDefault="00D54072">
      <w:pPr>
        <w:tabs>
          <w:tab w:val="left" w:pos="426"/>
        </w:tabs>
        <w:spacing w:after="120"/>
        <w:rPr>
          <w:rFonts w:ascii="Arial" w:hAnsi="Arial" w:cs="Arial"/>
          <w:szCs w:val="22"/>
        </w:rPr>
      </w:pPr>
      <w:r w:rsidRPr="00D54072">
        <w:rPr>
          <w:rFonts w:ascii="Arial" w:hAnsi="Arial" w:cs="Arial"/>
          <w:szCs w:val="22"/>
        </w:rPr>
        <w:t>No adjustment of the initial dose, relative to that used in healthy adults, is necessary as the pharmacokinetic profile of Ultiva is unchanged in this patient population.  However, patients with severe hepatic impairment may be slightly more sensitive to the respiratory depressant effects of Ultiva.  These patients should be closely monitored and the dose of Ultiva titrated to individual patient needs.</w:t>
      </w:r>
    </w:p>
    <w:p w:rsidR="00E9027E" w:rsidRDefault="00E9027E">
      <w:pPr>
        <w:tabs>
          <w:tab w:val="left" w:pos="426"/>
        </w:tabs>
        <w:spacing w:after="120"/>
        <w:rPr>
          <w:rFonts w:ascii="Arial" w:hAnsi="Arial" w:cs="Arial"/>
          <w:szCs w:val="22"/>
        </w:rPr>
      </w:pPr>
    </w:p>
    <w:p w:rsidR="00E9027E" w:rsidRDefault="00D54072">
      <w:pPr>
        <w:tabs>
          <w:tab w:val="left" w:pos="426"/>
        </w:tabs>
        <w:spacing w:after="120"/>
        <w:rPr>
          <w:rFonts w:ascii="Arial" w:hAnsi="Arial" w:cs="Arial"/>
          <w:szCs w:val="22"/>
        </w:rPr>
      </w:pPr>
      <w:r w:rsidRPr="00D54072">
        <w:rPr>
          <w:rFonts w:ascii="Arial" w:hAnsi="Arial" w:cs="Arial"/>
          <w:b/>
          <w:szCs w:val="22"/>
        </w:rPr>
        <w:t>3.5</w:t>
      </w:r>
      <w:r w:rsidRPr="00D54072">
        <w:rPr>
          <w:rFonts w:ascii="Arial" w:hAnsi="Arial" w:cs="Arial"/>
          <w:b/>
          <w:szCs w:val="22"/>
        </w:rPr>
        <w:tab/>
        <w:t>Neurosurgery</w:t>
      </w:r>
    </w:p>
    <w:p w:rsidR="00E9027E" w:rsidRDefault="00D54072">
      <w:pPr>
        <w:tabs>
          <w:tab w:val="left" w:pos="426"/>
        </w:tabs>
        <w:spacing w:after="120"/>
        <w:rPr>
          <w:rFonts w:ascii="Arial" w:hAnsi="Arial" w:cs="Arial"/>
          <w:szCs w:val="22"/>
        </w:rPr>
      </w:pPr>
      <w:r w:rsidRPr="00D54072">
        <w:rPr>
          <w:rFonts w:ascii="Arial" w:hAnsi="Arial" w:cs="Arial"/>
          <w:szCs w:val="22"/>
        </w:rPr>
        <w:t>There is limited clinical experience with patients undergoing neurosurgery.</w:t>
      </w:r>
    </w:p>
    <w:p w:rsidR="00E9027E" w:rsidRDefault="00E9027E">
      <w:pPr>
        <w:tabs>
          <w:tab w:val="left" w:pos="426"/>
        </w:tabs>
        <w:spacing w:after="120"/>
        <w:rPr>
          <w:rFonts w:ascii="Arial" w:hAnsi="Arial" w:cs="Arial"/>
          <w:szCs w:val="22"/>
        </w:rPr>
      </w:pPr>
    </w:p>
    <w:p w:rsidR="00E9027E" w:rsidRDefault="00D54072">
      <w:pPr>
        <w:tabs>
          <w:tab w:val="left" w:pos="426"/>
        </w:tabs>
        <w:spacing w:after="120"/>
        <w:rPr>
          <w:rFonts w:ascii="Arial" w:hAnsi="Arial" w:cs="Arial"/>
          <w:szCs w:val="22"/>
        </w:rPr>
      </w:pPr>
      <w:r w:rsidRPr="00D54072">
        <w:rPr>
          <w:rFonts w:ascii="Arial" w:hAnsi="Arial" w:cs="Arial"/>
          <w:b/>
          <w:szCs w:val="22"/>
        </w:rPr>
        <w:t>3.6</w:t>
      </w:r>
      <w:r w:rsidRPr="00D54072">
        <w:rPr>
          <w:rFonts w:ascii="Arial" w:hAnsi="Arial" w:cs="Arial"/>
          <w:b/>
          <w:szCs w:val="22"/>
        </w:rPr>
        <w:tab/>
        <w:t xml:space="preserve">ASA </w:t>
      </w:r>
      <w:smartTag w:uri="urn:schemas-microsoft-com:office:smarttags" w:element="stockticker">
        <w:r w:rsidRPr="00D54072">
          <w:rPr>
            <w:rFonts w:ascii="Arial" w:hAnsi="Arial" w:cs="Arial"/>
            <w:b/>
            <w:szCs w:val="22"/>
          </w:rPr>
          <w:t>III</w:t>
        </w:r>
      </w:smartTag>
      <w:r w:rsidRPr="00D54072">
        <w:rPr>
          <w:rFonts w:ascii="Arial" w:hAnsi="Arial" w:cs="Arial"/>
          <w:b/>
          <w:szCs w:val="22"/>
        </w:rPr>
        <w:t>/IV patients</w:t>
      </w:r>
    </w:p>
    <w:p w:rsidR="00922616" w:rsidRDefault="00D54072">
      <w:pPr>
        <w:numPr>
          <w:ilvl w:val="0"/>
          <w:numId w:val="20"/>
        </w:numPr>
        <w:spacing w:after="120"/>
        <w:rPr>
          <w:rFonts w:ascii="Arial" w:hAnsi="Arial" w:cs="Arial"/>
          <w:b/>
          <w:szCs w:val="22"/>
        </w:rPr>
      </w:pPr>
      <w:r w:rsidRPr="00D54072">
        <w:rPr>
          <w:rFonts w:ascii="Arial" w:hAnsi="Arial" w:cs="Arial"/>
          <w:b/>
          <w:szCs w:val="22"/>
        </w:rPr>
        <w:lastRenderedPageBreak/>
        <w:t>General anaesthesia:</w:t>
      </w:r>
      <w:r w:rsidRPr="00D54072">
        <w:rPr>
          <w:rFonts w:ascii="Arial" w:hAnsi="Arial" w:cs="Arial"/>
          <w:szCs w:val="22"/>
        </w:rPr>
        <w:t xml:space="preserve">  As the haemodynamic effects of potent opioids can be expected to be more pronounced in ASA </w:t>
      </w:r>
      <w:smartTag w:uri="urn:schemas-microsoft-com:office:smarttags" w:element="stockticker">
        <w:r w:rsidRPr="00D54072">
          <w:rPr>
            <w:rFonts w:ascii="Arial" w:hAnsi="Arial" w:cs="Arial"/>
            <w:szCs w:val="22"/>
          </w:rPr>
          <w:t>III</w:t>
        </w:r>
      </w:smartTag>
      <w:r w:rsidRPr="00D54072">
        <w:rPr>
          <w:rFonts w:ascii="Arial" w:hAnsi="Arial" w:cs="Arial"/>
          <w:szCs w:val="22"/>
        </w:rPr>
        <w:t xml:space="preserve">/IV patients, caution should be exercised in the administration of Ultiva in this population.  </w:t>
      </w:r>
    </w:p>
    <w:p w:rsidR="00E9027E" w:rsidRDefault="00D54072">
      <w:pPr>
        <w:spacing w:after="120"/>
        <w:ind w:left="426"/>
        <w:rPr>
          <w:rFonts w:ascii="Arial" w:hAnsi="Arial" w:cs="Arial"/>
          <w:b/>
          <w:szCs w:val="22"/>
        </w:rPr>
      </w:pPr>
      <w:r w:rsidRPr="00D54072">
        <w:rPr>
          <w:rFonts w:ascii="Arial" w:hAnsi="Arial" w:cs="Arial"/>
          <w:szCs w:val="22"/>
          <w:u w:val="single"/>
        </w:rPr>
        <w:t>Manually Controlled Infusion</w:t>
      </w:r>
      <w:r w:rsidRPr="00D54072">
        <w:rPr>
          <w:rFonts w:ascii="Arial" w:hAnsi="Arial" w:cs="Arial"/>
          <w:szCs w:val="22"/>
        </w:rPr>
        <w:t xml:space="preserve">: </w:t>
      </w:r>
      <w:r w:rsidRPr="00D54072">
        <w:rPr>
          <w:rFonts w:ascii="Arial" w:hAnsi="Arial" w:cs="Arial"/>
          <w:b/>
          <w:szCs w:val="22"/>
        </w:rPr>
        <w:t>Initial dosage reduction and subsequent titration to effect is therefore recommended.</w:t>
      </w:r>
    </w:p>
    <w:p w:rsidR="00E9027E" w:rsidRDefault="00D54072">
      <w:pPr>
        <w:spacing w:after="120"/>
        <w:ind w:left="426"/>
        <w:rPr>
          <w:rFonts w:ascii="Arial" w:hAnsi="Arial" w:cs="Arial"/>
          <w:b/>
          <w:szCs w:val="22"/>
        </w:rPr>
      </w:pPr>
      <w:r w:rsidRPr="009D0563">
        <w:rPr>
          <w:rFonts w:ascii="Arial" w:hAnsi="Arial" w:cs="Arial"/>
          <w:szCs w:val="22"/>
          <w:u w:val="single"/>
        </w:rPr>
        <w:t>Target-Controlled Infusion</w:t>
      </w:r>
      <w:r w:rsidRPr="009D0563">
        <w:rPr>
          <w:rFonts w:ascii="Arial" w:hAnsi="Arial" w:cs="Arial"/>
          <w:b/>
          <w:szCs w:val="22"/>
        </w:rPr>
        <w:t>: TCI is not recommended for ASA III or IV patients.</w:t>
      </w:r>
    </w:p>
    <w:p w:rsidR="00922616" w:rsidRDefault="00D54072">
      <w:pPr>
        <w:numPr>
          <w:ilvl w:val="0"/>
          <w:numId w:val="20"/>
        </w:numPr>
        <w:spacing w:after="120"/>
        <w:rPr>
          <w:rFonts w:ascii="Arial" w:hAnsi="Arial" w:cs="Arial"/>
          <w:szCs w:val="22"/>
        </w:rPr>
      </w:pPr>
      <w:r w:rsidRPr="00D54072">
        <w:rPr>
          <w:rFonts w:ascii="Arial" w:hAnsi="Arial" w:cs="Arial"/>
          <w:b/>
          <w:szCs w:val="22"/>
        </w:rPr>
        <w:t>Cardiac anaesthesia:</w:t>
      </w:r>
      <w:r w:rsidRPr="00D54072">
        <w:rPr>
          <w:rFonts w:ascii="Arial" w:hAnsi="Arial" w:cs="Arial"/>
          <w:szCs w:val="22"/>
        </w:rPr>
        <w:t xml:space="preserve">  No initial dose reduction is required (see </w:t>
      </w:r>
      <w:r w:rsidRPr="00D54072">
        <w:rPr>
          <w:rFonts w:ascii="Arial" w:hAnsi="Arial" w:cs="Arial"/>
          <w:b/>
          <w:szCs w:val="22"/>
        </w:rPr>
        <w:t>Cardiac Anaesthesia – Dosing Guidelines for Cardiac Anaesthesia</w:t>
      </w:r>
      <w:r w:rsidRPr="00D54072">
        <w:rPr>
          <w:rFonts w:ascii="Arial" w:hAnsi="Arial" w:cs="Arial"/>
          <w:szCs w:val="22"/>
        </w:rPr>
        <w:t>).</w:t>
      </w:r>
    </w:p>
    <w:p w:rsidR="00E9027E" w:rsidRDefault="00D54072">
      <w:pPr>
        <w:numPr>
          <w:ilvl w:val="0"/>
          <w:numId w:val="20"/>
        </w:numPr>
        <w:spacing w:after="120"/>
        <w:rPr>
          <w:rFonts w:ascii="Arial" w:hAnsi="Arial" w:cs="Arial"/>
          <w:szCs w:val="22"/>
        </w:rPr>
      </w:pPr>
      <w:r w:rsidRPr="00D54072">
        <w:rPr>
          <w:rFonts w:ascii="Arial" w:hAnsi="Arial" w:cs="Arial"/>
          <w:b/>
          <w:szCs w:val="22"/>
        </w:rPr>
        <w:t xml:space="preserve">Intensive Care: </w:t>
      </w:r>
      <w:r w:rsidRPr="00D54072">
        <w:rPr>
          <w:rFonts w:ascii="Arial" w:hAnsi="Arial" w:cs="Arial"/>
          <w:szCs w:val="22"/>
        </w:rPr>
        <w:t xml:space="preserve">No initial dose reduction is required (see </w:t>
      </w:r>
      <w:r w:rsidRPr="004F1B1A">
        <w:rPr>
          <w:rFonts w:ascii="Arial" w:hAnsi="Arial" w:cs="Arial"/>
          <w:b/>
          <w:szCs w:val="22"/>
        </w:rPr>
        <w:t>Use in Intensive</w:t>
      </w:r>
      <w:r w:rsidRPr="00D54072">
        <w:rPr>
          <w:rFonts w:ascii="Arial" w:hAnsi="Arial" w:cs="Arial"/>
          <w:b/>
          <w:szCs w:val="22"/>
        </w:rPr>
        <w:t xml:space="preserve"> Care</w:t>
      </w:r>
      <w:r w:rsidRPr="00D54072">
        <w:rPr>
          <w:rFonts w:ascii="Arial" w:hAnsi="Arial" w:cs="Arial"/>
          <w:szCs w:val="22"/>
        </w:rPr>
        <w:t>).</w:t>
      </w:r>
    </w:p>
    <w:p w:rsidR="004F1B1A" w:rsidRDefault="004F1B1A">
      <w:pPr>
        <w:tabs>
          <w:tab w:val="left" w:pos="426"/>
        </w:tabs>
        <w:spacing w:after="120"/>
        <w:rPr>
          <w:rFonts w:ascii="Arial" w:hAnsi="Arial" w:cs="Arial"/>
          <w:b/>
          <w:szCs w:val="22"/>
        </w:rPr>
      </w:pPr>
    </w:p>
    <w:p w:rsidR="00922616" w:rsidRDefault="00D54072">
      <w:pPr>
        <w:tabs>
          <w:tab w:val="left" w:pos="426"/>
        </w:tabs>
        <w:spacing w:after="120"/>
        <w:rPr>
          <w:rFonts w:ascii="Arial" w:hAnsi="Arial" w:cs="Arial"/>
          <w:b/>
          <w:szCs w:val="22"/>
        </w:rPr>
      </w:pPr>
      <w:r w:rsidRPr="00D54072">
        <w:rPr>
          <w:rFonts w:ascii="Arial" w:hAnsi="Arial" w:cs="Arial"/>
          <w:b/>
          <w:szCs w:val="22"/>
        </w:rPr>
        <w:t>3.7</w:t>
      </w:r>
      <w:r w:rsidRPr="00D54072">
        <w:rPr>
          <w:rFonts w:ascii="Arial" w:hAnsi="Arial" w:cs="Arial"/>
          <w:b/>
          <w:szCs w:val="22"/>
        </w:rPr>
        <w:tab/>
        <w:t xml:space="preserve">Use in Intensive Care </w:t>
      </w:r>
    </w:p>
    <w:p w:rsidR="00E9027E" w:rsidRDefault="00D54072">
      <w:pPr>
        <w:pStyle w:val="listssp"/>
        <w:spacing w:after="120"/>
        <w:rPr>
          <w:rFonts w:ascii="Arial" w:hAnsi="Arial" w:cs="Arial"/>
          <w:b/>
          <w:sz w:val="22"/>
          <w:szCs w:val="22"/>
          <w:u w:val="single"/>
        </w:rPr>
      </w:pPr>
      <w:r w:rsidRPr="00D54072">
        <w:rPr>
          <w:rFonts w:ascii="Arial" w:hAnsi="Arial" w:cs="Arial"/>
          <w:b/>
          <w:sz w:val="22"/>
          <w:szCs w:val="22"/>
          <w:u w:val="single"/>
        </w:rPr>
        <w:t>Administration by Manually Controlled Infusion</w:t>
      </w:r>
    </w:p>
    <w:p w:rsidR="00922616" w:rsidRPr="00922616" w:rsidRDefault="00D54072">
      <w:pPr>
        <w:tabs>
          <w:tab w:val="left" w:pos="426"/>
        </w:tabs>
        <w:spacing w:after="120"/>
        <w:rPr>
          <w:rFonts w:ascii="Arial" w:hAnsi="Arial" w:cs="Arial"/>
          <w:b/>
          <w:szCs w:val="22"/>
        </w:rPr>
      </w:pPr>
      <w:r w:rsidRPr="00D54072">
        <w:rPr>
          <w:rFonts w:ascii="Arial" w:hAnsi="Arial" w:cs="Arial"/>
          <w:b/>
          <w:szCs w:val="22"/>
        </w:rPr>
        <w:t>Adults</w:t>
      </w:r>
    </w:p>
    <w:p w:rsidR="00E9027E" w:rsidRDefault="00D54072">
      <w:pPr>
        <w:pStyle w:val="listssp"/>
        <w:spacing w:after="120"/>
        <w:rPr>
          <w:rFonts w:ascii="Arial" w:hAnsi="Arial" w:cs="Arial"/>
          <w:sz w:val="22"/>
          <w:szCs w:val="22"/>
        </w:rPr>
      </w:pPr>
      <w:r w:rsidRPr="00D54072">
        <w:rPr>
          <w:rFonts w:ascii="Arial" w:hAnsi="Arial" w:cs="Arial"/>
          <w:sz w:val="22"/>
          <w:szCs w:val="22"/>
        </w:rPr>
        <w:t>Ultiva can be initially used alone for the provision of analgesia and sedation in mechanically ventilated intensive care patients.</w:t>
      </w:r>
    </w:p>
    <w:p w:rsidR="00E9027E" w:rsidRDefault="00D54072">
      <w:pPr>
        <w:spacing w:after="120"/>
        <w:rPr>
          <w:rFonts w:ascii="Arial" w:hAnsi="Arial" w:cs="Arial"/>
          <w:szCs w:val="22"/>
        </w:rPr>
      </w:pPr>
      <w:r w:rsidRPr="00D54072">
        <w:rPr>
          <w:rFonts w:ascii="Arial" w:hAnsi="Arial" w:cs="Arial"/>
          <w:szCs w:val="22"/>
        </w:rPr>
        <w:t>It is recommended that Ultiva is initiated at an infusion rate of 0.1µg/kg/min to 0.15µg/kg/min.  The infusion rate should be titrated in increments of 0.025µg/kg/min to achieve the desired level of analgesia and sedation.  A period of at least 5 minutes should be allowed between dose adjustments.  The level of analgesia and sedation should be carefully monitored, regularly reassessed and the Ultiva infusion rate adjusted accordingly.  If an infusion rate of 0.2µg/kg/min is reached and the desired level of sedation is not achieved, it is recommended that dosing with an appropriate sedative agent is initiated.  The dose of sedative agent should be titrated to obtain the desired level of sedation.  Further increases to the Ultiva infusion rate in increments of 0.025µg/kg/min may be made if additional analgesia is required.</w:t>
      </w:r>
    </w:p>
    <w:p w:rsidR="00E9027E" w:rsidRDefault="00D54072">
      <w:pPr>
        <w:spacing w:after="120"/>
        <w:rPr>
          <w:rFonts w:ascii="Arial" w:hAnsi="Arial" w:cs="Arial"/>
          <w:strike/>
          <w:snapToGrid w:val="0"/>
          <w:szCs w:val="22"/>
          <w:bdr w:val="single" w:sz="4" w:space="0" w:color="auto"/>
          <w:lang w:val="en-US" w:eastAsia="en-US"/>
        </w:rPr>
      </w:pPr>
      <w:r w:rsidRPr="00D54072">
        <w:rPr>
          <w:rFonts w:ascii="Arial" w:hAnsi="Arial" w:cs="Arial"/>
          <w:snapToGrid w:val="0"/>
          <w:szCs w:val="22"/>
          <w:lang w:val="en-US" w:eastAsia="en-US"/>
        </w:rPr>
        <w:t>Ultiva has been studied in intensive care patients in well controlled clinical trials for up to three days (see</w:t>
      </w:r>
      <w:r w:rsidRPr="00D54072">
        <w:rPr>
          <w:rFonts w:ascii="Arial" w:hAnsi="Arial" w:cs="Arial"/>
          <w:b/>
          <w:snapToGrid w:val="0"/>
          <w:szCs w:val="22"/>
          <w:lang w:val="en-US" w:eastAsia="en-US"/>
        </w:rPr>
        <w:t xml:space="preserve"> CLINICAL TRIALS – Intensive Care Unit</w:t>
      </w:r>
      <w:r w:rsidRPr="00D54072">
        <w:rPr>
          <w:rFonts w:ascii="Arial" w:hAnsi="Arial" w:cs="Arial"/>
          <w:snapToGrid w:val="0"/>
          <w:szCs w:val="22"/>
          <w:lang w:val="en-US" w:eastAsia="en-US"/>
        </w:rPr>
        <w:t>).</w:t>
      </w:r>
      <w:r w:rsidRPr="00D54072">
        <w:rPr>
          <w:rFonts w:ascii="Arial" w:hAnsi="Arial" w:cs="Arial"/>
          <w:strike/>
          <w:snapToGrid w:val="0"/>
          <w:szCs w:val="22"/>
          <w:bdr w:val="single" w:sz="4" w:space="0" w:color="auto"/>
          <w:lang w:val="en-US" w:eastAsia="en-US"/>
        </w:rPr>
        <w:t xml:space="preserve"> </w:t>
      </w:r>
    </w:p>
    <w:p w:rsidR="00E9027E" w:rsidRDefault="00D54072">
      <w:pPr>
        <w:pStyle w:val="BodyText3"/>
        <w:shd w:val="clear" w:color="auto" w:fill="auto"/>
        <w:spacing w:after="120"/>
        <w:jc w:val="left"/>
        <w:rPr>
          <w:rFonts w:ascii="Arial" w:hAnsi="Arial" w:cs="Arial"/>
          <w:b w:val="0"/>
          <w:szCs w:val="22"/>
        </w:rPr>
      </w:pPr>
      <w:r w:rsidRPr="00D54072">
        <w:rPr>
          <w:rFonts w:ascii="Arial" w:hAnsi="Arial" w:cs="Arial"/>
          <w:b w:val="0"/>
          <w:szCs w:val="22"/>
        </w:rPr>
        <w:t>Table 7 summarises the starting infusion rates and typical dose range for provision of analgesia and sedation in individual patients:-</w:t>
      </w:r>
    </w:p>
    <w:p w:rsidR="00E9027E" w:rsidRDefault="00D54072">
      <w:pPr>
        <w:pStyle w:val="Heading5"/>
        <w:spacing w:before="60" w:after="120"/>
        <w:ind w:left="993" w:hanging="993"/>
        <w:jc w:val="both"/>
        <w:rPr>
          <w:rFonts w:ascii="Arial" w:hAnsi="Arial" w:cs="Arial"/>
          <w:szCs w:val="22"/>
        </w:rPr>
      </w:pPr>
      <w:r w:rsidRPr="00D54072">
        <w:rPr>
          <w:rFonts w:ascii="Arial" w:hAnsi="Arial" w:cs="Arial"/>
          <w:szCs w:val="22"/>
        </w:rPr>
        <w:t xml:space="preserve">Table  7: DOSING GUIDELINES FOR USE OF ULTIVA WITHIN THE INTENSIVE </w:t>
      </w:r>
      <w:smartTag w:uri="urn:schemas-microsoft-com:office:smarttags" w:element="stockticker">
        <w:r w:rsidRPr="00D54072">
          <w:rPr>
            <w:rFonts w:ascii="Arial" w:hAnsi="Arial" w:cs="Arial"/>
            <w:szCs w:val="22"/>
          </w:rPr>
          <w:t>CARE</w:t>
        </w:r>
      </w:smartTag>
      <w:r w:rsidRPr="00D54072">
        <w:rPr>
          <w:rFonts w:ascii="Arial" w:hAnsi="Arial" w:cs="Arial"/>
          <w:szCs w:val="22"/>
        </w:rPr>
        <w:t xml:space="preserve"> SETTING</w:t>
      </w:r>
    </w:p>
    <w:tbl>
      <w:tblPr>
        <w:tblW w:w="0" w:type="auto"/>
        <w:tblLayout w:type="fixed"/>
        <w:tblCellMar>
          <w:left w:w="107" w:type="dxa"/>
          <w:right w:w="107" w:type="dxa"/>
        </w:tblCellMar>
        <w:tblLook w:val="0000"/>
      </w:tblPr>
      <w:tblGrid>
        <w:gridCol w:w="4427"/>
        <w:gridCol w:w="4050"/>
      </w:tblGrid>
      <w:tr w:rsidR="00956150" w:rsidTr="00C82745">
        <w:trPr>
          <w:cantSplit/>
        </w:trPr>
        <w:tc>
          <w:tcPr>
            <w:tcW w:w="8477" w:type="dxa"/>
            <w:gridSpan w:val="2"/>
            <w:tcBorders>
              <w:top w:val="single" w:sz="4" w:space="0" w:color="auto"/>
              <w:left w:val="single" w:sz="4" w:space="0" w:color="auto"/>
              <w:bottom w:val="single" w:sz="4" w:space="0" w:color="auto"/>
              <w:right w:val="single" w:sz="4" w:space="0" w:color="auto"/>
            </w:tcBorders>
          </w:tcPr>
          <w:p w:rsidR="00956150" w:rsidRDefault="00956150" w:rsidP="00C82745">
            <w:pPr>
              <w:spacing w:before="120" w:after="120"/>
              <w:jc w:val="center"/>
              <w:rPr>
                <w:rFonts w:ascii="Arial" w:hAnsi="Arial"/>
                <w:b/>
                <w:lang w:val="fr-FR"/>
              </w:rPr>
            </w:pPr>
            <w:r>
              <w:rPr>
                <w:rFonts w:ascii="Arial" w:hAnsi="Arial"/>
                <w:b/>
                <w:sz w:val="20"/>
                <w:lang w:val="fr-FR"/>
              </w:rPr>
              <w:t>CONTINUOUS INFUSION microgram/kg/min</w:t>
            </w:r>
          </w:p>
        </w:tc>
      </w:tr>
      <w:tr w:rsidR="00956150" w:rsidTr="00C82745">
        <w:trPr>
          <w:cantSplit/>
        </w:trPr>
        <w:tc>
          <w:tcPr>
            <w:tcW w:w="4427" w:type="dxa"/>
            <w:tcBorders>
              <w:top w:val="single" w:sz="4" w:space="0" w:color="auto"/>
              <w:left w:val="single" w:sz="4" w:space="0" w:color="auto"/>
              <w:bottom w:val="single" w:sz="4" w:space="0" w:color="auto"/>
              <w:right w:val="single" w:sz="4" w:space="0" w:color="auto"/>
            </w:tcBorders>
          </w:tcPr>
          <w:p w:rsidR="00956150" w:rsidRDefault="00956150" w:rsidP="00C82745">
            <w:pPr>
              <w:spacing w:before="120" w:after="120"/>
              <w:rPr>
                <w:rFonts w:ascii="Arial" w:hAnsi="Arial"/>
                <w:b/>
                <w:sz w:val="20"/>
              </w:rPr>
            </w:pPr>
            <w:r>
              <w:rPr>
                <w:rFonts w:ascii="Arial" w:hAnsi="Arial"/>
                <w:b/>
                <w:sz w:val="20"/>
              </w:rPr>
              <w:t>Starting Rate</w:t>
            </w:r>
          </w:p>
        </w:tc>
        <w:tc>
          <w:tcPr>
            <w:tcW w:w="4050" w:type="dxa"/>
            <w:tcBorders>
              <w:top w:val="single" w:sz="4" w:space="0" w:color="auto"/>
              <w:left w:val="single" w:sz="4" w:space="0" w:color="auto"/>
              <w:bottom w:val="single" w:sz="4" w:space="0" w:color="auto"/>
              <w:right w:val="single" w:sz="4" w:space="0" w:color="auto"/>
            </w:tcBorders>
          </w:tcPr>
          <w:p w:rsidR="00956150" w:rsidRDefault="00956150" w:rsidP="00C82745">
            <w:pPr>
              <w:spacing w:before="120" w:after="120"/>
              <w:rPr>
                <w:rFonts w:ascii="Arial" w:hAnsi="Arial"/>
                <w:b/>
                <w:sz w:val="20"/>
              </w:rPr>
            </w:pPr>
            <w:smartTag w:uri="urn:schemas-microsoft-com:office:smarttags" w:element="place">
              <w:smartTag w:uri="urn:schemas-microsoft-com:office:smarttags" w:element="PlaceName">
                <w:r>
                  <w:rPr>
                    <w:rFonts w:ascii="Arial" w:hAnsi="Arial"/>
                    <w:b/>
                    <w:sz w:val="20"/>
                  </w:rPr>
                  <w:t>Maintenance</w:t>
                </w:r>
              </w:smartTag>
              <w:r>
                <w:rPr>
                  <w:rFonts w:ascii="Arial" w:hAnsi="Arial"/>
                  <w:b/>
                  <w:sz w:val="20"/>
                </w:rPr>
                <w:t xml:space="preserve"> </w:t>
              </w:r>
              <w:smartTag w:uri="urn:schemas-microsoft-com:office:smarttags" w:element="PlaceType">
                <w:r>
                  <w:rPr>
                    <w:rFonts w:ascii="Arial" w:hAnsi="Arial"/>
                    <w:b/>
                    <w:sz w:val="20"/>
                  </w:rPr>
                  <w:t>Range</w:t>
                </w:r>
              </w:smartTag>
            </w:smartTag>
            <w:r>
              <w:rPr>
                <w:rFonts w:ascii="Arial" w:hAnsi="Arial"/>
                <w:b/>
                <w:sz w:val="20"/>
              </w:rPr>
              <w:t>*</w:t>
            </w:r>
          </w:p>
        </w:tc>
      </w:tr>
      <w:tr w:rsidR="00956150" w:rsidTr="00C82745">
        <w:trPr>
          <w:cantSplit/>
        </w:trPr>
        <w:tc>
          <w:tcPr>
            <w:tcW w:w="4427" w:type="dxa"/>
            <w:tcBorders>
              <w:top w:val="single" w:sz="4" w:space="0" w:color="auto"/>
              <w:left w:val="single" w:sz="4" w:space="0" w:color="auto"/>
              <w:bottom w:val="single" w:sz="4" w:space="0" w:color="auto"/>
              <w:right w:val="single" w:sz="4" w:space="0" w:color="auto"/>
            </w:tcBorders>
            <w:shd w:val="clear" w:color="auto" w:fill="FFFFFF"/>
          </w:tcPr>
          <w:p w:rsidR="00956150" w:rsidRDefault="00956150" w:rsidP="00C82745">
            <w:pPr>
              <w:pStyle w:val="CommentText"/>
              <w:spacing w:before="120"/>
              <w:rPr>
                <w:rFonts w:ascii="Arial" w:hAnsi="Arial"/>
              </w:rPr>
            </w:pPr>
            <w:r>
              <w:rPr>
                <w:rFonts w:ascii="Arial" w:hAnsi="Arial"/>
              </w:rPr>
              <w:t>0.1 to 0.15</w:t>
            </w:r>
          </w:p>
        </w:tc>
        <w:tc>
          <w:tcPr>
            <w:tcW w:w="4050" w:type="dxa"/>
            <w:tcBorders>
              <w:top w:val="single" w:sz="4" w:space="0" w:color="auto"/>
              <w:left w:val="single" w:sz="4" w:space="0" w:color="auto"/>
              <w:bottom w:val="single" w:sz="4" w:space="0" w:color="auto"/>
              <w:right w:val="single" w:sz="4" w:space="0" w:color="auto"/>
            </w:tcBorders>
            <w:shd w:val="clear" w:color="auto" w:fill="FFFFFF"/>
          </w:tcPr>
          <w:p w:rsidR="00956150" w:rsidRDefault="00956150" w:rsidP="00C82745">
            <w:pPr>
              <w:pStyle w:val="CommentText"/>
              <w:spacing w:before="120" w:after="0"/>
              <w:rPr>
                <w:rFonts w:ascii="Arial" w:hAnsi="Arial"/>
                <w:b/>
                <w:dstrike/>
              </w:rPr>
            </w:pPr>
            <w:r>
              <w:rPr>
                <w:rFonts w:ascii="Arial" w:hAnsi="Arial"/>
              </w:rPr>
              <w:t>0.006 to 0.74</w:t>
            </w:r>
          </w:p>
        </w:tc>
      </w:tr>
    </w:tbl>
    <w:p w:rsidR="00956150" w:rsidRDefault="00956150" w:rsidP="00956150">
      <w:pPr>
        <w:rPr>
          <w:rFonts w:ascii="Arial" w:hAnsi="Arial"/>
          <w:sz w:val="20"/>
        </w:rPr>
      </w:pPr>
      <w:r>
        <w:rPr>
          <w:rFonts w:ascii="Arial" w:hAnsi="Arial"/>
          <w:sz w:val="20"/>
        </w:rPr>
        <w:t>* Range of doses used in clinical trials to maintain adequate analgesia and sedation.</w:t>
      </w:r>
    </w:p>
    <w:p w:rsidR="00956150" w:rsidRDefault="00956150" w:rsidP="00956150">
      <w:pPr>
        <w:rPr>
          <w:rFonts w:ascii="Arial" w:hAnsi="Arial"/>
          <w:sz w:val="20"/>
        </w:rPr>
      </w:pPr>
    </w:p>
    <w:p w:rsidR="00E9027E" w:rsidRDefault="00956150">
      <w:pPr>
        <w:spacing w:after="120"/>
        <w:rPr>
          <w:rFonts w:ascii="Arial" w:hAnsi="Arial"/>
          <w:szCs w:val="22"/>
        </w:rPr>
      </w:pPr>
      <w:r w:rsidRPr="00756BF9">
        <w:rPr>
          <w:rFonts w:ascii="Arial" w:hAnsi="Arial"/>
          <w:szCs w:val="22"/>
        </w:rPr>
        <w:t>Bolus doses of Ultiva are not recommended in the intensive care setting.</w:t>
      </w:r>
    </w:p>
    <w:p w:rsidR="00E9027E" w:rsidRDefault="00956150">
      <w:pPr>
        <w:spacing w:after="120"/>
        <w:rPr>
          <w:rFonts w:ascii="Arial" w:hAnsi="Arial"/>
        </w:rPr>
      </w:pPr>
      <w:r>
        <w:rPr>
          <w:rFonts w:ascii="Arial" w:hAnsi="Arial"/>
        </w:rPr>
        <w:t>The use of Ultiva will reduce the dosage requirement of any concomitant sedative agents.  Typical starting doses for sedative age</w:t>
      </w:r>
      <w:r w:rsidR="00E76AD1">
        <w:rPr>
          <w:rFonts w:ascii="Arial" w:hAnsi="Arial"/>
        </w:rPr>
        <w:t>nts, if required, are given in T</w:t>
      </w:r>
      <w:r>
        <w:rPr>
          <w:rFonts w:ascii="Arial" w:hAnsi="Arial"/>
        </w:rPr>
        <w:t xml:space="preserve">able </w:t>
      </w:r>
      <w:r w:rsidR="00E76AD1">
        <w:rPr>
          <w:rFonts w:ascii="Arial" w:hAnsi="Arial"/>
        </w:rPr>
        <w:t>8</w:t>
      </w:r>
      <w:r>
        <w:rPr>
          <w:rFonts w:ascii="Arial" w:hAnsi="Arial"/>
        </w:rPr>
        <w:t>.</w:t>
      </w:r>
    </w:p>
    <w:p w:rsidR="00956150" w:rsidRDefault="00956150" w:rsidP="00956150">
      <w:pPr>
        <w:spacing w:after="120"/>
        <w:rPr>
          <w:rFonts w:ascii="Arial" w:hAnsi="Arial"/>
          <w:b/>
        </w:rPr>
      </w:pPr>
      <w:r>
        <w:rPr>
          <w:rFonts w:ascii="Arial" w:hAnsi="Arial"/>
          <w:b/>
        </w:rPr>
        <w:t xml:space="preserve">Table </w:t>
      </w:r>
      <w:r w:rsidR="000B0B31">
        <w:rPr>
          <w:rFonts w:ascii="Arial" w:hAnsi="Arial"/>
          <w:b/>
        </w:rPr>
        <w:t>8</w:t>
      </w:r>
      <w:r w:rsidR="004733FB">
        <w:rPr>
          <w:rFonts w:ascii="Arial" w:hAnsi="Arial"/>
          <w:b/>
        </w:rPr>
        <w:t>:</w:t>
      </w:r>
      <w:r w:rsidR="000B0B31">
        <w:rPr>
          <w:rFonts w:ascii="Arial" w:hAnsi="Arial"/>
          <w:b/>
        </w:rPr>
        <w:t xml:space="preserve"> </w:t>
      </w:r>
      <w:r>
        <w:rPr>
          <w:rFonts w:ascii="Arial" w:hAnsi="Arial"/>
          <w:b/>
        </w:rPr>
        <w:t>Recommended starting dose of sedative agents,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1"/>
        <w:gridCol w:w="2841"/>
        <w:gridCol w:w="2841"/>
      </w:tblGrid>
      <w:tr w:rsidR="00956150" w:rsidTr="00C82745">
        <w:trPr>
          <w:trHeight w:val="278"/>
        </w:trPr>
        <w:tc>
          <w:tcPr>
            <w:tcW w:w="2841" w:type="dxa"/>
          </w:tcPr>
          <w:p w:rsidR="00956150" w:rsidRDefault="00956150" w:rsidP="00C82745">
            <w:pPr>
              <w:pStyle w:val="centhead12"/>
              <w:jc w:val="left"/>
              <w:rPr>
                <w:sz w:val="20"/>
              </w:rPr>
            </w:pPr>
            <w:r>
              <w:rPr>
                <w:sz w:val="20"/>
              </w:rPr>
              <w:lastRenderedPageBreak/>
              <w:t>Sedative Agents</w:t>
            </w:r>
          </w:p>
        </w:tc>
        <w:tc>
          <w:tcPr>
            <w:tcW w:w="2841" w:type="dxa"/>
          </w:tcPr>
          <w:p w:rsidR="00956150" w:rsidRDefault="00956150" w:rsidP="00C82745">
            <w:pPr>
              <w:pStyle w:val="centhead12"/>
              <w:jc w:val="left"/>
              <w:rPr>
                <w:sz w:val="20"/>
              </w:rPr>
            </w:pPr>
            <w:r>
              <w:rPr>
                <w:sz w:val="20"/>
              </w:rPr>
              <w:t>Bolus (mg/kg)</w:t>
            </w:r>
          </w:p>
        </w:tc>
        <w:tc>
          <w:tcPr>
            <w:tcW w:w="2841" w:type="dxa"/>
          </w:tcPr>
          <w:p w:rsidR="00956150" w:rsidRDefault="00956150" w:rsidP="00C82745">
            <w:pPr>
              <w:rPr>
                <w:rFonts w:ascii="Arial" w:hAnsi="Arial"/>
                <w:b/>
                <w:sz w:val="20"/>
              </w:rPr>
            </w:pPr>
            <w:r>
              <w:rPr>
                <w:rFonts w:ascii="Arial" w:hAnsi="Arial"/>
                <w:b/>
                <w:sz w:val="20"/>
              </w:rPr>
              <w:t>Infusion (mg/kg/h)</w:t>
            </w:r>
          </w:p>
        </w:tc>
      </w:tr>
      <w:tr w:rsidR="00956150" w:rsidRPr="004733FB" w:rsidTr="00C82745">
        <w:tc>
          <w:tcPr>
            <w:tcW w:w="2841" w:type="dxa"/>
          </w:tcPr>
          <w:p w:rsidR="00956150" w:rsidRPr="004733FB" w:rsidRDefault="00D54072" w:rsidP="00C82745">
            <w:pPr>
              <w:pStyle w:val="textcentred"/>
              <w:spacing w:before="120" w:after="120"/>
              <w:jc w:val="both"/>
              <w:rPr>
                <w:rFonts w:ascii="Arial" w:hAnsi="Arial"/>
                <w:sz w:val="20"/>
              </w:rPr>
            </w:pPr>
            <w:r w:rsidRPr="00D54072">
              <w:rPr>
                <w:rFonts w:ascii="Arial" w:hAnsi="Arial"/>
                <w:sz w:val="20"/>
              </w:rPr>
              <w:t>Propofol</w:t>
            </w:r>
            <w:r w:rsidRPr="00D54072">
              <w:rPr>
                <w:rFonts w:ascii="Arial" w:hAnsi="Arial"/>
                <w:sz w:val="20"/>
              </w:rPr>
              <w:br/>
            </w:r>
            <w:r w:rsidRPr="00D54072">
              <w:rPr>
                <w:rFonts w:ascii="Arial" w:hAnsi="Arial"/>
                <w:sz w:val="20"/>
              </w:rPr>
              <w:br/>
              <w:t>Midazolam</w:t>
            </w:r>
          </w:p>
        </w:tc>
        <w:tc>
          <w:tcPr>
            <w:tcW w:w="2841" w:type="dxa"/>
          </w:tcPr>
          <w:p w:rsidR="00956150" w:rsidRPr="004733FB" w:rsidRDefault="00D54072" w:rsidP="00C82745">
            <w:pPr>
              <w:spacing w:before="120" w:after="120"/>
              <w:rPr>
                <w:rFonts w:ascii="Arial" w:hAnsi="Arial"/>
                <w:sz w:val="20"/>
              </w:rPr>
            </w:pPr>
            <w:r w:rsidRPr="00D54072">
              <w:rPr>
                <w:rFonts w:ascii="Arial" w:hAnsi="Arial"/>
                <w:sz w:val="20"/>
              </w:rPr>
              <w:t>Up to 0.5</w:t>
            </w:r>
            <w:r w:rsidRPr="00D54072">
              <w:rPr>
                <w:rFonts w:ascii="Arial" w:hAnsi="Arial"/>
                <w:sz w:val="20"/>
              </w:rPr>
              <w:br/>
            </w:r>
            <w:r w:rsidRPr="00D54072">
              <w:rPr>
                <w:rFonts w:ascii="Arial" w:hAnsi="Arial"/>
                <w:sz w:val="20"/>
              </w:rPr>
              <w:br/>
              <w:t>Up to 0.03</w:t>
            </w:r>
          </w:p>
        </w:tc>
        <w:tc>
          <w:tcPr>
            <w:tcW w:w="2841" w:type="dxa"/>
          </w:tcPr>
          <w:p w:rsidR="00956150" w:rsidRPr="004733FB" w:rsidRDefault="00D54072" w:rsidP="00C82745">
            <w:pPr>
              <w:spacing w:before="120" w:after="120"/>
              <w:rPr>
                <w:rFonts w:ascii="Arial" w:hAnsi="Arial"/>
                <w:sz w:val="20"/>
              </w:rPr>
            </w:pPr>
            <w:r w:rsidRPr="00D54072">
              <w:rPr>
                <w:rFonts w:ascii="Arial" w:hAnsi="Arial"/>
                <w:sz w:val="20"/>
              </w:rPr>
              <w:t>0.5</w:t>
            </w:r>
            <w:r w:rsidRPr="00D54072">
              <w:rPr>
                <w:rFonts w:ascii="Arial" w:hAnsi="Arial"/>
                <w:sz w:val="20"/>
              </w:rPr>
              <w:br/>
            </w:r>
            <w:r w:rsidRPr="00D54072">
              <w:rPr>
                <w:rFonts w:ascii="Arial" w:hAnsi="Arial"/>
                <w:sz w:val="20"/>
              </w:rPr>
              <w:br/>
              <w:t>0.03</w:t>
            </w:r>
          </w:p>
        </w:tc>
      </w:tr>
    </w:tbl>
    <w:p w:rsidR="00956150" w:rsidRDefault="00956150" w:rsidP="00956150">
      <w:pPr>
        <w:rPr>
          <w:rFonts w:ascii="Arial" w:hAnsi="Arial"/>
        </w:rPr>
      </w:pPr>
    </w:p>
    <w:p w:rsidR="00E9027E" w:rsidRDefault="00956150">
      <w:pPr>
        <w:spacing w:after="120"/>
        <w:rPr>
          <w:rFonts w:ascii="Arial" w:hAnsi="Arial"/>
        </w:rPr>
      </w:pPr>
      <w:r>
        <w:rPr>
          <w:rFonts w:ascii="Arial" w:hAnsi="Arial"/>
        </w:rPr>
        <w:t>To allow separate titration of the respective agents sedative agents should not be administered as an admixture.</w:t>
      </w:r>
    </w:p>
    <w:p w:rsidR="00E9027E" w:rsidRDefault="00956150">
      <w:pPr>
        <w:spacing w:after="120"/>
        <w:rPr>
          <w:rFonts w:ascii="Arial" w:hAnsi="Arial"/>
          <w:snapToGrid w:val="0"/>
          <w:lang w:val="en-US" w:eastAsia="en-US"/>
        </w:rPr>
      </w:pPr>
      <w:r>
        <w:rPr>
          <w:rFonts w:ascii="Arial" w:hAnsi="Arial"/>
          <w:u w:val="single"/>
        </w:rPr>
        <w:t>Additional analgesia for ventilated patients undergoing stimulating procedures</w:t>
      </w:r>
      <w:r>
        <w:rPr>
          <w:rFonts w:ascii="Arial" w:hAnsi="Arial"/>
        </w:rPr>
        <w:t xml:space="preserve">:  An increase in the existing Ultiva infusion rate may be required to provide additional analgesic cover for ventilated patients undergoing stimulating and/or painful procedures such as endotracheal suctioning, wound dressing and physiotherapy.  It is recommended that an Ultiva infusion rate of at least 0.1mcg/kg/min should be maintained for at least 5 minutes prior to the start of the stimulating procedure.  Further dose adjustments may be made every 2 to 5 minutes in increments of 25%-50% in anticipation of, or in response to, additional requirement for analgesia.  </w:t>
      </w:r>
      <w:r>
        <w:rPr>
          <w:rFonts w:ascii="Arial" w:hAnsi="Arial"/>
          <w:snapToGrid w:val="0"/>
          <w:lang w:val="en-US" w:eastAsia="en-US"/>
        </w:rPr>
        <w:t>A mean infusion rate of 0.25</w:t>
      </w:r>
      <w:r>
        <w:rPr>
          <w:rFonts w:ascii="Arial" w:hAnsi="Arial"/>
        </w:rPr>
        <w:t>microgram</w:t>
      </w:r>
      <w:r>
        <w:rPr>
          <w:rFonts w:ascii="Arial" w:hAnsi="Arial"/>
          <w:snapToGrid w:val="0"/>
          <w:lang w:val="en-US" w:eastAsia="en-US"/>
        </w:rPr>
        <w:t>/kg/min, maximum 0.75</w:t>
      </w:r>
      <w:r>
        <w:rPr>
          <w:rFonts w:ascii="Arial" w:hAnsi="Arial"/>
        </w:rPr>
        <w:t>microgram</w:t>
      </w:r>
      <w:r>
        <w:rPr>
          <w:rFonts w:ascii="Arial" w:hAnsi="Arial"/>
          <w:snapToGrid w:val="0"/>
          <w:lang w:val="en-US" w:eastAsia="en-US"/>
        </w:rPr>
        <w:t>/kg/min, has been administered for provision of additional anaesthesia during stimulating procedures.</w:t>
      </w:r>
    </w:p>
    <w:p w:rsidR="00E9027E" w:rsidRDefault="00956150">
      <w:pPr>
        <w:spacing w:after="120"/>
        <w:rPr>
          <w:rFonts w:ascii="Arial" w:hAnsi="Arial"/>
        </w:rPr>
      </w:pPr>
      <w:r>
        <w:rPr>
          <w:rFonts w:ascii="Arial" w:hAnsi="Arial"/>
          <w:u w:val="single"/>
        </w:rPr>
        <w:t>Establishment of alternative analgesia prior to discontinuation of Ultiva</w:t>
      </w:r>
      <w:r>
        <w:rPr>
          <w:rFonts w:ascii="Arial" w:hAnsi="Arial"/>
        </w:rPr>
        <w:t>: Due to the very rapid offset of action of Ultiva, no residual opioid activity will be present within 5 to 10 minutes after discontinuation regardless of the duration of infusion. Prior to discontinuation of Ultiva, patients must be given alternative analgesic and sedative agents at a sufficient time in advance to allow the therapeutic effects of these agents to become established. The range of options for analgesia includes long acting oral, intravenous, or regional analgesics controlled by the nurse of the patient. These techniques should always be titrated to individual patient need as the infusion of Ultiva is reduced (see below). It is recommended that the choice of agent(s), the dose, and the time of administration are planned prior to discontinuation of Ultiva.</w:t>
      </w:r>
    </w:p>
    <w:p w:rsidR="00E9027E" w:rsidRDefault="00956150">
      <w:pPr>
        <w:spacing w:after="120"/>
        <w:rPr>
          <w:rFonts w:ascii="Arial" w:hAnsi="Arial"/>
        </w:rPr>
      </w:pPr>
      <w:r>
        <w:rPr>
          <w:rFonts w:ascii="Arial" w:hAnsi="Arial"/>
        </w:rPr>
        <w:t>In order to ensure a smooth emergence from an Ultiva-based regimen it is recommended that the infusion rate of Ultiva is titrated down</w:t>
      </w:r>
      <w:r>
        <w:rPr>
          <w:rFonts w:ascii="Arial" w:hAnsi="Arial"/>
          <w:b/>
        </w:rPr>
        <w:t xml:space="preserve"> </w:t>
      </w:r>
      <w:r>
        <w:rPr>
          <w:rFonts w:ascii="Arial" w:hAnsi="Arial"/>
        </w:rPr>
        <w:t>in stages to 0.1mcg/kg/min over a period up to 1 hour prior to extubation.</w:t>
      </w:r>
    </w:p>
    <w:p w:rsidR="00E9027E" w:rsidRDefault="00956150">
      <w:pPr>
        <w:spacing w:after="120"/>
        <w:rPr>
          <w:rFonts w:ascii="Arial" w:hAnsi="Arial"/>
        </w:rPr>
      </w:pPr>
      <w:r>
        <w:rPr>
          <w:rFonts w:ascii="Arial" w:hAnsi="Arial"/>
        </w:rPr>
        <w:t xml:space="preserve">Following extubation, the infusion rate should be reduced by 25% decrements in at least 10-minute intervals until the infusion is discontinued.  During weaning from the </w:t>
      </w:r>
      <w:r w:rsidRPr="0032504F">
        <w:rPr>
          <w:rFonts w:ascii="Arial" w:hAnsi="Arial"/>
        </w:rPr>
        <w:t>ventilator the</w:t>
      </w:r>
      <w:r>
        <w:rPr>
          <w:rFonts w:ascii="Arial" w:hAnsi="Arial"/>
        </w:rPr>
        <w:t xml:space="preserve"> Ultiva infusion should not be increased and only down titration should occur, supplemented as required with alternative analgesics.</w:t>
      </w:r>
    </w:p>
    <w:p w:rsidR="00E9027E" w:rsidRDefault="00E9027E">
      <w:pPr>
        <w:spacing w:after="120"/>
        <w:rPr>
          <w:rFonts w:ascii="Arial" w:hAnsi="Arial"/>
        </w:rPr>
      </w:pPr>
    </w:p>
    <w:p w:rsidR="00E9027E" w:rsidRDefault="00956150">
      <w:pPr>
        <w:spacing w:after="120"/>
        <w:rPr>
          <w:rFonts w:ascii="Arial" w:hAnsi="Arial"/>
        </w:rPr>
      </w:pPr>
      <w:r>
        <w:rPr>
          <w:rFonts w:ascii="Arial" w:hAnsi="Arial"/>
          <w:b/>
        </w:rPr>
        <w:t>Paediatric Intensive Care Patients</w:t>
      </w:r>
      <w:r>
        <w:rPr>
          <w:rFonts w:ascii="Arial" w:hAnsi="Arial"/>
        </w:rPr>
        <w:t xml:space="preserve"> – There are no data available on use in paediatric patients.</w:t>
      </w:r>
    </w:p>
    <w:p w:rsidR="00E9027E" w:rsidRDefault="00E9027E">
      <w:pPr>
        <w:spacing w:after="120"/>
        <w:rPr>
          <w:rFonts w:ascii="Arial" w:hAnsi="Arial"/>
        </w:rPr>
      </w:pPr>
    </w:p>
    <w:p w:rsidR="00E9027E" w:rsidRDefault="00956150">
      <w:pPr>
        <w:spacing w:after="120"/>
        <w:rPr>
          <w:rFonts w:ascii="Arial" w:hAnsi="Arial"/>
        </w:rPr>
      </w:pPr>
      <w:r>
        <w:rPr>
          <w:rFonts w:ascii="Arial" w:hAnsi="Arial"/>
          <w:b/>
        </w:rPr>
        <w:t>Renally-impaired intensive care patients</w:t>
      </w:r>
      <w:r>
        <w:rPr>
          <w:rFonts w:ascii="Arial" w:hAnsi="Arial"/>
        </w:rPr>
        <w:t xml:space="preserve"> - No adjustments to the doses recommended above are necessary in renally-impaired patients including those undergoing renal replacement therapy.  </w:t>
      </w:r>
    </w:p>
    <w:p w:rsidR="00E9027E" w:rsidRDefault="00956150">
      <w:pPr>
        <w:spacing w:after="120"/>
        <w:rPr>
          <w:rFonts w:ascii="Arial" w:hAnsi="Arial"/>
        </w:rPr>
      </w:pPr>
      <w:r>
        <w:rPr>
          <w:rFonts w:ascii="Arial" w:hAnsi="Arial"/>
        </w:rPr>
        <w:t xml:space="preserve">Recovery following discontinuation of a remifentanil infusion may be slightly prolonged in moderate to severe renal impairment (see </w:t>
      </w:r>
      <w:r>
        <w:rPr>
          <w:rFonts w:ascii="Arial" w:hAnsi="Arial"/>
          <w:b/>
        </w:rPr>
        <w:t>PHARMACOLOGY/PHARMACOKINETICS</w:t>
      </w:r>
      <w:r>
        <w:rPr>
          <w:rFonts w:ascii="Arial" w:hAnsi="Arial"/>
        </w:rPr>
        <w:t xml:space="preserve"> - </w:t>
      </w:r>
      <w:r>
        <w:rPr>
          <w:rFonts w:ascii="Arial" w:hAnsi="Arial"/>
          <w:b/>
        </w:rPr>
        <w:t>Pharmacokinetics in patients with renal impairment</w:t>
      </w:r>
      <w:r>
        <w:rPr>
          <w:rFonts w:ascii="Arial" w:hAnsi="Arial"/>
        </w:rPr>
        <w:t>).</w:t>
      </w:r>
    </w:p>
    <w:p w:rsidR="00E9027E" w:rsidRDefault="00E9027E">
      <w:pPr>
        <w:spacing w:after="120"/>
        <w:rPr>
          <w:rFonts w:ascii="Arial" w:hAnsi="Arial"/>
        </w:rPr>
      </w:pPr>
    </w:p>
    <w:p w:rsidR="00E9027E" w:rsidRDefault="00D54072">
      <w:pPr>
        <w:spacing w:after="120"/>
        <w:rPr>
          <w:rFonts w:ascii="Arial" w:hAnsi="Arial"/>
          <w:b/>
          <w:u w:val="single"/>
        </w:rPr>
      </w:pPr>
      <w:r w:rsidRPr="00D54072">
        <w:rPr>
          <w:rFonts w:ascii="Arial" w:hAnsi="Arial"/>
          <w:b/>
          <w:u w:val="single"/>
        </w:rPr>
        <w:t>Administration by Target-Controlled Infusion</w:t>
      </w:r>
    </w:p>
    <w:p w:rsidR="00E9027E" w:rsidRDefault="00956150">
      <w:pPr>
        <w:spacing w:after="120"/>
        <w:rPr>
          <w:rFonts w:ascii="Arial" w:hAnsi="Arial"/>
        </w:rPr>
      </w:pPr>
      <w:r>
        <w:rPr>
          <w:rFonts w:ascii="Arial" w:hAnsi="Arial"/>
        </w:rPr>
        <w:lastRenderedPageBreak/>
        <w:t>Ultiva TCI has not been studied in intensive care patients.</w:t>
      </w:r>
    </w:p>
    <w:p w:rsidR="00E9027E" w:rsidRDefault="00E9027E">
      <w:pPr>
        <w:spacing w:after="120"/>
        <w:rPr>
          <w:rFonts w:ascii="Arial" w:hAnsi="Arial"/>
          <w:b/>
          <w:u w:val="single"/>
        </w:rPr>
      </w:pPr>
    </w:p>
    <w:p w:rsidR="005A21BD" w:rsidRPr="001224C3" w:rsidRDefault="007C4DF6" w:rsidP="007C4DF6">
      <w:pPr>
        <w:rPr>
          <w:rFonts w:ascii="Arial" w:hAnsi="Arial"/>
          <w:b/>
        </w:rPr>
      </w:pPr>
      <w:r w:rsidRPr="001224C3">
        <w:rPr>
          <w:rFonts w:ascii="Arial" w:hAnsi="Arial"/>
          <w:b/>
        </w:rPr>
        <w:t>INSTRUCTIONS FOR USE:</w:t>
      </w:r>
    </w:p>
    <w:p w:rsidR="00922616" w:rsidRPr="00922616" w:rsidRDefault="00922616"/>
    <w:p w:rsidR="00E9027E" w:rsidRDefault="005A21BD">
      <w:pPr>
        <w:pStyle w:val="Heading6"/>
        <w:spacing w:after="120"/>
        <w:rPr>
          <w:rFonts w:ascii="Arial" w:hAnsi="Arial"/>
        </w:rPr>
      </w:pPr>
      <w:r>
        <w:rPr>
          <w:rFonts w:ascii="Arial" w:hAnsi="Arial"/>
        </w:rPr>
        <w:t>Reconstitution and Dilution</w:t>
      </w:r>
    </w:p>
    <w:p w:rsidR="00E9027E" w:rsidRDefault="005A21BD">
      <w:pPr>
        <w:pStyle w:val="BodyText"/>
        <w:spacing w:after="120"/>
        <w:jc w:val="left"/>
        <w:rPr>
          <w:rFonts w:ascii="Arial" w:hAnsi="Arial"/>
        </w:rPr>
      </w:pPr>
      <w:r>
        <w:rPr>
          <w:rFonts w:ascii="Arial" w:hAnsi="Arial"/>
        </w:rPr>
        <w:t xml:space="preserve">To reconstitute the powder, add 1 mL of diluent (see </w:t>
      </w:r>
      <w:r>
        <w:rPr>
          <w:rFonts w:ascii="Arial" w:hAnsi="Arial"/>
          <w:b/>
        </w:rPr>
        <w:t xml:space="preserve">Physical Compatibilities </w:t>
      </w:r>
      <w:r>
        <w:rPr>
          <w:rFonts w:ascii="Arial" w:hAnsi="Arial"/>
        </w:rPr>
        <w:t xml:space="preserve">for recommended diluents) per mg of remifentanil.  Shake well to dissolve.  When reconstituted as directed, the solution contains approximately 1 mg of remifentanil activity per 1 mL.  ULTIVA should be diluted to a final concentration of 20, 25, 50, or 250 </w:t>
      </w:r>
      <w:r>
        <w:rPr>
          <w:rFonts w:ascii="Arial" w:hAnsi="Arial"/>
        </w:rPr>
        <w:sym w:font="Symbol" w:char="F06D"/>
      </w:r>
      <w:r>
        <w:rPr>
          <w:rFonts w:ascii="Arial" w:hAnsi="Arial"/>
        </w:rPr>
        <w:t>g/mL prior to administration (see Table</w:t>
      </w:r>
      <w:r w:rsidR="00E76AD1">
        <w:rPr>
          <w:rFonts w:ascii="Arial" w:hAnsi="Arial"/>
        </w:rPr>
        <w:t xml:space="preserve"> 9</w:t>
      </w:r>
      <w:r>
        <w:rPr>
          <w:rFonts w:ascii="Arial" w:hAnsi="Arial"/>
        </w:rPr>
        <w:t xml:space="preserve">). </w:t>
      </w:r>
    </w:p>
    <w:p w:rsidR="00E9027E" w:rsidRDefault="005A21BD">
      <w:pPr>
        <w:pStyle w:val="BodyText"/>
        <w:spacing w:after="120"/>
        <w:jc w:val="left"/>
        <w:rPr>
          <w:rFonts w:ascii="Arial" w:hAnsi="Arial"/>
        </w:rPr>
      </w:pPr>
      <w:r>
        <w:rPr>
          <w:rFonts w:ascii="Arial" w:hAnsi="Arial"/>
        </w:rPr>
        <w:t xml:space="preserve">50 </w:t>
      </w:r>
      <w:r w:rsidR="008540FE">
        <w:rPr>
          <w:rFonts w:ascii="Arial" w:hAnsi="Arial"/>
        </w:rPr>
        <w:fldChar w:fldCharType="begin"/>
      </w:r>
      <w:r>
        <w:rPr>
          <w:rFonts w:ascii="Arial" w:hAnsi="Arial"/>
        </w:rPr>
        <w:instrText>SYMBOL 109 \f "Symbol"</w:instrText>
      </w:r>
      <w:r w:rsidR="008540FE">
        <w:rPr>
          <w:rFonts w:ascii="Arial" w:hAnsi="Arial"/>
        </w:rPr>
        <w:fldChar w:fldCharType="end"/>
      </w:r>
      <w:r>
        <w:rPr>
          <w:rFonts w:ascii="Arial" w:hAnsi="Arial"/>
        </w:rPr>
        <w:t>g/mL is the recommended dilution for adults and 20</w:t>
      </w:r>
      <w:r>
        <w:rPr>
          <w:rFonts w:ascii="Arial" w:hAnsi="Arial"/>
        </w:rPr>
        <w:noBreakHyphen/>
        <w:t>25 </w:t>
      </w:r>
      <w:r w:rsidR="008540FE">
        <w:rPr>
          <w:rFonts w:ascii="Arial" w:hAnsi="Arial"/>
        </w:rPr>
        <w:fldChar w:fldCharType="begin"/>
      </w:r>
      <w:r>
        <w:rPr>
          <w:rFonts w:ascii="Arial" w:hAnsi="Arial"/>
        </w:rPr>
        <w:instrText>SYMBOL 109 \f "Symbol"</w:instrText>
      </w:r>
      <w:r w:rsidR="008540FE">
        <w:rPr>
          <w:rFonts w:ascii="Arial" w:hAnsi="Arial"/>
        </w:rPr>
        <w:fldChar w:fldCharType="end"/>
      </w:r>
      <w:r>
        <w:rPr>
          <w:rFonts w:ascii="Arial" w:hAnsi="Arial"/>
        </w:rPr>
        <w:t>g/mL for paediatric patients aged 1 year and over.  The dilution is dependent upon the technical capability of the infusion device and the expected requirements of the patient.  Ultiva should not be administered without dilution.</w:t>
      </w:r>
    </w:p>
    <w:p w:rsidR="00E9027E" w:rsidRDefault="005A21BD">
      <w:pPr>
        <w:spacing w:after="120"/>
        <w:rPr>
          <w:rFonts w:ascii="Arial" w:hAnsi="Arial"/>
          <w:b/>
        </w:rPr>
      </w:pPr>
      <w:r>
        <w:rPr>
          <w:rFonts w:ascii="Arial" w:hAnsi="Arial"/>
          <w:b/>
        </w:rPr>
        <w:t xml:space="preserve">Table </w:t>
      </w:r>
      <w:r w:rsidR="000B0B31">
        <w:rPr>
          <w:rFonts w:ascii="Arial" w:hAnsi="Arial"/>
          <w:b/>
        </w:rPr>
        <w:t>9</w:t>
      </w:r>
      <w:r>
        <w:rPr>
          <w:rFonts w:ascii="Arial" w:hAnsi="Arial"/>
          <w:b/>
        </w:rPr>
        <w:t>: Reconstitution and Dilution of Ultiva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24"/>
        <w:gridCol w:w="3124"/>
        <w:gridCol w:w="3124"/>
      </w:tblGrid>
      <w:tr w:rsidR="005A21BD">
        <w:tc>
          <w:tcPr>
            <w:tcW w:w="3124" w:type="dxa"/>
          </w:tcPr>
          <w:p w:rsidR="005A21BD" w:rsidRDefault="005A21BD">
            <w:pPr>
              <w:pStyle w:val="Heading5"/>
              <w:rPr>
                <w:rFonts w:ascii="Arial" w:hAnsi="Arial"/>
              </w:rPr>
            </w:pPr>
            <w:r>
              <w:rPr>
                <w:rFonts w:ascii="Arial" w:hAnsi="Arial"/>
              </w:rPr>
              <w:t>Final</w:t>
            </w:r>
          </w:p>
          <w:p w:rsidR="005A21BD" w:rsidRDefault="005A21BD">
            <w:pPr>
              <w:jc w:val="center"/>
              <w:rPr>
                <w:rFonts w:ascii="Arial" w:hAnsi="Arial"/>
                <w:b/>
              </w:rPr>
            </w:pPr>
            <w:r>
              <w:rPr>
                <w:rFonts w:ascii="Arial" w:hAnsi="Arial"/>
                <w:b/>
              </w:rPr>
              <w:t>Concentration</w:t>
            </w:r>
          </w:p>
        </w:tc>
        <w:tc>
          <w:tcPr>
            <w:tcW w:w="3124" w:type="dxa"/>
          </w:tcPr>
          <w:p w:rsidR="005A21BD" w:rsidRDefault="005A21BD">
            <w:pPr>
              <w:pStyle w:val="Heading5"/>
              <w:rPr>
                <w:rFonts w:ascii="Arial" w:hAnsi="Arial"/>
              </w:rPr>
            </w:pPr>
            <w:r>
              <w:rPr>
                <w:rFonts w:ascii="Arial" w:hAnsi="Arial"/>
              </w:rPr>
              <w:t>Amount of Ultiva</w:t>
            </w:r>
          </w:p>
          <w:p w:rsidR="005A21BD" w:rsidRDefault="005A21BD">
            <w:pPr>
              <w:jc w:val="center"/>
              <w:rPr>
                <w:rFonts w:ascii="Arial" w:hAnsi="Arial"/>
                <w:b/>
              </w:rPr>
            </w:pPr>
            <w:r>
              <w:rPr>
                <w:rFonts w:ascii="Arial" w:hAnsi="Arial"/>
                <w:b/>
              </w:rPr>
              <w:t>In each vial</w:t>
            </w:r>
          </w:p>
        </w:tc>
        <w:tc>
          <w:tcPr>
            <w:tcW w:w="3124" w:type="dxa"/>
          </w:tcPr>
          <w:p w:rsidR="005A21BD" w:rsidRDefault="005A21BD">
            <w:pPr>
              <w:pStyle w:val="Heading5"/>
              <w:rPr>
                <w:rFonts w:ascii="Arial" w:hAnsi="Arial"/>
              </w:rPr>
            </w:pPr>
            <w:r>
              <w:rPr>
                <w:rFonts w:ascii="Arial" w:hAnsi="Arial"/>
              </w:rPr>
              <w:t>Final volume after</w:t>
            </w:r>
          </w:p>
          <w:p w:rsidR="005A21BD" w:rsidRDefault="005A21BD">
            <w:pPr>
              <w:jc w:val="center"/>
              <w:rPr>
                <w:rFonts w:ascii="Arial" w:hAnsi="Arial"/>
                <w:b/>
              </w:rPr>
            </w:pPr>
            <w:r>
              <w:rPr>
                <w:rFonts w:ascii="Arial" w:hAnsi="Arial"/>
                <w:b/>
              </w:rPr>
              <w:t>Reconstitution and dilution</w:t>
            </w:r>
          </w:p>
        </w:tc>
      </w:tr>
      <w:tr w:rsidR="005A21BD">
        <w:tc>
          <w:tcPr>
            <w:tcW w:w="3124" w:type="dxa"/>
            <w:vAlign w:val="center"/>
          </w:tcPr>
          <w:p w:rsidR="005A21BD" w:rsidRDefault="005A21BD">
            <w:pPr>
              <w:jc w:val="center"/>
              <w:rPr>
                <w:rFonts w:ascii="Arial" w:hAnsi="Arial"/>
              </w:rPr>
            </w:pPr>
            <w:r>
              <w:rPr>
                <w:rFonts w:ascii="Arial" w:hAnsi="Arial"/>
              </w:rPr>
              <w:t xml:space="preserve">20 </w:t>
            </w:r>
            <w:r>
              <w:rPr>
                <w:rFonts w:ascii="Arial" w:hAnsi="Arial"/>
              </w:rPr>
              <w:sym w:font="Symbol" w:char="F06D"/>
            </w:r>
            <w:r>
              <w:rPr>
                <w:rFonts w:ascii="Arial" w:hAnsi="Arial"/>
              </w:rPr>
              <w:t>g/mL</w:t>
            </w:r>
          </w:p>
        </w:tc>
        <w:tc>
          <w:tcPr>
            <w:tcW w:w="3124" w:type="dxa"/>
          </w:tcPr>
          <w:p w:rsidR="005A21BD" w:rsidRDefault="005A21BD">
            <w:pPr>
              <w:jc w:val="center"/>
              <w:rPr>
                <w:rFonts w:ascii="Arial" w:hAnsi="Arial"/>
              </w:rPr>
            </w:pPr>
            <w:r>
              <w:rPr>
                <w:rFonts w:ascii="Arial" w:hAnsi="Arial"/>
              </w:rPr>
              <w:t>1 mg</w:t>
            </w:r>
          </w:p>
          <w:p w:rsidR="005A21BD" w:rsidRDefault="005A21BD">
            <w:pPr>
              <w:jc w:val="center"/>
              <w:rPr>
                <w:rFonts w:ascii="Arial" w:hAnsi="Arial"/>
              </w:rPr>
            </w:pPr>
            <w:r>
              <w:rPr>
                <w:rFonts w:ascii="Arial" w:hAnsi="Arial"/>
              </w:rPr>
              <w:t>2 mg</w:t>
            </w:r>
          </w:p>
          <w:p w:rsidR="005A21BD" w:rsidRDefault="005A21BD">
            <w:pPr>
              <w:jc w:val="center"/>
              <w:rPr>
                <w:rFonts w:ascii="Arial" w:hAnsi="Arial"/>
              </w:rPr>
            </w:pPr>
            <w:r>
              <w:rPr>
                <w:rFonts w:ascii="Arial" w:hAnsi="Arial"/>
              </w:rPr>
              <w:t>5 mg</w:t>
            </w:r>
          </w:p>
        </w:tc>
        <w:tc>
          <w:tcPr>
            <w:tcW w:w="3124" w:type="dxa"/>
          </w:tcPr>
          <w:p w:rsidR="005A21BD" w:rsidRDefault="005A21BD">
            <w:pPr>
              <w:jc w:val="center"/>
              <w:rPr>
                <w:rFonts w:ascii="Arial" w:hAnsi="Arial"/>
              </w:rPr>
            </w:pPr>
            <w:r>
              <w:rPr>
                <w:rFonts w:ascii="Arial" w:hAnsi="Arial"/>
              </w:rPr>
              <w:t>50 mL</w:t>
            </w:r>
          </w:p>
          <w:p w:rsidR="005A21BD" w:rsidRDefault="005A21BD">
            <w:pPr>
              <w:jc w:val="center"/>
              <w:rPr>
                <w:rFonts w:ascii="Arial" w:hAnsi="Arial"/>
              </w:rPr>
            </w:pPr>
            <w:r>
              <w:rPr>
                <w:rFonts w:ascii="Arial" w:hAnsi="Arial"/>
              </w:rPr>
              <w:t>100 mL</w:t>
            </w:r>
          </w:p>
          <w:p w:rsidR="005A21BD" w:rsidRDefault="005A21BD">
            <w:pPr>
              <w:jc w:val="center"/>
              <w:rPr>
                <w:rFonts w:ascii="Arial" w:hAnsi="Arial"/>
              </w:rPr>
            </w:pPr>
            <w:r>
              <w:rPr>
                <w:rFonts w:ascii="Arial" w:hAnsi="Arial"/>
              </w:rPr>
              <w:t>250 mL</w:t>
            </w:r>
          </w:p>
        </w:tc>
      </w:tr>
      <w:tr w:rsidR="005A21BD">
        <w:tc>
          <w:tcPr>
            <w:tcW w:w="3124" w:type="dxa"/>
            <w:vAlign w:val="center"/>
          </w:tcPr>
          <w:p w:rsidR="005A21BD" w:rsidRDefault="005A21BD">
            <w:pPr>
              <w:jc w:val="center"/>
              <w:rPr>
                <w:rFonts w:ascii="Arial" w:hAnsi="Arial"/>
              </w:rPr>
            </w:pPr>
            <w:r>
              <w:rPr>
                <w:rFonts w:ascii="Arial" w:hAnsi="Arial"/>
              </w:rPr>
              <w:t xml:space="preserve">25 </w:t>
            </w:r>
            <w:r>
              <w:rPr>
                <w:rFonts w:ascii="Arial" w:hAnsi="Arial"/>
              </w:rPr>
              <w:sym w:font="Symbol" w:char="F06D"/>
            </w:r>
            <w:r>
              <w:rPr>
                <w:rFonts w:ascii="Arial" w:hAnsi="Arial"/>
              </w:rPr>
              <w:t>g/mL</w:t>
            </w:r>
          </w:p>
        </w:tc>
        <w:tc>
          <w:tcPr>
            <w:tcW w:w="3124" w:type="dxa"/>
          </w:tcPr>
          <w:p w:rsidR="005A21BD" w:rsidRDefault="005A21BD">
            <w:pPr>
              <w:jc w:val="center"/>
              <w:rPr>
                <w:rFonts w:ascii="Arial" w:hAnsi="Arial"/>
              </w:rPr>
            </w:pPr>
            <w:r>
              <w:rPr>
                <w:rFonts w:ascii="Arial" w:hAnsi="Arial"/>
              </w:rPr>
              <w:t>1 mg</w:t>
            </w:r>
          </w:p>
          <w:p w:rsidR="005A21BD" w:rsidRDefault="005A21BD">
            <w:pPr>
              <w:jc w:val="center"/>
              <w:rPr>
                <w:rFonts w:ascii="Arial" w:hAnsi="Arial"/>
              </w:rPr>
            </w:pPr>
            <w:r>
              <w:rPr>
                <w:rFonts w:ascii="Arial" w:hAnsi="Arial"/>
              </w:rPr>
              <w:t>2 mg</w:t>
            </w:r>
          </w:p>
          <w:p w:rsidR="005A21BD" w:rsidRDefault="005A21BD">
            <w:pPr>
              <w:jc w:val="center"/>
              <w:rPr>
                <w:rFonts w:ascii="Arial" w:hAnsi="Arial"/>
              </w:rPr>
            </w:pPr>
            <w:r>
              <w:rPr>
                <w:rFonts w:ascii="Arial" w:hAnsi="Arial"/>
              </w:rPr>
              <w:t>5 mg</w:t>
            </w:r>
          </w:p>
        </w:tc>
        <w:tc>
          <w:tcPr>
            <w:tcW w:w="3124" w:type="dxa"/>
          </w:tcPr>
          <w:p w:rsidR="005A21BD" w:rsidRDefault="005A21BD">
            <w:pPr>
              <w:jc w:val="center"/>
              <w:rPr>
                <w:rFonts w:ascii="Arial" w:hAnsi="Arial"/>
              </w:rPr>
            </w:pPr>
            <w:r>
              <w:rPr>
                <w:rFonts w:ascii="Arial" w:hAnsi="Arial"/>
              </w:rPr>
              <w:t>40 mL</w:t>
            </w:r>
          </w:p>
          <w:p w:rsidR="005A21BD" w:rsidRDefault="005A21BD">
            <w:pPr>
              <w:jc w:val="center"/>
              <w:rPr>
                <w:rFonts w:ascii="Arial" w:hAnsi="Arial"/>
              </w:rPr>
            </w:pPr>
            <w:r>
              <w:rPr>
                <w:rFonts w:ascii="Arial" w:hAnsi="Arial"/>
              </w:rPr>
              <w:t>80 mL</w:t>
            </w:r>
          </w:p>
          <w:p w:rsidR="005A21BD" w:rsidRDefault="005A21BD">
            <w:pPr>
              <w:jc w:val="center"/>
              <w:rPr>
                <w:rFonts w:ascii="Arial" w:hAnsi="Arial"/>
              </w:rPr>
            </w:pPr>
            <w:r>
              <w:rPr>
                <w:rFonts w:ascii="Arial" w:hAnsi="Arial"/>
              </w:rPr>
              <w:t>200 mL</w:t>
            </w:r>
          </w:p>
        </w:tc>
      </w:tr>
      <w:tr w:rsidR="005A21BD">
        <w:tc>
          <w:tcPr>
            <w:tcW w:w="3124" w:type="dxa"/>
            <w:vAlign w:val="center"/>
          </w:tcPr>
          <w:p w:rsidR="005A21BD" w:rsidRDefault="005A21BD">
            <w:pPr>
              <w:jc w:val="center"/>
              <w:rPr>
                <w:rFonts w:ascii="Arial" w:hAnsi="Arial"/>
              </w:rPr>
            </w:pPr>
            <w:r>
              <w:rPr>
                <w:rFonts w:ascii="Arial" w:hAnsi="Arial"/>
              </w:rPr>
              <w:t xml:space="preserve">50 </w:t>
            </w:r>
            <w:r>
              <w:rPr>
                <w:rFonts w:ascii="Arial" w:hAnsi="Arial"/>
              </w:rPr>
              <w:sym w:font="Symbol" w:char="F06D"/>
            </w:r>
            <w:r>
              <w:rPr>
                <w:rFonts w:ascii="Arial" w:hAnsi="Arial"/>
              </w:rPr>
              <w:t>g/mL</w:t>
            </w:r>
          </w:p>
        </w:tc>
        <w:tc>
          <w:tcPr>
            <w:tcW w:w="3124" w:type="dxa"/>
          </w:tcPr>
          <w:p w:rsidR="005A21BD" w:rsidRDefault="005A21BD">
            <w:pPr>
              <w:jc w:val="center"/>
              <w:rPr>
                <w:rFonts w:ascii="Arial" w:hAnsi="Arial"/>
              </w:rPr>
            </w:pPr>
            <w:r>
              <w:rPr>
                <w:rFonts w:ascii="Arial" w:hAnsi="Arial"/>
              </w:rPr>
              <w:t>1 mg</w:t>
            </w:r>
          </w:p>
          <w:p w:rsidR="005A21BD" w:rsidRDefault="005A21BD">
            <w:pPr>
              <w:jc w:val="center"/>
              <w:rPr>
                <w:rFonts w:ascii="Arial" w:hAnsi="Arial"/>
              </w:rPr>
            </w:pPr>
            <w:r>
              <w:rPr>
                <w:rFonts w:ascii="Arial" w:hAnsi="Arial"/>
              </w:rPr>
              <w:t>2 mg</w:t>
            </w:r>
          </w:p>
          <w:p w:rsidR="005A21BD" w:rsidRDefault="005A21BD">
            <w:pPr>
              <w:jc w:val="center"/>
              <w:rPr>
                <w:rFonts w:ascii="Arial" w:hAnsi="Arial"/>
              </w:rPr>
            </w:pPr>
            <w:r>
              <w:rPr>
                <w:rFonts w:ascii="Arial" w:hAnsi="Arial"/>
              </w:rPr>
              <w:t>5 mg</w:t>
            </w:r>
          </w:p>
        </w:tc>
        <w:tc>
          <w:tcPr>
            <w:tcW w:w="3124" w:type="dxa"/>
          </w:tcPr>
          <w:p w:rsidR="005A21BD" w:rsidRDefault="005A21BD">
            <w:pPr>
              <w:jc w:val="center"/>
              <w:rPr>
                <w:rFonts w:ascii="Arial" w:hAnsi="Arial"/>
              </w:rPr>
            </w:pPr>
            <w:r>
              <w:rPr>
                <w:rFonts w:ascii="Arial" w:hAnsi="Arial"/>
              </w:rPr>
              <w:t>20 mL</w:t>
            </w:r>
          </w:p>
          <w:p w:rsidR="005A21BD" w:rsidRDefault="005A21BD">
            <w:pPr>
              <w:jc w:val="center"/>
              <w:rPr>
                <w:rFonts w:ascii="Arial" w:hAnsi="Arial"/>
              </w:rPr>
            </w:pPr>
            <w:r>
              <w:rPr>
                <w:rFonts w:ascii="Arial" w:hAnsi="Arial"/>
              </w:rPr>
              <w:t>40 mL</w:t>
            </w:r>
          </w:p>
          <w:p w:rsidR="005A21BD" w:rsidRDefault="005A21BD">
            <w:pPr>
              <w:jc w:val="center"/>
              <w:rPr>
                <w:rFonts w:ascii="Arial" w:hAnsi="Arial"/>
              </w:rPr>
            </w:pPr>
            <w:r>
              <w:rPr>
                <w:rFonts w:ascii="Arial" w:hAnsi="Arial"/>
              </w:rPr>
              <w:t>100 mL</w:t>
            </w:r>
          </w:p>
        </w:tc>
      </w:tr>
      <w:tr w:rsidR="005A21BD">
        <w:tc>
          <w:tcPr>
            <w:tcW w:w="3124" w:type="dxa"/>
            <w:vAlign w:val="center"/>
          </w:tcPr>
          <w:p w:rsidR="005A21BD" w:rsidRDefault="005A21BD">
            <w:pPr>
              <w:spacing w:before="120" w:after="120"/>
              <w:jc w:val="center"/>
              <w:rPr>
                <w:rFonts w:ascii="Arial" w:hAnsi="Arial"/>
              </w:rPr>
            </w:pPr>
            <w:r>
              <w:rPr>
                <w:rFonts w:ascii="Arial" w:hAnsi="Arial"/>
              </w:rPr>
              <w:t xml:space="preserve">250 </w:t>
            </w:r>
            <w:r>
              <w:rPr>
                <w:rFonts w:ascii="Arial" w:hAnsi="Arial"/>
              </w:rPr>
              <w:sym w:font="Symbol" w:char="F06D"/>
            </w:r>
            <w:r>
              <w:rPr>
                <w:rFonts w:ascii="Arial" w:hAnsi="Arial"/>
              </w:rPr>
              <w:t>g/mL</w:t>
            </w:r>
          </w:p>
        </w:tc>
        <w:tc>
          <w:tcPr>
            <w:tcW w:w="3124" w:type="dxa"/>
            <w:vAlign w:val="center"/>
          </w:tcPr>
          <w:p w:rsidR="005A21BD" w:rsidRDefault="005A21BD">
            <w:pPr>
              <w:jc w:val="center"/>
              <w:rPr>
                <w:rFonts w:ascii="Arial" w:hAnsi="Arial"/>
              </w:rPr>
            </w:pPr>
            <w:r>
              <w:rPr>
                <w:rFonts w:ascii="Arial" w:hAnsi="Arial"/>
              </w:rPr>
              <w:t>5 mg</w:t>
            </w:r>
          </w:p>
        </w:tc>
        <w:tc>
          <w:tcPr>
            <w:tcW w:w="3124" w:type="dxa"/>
            <w:vAlign w:val="center"/>
          </w:tcPr>
          <w:p w:rsidR="005A21BD" w:rsidRDefault="005A21BD">
            <w:pPr>
              <w:jc w:val="center"/>
              <w:rPr>
                <w:rFonts w:ascii="Arial" w:hAnsi="Arial"/>
              </w:rPr>
            </w:pPr>
            <w:r>
              <w:rPr>
                <w:rFonts w:ascii="Arial" w:hAnsi="Arial"/>
              </w:rPr>
              <w:t>20 mL</w:t>
            </w:r>
          </w:p>
        </w:tc>
      </w:tr>
    </w:tbl>
    <w:p w:rsidR="00E74BA5" w:rsidRDefault="00E74BA5">
      <w:pPr>
        <w:pStyle w:val="Heading6"/>
        <w:spacing w:after="120"/>
        <w:rPr>
          <w:rFonts w:ascii="Arial" w:hAnsi="Arial"/>
        </w:rPr>
      </w:pPr>
    </w:p>
    <w:p w:rsidR="00E74BA5" w:rsidRDefault="00E74BA5" w:rsidP="00E74BA5">
      <w:r>
        <w:br w:type="page"/>
      </w:r>
    </w:p>
    <w:p w:rsidR="00E9027E" w:rsidRDefault="005A21BD">
      <w:pPr>
        <w:pStyle w:val="Heading6"/>
        <w:spacing w:after="120"/>
        <w:rPr>
          <w:rFonts w:ascii="Arial" w:hAnsi="Arial"/>
        </w:rPr>
      </w:pPr>
      <w:r>
        <w:rPr>
          <w:rFonts w:ascii="Arial" w:hAnsi="Arial"/>
        </w:rPr>
        <w:lastRenderedPageBreak/>
        <w:t>Physical Compatibilities</w:t>
      </w:r>
    </w:p>
    <w:p w:rsidR="00E9027E" w:rsidRDefault="005A21BD">
      <w:pPr>
        <w:shd w:val="clear" w:color="auto" w:fill="FFFFFF"/>
        <w:spacing w:after="120"/>
        <w:rPr>
          <w:rFonts w:ascii="Arial" w:hAnsi="Arial"/>
        </w:rPr>
      </w:pPr>
      <w:r>
        <w:rPr>
          <w:rFonts w:ascii="Arial" w:hAnsi="Arial"/>
        </w:rPr>
        <w:t xml:space="preserve">Ultiva </w:t>
      </w:r>
      <w:r>
        <w:rPr>
          <w:rFonts w:ascii="Arial" w:hAnsi="Arial"/>
          <w:shd w:val="clear" w:color="auto" w:fill="FFFFFF"/>
        </w:rPr>
        <w:t>is chemically and physically stable</w:t>
      </w:r>
      <w:r>
        <w:rPr>
          <w:rFonts w:ascii="Arial" w:hAnsi="Arial"/>
        </w:rPr>
        <w:t xml:space="preserve"> and should be used within 24 hours of preparation and </w:t>
      </w:r>
      <w:r>
        <w:rPr>
          <w:rFonts w:ascii="Arial" w:hAnsi="Arial"/>
          <w:shd w:val="clear" w:color="auto" w:fill="FFFFFF"/>
        </w:rPr>
        <w:t>storage at 2-8</w:t>
      </w:r>
      <w:r>
        <w:rPr>
          <w:rFonts w:ascii="Arial" w:hAnsi="Arial"/>
          <w:shd w:val="clear" w:color="auto" w:fill="FFFFFF"/>
        </w:rPr>
        <w:sym w:font="Symbol" w:char="F0B0"/>
      </w:r>
      <w:r>
        <w:rPr>
          <w:rFonts w:ascii="Arial" w:hAnsi="Arial"/>
          <w:shd w:val="clear" w:color="auto" w:fill="FFFFFF"/>
        </w:rPr>
        <w:t xml:space="preserve">C, </w:t>
      </w:r>
      <w:r>
        <w:rPr>
          <w:rFonts w:ascii="Arial" w:hAnsi="Arial"/>
        </w:rPr>
        <w:t>after reconstitution and further dilution to concentrations of 20 to 250 µg/mL with one of the following recommended intravenous fluids:</w:t>
      </w:r>
    </w:p>
    <w:p w:rsidR="00E9027E" w:rsidRDefault="005A21BD">
      <w:pPr>
        <w:pStyle w:val="Footer"/>
        <w:tabs>
          <w:tab w:val="clear" w:pos="4320"/>
          <w:tab w:val="clear" w:pos="8640"/>
          <w:tab w:val="left" w:pos="709"/>
          <w:tab w:val="left" w:pos="1440"/>
        </w:tabs>
        <w:spacing w:after="120"/>
        <w:rPr>
          <w:rFonts w:ascii="Arial" w:hAnsi="Arial"/>
        </w:rPr>
      </w:pPr>
      <w:r>
        <w:rPr>
          <w:rFonts w:ascii="Arial" w:hAnsi="Arial"/>
        </w:rPr>
        <w:tab/>
        <w:t>Sterile Water for Injection</w:t>
      </w:r>
    </w:p>
    <w:p w:rsidR="00E9027E" w:rsidRDefault="005A21BD">
      <w:pPr>
        <w:pStyle w:val="Footer"/>
        <w:tabs>
          <w:tab w:val="clear" w:pos="4320"/>
          <w:tab w:val="clear" w:pos="8640"/>
          <w:tab w:val="left" w:pos="709"/>
          <w:tab w:val="left" w:pos="1440"/>
        </w:tabs>
        <w:spacing w:after="120"/>
        <w:rPr>
          <w:rFonts w:ascii="Arial" w:hAnsi="Arial"/>
        </w:rPr>
      </w:pPr>
      <w:r>
        <w:rPr>
          <w:rFonts w:ascii="Arial" w:hAnsi="Arial"/>
        </w:rPr>
        <w:tab/>
        <w:t>5% Glucose Injection</w:t>
      </w:r>
    </w:p>
    <w:p w:rsidR="00E9027E" w:rsidRDefault="005A21BD">
      <w:pPr>
        <w:pStyle w:val="Footer"/>
        <w:tabs>
          <w:tab w:val="clear" w:pos="4320"/>
          <w:tab w:val="clear" w:pos="8640"/>
          <w:tab w:val="left" w:pos="709"/>
          <w:tab w:val="left" w:pos="1440"/>
        </w:tabs>
        <w:spacing w:after="120"/>
        <w:rPr>
          <w:rFonts w:ascii="Arial" w:hAnsi="Arial"/>
        </w:rPr>
      </w:pPr>
      <w:r>
        <w:rPr>
          <w:rFonts w:ascii="Arial" w:hAnsi="Arial"/>
        </w:rPr>
        <w:tab/>
        <w:t>5% Glucose and 0.9% Sodium Chloride Injection</w:t>
      </w:r>
    </w:p>
    <w:p w:rsidR="00E9027E" w:rsidRDefault="005A21BD">
      <w:pPr>
        <w:tabs>
          <w:tab w:val="left" w:pos="709"/>
          <w:tab w:val="left" w:pos="1440"/>
        </w:tabs>
        <w:spacing w:after="120"/>
        <w:rPr>
          <w:rFonts w:ascii="Arial" w:hAnsi="Arial"/>
        </w:rPr>
      </w:pPr>
      <w:r>
        <w:rPr>
          <w:rFonts w:ascii="Arial" w:hAnsi="Arial"/>
        </w:rPr>
        <w:tab/>
        <w:t>0.9% Sodium Chloride Injection</w:t>
      </w:r>
    </w:p>
    <w:p w:rsidR="00E9027E" w:rsidRDefault="005A21BD">
      <w:pPr>
        <w:tabs>
          <w:tab w:val="left" w:pos="709"/>
          <w:tab w:val="left" w:pos="1440"/>
        </w:tabs>
        <w:spacing w:after="120"/>
        <w:rPr>
          <w:rFonts w:ascii="Arial" w:hAnsi="Arial"/>
        </w:rPr>
      </w:pPr>
      <w:r>
        <w:rPr>
          <w:rFonts w:ascii="Arial" w:hAnsi="Arial"/>
        </w:rPr>
        <w:tab/>
        <w:t>0.45% Sodium Chloride Injection</w:t>
      </w:r>
    </w:p>
    <w:p w:rsidR="00922616" w:rsidRDefault="005A21BD">
      <w:pPr>
        <w:spacing w:after="120"/>
        <w:rPr>
          <w:rFonts w:ascii="Arial" w:hAnsi="Arial"/>
        </w:rPr>
      </w:pPr>
      <w:r>
        <w:rPr>
          <w:rFonts w:ascii="Arial" w:hAnsi="Arial"/>
        </w:rPr>
        <w:t xml:space="preserve">Ultiva contains no antimicrobial preservative and care must be taken to assure the sterility of prepared solutions.  Reconstituted product should be used promptly and any unused material discarded.  If storage is necessary, hold </w:t>
      </w:r>
      <w:r>
        <w:rPr>
          <w:rFonts w:ascii="Arial" w:hAnsi="Arial"/>
          <w:shd w:val="clear" w:color="auto" w:fill="FFFFFF"/>
        </w:rPr>
        <w:t>at 2-8</w:t>
      </w:r>
      <w:r>
        <w:rPr>
          <w:rFonts w:ascii="Arial" w:hAnsi="Arial"/>
          <w:shd w:val="clear" w:color="auto" w:fill="FFFFFF"/>
        </w:rPr>
        <w:sym w:font="Symbol" w:char="F0B0"/>
      </w:r>
      <w:r>
        <w:rPr>
          <w:rFonts w:ascii="Arial" w:hAnsi="Arial"/>
          <w:shd w:val="clear" w:color="auto" w:fill="FFFFFF"/>
        </w:rPr>
        <w:t xml:space="preserve">C </w:t>
      </w:r>
      <w:r>
        <w:rPr>
          <w:rFonts w:ascii="Arial" w:hAnsi="Arial"/>
        </w:rPr>
        <w:t>for not more than 24 hours to reduce microbiological hazard.</w:t>
      </w:r>
    </w:p>
    <w:p w:rsidR="00922616" w:rsidRDefault="005A21BD">
      <w:pPr>
        <w:spacing w:after="120"/>
        <w:rPr>
          <w:rFonts w:ascii="Arial" w:hAnsi="Arial"/>
          <w:b/>
        </w:rPr>
      </w:pPr>
      <w:r>
        <w:rPr>
          <w:rFonts w:ascii="Arial" w:hAnsi="Arial"/>
        </w:rPr>
        <w:t xml:space="preserve">(See also  </w:t>
      </w:r>
      <w:r>
        <w:rPr>
          <w:rFonts w:ascii="Arial" w:hAnsi="Arial"/>
          <w:b/>
        </w:rPr>
        <w:t>Physical Incompatibilities</w:t>
      </w:r>
      <w:r>
        <w:rPr>
          <w:rFonts w:ascii="Arial" w:hAnsi="Arial"/>
        </w:rPr>
        <w:t>)</w:t>
      </w:r>
    </w:p>
    <w:p w:rsidR="00922616" w:rsidRDefault="005A21BD">
      <w:pPr>
        <w:spacing w:after="120"/>
        <w:rPr>
          <w:rFonts w:ascii="Arial" w:hAnsi="Arial"/>
          <w:shd w:val="clear" w:color="auto" w:fill="FFFFFF"/>
        </w:rPr>
      </w:pPr>
      <w:r>
        <w:rPr>
          <w:rFonts w:ascii="Arial" w:hAnsi="Arial"/>
        </w:rPr>
        <w:t xml:space="preserve">Ultiva has been shown to be compatible with the following intravenous fluids when administered </w:t>
      </w:r>
      <w:r>
        <w:rPr>
          <w:rFonts w:ascii="Arial" w:hAnsi="Arial"/>
          <w:b/>
        </w:rPr>
        <w:t xml:space="preserve">into a running intravenous </w:t>
      </w:r>
      <w:r>
        <w:rPr>
          <w:rFonts w:ascii="Arial" w:hAnsi="Arial"/>
          <w:b/>
          <w:shd w:val="clear" w:color="auto" w:fill="FFFFFF"/>
        </w:rPr>
        <w:t>line</w:t>
      </w:r>
      <w:r>
        <w:rPr>
          <w:rFonts w:ascii="Arial" w:hAnsi="Arial"/>
          <w:shd w:val="clear" w:color="auto" w:fill="FFFFFF"/>
        </w:rPr>
        <w:t>:</w:t>
      </w:r>
    </w:p>
    <w:p w:rsidR="00E9027E" w:rsidRDefault="005A21BD">
      <w:pPr>
        <w:spacing w:after="120"/>
        <w:rPr>
          <w:rFonts w:ascii="Arial" w:hAnsi="Arial"/>
        </w:rPr>
      </w:pPr>
      <w:r>
        <w:rPr>
          <w:rFonts w:ascii="Arial" w:hAnsi="Arial"/>
        </w:rPr>
        <w:tab/>
        <w:t>Lactated Ringer's Injection</w:t>
      </w:r>
    </w:p>
    <w:p w:rsidR="00E9027E" w:rsidRDefault="005A21BD">
      <w:pPr>
        <w:pStyle w:val="Footer"/>
        <w:tabs>
          <w:tab w:val="clear" w:pos="4320"/>
          <w:tab w:val="clear" w:pos="8640"/>
        </w:tabs>
        <w:spacing w:after="120"/>
        <w:rPr>
          <w:rFonts w:ascii="Arial" w:hAnsi="Arial"/>
        </w:rPr>
      </w:pPr>
      <w:r>
        <w:rPr>
          <w:rFonts w:ascii="Arial" w:hAnsi="Arial"/>
        </w:rPr>
        <w:tab/>
        <w:t>Lactated Ringer's and 5% Glucose Injection</w:t>
      </w:r>
    </w:p>
    <w:p w:rsidR="00E9027E" w:rsidRDefault="005A21BD">
      <w:pPr>
        <w:spacing w:after="120"/>
        <w:rPr>
          <w:rFonts w:ascii="Arial" w:hAnsi="Arial"/>
        </w:rPr>
      </w:pPr>
      <w:r>
        <w:rPr>
          <w:rFonts w:ascii="Arial" w:hAnsi="Arial"/>
        </w:rPr>
        <w:t xml:space="preserve">Ultiva has been shown to be compatible with propofol when administered into a running intravenous </w:t>
      </w:r>
      <w:r>
        <w:rPr>
          <w:rFonts w:ascii="Arial" w:hAnsi="Arial"/>
          <w:shd w:val="clear" w:color="auto" w:fill="FFFFFF"/>
        </w:rPr>
        <w:t>line.</w:t>
      </w:r>
    </w:p>
    <w:p w:rsidR="00E9027E" w:rsidRDefault="00E9027E">
      <w:pPr>
        <w:spacing w:after="120"/>
        <w:rPr>
          <w:rFonts w:ascii="Arial" w:hAnsi="Arial"/>
        </w:rPr>
      </w:pPr>
    </w:p>
    <w:p w:rsidR="00E9027E" w:rsidRDefault="005A21BD">
      <w:pPr>
        <w:pStyle w:val="Heading6"/>
        <w:spacing w:after="120"/>
        <w:rPr>
          <w:rFonts w:ascii="Arial" w:hAnsi="Arial"/>
        </w:rPr>
      </w:pPr>
      <w:r>
        <w:rPr>
          <w:rFonts w:ascii="Arial" w:hAnsi="Arial"/>
        </w:rPr>
        <w:t>Physical Incompatibilities</w:t>
      </w:r>
    </w:p>
    <w:p w:rsidR="00922616" w:rsidRDefault="005A21BD">
      <w:pPr>
        <w:spacing w:after="120"/>
        <w:rPr>
          <w:rFonts w:ascii="Arial" w:hAnsi="Arial"/>
        </w:rPr>
      </w:pPr>
      <w:r>
        <w:rPr>
          <w:rFonts w:ascii="Arial" w:hAnsi="Arial"/>
        </w:rPr>
        <w:t>Continuous infusions of Ultiva must be administered by a calibrated infusion device, where possible via a dedicated intravenous line, otherwise into a fast flowing IV line.</w:t>
      </w:r>
    </w:p>
    <w:p w:rsidR="00922616" w:rsidRDefault="005A21BD">
      <w:pPr>
        <w:spacing w:after="120"/>
        <w:rPr>
          <w:rFonts w:ascii="Arial" w:hAnsi="Arial"/>
        </w:rPr>
      </w:pPr>
      <w:r>
        <w:rPr>
          <w:rFonts w:ascii="Arial" w:hAnsi="Arial"/>
        </w:rPr>
        <w:t xml:space="preserve">Ultiva should only be admixed with those infusion solutions recommended (see also </w:t>
      </w:r>
      <w:r>
        <w:rPr>
          <w:rFonts w:ascii="Arial" w:hAnsi="Arial"/>
          <w:b/>
        </w:rPr>
        <w:t>Physical Compatibilities</w:t>
      </w:r>
      <w:r>
        <w:rPr>
          <w:rFonts w:ascii="Arial" w:hAnsi="Arial"/>
        </w:rPr>
        <w:t>).</w:t>
      </w:r>
    </w:p>
    <w:p w:rsidR="00922616" w:rsidRDefault="005A21BD">
      <w:pPr>
        <w:spacing w:after="120"/>
        <w:rPr>
          <w:rFonts w:ascii="Arial" w:hAnsi="Arial"/>
        </w:rPr>
      </w:pPr>
      <w:r>
        <w:rPr>
          <w:rFonts w:ascii="Arial" w:hAnsi="Arial"/>
        </w:rPr>
        <w:t>Ultiva should not be admixed with Lactated Ringer's Injection or Lactated Ringer's and 5% Glucose Injection.</w:t>
      </w:r>
    </w:p>
    <w:p w:rsidR="00922616" w:rsidRDefault="005A21BD">
      <w:pPr>
        <w:spacing w:after="120"/>
        <w:rPr>
          <w:rFonts w:ascii="Arial" w:hAnsi="Arial"/>
          <w:b/>
        </w:rPr>
      </w:pPr>
      <w:r>
        <w:rPr>
          <w:rFonts w:ascii="Arial" w:hAnsi="Arial"/>
          <w:b/>
        </w:rPr>
        <w:t>Ultiva should not be mixed with propofol in the same intravenous admixture solution.</w:t>
      </w:r>
    </w:p>
    <w:p w:rsidR="00922616" w:rsidRDefault="005A21BD">
      <w:pPr>
        <w:spacing w:after="120"/>
        <w:rPr>
          <w:rFonts w:ascii="Arial" w:hAnsi="Arial"/>
        </w:rPr>
      </w:pPr>
      <w:r>
        <w:rPr>
          <w:rFonts w:ascii="Arial" w:hAnsi="Arial"/>
        </w:rPr>
        <w:t>Administration of Ultiva into the same intravenous line with blood/serum/plasma is not recommended.  Non-specific esterase in blood products may lead to the hydrolysis of Ultiva to its inactive metabolite.</w:t>
      </w:r>
    </w:p>
    <w:p w:rsidR="00E9027E" w:rsidRDefault="005A21BD">
      <w:pPr>
        <w:spacing w:after="120"/>
        <w:rPr>
          <w:rFonts w:ascii="Arial" w:hAnsi="Arial"/>
        </w:rPr>
      </w:pPr>
      <w:r>
        <w:rPr>
          <w:rFonts w:ascii="Arial" w:hAnsi="Arial"/>
        </w:rPr>
        <w:t>Ultiva should not be mixed with other therapeutic agents prior to administration.</w:t>
      </w:r>
    </w:p>
    <w:p w:rsidR="00E9027E" w:rsidRDefault="00E9027E">
      <w:pPr>
        <w:spacing w:after="120"/>
        <w:rPr>
          <w:rFonts w:ascii="Arial" w:hAnsi="Arial"/>
        </w:rPr>
      </w:pPr>
    </w:p>
    <w:p w:rsidR="00E9027E" w:rsidRDefault="00975735">
      <w:pPr>
        <w:spacing w:after="120"/>
        <w:rPr>
          <w:rFonts w:ascii="Arial" w:hAnsi="Arial" w:cs="Arial"/>
          <w:b/>
        </w:rPr>
      </w:pPr>
      <w:r w:rsidRPr="00975735">
        <w:rPr>
          <w:rFonts w:ascii="Arial" w:hAnsi="Arial" w:cs="Arial"/>
          <w:b/>
        </w:rPr>
        <w:t>Administration by Manually-Controlled Infusion</w:t>
      </w:r>
    </w:p>
    <w:p w:rsidR="00E9027E" w:rsidRDefault="00975735">
      <w:pPr>
        <w:spacing w:after="120"/>
        <w:rPr>
          <w:rFonts w:ascii="Arial" w:hAnsi="Arial" w:cs="Arial"/>
        </w:rPr>
      </w:pPr>
      <w:r w:rsidRPr="00975735">
        <w:rPr>
          <w:rFonts w:ascii="Arial" w:hAnsi="Arial" w:cs="Arial"/>
        </w:rPr>
        <w:t xml:space="preserve">For manually-controlled infusion </w:t>
      </w:r>
      <w:r>
        <w:rPr>
          <w:rFonts w:ascii="Arial" w:hAnsi="Arial" w:cs="Arial"/>
        </w:rPr>
        <w:t>Ultiva</w:t>
      </w:r>
      <w:r w:rsidRPr="00975735">
        <w:rPr>
          <w:rFonts w:ascii="Arial" w:hAnsi="Arial" w:cs="Arial"/>
        </w:rPr>
        <w:t xml:space="preserve"> can be </w:t>
      </w:r>
      <w:r w:rsidR="00D54072" w:rsidRPr="00D54072">
        <w:rPr>
          <w:rStyle w:val="CSIchar"/>
          <w:rFonts w:ascii="Arial" w:hAnsi="Arial" w:cs="Arial"/>
          <w:shd w:val="clear" w:color="auto" w:fill="auto"/>
        </w:rPr>
        <w:t>diluted to concentrations of 20 to 250 micrograms/mL</w:t>
      </w:r>
      <w:r w:rsidRPr="00975735">
        <w:rPr>
          <w:rFonts w:ascii="Arial" w:hAnsi="Arial" w:cs="Arial"/>
        </w:rPr>
        <w:t xml:space="preserve"> (50 micrograms/m</w:t>
      </w:r>
      <w:r w:rsidR="00D31D41">
        <w:rPr>
          <w:rFonts w:ascii="Arial" w:hAnsi="Arial" w:cs="Arial"/>
        </w:rPr>
        <w:t>L</w:t>
      </w:r>
      <w:r w:rsidRPr="00975735">
        <w:rPr>
          <w:rFonts w:ascii="Arial" w:hAnsi="Arial" w:cs="Arial"/>
        </w:rPr>
        <w:t xml:space="preserve"> is the recommended dilution for a</w:t>
      </w:r>
      <w:r w:rsidR="00D9028E">
        <w:rPr>
          <w:rFonts w:ascii="Arial" w:hAnsi="Arial" w:cs="Arial"/>
        </w:rPr>
        <w:t>dults and 20 to 25 micrograms/mL</w:t>
      </w:r>
      <w:r w:rsidRPr="00975735">
        <w:rPr>
          <w:rFonts w:ascii="Arial" w:hAnsi="Arial" w:cs="Arial"/>
        </w:rPr>
        <w:t xml:space="preserve"> for paediatric patients aged 1 year and over).</w:t>
      </w:r>
    </w:p>
    <w:p w:rsidR="00E9027E" w:rsidRDefault="005A21BD">
      <w:pPr>
        <w:spacing w:after="120"/>
        <w:rPr>
          <w:rFonts w:ascii="Arial" w:hAnsi="Arial"/>
        </w:rPr>
      </w:pPr>
      <w:r>
        <w:rPr>
          <w:rFonts w:ascii="Arial" w:hAnsi="Arial"/>
        </w:rPr>
        <w:t>The following tables give guidelines for infusion rates of Ultiva</w:t>
      </w:r>
      <w:r w:rsidR="00975735">
        <w:rPr>
          <w:rFonts w:ascii="Arial" w:hAnsi="Arial"/>
        </w:rPr>
        <w:t xml:space="preserve"> for manually-controlled infusion</w:t>
      </w:r>
      <w:r>
        <w:rPr>
          <w:rFonts w:ascii="Arial" w:hAnsi="Arial"/>
        </w:rPr>
        <w:t>:</w:t>
      </w:r>
    </w:p>
    <w:p w:rsidR="00807166" w:rsidRDefault="00807166">
      <w:pPr>
        <w:spacing w:after="120"/>
        <w:jc w:val="center"/>
        <w:rPr>
          <w:rFonts w:ascii="Arial" w:hAnsi="Arial"/>
          <w:b/>
        </w:rPr>
      </w:pPr>
    </w:p>
    <w:p w:rsidR="00807166" w:rsidRDefault="00807166">
      <w:pPr>
        <w:spacing w:after="120"/>
        <w:jc w:val="center"/>
        <w:rPr>
          <w:rFonts w:ascii="Arial" w:hAnsi="Arial"/>
          <w:b/>
        </w:rPr>
      </w:pPr>
    </w:p>
    <w:p w:rsidR="00E9027E" w:rsidRDefault="005A21BD">
      <w:pPr>
        <w:spacing w:after="120"/>
        <w:jc w:val="center"/>
        <w:rPr>
          <w:rFonts w:ascii="Arial" w:hAnsi="Arial"/>
          <w:b/>
        </w:rPr>
      </w:pPr>
      <w:r>
        <w:rPr>
          <w:rFonts w:ascii="Arial" w:hAnsi="Arial"/>
          <w:b/>
        </w:rPr>
        <w:t xml:space="preserve">Table </w:t>
      </w:r>
      <w:r w:rsidR="000B0B31">
        <w:rPr>
          <w:rFonts w:ascii="Arial" w:hAnsi="Arial"/>
          <w:b/>
        </w:rPr>
        <w:t>10</w:t>
      </w:r>
      <w:r>
        <w:rPr>
          <w:rFonts w:ascii="Arial" w:hAnsi="Arial"/>
          <w:b/>
        </w:rPr>
        <w:tab/>
        <w:t>Ultiva for Injection Infusion Rates (mL/kg/h)</w:t>
      </w:r>
    </w:p>
    <w:tbl>
      <w:tblPr>
        <w:tblW w:w="0" w:type="auto"/>
        <w:jc w:val="center"/>
        <w:tblLayout w:type="fixed"/>
        <w:tblLook w:val="0000"/>
      </w:tblPr>
      <w:tblGrid>
        <w:gridCol w:w="1890"/>
        <w:gridCol w:w="1791"/>
        <w:gridCol w:w="1791"/>
        <w:gridCol w:w="1791"/>
        <w:gridCol w:w="1905"/>
      </w:tblGrid>
      <w:tr w:rsidR="005A21BD" w:rsidRPr="001224C3">
        <w:trPr>
          <w:cantSplit/>
          <w:trHeight w:val="682"/>
          <w:jc w:val="center"/>
        </w:trPr>
        <w:tc>
          <w:tcPr>
            <w:tcW w:w="1890" w:type="dxa"/>
            <w:vMerge w:val="restart"/>
            <w:tcBorders>
              <w:top w:val="single" w:sz="4" w:space="0" w:color="auto"/>
              <w:left w:val="single" w:sz="12" w:space="0" w:color="auto"/>
              <w:bottom w:val="single" w:sz="4" w:space="0" w:color="auto"/>
              <w:right w:val="single" w:sz="4" w:space="0" w:color="auto"/>
            </w:tcBorders>
            <w:vAlign w:val="center"/>
          </w:tcPr>
          <w:p w:rsidR="005A21BD" w:rsidRPr="001224C3" w:rsidRDefault="00D54072">
            <w:pPr>
              <w:spacing w:line="360" w:lineRule="atLeast"/>
              <w:jc w:val="center"/>
              <w:rPr>
                <w:rFonts w:ascii="Arial" w:hAnsi="Arial" w:cs="Arial"/>
                <w:sz w:val="20"/>
              </w:rPr>
            </w:pPr>
            <w:r w:rsidRPr="00D54072">
              <w:rPr>
                <w:rFonts w:ascii="Arial" w:hAnsi="Arial" w:cs="Arial"/>
                <w:sz w:val="20"/>
              </w:rPr>
              <w:t>Drug Delivery Rate</w:t>
            </w:r>
          </w:p>
          <w:p w:rsidR="005A21BD" w:rsidRPr="001224C3" w:rsidRDefault="00D54072">
            <w:pPr>
              <w:spacing w:line="360" w:lineRule="atLeast"/>
              <w:jc w:val="center"/>
              <w:rPr>
                <w:rFonts w:ascii="Arial" w:hAnsi="Arial" w:cs="Arial"/>
                <w:sz w:val="20"/>
              </w:rPr>
            </w:pPr>
            <w:r w:rsidRPr="00D54072">
              <w:rPr>
                <w:rFonts w:ascii="Arial" w:hAnsi="Arial" w:cs="Arial"/>
                <w:sz w:val="20"/>
              </w:rPr>
              <w:t>(µg/kg/min)</w:t>
            </w:r>
          </w:p>
        </w:tc>
        <w:tc>
          <w:tcPr>
            <w:tcW w:w="7278" w:type="dxa"/>
            <w:gridSpan w:val="4"/>
            <w:tcBorders>
              <w:top w:val="single" w:sz="4" w:space="0" w:color="auto"/>
              <w:left w:val="nil"/>
              <w:bottom w:val="single" w:sz="4" w:space="0" w:color="auto"/>
              <w:right w:val="single" w:sz="4" w:space="0" w:color="auto"/>
            </w:tcBorders>
            <w:vAlign w:val="center"/>
          </w:tcPr>
          <w:p w:rsidR="005A21BD" w:rsidRPr="001224C3" w:rsidRDefault="00D54072">
            <w:pPr>
              <w:jc w:val="center"/>
              <w:rPr>
                <w:rFonts w:ascii="Arial" w:hAnsi="Arial" w:cs="Arial"/>
                <w:sz w:val="20"/>
              </w:rPr>
            </w:pPr>
            <w:r w:rsidRPr="00D54072">
              <w:rPr>
                <w:rFonts w:ascii="Arial" w:hAnsi="Arial" w:cs="Arial"/>
                <w:sz w:val="20"/>
              </w:rPr>
              <w:t>Infusion Delivery Rate (mL/kg/h)</w:t>
            </w:r>
          </w:p>
        </w:tc>
      </w:tr>
      <w:tr w:rsidR="005A21BD" w:rsidRPr="001224C3">
        <w:trPr>
          <w:cantSplit/>
          <w:trHeight w:val="683"/>
          <w:jc w:val="center"/>
        </w:trPr>
        <w:tc>
          <w:tcPr>
            <w:tcW w:w="1890" w:type="dxa"/>
            <w:vMerge/>
            <w:tcBorders>
              <w:top w:val="single" w:sz="4" w:space="0" w:color="auto"/>
              <w:left w:val="single" w:sz="12" w:space="0" w:color="auto"/>
              <w:bottom w:val="single" w:sz="4" w:space="0" w:color="auto"/>
              <w:right w:val="single" w:sz="4" w:space="0" w:color="auto"/>
            </w:tcBorders>
          </w:tcPr>
          <w:p w:rsidR="005A21BD" w:rsidRPr="001224C3" w:rsidRDefault="005A21BD">
            <w:pPr>
              <w:spacing w:line="360" w:lineRule="atLeast"/>
              <w:jc w:val="center"/>
              <w:rPr>
                <w:rFonts w:ascii="Arial" w:hAnsi="Arial" w:cs="Arial"/>
                <w:sz w:val="20"/>
              </w:rPr>
            </w:pPr>
          </w:p>
        </w:tc>
        <w:tc>
          <w:tcPr>
            <w:tcW w:w="1791" w:type="dxa"/>
            <w:tcBorders>
              <w:top w:val="single" w:sz="4" w:space="0" w:color="auto"/>
              <w:left w:val="nil"/>
              <w:bottom w:val="single" w:sz="4" w:space="0" w:color="auto"/>
              <w:right w:val="single" w:sz="4" w:space="0" w:color="auto"/>
            </w:tcBorders>
          </w:tcPr>
          <w:p w:rsidR="005A21BD" w:rsidRPr="001224C3" w:rsidRDefault="00D54072">
            <w:pPr>
              <w:spacing w:line="360" w:lineRule="atLeast"/>
              <w:jc w:val="center"/>
              <w:rPr>
                <w:rFonts w:ascii="Arial" w:hAnsi="Arial" w:cs="Arial"/>
                <w:sz w:val="20"/>
              </w:rPr>
            </w:pPr>
            <w:r w:rsidRPr="00D54072">
              <w:rPr>
                <w:rFonts w:ascii="Arial" w:hAnsi="Arial" w:cs="Arial"/>
                <w:sz w:val="20"/>
              </w:rPr>
              <w:t>20 µg/mL</w:t>
            </w:r>
          </w:p>
          <w:p w:rsidR="005A21BD" w:rsidRPr="001224C3" w:rsidRDefault="00D54072">
            <w:pPr>
              <w:jc w:val="center"/>
              <w:rPr>
                <w:rFonts w:ascii="Arial" w:hAnsi="Arial" w:cs="Arial"/>
                <w:sz w:val="20"/>
              </w:rPr>
            </w:pPr>
            <w:r w:rsidRPr="00D54072">
              <w:rPr>
                <w:rFonts w:ascii="Arial" w:hAnsi="Arial" w:cs="Arial"/>
                <w:sz w:val="20"/>
              </w:rPr>
              <w:t>1 mg/50 mL</w:t>
            </w:r>
          </w:p>
        </w:tc>
        <w:tc>
          <w:tcPr>
            <w:tcW w:w="1791" w:type="dxa"/>
            <w:tcBorders>
              <w:top w:val="single" w:sz="6" w:space="0" w:color="auto"/>
              <w:left w:val="nil"/>
              <w:bottom w:val="single" w:sz="6" w:space="0" w:color="auto"/>
              <w:right w:val="single" w:sz="6" w:space="0" w:color="auto"/>
            </w:tcBorders>
          </w:tcPr>
          <w:p w:rsidR="005A21BD" w:rsidRPr="001224C3" w:rsidRDefault="00D54072">
            <w:pPr>
              <w:spacing w:line="360" w:lineRule="atLeast"/>
              <w:jc w:val="center"/>
              <w:rPr>
                <w:rFonts w:ascii="Arial" w:hAnsi="Arial" w:cs="Arial"/>
                <w:sz w:val="20"/>
              </w:rPr>
            </w:pPr>
            <w:r w:rsidRPr="00D54072">
              <w:rPr>
                <w:rFonts w:ascii="Arial" w:hAnsi="Arial" w:cs="Arial"/>
                <w:sz w:val="20"/>
              </w:rPr>
              <w:t>25 µg/mL</w:t>
            </w:r>
          </w:p>
          <w:p w:rsidR="005A21BD" w:rsidRPr="001224C3" w:rsidRDefault="00D54072">
            <w:pPr>
              <w:jc w:val="center"/>
              <w:rPr>
                <w:rFonts w:ascii="Arial" w:hAnsi="Arial" w:cs="Arial"/>
                <w:sz w:val="20"/>
              </w:rPr>
            </w:pPr>
            <w:r w:rsidRPr="00D54072">
              <w:rPr>
                <w:rFonts w:ascii="Arial" w:hAnsi="Arial" w:cs="Arial"/>
                <w:sz w:val="20"/>
              </w:rPr>
              <w:t>1 mg/40 mL</w:t>
            </w:r>
          </w:p>
        </w:tc>
        <w:tc>
          <w:tcPr>
            <w:tcW w:w="1791" w:type="dxa"/>
            <w:tcBorders>
              <w:top w:val="single" w:sz="6" w:space="0" w:color="auto"/>
              <w:left w:val="single" w:sz="6" w:space="0" w:color="auto"/>
              <w:bottom w:val="single" w:sz="6" w:space="0" w:color="auto"/>
              <w:right w:val="single" w:sz="6" w:space="0" w:color="auto"/>
            </w:tcBorders>
          </w:tcPr>
          <w:p w:rsidR="005A21BD" w:rsidRPr="001224C3" w:rsidRDefault="00D54072">
            <w:pPr>
              <w:spacing w:line="360" w:lineRule="atLeast"/>
              <w:jc w:val="center"/>
              <w:rPr>
                <w:rFonts w:ascii="Arial" w:hAnsi="Arial" w:cs="Arial"/>
                <w:sz w:val="20"/>
              </w:rPr>
            </w:pPr>
            <w:r w:rsidRPr="00D54072">
              <w:rPr>
                <w:rFonts w:ascii="Arial" w:hAnsi="Arial" w:cs="Arial"/>
                <w:sz w:val="20"/>
              </w:rPr>
              <w:t>50 µg/mL</w:t>
            </w:r>
          </w:p>
          <w:p w:rsidR="005A21BD" w:rsidRPr="001224C3" w:rsidRDefault="00D54072">
            <w:pPr>
              <w:jc w:val="center"/>
              <w:rPr>
                <w:rFonts w:ascii="Arial" w:hAnsi="Arial" w:cs="Arial"/>
                <w:sz w:val="20"/>
              </w:rPr>
            </w:pPr>
            <w:r w:rsidRPr="00D54072">
              <w:rPr>
                <w:rFonts w:ascii="Arial" w:hAnsi="Arial" w:cs="Arial"/>
                <w:sz w:val="20"/>
              </w:rPr>
              <w:t>1 mg/20 mL</w:t>
            </w:r>
          </w:p>
        </w:tc>
        <w:tc>
          <w:tcPr>
            <w:tcW w:w="1905" w:type="dxa"/>
            <w:tcBorders>
              <w:top w:val="single" w:sz="6" w:space="0" w:color="auto"/>
              <w:left w:val="single" w:sz="6" w:space="0" w:color="auto"/>
              <w:bottom w:val="single" w:sz="4" w:space="0" w:color="auto"/>
              <w:right w:val="single" w:sz="6" w:space="0" w:color="auto"/>
            </w:tcBorders>
          </w:tcPr>
          <w:p w:rsidR="005A21BD" w:rsidRPr="001224C3" w:rsidRDefault="00D54072">
            <w:pPr>
              <w:spacing w:line="360" w:lineRule="atLeast"/>
              <w:jc w:val="center"/>
              <w:rPr>
                <w:rFonts w:ascii="Arial" w:hAnsi="Arial" w:cs="Arial"/>
                <w:sz w:val="20"/>
              </w:rPr>
            </w:pPr>
            <w:r w:rsidRPr="00D54072">
              <w:rPr>
                <w:rFonts w:ascii="Arial" w:hAnsi="Arial" w:cs="Arial"/>
                <w:sz w:val="20"/>
              </w:rPr>
              <w:t>250 µg/mL</w:t>
            </w:r>
          </w:p>
          <w:p w:rsidR="005A21BD" w:rsidRPr="001224C3" w:rsidRDefault="00D54072">
            <w:pPr>
              <w:jc w:val="center"/>
              <w:rPr>
                <w:rFonts w:ascii="Arial" w:hAnsi="Arial" w:cs="Arial"/>
                <w:sz w:val="20"/>
              </w:rPr>
            </w:pPr>
            <w:r w:rsidRPr="00D54072">
              <w:rPr>
                <w:rFonts w:ascii="Arial" w:hAnsi="Arial" w:cs="Arial"/>
                <w:sz w:val="20"/>
              </w:rPr>
              <w:t>10 mg/40 mL</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0.0125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0.038</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0.03</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0.015</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not recommended</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780E84" w:rsidRDefault="00D54072" w:rsidP="00780E84">
            <w:pPr>
              <w:spacing w:before="60" w:after="60"/>
              <w:jc w:val="center"/>
              <w:rPr>
                <w:rFonts w:ascii="Arial" w:hAnsi="Arial" w:cs="Arial"/>
                <w:sz w:val="20"/>
              </w:rPr>
            </w:pPr>
            <w:r w:rsidRPr="00780E84">
              <w:rPr>
                <w:rFonts w:ascii="Arial" w:hAnsi="Arial" w:cs="Arial"/>
                <w:sz w:val="20"/>
              </w:rPr>
              <w:t>0.025</w:t>
            </w:r>
          </w:p>
        </w:tc>
        <w:tc>
          <w:tcPr>
            <w:tcW w:w="1791" w:type="dxa"/>
            <w:tcBorders>
              <w:left w:val="single" w:sz="6" w:space="0" w:color="auto"/>
              <w:right w:val="single" w:sz="6" w:space="0" w:color="auto"/>
            </w:tcBorders>
          </w:tcPr>
          <w:p w:rsidR="005A21BD" w:rsidRPr="00780E84" w:rsidRDefault="00D54072" w:rsidP="004902F8">
            <w:pPr>
              <w:spacing w:before="60" w:after="60"/>
              <w:jc w:val="center"/>
              <w:rPr>
                <w:rFonts w:ascii="Arial" w:hAnsi="Arial" w:cs="Arial"/>
                <w:sz w:val="20"/>
              </w:rPr>
            </w:pPr>
            <w:r w:rsidRPr="00780E84">
              <w:rPr>
                <w:rFonts w:ascii="Arial" w:hAnsi="Arial" w:cs="Arial"/>
                <w:sz w:val="20"/>
              </w:rPr>
              <w:t>0.075</w:t>
            </w:r>
          </w:p>
        </w:tc>
        <w:tc>
          <w:tcPr>
            <w:tcW w:w="1791" w:type="dxa"/>
            <w:tcBorders>
              <w:left w:val="single" w:sz="6" w:space="0" w:color="auto"/>
              <w:right w:val="single" w:sz="6" w:space="0" w:color="auto"/>
            </w:tcBorders>
          </w:tcPr>
          <w:p w:rsidR="005A21BD" w:rsidRPr="00780E84" w:rsidRDefault="00D54072" w:rsidP="004902F8">
            <w:pPr>
              <w:spacing w:before="60" w:after="60"/>
              <w:jc w:val="center"/>
              <w:rPr>
                <w:rFonts w:ascii="Arial" w:hAnsi="Arial" w:cs="Arial"/>
                <w:sz w:val="20"/>
              </w:rPr>
            </w:pPr>
            <w:r w:rsidRPr="00780E84">
              <w:rPr>
                <w:rFonts w:ascii="Arial" w:hAnsi="Arial" w:cs="Arial"/>
                <w:sz w:val="20"/>
              </w:rPr>
              <w:t>0.06</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0.03</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not recommended</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0.05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0.15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0.12</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0.06</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0.012</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0.075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0.23</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0.18</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0.09</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0.018</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0.1</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0.3</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0.24</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0.12</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0.024</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0.15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0.45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0.36</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0.18</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0.036</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0.2</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0.6</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0.48</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0.24</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0.048</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0.25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0.75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0.6</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0.3</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0.06</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1.5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1.2</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0.6</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0.12</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0.75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2.25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1.8</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0.9</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0.18</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1.0</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3.0</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2.4</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1.2</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0.24</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1.25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3.75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3.0</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1.5</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0.3</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1.5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4.5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3.6</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1.8</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0.36</w:t>
            </w:r>
          </w:p>
        </w:tc>
      </w:tr>
      <w:tr w:rsidR="005A21BD" w:rsidRPr="001224C3">
        <w:trPr>
          <w:cantSplit/>
          <w:trHeight w:val="120"/>
          <w:jc w:val="center"/>
        </w:trPr>
        <w:tc>
          <w:tcPr>
            <w:tcW w:w="1890" w:type="dxa"/>
            <w:tcBorders>
              <w:left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1.75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5.25</w:t>
            </w:r>
          </w:p>
        </w:tc>
        <w:tc>
          <w:tcPr>
            <w:tcW w:w="1791" w:type="dxa"/>
            <w:tcBorders>
              <w:left w:val="single" w:sz="6"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4.2</w:t>
            </w:r>
          </w:p>
        </w:tc>
        <w:tc>
          <w:tcPr>
            <w:tcW w:w="1791" w:type="dxa"/>
            <w:tcBorders>
              <w:lef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2.1</w:t>
            </w:r>
          </w:p>
        </w:tc>
        <w:tc>
          <w:tcPr>
            <w:tcW w:w="1905" w:type="dxa"/>
            <w:tcBorders>
              <w:left w:val="single" w:sz="4"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0.42</w:t>
            </w:r>
          </w:p>
        </w:tc>
      </w:tr>
      <w:tr w:rsidR="005A21BD" w:rsidRPr="001224C3">
        <w:trPr>
          <w:cantSplit/>
          <w:trHeight w:val="120"/>
          <w:jc w:val="center"/>
        </w:trPr>
        <w:tc>
          <w:tcPr>
            <w:tcW w:w="1890" w:type="dxa"/>
            <w:tcBorders>
              <w:left w:val="single" w:sz="12" w:space="0" w:color="auto"/>
              <w:bottom w:val="single" w:sz="12" w:space="0" w:color="auto"/>
              <w:right w:val="single" w:sz="6" w:space="0" w:color="auto"/>
            </w:tcBorders>
          </w:tcPr>
          <w:p w:rsidR="005A21BD" w:rsidRPr="001224C3" w:rsidRDefault="00D54072" w:rsidP="00780E84">
            <w:pPr>
              <w:spacing w:before="60" w:after="60"/>
              <w:jc w:val="center"/>
              <w:rPr>
                <w:rFonts w:ascii="Arial" w:hAnsi="Arial" w:cs="Arial"/>
                <w:sz w:val="20"/>
              </w:rPr>
            </w:pPr>
            <w:r w:rsidRPr="00D54072">
              <w:rPr>
                <w:rFonts w:ascii="Arial" w:hAnsi="Arial" w:cs="Arial"/>
                <w:sz w:val="20"/>
              </w:rPr>
              <w:t>2.0</w:t>
            </w:r>
          </w:p>
        </w:tc>
        <w:tc>
          <w:tcPr>
            <w:tcW w:w="1791" w:type="dxa"/>
            <w:tcBorders>
              <w:left w:val="single" w:sz="6" w:space="0" w:color="auto"/>
              <w:bottom w:val="single" w:sz="12"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6.0</w:t>
            </w:r>
          </w:p>
        </w:tc>
        <w:tc>
          <w:tcPr>
            <w:tcW w:w="1791" w:type="dxa"/>
            <w:tcBorders>
              <w:left w:val="single" w:sz="6" w:space="0" w:color="auto"/>
              <w:bottom w:val="single" w:sz="12" w:space="0" w:color="auto"/>
              <w:right w:val="single" w:sz="6"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4.8</w:t>
            </w:r>
          </w:p>
        </w:tc>
        <w:tc>
          <w:tcPr>
            <w:tcW w:w="1791" w:type="dxa"/>
            <w:tcBorders>
              <w:left w:val="single" w:sz="6" w:space="0" w:color="auto"/>
              <w:bottom w:val="single" w:sz="12"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2.4</w:t>
            </w:r>
          </w:p>
        </w:tc>
        <w:tc>
          <w:tcPr>
            <w:tcW w:w="1905" w:type="dxa"/>
            <w:tcBorders>
              <w:left w:val="single" w:sz="4" w:space="0" w:color="auto"/>
              <w:bottom w:val="single" w:sz="12" w:space="0" w:color="auto"/>
              <w:right w:val="single" w:sz="4" w:space="0" w:color="auto"/>
            </w:tcBorders>
          </w:tcPr>
          <w:p w:rsidR="005A21BD" w:rsidRPr="001224C3" w:rsidRDefault="00D54072" w:rsidP="004902F8">
            <w:pPr>
              <w:spacing w:before="60" w:after="60"/>
              <w:jc w:val="center"/>
              <w:rPr>
                <w:rFonts w:ascii="Arial" w:hAnsi="Arial" w:cs="Arial"/>
                <w:sz w:val="20"/>
              </w:rPr>
            </w:pPr>
            <w:r w:rsidRPr="00D54072">
              <w:rPr>
                <w:rFonts w:ascii="Arial" w:hAnsi="Arial" w:cs="Arial"/>
                <w:sz w:val="20"/>
              </w:rPr>
              <w:t>0.48</w:t>
            </w:r>
          </w:p>
        </w:tc>
      </w:tr>
    </w:tbl>
    <w:p w:rsidR="005A21BD" w:rsidRDefault="005A21BD">
      <w:pPr>
        <w:jc w:val="center"/>
        <w:rPr>
          <w:rFonts w:ascii="Arial" w:hAnsi="Arial"/>
          <w:b/>
        </w:rPr>
      </w:pPr>
    </w:p>
    <w:p w:rsidR="005A21BD" w:rsidRDefault="005A21BD">
      <w:pPr>
        <w:jc w:val="center"/>
        <w:rPr>
          <w:rFonts w:ascii="Arial" w:hAnsi="Arial"/>
          <w:b/>
        </w:rPr>
      </w:pPr>
    </w:p>
    <w:p w:rsidR="005A21BD" w:rsidRDefault="005A21BD">
      <w:pPr>
        <w:pStyle w:val="TableTitle"/>
        <w:tabs>
          <w:tab w:val="left" w:pos="2552"/>
        </w:tabs>
        <w:jc w:val="center"/>
        <w:rPr>
          <w:sz w:val="22"/>
        </w:rPr>
      </w:pPr>
      <w:r>
        <w:rPr>
          <w:sz w:val="22"/>
        </w:rPr>
        <w:t xml:space="preserve">Table </w:t>
      </w:r>
      <w:r w:rsidR="000B0B31">
        <w:rPr>
          <w:sz w:val="22"/>
        </w:rPr>
        <w:t>11</w:t>
      </w:r>
      <w:r>
        <w:rPr>
          <w:sz w:val="22"/>
        </w:rPr>
        <w:tab/>
        <w:t>Ultiva for Injection Infusion Rates (mL/h) for a 20µg/mL Solution</w:t>
      </w:r>
    </w:p>
    <w:tbl>
      <w:tblPr>
        <w:tblW w:w="0" w:type="auto"/>
        <w:jc w:val="center"/>
        <w:tblLayout w:type="fixed"/>
        <w:tblCellMar>
          <w:left w:w="107" w:type="dxa"/>
          <w:right w:w="107" w:type="dxa"/>
        </w:tblCellMar>
        <w:tblLook w:val="0000"/>
      </w:tblPr>
      <w:tblGrid>
        <w:gridCol w:w="1985"/>
        <w:gridCol w:w="912"/>
        <w:gridCol w:w="900"/>
        <w:gridCol w:w="990"/>
        <w:gridCol w:w="990"/>
        <w:gridCol w:w="990"/>
        <w:gridCol w:w="990"/>
        <w:gridCol w:w="990"/>
      </w:tblGrid>
      <w:tr w:rsidR="005A21BD" w:rsidRPr="001224C3">
        <w:trPr>
          <w:cantSplit/>
          <w:jc w:val="center"/>
        </w:trPr>
        <w:tc>
          <w:tcPr>
            <w:tcW w:w="1985" w:type="dxa"/>
            <w:vMerge w:val="restart"/>
            <w:tcBorders>
              <w:top w:val="single" w:sz="6" w:space="0" w:color="auto"/>
              <w:left w:val="single" w:sz="6" w:space="0" w:color="auto"/>
              <w:right w:val="single" w:sz="6" w:space="0" w:color="auto"/>
            </w:tcBorders>
            <w:vAlign w:val="center"/>
          </w:tcPr>
          <w:p w:rsidR="005A21BD" w:rsidRPr="001224C3" w:rsidRDefault="00D54072" w:rsidP="008E7394">
            <w:pPr>
              <w:pStyle w:val="Table"/>
              <w:tabs>
                <w:tab w:val="left" w:pos="2552"/>
              </w:tabs>
              <w:spacing w:after="120"/>
              <w:jc w:val="center"/>
              <w:rPr>
                <w:rFonts w:cs="Arial"/>
                <w:sz w:val="20"/>
              </w:rPr>
            </w:pPr>
            <w:r w:rsidRPr="00D54072">
              <w:rPr>
                <w:rFonts w:cs="Arial"/>
                <w:sz w:val="20"/>
              </w:rPr>
              <w:t>Infusion Rate</w:t>
            </w:r>
          </w:p>
          <w:p w:rsidR="005A21BD" w:rsidRPr="001224C3" w:rsidRDefault="00D54072" w:rsidP="008E7394">
            <w:pPr>
              <w:pStyle w:val="Table"/>
              <w:tabs>
                <w:tab w:val="left" w:pos="2552"/>
              </w:tabs>
              <w:spacing w:after="120"/>
              <w:jc w:val="center"/>
              <w:rPr>
                <w:rFonts w:cs="Arial"/>
                <w:sz w:val="20"/>
              </w:rPr>
            </w:pPr>
            <w:r w:rsidRPr="00D54072">
              <w:rPr>
                <w:rFonts w:cs="Arial"/>
                <w:sz w:val="20"/>
              </w:rPr>
              <w:t>(</w:t>
            </w:r>
            <w:r w:rsidR="008540FE" w:rsidRPr="00D54072">
              <w:rPr>
                <w:rFonts w:cs="Arial"/>
                <w:sz w:val="20"/>
              </w:rPr>
              <w:fldChar w:fldCharType="begin"/>
            </w:r>
            <w:r w:rsidRPr="00D54072">
              <w:rPr>
                <w:rFonts w:cs="Arial"/>
                <w:sz w:val="20"/>
              </w:rPr>
              <w:instrText>SYMBOL 109 \f "Symbol"</w:instrText>
            </w:r>
            <w:r w:rsidR="008540FE" w:rsidRPr="00D54072">
              <w:rPr>
                <w:rFonts w:cs="Arial"/>
                <w:sz w:val="20"/>
              </w:rPr>
              <w:fldChar w:fldCharType="end"/>
            </w:r>
            <w:r w:rsidRPr="00D54072">
              <w:rPr>
                <w:rFonts w:cs="Arial"/>
                <w:sz w:val="20"/>
              </w:rPr>
              <w:t>g/kg/min)</w:t>
            </w:r>
          </w:p>
        </w:tc>
        <w:tc>
          <w:tcPr>
            <w:tcW w:w="6762" w:type="dxa"/>
            <w:gridSpan w:val="7"/>
            <w:tcBorders>
              <w:top w:val="single" w:sz="6" w:space="0" w:color="auto"/>
              <w:left w:val="nil"/>
              <w:bottom w:val="single" w:sz="6" w:space="0" w:color="auto"/>
              <w:right w:val="single" w:sz="6" w:space="0" w:color="auto"/>
            </w:tcBorders>
            <w:vAlign w:val="center"/>
          </w:tcPr>
          <w:p w:rsidR="005A21BD" w:rsidRPr="001224C3" w:rsidRDefault="00D54072" w:rsidP="008E7394">
            <w:pPr>
              <w:pStyle w:val="Table"/>
              <w:tabs>
                <w:tab w:val="left" w:pos="2552"/>
              </w:tabs>
              <w:spacing w:before="120" w:after="120"/>
              <w:jc w:val="center"/>
              <w:rPr>
                <w:rFonts w:cs="Arial"/>
                <w:sz w:val="20"/>
              </w:rPr>
            </w:pPr>
            <w:r w:rsidRPr="00D54072">
              <w:rPr>
                <w:rFonts w:cs="Arial"/>
                <w:sz w:val="20"/>
              </w:rPr>
              <w:t>Patient Weight (kg)</w:t>
            </w:r>
          </w:p>
        </w:tc>
      </w:tr>
      <w:tr w:rsidR="005A21BD" w:rsidRPr="001224C3">
        <w:trPr>
          <w:cantSplit/>
          <w:jc w:val="center"/>
        </w:trPr>
        <w:tc>
          <w:tcPr>
            <w:tcW w:w="1985" w:type="dxa"/>
            <w:vMerge/>
            <w:tcBorders>
              <w:left w:val="single" w:sz="6" w:space="0" w:color="auto"/>
              <w:right w:val="single" w:sz="6" w:space="0" w:color="auto"/>
            </w:tcBorders>
          </w:tcPr>
          <w:p w:rsidR="005A21BD" w:rsidRPr="001224C3" w:rsidRDefault="005A21BD">
            <w:pPr>
              <w:pStyle w:val="Table"/>
              <w:tabs>
                <w:tab w:val="left" w:pos="2552"/>
              </w:tabs>
              <w:spacing w:before="120" w:after="120"/>
              <w:jc w:val="center"/>
              <w:rPr>
                <w:rFonts w:cs="Arial"/>
                <w:sz w:val="20"/>
              </w:rPr>
            </w:pPr>
          </w:p>
        </w:tc>
        <w:tc>
          <w:tcPr>
            <w:tcW w:w="912" w:type="dxa"/>
            <w:tcBorders>
              <w:top w:val="single" w:sz="6" w:space="0" w:color="auto"/>
              <w:left w:val="single" w:sz="6" w:space="0" w:color="auto"/>
              <w:right w:val="single" w:sz="6" w:space="0" w:color="auto"/>
            </w:tcBorders>
            <w:vAlign w:val="center"/>
          </w:tcPr>
          <w:p w:rsidR="005A21BD" w:rsidRPr="001224C3" w:rsidRDefault="00D54072">
            <w:pPr>
              <w:pStyle w:val="Table"/>
              <w:tabs>
                <w:tab w:val="left" w:pos="2552"/>
              </w:tabs>
              <w:spacing w:before="60" w:after="60"/>
              <w:jc w:val="center"/>
              <w:rPr>
                <w:rFonts w:cs="Arial"/>
                <w:sz w:val="20"/>
              </w:rPr>
            </w:pPr>
            <w:r w:rsidRPr="00D54072">
              <w:rPr>
                <w:rFonts w:cs="Arial"/>
                <w:sz w:val="20"/>
              </w:rPr>
              <w:t>5</w:t>
            </w:r>
          </w:p>
        </w:tc>
        <w:tc>
          <w:tcPr>
            <w:tcW w:w="900" w:type="dxa"/>
            <w:tcBorders>
              <w:top w:val="single" w:sz="6" w:space="0" w:color="auto"/>
              <w:left w:val="single" w:sz="6" w:space="0" w:color="auto"/>
              <w:right w:val="single" w:sz="6" w:space="0" w:color="auto"/>
            </w:tcBorders>
            <w:vAlign w:val="center"/>
          </w:tcPr>
          <w:p w:rsidR="005A21BD" w:rsidRPr="001224C3" w:rsidRDefault="00D54072">
            <w:pPr>
              <w:pStyle w:val="Table"/>
              <w:tabs>
                <w:tab w:val="left" w:pos="2552"/>
              </w:tabs>
              <w:spacing w:before="60" w:after="60"/>
              <w:jc w:val="center"/>
              <w:rPr>
                <w:rFonts w:cs="Arial"/>
                <w:sz w:val="20"/>
              </w:rPr>
            </w:pPr>
            <w:r w:rsidRPr="00D54072">
              <w:rPr>
                <w:rFonts w:cs="Arial"/>
                <w:sz w:val="20"/>
              </w:rPr>
              <w:t>10</w:t>
            </w:r>
          </w:p>
        </w:tc>
        <w:tc>
          <w:tcPr>
            <w:tcW w:w="990" w:type="dxa"/>
            <w:tcBorders>
              <w:top w:val="single" w:sz="6" w:space="0" w:color="auto"/>
              <w:left w:val="single" w:sz="6" w:space="0" w:color="auto"/>
              <w:right w:val="single" w:sz="6" w:space="0" w:color="auto"/>
            </w:tcBorders>
            <w:vAlign w:val="center"/>
          </w:tcPr>
          <w:p w:rsidR="005A21BD" w:rsidRPr="001224C3" w:rsidRDefault="00D54072">
            <w:pPr>
              <w:pStyle w:val="Table"/>
              <w:tabs>
                <w:tab w:val="left" w:pos="2552"/>
              </w:tabs>
              <w:spacing w:before="60" w:after="60"/>
              <w:jc w:val="center"/>
              <w:rPr>
                <w:rFonts w:cs="Arial"/>
                <w:sz w:val="20"/>
              </w:rPr>
            </w:pPr>
            <w:r w:rsidRPr="00D54072">
              <w:rPr>
                <w:rFonts w:cs="Arial"/>
                <w:sz w:val="20"/>
              </w:rPr>
              <w:t>20</w:t>
            </w:r>
          </w:p>
        </w:tc>
        <w:tc>
          <w:tcPr>
            <w:tcW w:w="990" w:type="dxa"/>
            <w:tcBorders>
              <w:top w:val="single" w:sz="6" w:space="0" w:color="auto"/>
              <w:left w:val="single" w:sz="6" w:space="0" w:color="auto"/>
              <w:right w:val="single" w:sz="6" w:space="0" w:color="auto"/>
            </w:tcBorders>
            <w:vAlign w:val="center"/>
          </w:tcPr>
          <w:p w:rsidR="005A21BD" w:rsidRPr="001224C3" w:rsidRDefault="00D54072">
            <w:pPr>
              <w:pStyle w:val="Table"/>
              <w:tabs>
                <w:tab w:val="left" w:pos="2552"/>
              </w:tabs>
              <w:spacing w:before="60" w:after="60"/>
              <w:jc w:val="center"/>
              <w:rPr>
                <w:rFonts w:cs="Arial"/>
                <w:sz w:val="20"/>
              </w:rPr>
            </w:pPr>
            <w:r w:rsidRPr="00D54072">
              <w:rPr>
                <w:rFonts w:cs="Arial"/>
                <w:sz w:val="20"/>
              </w:rPr>
              <w:t>30</w:t>
            </w:r>
          </w:p>
        </w:tc>
        <w:tc>
          <w:tcPr>
            <w:tcW w:w="990" w:type="dxa"/>
            <w:tcBorders>
              <w:top w:val="single" w:sz="6" w:space="0" w:color="auto"/>
              <w:left w:val="single" w:sz="6" w:space="0" w:color="auto"/>
              <w:right w:val="single" w:sz="6" w:space="0" w:color="auto"/>
            </w:tcBorders>
            <w:vAlign w:val="center"/>
          </w:tcPr>
          <w:p w:rsidR="005A21BD" w:rsidRPr="001224C3" w:rsidRDefault="00D54072">
            <w:pPr>
              <w:pStyle w:val="Table"/>
              <w:tabs>
                <w:tab w:val="left" w:pos="2552"/>
              </w:tabs>
              <w:spacing w:before="60" w:after="60"/>
              <w:jc w:val="center"/>
              <w:rPr>
                <w:rFonts w:cs="Arial"/>
                <w:sz w:val="20"/>
              </w:rPr>
            </w:pPr>
            <w:r w:rsidRPr="00D54072">
              <w:rPr>
                <w:rFonts w:cs="Arial"/>
                <w:sz w:val="20"/>
              </w:rPr>
              <w:t>40</w:t>
            </w:r>
          </w:p>
        </w:tc>
        <w:tc>
          <w:tcPr>
            <w:tcW w:w="990" w:type="dxa"/>
            <w:tcBorders>
              <w:top w:val="single" w:sz="6" w:space="0" w:color="auto"/>
              <w:left w:val="single" w:sz="6" w:space="0" w:color="auto"/>
              <w:right w:val="single" w:sz="6" w:space="0" w:color="auto"/>
            </w:tcBorders>
            <w:vAlign w:val="center"/>
          </w:tcPr>
          <w:p w:rsidR="005A21BD" w:rsidRPr="001224C3" w:rsidRDefault="00D54072">
            <w:pPr>
              <w:pStyle w:val="Table"/>
              <w:tabs>
                <w:tab w:val="left" w:pos="2552"/>
              </w:tabs>
              <w:spacing w:before="60" w:after="60"/>
              <w:jc w:val="center"/>
              <w:rPr>
                <w:rFonts w:cs="Arial"/>
                <w:sz w:val="20"/>
              </w:rPr>
            </w:pPr>
            <w:r w:rsidRPr="00D54072">
              <w:rPr>
                <w:rFonts w:cs="Arial"/>
                <w:sz w:val="20"/>
              </w:rPr>
              <w:t>50</w:t>
            </w:r>
          </w:p>
        </w:tc>
        <w:tc>
          <w:tcPr>
            <w:tcW w:w="990" w:type="dxa"/>
            <w:tcBorders>
              <w:top w:val="single" w:sz="6" w:space="0" w:color="auto"/>
              <w:left w:val="single" w:sz="6" w:space="0" w:color="auto"/>
              <w:right w:val="single" w:sz="6" w:space="0" w:color="auto"/>
            </w:tcBorders>
            <w:vAlign w:val="center"/>
          </w:tcPr>
          <w:p w:rsidR="005A21BD" w:rsidRPr="001224C3" w:rsidRDefault="00D54072">
            <w:pPr>
              <w:pStyle w:val="Table"/>
              <w:tabs>
                <w:tab w:val="left" w:pos="2552"/>
              </w:tabs>
              <w:spacing w:before="60" w:after="60"/>
              <w:jc w:val="center"/>
              <w:rPr>
                <w:rFonts w:cs="Arial"/>
                <w:sz w:val="20"/>
              </w:rPr>
            </w:pPr>
            <w:r w:rsidRPr="00D54072">
              <w:rPr>
                <w:rFonts w:cs="Arial"/>
                <w:sz w:val="20"/>
              </w:rPr>
              <w:t>60</w:t>
            </w:r>
          </w:p>
        </w:tc>
      </w:tr>
      <w:tr w:rsidR="005A21BD" w:rsidRPr="001224C3">
        <w:trPr>
          <w:jc w:val="center"/>
        </w:trPr>
        <w:tc>
          <w:tcPr>
            <w:tcW w:w="1985" w:type="dxa"/>
            <w:tcBorders>
              <w:top w:val="single" w:sz="6" w:space="0" w:color="auto"/>
              <w:left w:val="single" w:sz="6" w:space="0" w:color="auto"/>
              <w:right w:val="single" w:sz="6"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0.0125</w:t>
            </w:r>
          </w:p>
        </w:tc>
        <w:tc>
          <w:tcPr>
            <w:tcW w:w="912" w:type="dxa"/>
            <w:tcBorders>
              <w:top w:val="single" w:sz="6" w:space="0" w:color="auto"/>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0.188</w:t>
            </w:r>
          </w:p>
        </w:tc>
        <w:tc>
          <w:tcPr>
            <w:tcW w:w="900" w:type="dxa"/>
            <w:tcBorders>
              <w:top w:val="single" w:sz="6" w:space="0" w:color="auto"/>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0.375</w:t>
            </w:r>
          </w:p>
        </w:tc>
        <w:tc>
          <w:tcPr>
            <w:tcW w:w="990" w:type="dxa"/>
            <w:tcBorders>
              <w:top w:val="single" w:sz="6" w:space="0" w:color="auto"/>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0.75</w:t>
            </w:r>
          </w:p>
        </w:tc>
        <w:tc>
          <w:tcPr>
            <w:tcW w:w="990" w:type="dxa"/>
            <w:tcBorders>
              <w:top w:val="single" w:sz="6" w:space="0" w:color="auto"/>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1.125</w:t>
            </w:r>
          </w:p>
        </w:tc>
        <w:tc>
          <w:tcPr>
            <w:tcW w:w="990" w:type="dxa"/>
            <w:tcBorders>
              <w:top w:val="single" w:sz="6" w:space="0" w:color="auto"/>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1.5</w:t>
            </w:r>
          </w:p>
        </w:tc>
        <w:tc>
          <w:tcPr>
            <w:tcW w:w="990" w:type="dxa"/>
            <w:tcBorders>
              <w:top w:val="single" w:sz="6" w:space="0" w:color="auto"/>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1.875</w:t>
            </w:r>
          </w:p>
        </w:tc>
        <w:tc>
          <w:tcPr>
            <w:tcW w:w="990" w:type="dxa"/>
            <w:tcBorders>
              <w:top w:val="single" w:sz="6" w:space="0" w:color="auto"/>
              <w:left w:val="nil"/>
              <w:right w:val="single" w:sz="6"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2.25</w:t>
            </w:r>
          </w:p>
        </w:tc>
      </w:tr>
      <w:tr w:rsidR="005A21BD" w:rsidRPr="001224C3">
        <w:trPr>
          <w:jc w:val="center"/>
        </w:trPr>
        <w:tc>
          <w:tcPr>
            <w:tcW w:w="1985" w:type="dxa"/>
            <w:tcBorders>
              <w:left w:val="single" w:sz="6" w:space="0" w:color="auto"/>
              <w:right w:val="single" w:sz="6"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0.025</w:t>
            </w:r>
          </w:p>
        </w:tc>
        <w:tc>
          <w:tcPr>
            <w:tcW w:w="912"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0.375</w:t>
            </w:r>
          </w:p>
        </w:tc>
        <w:tc>
          <w:tcPr>
            <w:tcW w:w="900"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0.75</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1.5</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2.25</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3.0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3.75</w:t>
            </w:r>
          </w:p>
        </w:tc>
        <w:tc>
          <w:tcPr>
            <w:tcW w:w="990" w:type="dxa"/>
            <w:tcBorders>
              <w:left w:val="nil"/>
              <w:right w:val="single" w:sz="6"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4.5</w:t>
            </w:r>
          </w:p>
        </w:tc>
      </w:tr>
      <w:tr w:rsidR="005A21BD" w:rsidRPr="001224C3">
        <w:trPr>
          <w:jc w:val="center"/>
        </w:trPr>
        <w:tc>
          <w:tcPr>
            <w:tcW w:w="1985" w:type="dxa"/>
            <w:tcBorders>
              <w:left w:val="single" w:sz="6" w:space="0" w:color="auto"/>
              <w:right w:val="single" w:sz="6"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0.05</w:t>
            </w:r>
          </w:p>
        </w:tc>
        <w:tc>
          <w:tcPr>
            <w:tcW w:w="912"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0.75</w:t>
            </w:r>
          </w:p>
        </w:tc>
        <w:tc>
          <w:tcPr>
            <w:tcW w:w="900"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1.5</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3.0</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4.5</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6.0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7.5</w:t>
            </w:r>
          </w:p>
        </w:tc>
        <w:tc>
          <w:tcPr>
            <w:tcW w:w="990" w:type="dxa"/>
            <w:tcBorders>
              <w:left w:val="nil"/>
              <w:right w:val="single" w:sz="6"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9.0</w:t>
            </w:r>
          </w:p>
        </w:tc>
      </w:tr>
      <w:tr w:rsidR="005A21BD" w:rsidRPr="001224C3">
        <w:trPr>
          <w:jc w:val="center"/>
        </w:trPr>
        <w:tc>
          <w:tcPr>
            <w:tcW w:w="1985" w:type="dxa"/>
            <w:tcBorders>
              <w:left w:val="single" w:sz="6" w:space="0" w:color="auto"/>
              <w:right w:val="single" w:sz="6"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0.075</w:t>
            </w:r>
          </w:p>
        </w:tc>
        <w:tc>
          <w:tcPr>
            <w:tcW w:w="912"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1.125</w:t>
            </w:r>
          </w:p>
        </w:tc>
        <w:tc>
          <w:tcPr>
            <w:tcW w:w="900"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2.25</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4.5</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6.75</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9.0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11.25</w:t>
            </w:r>
          </w:p>
        </w:tc>
        <w:tc>
          <w:tcPr>
            <w:tcW w:w="990" w:type="dxa"/>
            <w:tcBorders>
              <w:left w:val="nil"/>
              <w:right w:val="single" w:sz="6"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13.5</w:t>
            </w:r>
          </w:p>
        </w:tc>
      </w:tr>
      <w:tr w:rsidR="005A21BD" w:rsidRPr="001224C3">
        <w:trPr>
          <w:jc w:val="center"/>
        </w:trPr>
        <w:tc>
          <w:tcPr>
            <w:tcW w:w="1985" w:type="dxa"/>
            <w:tcBorders>
              <w:left w:val="single" w:sz="6" w:space="0" w:color="auto"/>
              <w:right w:val="single" w:sz="6"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0.1</w:t>
            </w:r>
          </w:p>
        </w:tc>
        <w:tc>
          <w:tcPr>
            <w:tcW w:w="912"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1.5</w:t>
            </w:r>
          </w:p>
        </w:tc>
        <w:tc>
          <w:tcPr>
            <w:tcW w:w="900"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3.0</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6.0</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9.0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12.0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15.0</w:t>
            </w:r>
          </w:p>
        </w:tc>
        <w:tc>
          <w:tcPr>
            <w:tcW w:w="990" w:type="dxa"/>
            <w:tcBorders>
              <w:left w:val="nil"/>
              <w:right w:val="single" w:sz="6"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18.0</w:t>
            </w:r>
          </w:p>
        </w:tc>
      </w:tr>
      <w:tr w:rsidR="005A21BD" w:rsidRPr="001224C3">
        <w:trPr>
          <w:jc w:val="center"/>
        </w:trPr>
        <w:tc>
          <w:tcPr>
            <w:tcW w:w="1985" w:type="dxa"/>
            <w:tcBorders>
              <w:left w:val="single" w:sz="6" w:space="0" w:color="auto"/>
              <w:right w:val="single" w:sz="6"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0.15</w:t>
            </w:r>
          </w:p>
        </w:tc>
        <w:tc>
          <w:tcPr>
            <w:tcW w:w="912"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2.25</w:t>
            </w:r>
          </w:p>
        </w:tc>
        <w:tc>
          <w:tcPr>
            <w:tcW w:w="900"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4.5</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9.0</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13.5</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18.0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22.5</w:t>
            </w:r>
          </w:p>
        </w:tc>
        <w:tc>
          <w:tcPr>
            <w:tcW w:w="990" w:type="dxa"/>
            <w:tcBorders>
              <w:left w:val="nil"/>
              <w:right w:val="single" w:sz="6"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27.0</w:t>
            </w:r>
          </w:p>
        </w:tc>
      </w:tr>
      <w:tr w:rsidR="005A21BD" w:rsidRPr="001224C3">
        <w:trPr>
          <w:jc w:val="center"/>
        </w:trPr>
        <w:tc>
          <w:tcPr>
            <w:tcW w:w="1985" w:type="dxa"/>
            <w:tcBorders>
              <w:left w:val="single" w:sz="6" w:space="0" w:color="auto"/>
              <w:right w:val="single" w:sz="6"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0.2</w:t>
            </w:r>
          </w:p>
        </w:tc>
        <w:tc>
          <w:tcPr>
            <w:tcW w:w="912"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3.0</w:t>
            </w:r>
          </w:p>
        </w:tc>
        <w:tc>
          <w:tcPr>
            <w:tcW w:w="900" w:type="dxa"/>
            <w:tcBorders>
              <w:left w:val="nil"/>
              <w:right w:val="single" w:sz="6"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6.0</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12.0</w:t>
            </w:r>
          </w:p>
        </w:tc>
        <w:tc>
          <w:tcPr>
            <w:tcW w:w="990" w:type="dxa"/>
            <w:tcBorders>
              <w:left w:val="nil"/>
              <w:right w:val="single" w:sz="6"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18.0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24.0</w:t>
            </w:r>
          </w:p>
        </w:tc>
        <w:tc>
          <w:tcPr>
            <w:tcW w:w="990" w:type="dxa"/>
            <w:tcBorders>
              <w:left w:val="nil"/>
              <w:right w:val="single" w:sz="6"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30.0</w:t>
            </w:r>
          </w:p>
        </w:tc>
        <w:tc>
          <w:tcPr>
            <w:tcW w:w="990" w:type="dxa"/>
            <w:tcBorders>
              <w:left w:val="nil"/>
              <w:right w:val="single" w:sz="6"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36.0</w:t>
            </w:r>
          </w:p>
        </w:tc>
      </w:tr>
      <w:tr w:rsidR="005A21BD" w:rsidRPr="001224C3">
        <w:trPr>
          <w:jc w:val="center"/>
        </w:trPr>
        <w:tc>
          <w:tcPr>
            <w:tcW w:w="1985" w:type="dxa"/>
            <w:tcBorders>
              <w:left w:val="single" w:sz="4" w:space="0" w:color="auto"/>
              <w:right w:val="single" w:sz="4"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0.25</w:t>
            </w:r>
          </w:p>
        </w:tc>
        <w:tc>
          <w:tcPr>
            <w:tcW w:w="912" w:type="dxa"/>
            <w:tcBorders>
              <w:left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3.75</w:t>
            </w:r>
          </w:p>
        </w:tc>
        <w:tc>
          <w:tcPr>
            <w:tcW w:w="900" w:type="dxa"/>
            <w:tcBorders>
              <w:left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7.5</w:t>
            </w:r>
          </w:p>
        </w:tc>
        <w:tc>
          <w:tcPr>
            <w:tcW w:w="990" w:type="dxa"/>
            <w:tcBorders>
              <w:left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15.0</w:t>
            </w:r>
          </w:p>
        </w:tc>
        <w:tc>
          <w:tcPr>
            <w:tcW w:w="990" w:type="dxa"/>
            <w:tcBorders>
              <w:left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22.5</w:t>
            </w:r>
          </w:p>
        </w:tc>
        <w:tc>
          <w:tcPr>
            <w:tcW w:w="990" w:type="dxa"/>
            <w:tcBorders>
              <w:left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30.0</w:t>
            </w:r>
          </w:p>
        </w:tc>
        <w:tc>
          <w:tcPr>
            <w:tcW w:w="990" w:type="dxa"/>
            <w:tcBorders>
              <w:left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37.5</w:t>
            </w:r>
          </w:p>
        </w:tc>
        <w:tc>
          <w:tcPr>
            <w:tcW w:w="990" w:type="dxa"/>
            <w:tcBorders>
              <w:left w:val="single" w:sz="4" w:space="0" w:color="auto"/>
              <w:right w:val="single" w:sz="4"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45.0</w:t>
            </w:r>
          </w:p>
        </w:tc>
      </w:tr>
      <w:tr w:rsidR="005A21BD" w:rsidRPr="001224C3">
        <w:trPr>
          <w:jc w:val="center"/>
        </w:trPr>
        <w:tc>
          <w:tcPr>
            <w:tcW w:w="1985" w:type="dxa"/>
            <w:tcBorders>
              <w:left w:val="single" w:sz="4" w:space="0" w:color="auto"/>
              <w:right w:val="single" w:sz="4"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0.3</w:t>
            </w:r>
          </w:p>
        </w:tc>
        <w:tc>
          <w:tcPr>
            <w:tcW w:w="912" w:type="dxa"/>
            <w:tcBorders>
              <w:left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4.5</w:t>
            </w:r>
          </w:p>
        </w:tc>
        <w:tc>
          <w:tcPr>
            <w:tcW w:w="900" w:type="dxa"/>
            <w:tcBorders>
              <w:left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9.0</w:t>
            </w:r>
          </w:p>
        </w:tc>
        <w:tc>
          <w:tcPr>
            <w:tcW w:w="990" w:type="dxa"/>
            <w:tcBorders>
              <w:left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18.0</w:t>
            </w:r>
          </w:p>
        </w:tc>
        <w:tc>
          <w:tcPr>
            <w:tcW w:w="990" w:type="dxa"/>
            <w:tcBorders>
              <w:left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27.0</w:t>
            </w:r>
          </w:p>
        </w:tc>
        <w:tc>
          <w:tcPr>
            <w:tcW w:w="990" w:type="dxa"/>
            <w:tcBorders>
              <w:left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36.0</w:t>
            </w:r>
          </w:p>
        </w:tc>
        <w:tc>
          <w:tcPr>
            <w:tcW w:w="990" w:type="dxa"/>
            <w:tcBorders>
              <w:left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45.0</w:t>
            </w:r>
          </w:p>
        </w:tc>
        <w:tc>
          <w:tcPr>
            <w:tcW w:w="990" w:type="dxa"/>
            <w:tcBorders>
              <w:left w:val="single" w:sz="4" w:space="0" w:color="auto"/>
              <w:right w:val="single" w:sz="4"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54.0</w:t>
            </w:r>
          </w:p>
        </w:tc>
      </w:tr>
      <w:tr w:rsidR="005A21BD" w:rsidRPr="001224C3">
        <w:trPr>
          <w:jc w:val="center"/>
        </w:trPr>
        <w:tc>
          <w:tcPr>
            <w:tcW w:w="1985" w:type="dxa"/>
            <w:tcBorders>
              <w:left w:val="single" w:sz="4" w:space="0" w:color="auto"/>
              <w:right w:val="single" w:sz="4"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t>0.35</w:t>
            </w:r>
          </w:p>
        </w:tc>
        <w:tc>
          <w:tcPr>
            <w:tcW w:w="912" w:type="dxa"/>
            <w:tcBorders>
              <w:left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5.25</w:t>
            </w:r>
          </w:p>
        </w:tc>
        <w:tc>
          <w:tcPr>
            <w:tcW w:w="900" w:type="dxa"/>
            <w:tcBorders>
              <w:left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10.5</w:t>
            </w:r>
          </w:p>
        </w:tc>
        <w:tc>
          <w:tcPr>
            <w:tcW w:w="990" w:type="dxa"/>
            <w:tcBorders>
              <w:left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21.0</w:t>
            </w:r>
          </w:p>
        </w:tc>
        <w:tc>
          <w:tcPr>
            <w:tcW w:w="990" w:type="dxa"/>
            <w:tcBorders>
              <w:left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31.5</w:t>
            </w:r>
          </w:p>
        </w:tc>
        <w:tc>
          <w:tcPr>
            <w:tcW w:w="990" w:type="dxa"/>
            <w:tcBorders>
              <w:left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42.0</w:t>
            </w:r>
          </w:p>
        </w:tc>
        <w:tc>
          <w:tcPr>
            <w:tcW w:w="990" w:type="dxa"/>
            <w:tcBorders>
              <w:left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52.5</w:t>
            </w:r>
          </w:p>
        </w:tc>
        <w:tc>
          <w:tcPr>
            <w:tcW w:w="990" w:type="dxa"/>
            <w:tcBorders>
              <w:left w:val="single" w:sz="4" w:space="0" w:color="auto"/>
              <w:right w:val="single" w:sz="4"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63.0</w:t>
            </w:r>
          </w:p>
        </w:tc>
      </w:tr>
      <w:tr w:rsidR="005A21BD" w:rsidRPr="001224C3">
        <w:trPr>
          <w:jc w:val="center"/>
        </w:trPr>
        <w:tc>
          <w:tcPr>
            <w:tcW w:w="1985" w:type="dxa"/>
            <w:tcBorders>
              <w:left w:val="single" w:sz="4" w:space="0" w:color="auto"/>
              <w:bottom w:val="single" w:sz="4" w:space="0" w:color="auto"/>
              <w:right w:val="single" w:sz="4" w:space="0" w:color="auto"/>
            </w:tcBorders>
          </w:tcPr>
          <w:p w:rsidR="005A21BD" w:rsidRPr="001224C3" w:rsidRDefault="00D54072">
            <w:pPr>
              <w:pStyle w:val="Table"/>
              <w:tabs>
                <w:tab w:val="decimal" w:pos="851"/>
                <w:tab w:val="left" w:pos="2552"/>
              </w:tabs>
              <w:spacing w:before="60" w:after="60"/>
              <w:jc w:val="center"/>
              <w:rPr>
                <w:rFonts w:cs="Arial"/>
                <w:sz w:val="20"/>
              </w:rPr>
            </w:pPr>
            <w:r w:rsidRPr="00D54072">
              <w:rPr>
                <w:rFonts w:cs="Arial"/>
                <w:sz w:val="20"/>
              </w:rPr>
              <w:lastRenderedPageBreak/>
              <w:t>0.4</w:t>
            </w:r>
          </w:p>
        </w:tc>
        <w:tc>
          <w:tcPr>
            <w:tcW w:w="912" w:type="dxa"/>
            <w:tcBorders>
              <w:left w:val="single" w:sz="4" w:space="0" w:color="auto"/>
              <w:bottom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6.0</w:t>
            </w:r>
          </w:p>
        </w:tc>
        <w:tc>
          <w:tcPr>
            <w:tcW w:w="900" w:type="dxa"/>
            <w:tcBorders>
              <w:left w:val="single" w:sz="4" w:space="0" w:color="auto"/>
              <w:bottom w:val="single" w:sz="4" w:space="0" w:color="auto"/>
              <w:right w:val="single" w:sz="4" w:space="0" w:color="auto"/>
            </w:tcBorders>
          </w:tcPr>
          <w:p w:rsidR="005A21BD" w:rsidRPr="001224C3" w:rsidRDefault="00D54072">
            <w:pPr>
              <w:pStyle w:val="Table"/>
              <w:tabs>
                <w:tab w:val="decimal" w:pos="284"/>
                <w:tab w:val="left" w:pos="2552"/>
              </w:tabs>
              <w:spacing w:before="60" w:after="60"/>
              <w:jc w:val="center"/>
              <w:rPr>
                <w:rFonts w:cs="Arial"/>
                <w:sz w:val="20"/>
              </w:rPr>
            </w:pPr>
            <w:r w:rsidRPr="00D54072">
              <w:rPr>
                <w:rFonts w:cs="Arial"/>
                <w:sz w:val="20"/>
              </w:rPr>
              <w:t>12.0</w:t>
            </w:r>
          </w:p>
        </w:tc>
        <w:tc>
          <w:tcPr>
            <w:tcW w:w="990" w:type="dxa"/>
            <w:tcBorders>
              <w:left w:val="single" w:sz="4" w:space="0" w:color="auto"/>
              <w:bottom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24.0</w:t>
            </w:r>
          </w:p>
        </w:tc>
        <w:tc>
          <w:tcPr>
            <w:tcW w:w="990" w:type="dxa"/>
            <w:tcBorders>
              <w:left w:val="single" w:sz="4" w:space="0" w:color="auto"/>
              <w:bottom w:val="single" w:sz="4" w:space="0" w:color="auto"/>
              <w:right w:val="single" w:sz="4" w:space="0" w:color="auto"/>
            </w:tcBorders>
          </w:tcPr>
          <w:p w:rsidR="005A21BD" w:rsidRPr="001224C3" w:rsidRDefault="00D54072">
            <w:pPr>
              <w:pStyle w:val="Table"/>
              <w:tabs>
                <w:tab w:val="decimal" w:pos="285"/>
                <w:tab w:val="left" w:pos="2552"/>
              </w:tabs>
              <w:spacing w:before="60" w:after="60"/>
              <w:jc w:val="center"/>
              <w:rPr>
                <w:rFonts w:cs="Arial"/>
                <w:sz w:val="20"/>
              </w:rPr>
            </w:pPr>
            <w:r w:rsidRPr="00D54072">
              <w:rPr>
                <w:rFonts w:cs="Arial"/>
                <w:sz w:val="20"/>
              </w:rPr>
              <w:t>36.0</w:t>
            </w:r>
          </w:p>
        </w:tc>
        <w:tc>
          <w:tcPr>
            <w:tcW w:w="990" w:type="dxa"/>
            <w:tcBorders>
              <w:left w:val="single" w:sz="4" w:space="0" w:color="auto"/>
              <w:bottom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48.0</w:t>
            </w:r>
          </w:p>
        </w:tc>
        <w:tc>
          <w:tcPr>
            <w:tcW w:w="990" w:type="dxa"/>
            <w:tcBorders>
              <w:left w:val="single" w:sz="4" w:space="0" w:color="auto"/>
              <w:bottom w:val="single" w:sz="4" w:space="0" w:color="auto"/>
              <w:right w:val="single" w:sz="4" w:space="0" w:color="auto"/>
            </w:tcBorders>
          </w:tcPr>
          <w:p w:rsidR="005A21BD" w:rsidRPr="001224C3" w:rsidRDefault="00D54072">
            <w:pPr>
              <w:pStyle w:val="Table"/>
              <w:tabs>
                <w:tab w:val="decimal" w:pos="286"/>
                <w:tab w:val="left" w:pos="2552"/>
              </w:tabs>
              <w:spacing w:before="60" w:after="60"/>
              <w:jc w:val="center"/>
              <w:rPr>
                <w:rFonts w:cs="Arial"/>
                <w:sz w:val="20"/>
              </w:rPr>
            </w:pPr>
            <w:r w:rsidRPr="00D54072">
              <w:rPr>
                <w:rFonts w:cs="Arial"/>
                <w:sz w:val="20"/>
              </w:rPr>
              <w:t>60.0</w:t>
            </w:r>
          </w:p>
        </w:tc>
        <w:tc>
          <w:tcPr>
            <w:tcW w:w="990" w:type="dxa"/>
            <w:tcBorders>
              <w:left w:val="single" w:sz="4" w:space="0" w:color="auto"/>
              <w:bottom w:val="single" w:sz="4" w:space="0" w:color="auto"/>
              <w:right w:val="single" w:sz="4" w:space="0" w:color="auto"/>
            </w:tcBorders>
          </w:tcPr>
          <w:p w:rsidR="005A21BD" w:rsidRPr="001224C3" w:rsidRDefault="00D54072">
            <w:pPr>
              <w:pStyle w:val="Table"/>
              <w:tabs>
                <w:tab w:val="decimal" w:pos="287"/>
                <w:tab w:val="left" w:pos="2552"/>
              </w:tabs>
              <w:spacing w:before="60" w:after="60"/>
              <w:jc w:val="center"/>
              <w:rPr>
                <w:rFonts w:cs="Arial"/>
                <w:sz w:val="20"/>
              </w:rPr>
            </w:pPr>
            <w:r w:rsidRPr="00D54072">
              <w:rPr>
                <w:rFonts w:cs="Arial"/>
                <w:sz w:val="20"/>
              </w:rPr>
              <w:t>72.0</w:t>
            </w:r>
          </w:p>
        </w:tc>
      </w:tr>
    </w:tbl>
    <w:p w:rsidR="005A21BD" w:rsidRDefault="005A21BD">
      <w:pPr>
        <w:jc w:val="center"/>
        <w:rPr>
          <w:rFonts w:ascii="Arial" w:hAnsi="Arial"/>
          <w:b/>
        </w:rPr>
      </w:pPr>
    </w:p>
    <w:p w:rsidR="005A21BD" w:rsidRDefault="005A21BD">
      <w:pPr>
        <w:jc w:val="center"/>
        <w:rPr>
          <w:rFonts w:ascii="Arial" w:hAnsi="Arial"/>
          <w:b/>
        </w:rPr>
      </w:pPr>
    </w:p>
    <w:p w:rsidR="008E7394" w:rsidRDefault="008E7394">
      <w:pPr>
        <w:jc w:val="center"/>
        <w:rPr>
          <w:rFonts w:ascii="Arial" w:hAnsi="Arial"/>
          <w:b/>
        </w:rPr>
      </w:pPr>
    </w:p>
    <w:p w:rsidR="008E7394" w:rsidRDefault="008E7394">
      <w:pPr>
        <w:jc w:val="center"/>
        <w:rPr>
          <w:rFonts w:ascii="Arial" w:hAnsi="Arial"/>
          <w:b/>
        </w:rPr>
      </w:pPr>
    </w:p>
    <w:p w:rsidR="00DE389E" w:rsidRDefault="00DE389E">
      <w:pPr>
        <w:jc w:val="center"/>
        <w:rPr>
          <w:rFonts w:ascii="Arial" w:hAnsi="Arial"/>
          <w:b/>
        </w:rPr>
      </w:pPr>
    </w:p>
    <w:p w:rsidR="005A21BD" w:rsidRDefault="005A21BD">
      <w:pPr>
        <w:jc w:val="center"/>
        <w:rPr>
          <w:rFonts w:ascii="Arial" w:hAnsi="Arial"/>
          <w:b/>
        </w:rPr>
      </w:pPr>
      <w:r>
        <w:rPr>
          <w:rFonts w:ascii="Arial" w:hAnsi="Arial"/>
          <w:b/>
        </w:rPr>
        <w:t xml:space="preserve">Table  </w:t>
      </w:r>
      <w:r w:rsidR="000B0B31">
        <w:rPr>
          <w:rFonts w:ascii="Arial" w:hAnsi="Arial"/>
          <w:b/>
        </w:rPr>
        <w:t>12</w:t>
      </w:r>
      <w:r>
        <w:rPr>
          <w:rFonts w:ascii="Arial" w:hAnsi="Arial"/>
          <w:b/>
        </w:rPr>
        <w:tab/>
        <w:t>Ultiva for Injection Infusion Rates (mL/h) for a 25 µg/mL Solution</w:t>
      </w:r>
    </w:p>
    <w:p w:rsidR="005A21BD" w:rsidRDefault="005A21BD">
      <w:pPr>
        <w:jc w:val="center"/>
        <w:rPr>
          <w:rFonts w:ascii="Arial" w:hAnsi="Arial"/>
          <w:b/>
        </w:rPr>
      </w:pPr>
    </w:p>
    <w:tbl>
      <w:tblPr>
        <w:tblW w:w="0" w:type="auto"/>
        <w:jc w:val="center"/>
        <w:tblLayout w:type="fixed"/>
        <w:tblLook w:val="0000"/>
      </w:tblPr>
      <w:tblGrid>
        <w:gridCol w:w="1616"/>
        <w:gridCol w:w="757"/>
        <w:gridCol w:w="702"/>
        <w:gridCol w:w="702"/>
        <w:gridCol w:w="702"/>
        <w:gridCol w:w="703"/>
        <w:gridCol w:w="702"/>
        <w:gridCol w:w="702"/>
        <w:gridCol w:w="702"/>
        <w:gridCol w:w="702"/>
        <w:gridCol w:w="710"/>
        <w:gridCol w:w="7"/>
      </w:tblGrid>
      <w:tr w:rsidR="005A21BD" w:rsidRPr="001224C3">
        <w:trPr>
          <w:cantSplit/>
          <w:jc w:val="center"/>
        </w:trPr>
        <w:tc>
          <w:tcPr>
            <w:tcW w:w="1616" w:type="dxa"/>
            <w:vMerge w:val="restart"/>
            <w:tcBorders>
              <w:top w:val="single" w:sz="6" w:space="0" w:color="auto"/>
              <w:left w:val="single" w:sz="6" w:space="0" w:color="auto"/>
              <w:right w:val="single" w:sz="6" w:space="0" w:color="auto"/>
            </w:tcBorders>
            <w:vAlign w:val="center"/>
          </w:tcPr>
          <w:p w:rsidR="005A21BD" w:rsidRPr="001224C3" w:rsidRDefault="00D54072">
            <w:pPr>
              <w:spacing w:line="360" w:lineRule="atLeast"/>
              <w:jc w:val="center"/>
              <w:rPr>
                <w:rFonts w:ascii="Arial" w:hAnsi="Arial" w:cs="Arial"/>
                <w:sz w:val="20"/>
              </w:rPr>
            </w:pPr>
            <w:r w:rsidRPr="00D54072">
              <w:rPr>
                <w:rFonts w:ascii="Arial" w:hAnsi="Arial" w:cs="Arial"/>
                <w:sz w:val="20"/>
              </w:rPr>
              <w:t>Infusion Rate</w:t>
            </w:r>
          </w:p>
          <w:p w:rsidR="005A21BD" w:rsidRPr="001224C3" w:rsidRDefault="00D54072">
            <w:pPr>
              <w:spacing w:line="360" w:lineRule="atLeast"/>
              <w:jc w:val="center"/>
              <w:rPr>
                <w:rFonts w:ascii="Arial" w:hAnsi="Arial" w:cs="Arial"/>
                <w:sz w:val="20"/>
              </w:rPr>
            </w:pPr>
            <w:r w:rsidRPr="00D54072">
              <w:rPr>
                <w:rFonts w:ascii="Arial" w:hAnsi="Arial" w:cs="Arial"/>
                <w:sz w:val="20"/>
              </w:rPr>
              <w:t>(µg/kg/min)</w:t>
            </w:r>
          </w:p>
        </w:tc>
        <w:tc>
          <w:tcPr>
            <w:tcW w:w="7088" w:type="dxa"/>
            <w:gridSpan w:val="11"/>
            <w:tcBorders>
              <w:top w:val="single" w:sz="6" w:space="0" w:color="auto"/>
              <w:left w:val="single" w:sz="6" w:space="0" w:color="auto"/>
              <w:right w:val="single" w:sz="6" w:space="0" w:color="auto"/>
            </w:tcBorders>
            <w:vAlign w:val="center"/>
          </w:tcPr>
          <w:p w:rsidR="005A21BD" w:rsidRPr="001224C3" w:rsidRDefault="00D54072">
            <w:pPr>
              <w:spacing w:before="240" w:after="240"/>
              <w:jc w:val="center"/>
              <w:rPr>
                <w:rFonts w:ascii="Arial" w:hAnsi="Arial" w:cs="Arial"/>
                <w:sz w:val="20"/>
              </w:rPr>
            </w:pPr>
            <w:r w:rsidRPr="00D54072">
              <w:rPr>
                <w:rFonts w:ascii="Arial" w:hAnsi="Arial" w:cs="Arial"/>
                <w:sz w:val="20"/>
              </w:rPr>
              <w:t>Patient Weight (kg)</w:t>
            </w:r>
          </w:p>
        </w:tc>
      </w:tr>
      <w:tr w:rsidR="005A21BD" w:rsidRPr="001224C3">
        <w:trPr>
          <w:cantSplit/>
          <w:jc w:val="center"/>
        </w:trPr>
        <w:tc>
          <w:tcPr>
            <w:tcW w:w="1616" w:type="dxa"/>
            <w:vMerge/>
            <w:tcBorders>
              <w:left w:val="single" w:sz="6" w:space="0" w:color="auto"/>
              <w:bottom w:val="single" w:sz="6" w:space="0" w:color="auto"/>
              <w:right w:val="single" w:sz="6" w:space="0" w:color="auto"/>
            </w:tcBorders>
          </w:tcPr>
          <w:p w:rsidR="005A21BD" w:rsidRPr="001224C3" w:rsidRDefault="005A21BD">
            <w:pPr>
              <w:spacing w:line="360" w:lineRule="atLeast"/>
              <w:jc w:val="center"/>
              <w:rPr>
                <w:rFonts w:ascii="Arial" w:hAnsi="Arial" w:cs="Arial"/>
                <w:sz w:val="20"/>
              </w:rPr>
            </w:pPr>
          </w:p>
        </w:tc>
        <w:tc>
          <w:tcPr>
            <w:tcW w:w="754" w:type="dxa"/>
            <w:tcBorders>
              <w:top w:val="single" w:sz="4" w:space="0" w:color="auto"/>
              <w:left w:val="single" w:sz="6" w:space="0" w:color="auto"/>
              <w:bottom w:val="single" w:sz="6" w:space="0" w:color="auto"/>
              <w:right w:val="single" w:sz="6" w:space="0" w:color="auto"/>
            </w:tcBorders>
          </w:tcPr>
          <w:p w:rsidR="005A21BD" w:rsidRPr="008E7394" w:rsidRDefault="00D54072" w:rsidP="008E7394">
            <w:pPr>
              <w:spacing w:before="120" w:after="120"/>
              <w:ind w:left="37"/>
              <w:jc w:val="center"/>
              <w:rPr>
                <w:rFonts w:ascii="Arial" w:hAnsi="Arial" w:cs="Arial"/>
                <w:sz w:val="20"/>
              </w:rPr>
            </w:pPr>
            <w:r w:rsidRPr="008E7394">
              <w:rPr>
                <w:rFonts w:ascii="Arial" w:hAnsi="Arial" w:cs="Arial"/>
                <w:sz w:val="20"/>
              </w:rPr>
              <w:t>10</w:t>
            </w:r>
          </w:p>
        </w:tc>
        <w:tc>
          <w:tcPr>
            <w:tcW w:w="702" w:type="dxa"/>
            <w:tcBorders>
              <w:top w:val="single" w:sz="4" w:space="0" w:color="auto"/>
              <w:left w:val="single" w:sz="6" w:space="0" w:color="auto"/>
              <w:bottom w:val="single" w:sz="6" w:space="0" w:color="auto"/>
              <w:right w:val="single" w:sz="6" w:space="0" w:color="auto"/>
            </w:tcBorders>
          </w:tcPr>
          <w:p w:rsidR="005A21BD" w:rsidRPr="008E7394" w:rsidRDefault="00D54072" w:rsidP="008E7394">
            <w:pPr>
              <w:spacing w:before="120" w:after="120"/>
              <w:jc w:val="center"/>
              <w:rPr>
                <w:rFonts w:ascii="Arial" w:hAnsi="Arial" w:cs="Arial"/>
                <w:sz w:val="20"/>
              </w:rPr>
            </w:pPr>
            <w:r w:rsidRPr="008E7394">
              <w:rPr>
                <w:rFonts w:ascii="Arial" w:hAnsi="Arial" w:cs="Arial"/>
                <w:sz w:val="20"/>
              </w:rPr>
              <w:t>20</w:t>
            </w:r>
          </w:p>
        </w:tc>
        <w:tc>
          <w:tcPr>
            <w:tcW w:w="702" w:type="dxa"/>
            <w:tcBorders>
              <w:top w:val="single" w:sz="6" w:space="0" w:color="auto"/>
              <w:left w:val="single" w:sz="6" w:space="0" w:color="auto"/>
              <w:bottom w:val="single" w:sz="6" w:space="0" w:color="auto"/>
              <w:right w:val="single" w:sz="6" w:space="0" w:color="auto"/>
            </w:tcBorders>
          </w:tcPr>
          <w:p w:rsidR="005A21BD" w:rsidRPr="001224C3" w:rsidRDefault="00D54072" w:rsidP="008E7394">
            <w:pPr>
              <w:spacing w:before="120" w:after="120"/>
              <w:jc w:val="center"/>
              <w:rPr>
                <w:rFonts w:ascii="Arial" w:hAnsi="Arial" w:cs="Arial"/>
                <w:sz w:val="20"/>
              </w:rPr>
            </w:pPr>
            <w:r w:rsidRPr="00D54072">
              <w:rPr>
                <w:rFonts w:ascii="Arial" w:hAnsi="Arial" w:cs="Arial"/>
                <w:sz w:val="20"/>
              </w:rPr>
              <w:t>30</w:t>
            </w:r>
          </w:p>
        </w:tc>
        <w:tc>
          <w:tcPr>
            <w:tcW w:w="702" w:type="dxa"/>
            <w:tcBorders>
              <w:top w:val="single" w:sz="6" w:space="0" w:color="auto"/>
              <w:left w:val="single" w:sz="6" w:space="0" w:color="auto"/>
              <w:bottom w:val="single" w:sz="6" w:space="0" w:color="auto"/>
              <w:right w:val="single" w:sz="6" w:space="0" w:color="auto"/>
            </w:tcBorders>
          </w:tcPr>
          <w:p w:rsidR="005A21BD" w:rsidRPr="001224C3" w:rsidRDefault="00D54072" w:rsidP="008E7394">
            <w:pPr>
              <w:spacing w:before="120" w:after="120"/>
              <w:ind w:left="2"/>
              <w:jc w:val="center"/>
              <w:rPr>
                <w:rFonts w:ascii="Arial" w:hAnsi="Arial" w:cs="Arial"/>
                <w:sz w:val="20"/>
              </w:rPr>
            </w:pPr>
            <w:r w:rsidRPr="00D54072">
              <w:rPr>
                <w:rFonts w:ascii="Arial" w:hAnsi="Arial" w:cs="Arial"/>
                <w:sz w:val="20"/>
              </w:rPr>
              <w:t>40</w:t>
            </w:r>
          </w:p>
        </w:tc>
        <w:tc>
          <w:tcPr>
            <w:tcW w:w="703" w:type="dxa"/>
            <w:tcBorders>
              <w:top w:val="single" w:sz="6" w:space="0" w:color="auto"/>
              <w:left w:val="single" w:sz="6" w:space="0" w:color="auto"/>
              <w:bottom w:val="single" w:sz="6" w:space="0" w:color="auto"/>
              <w:right w:val="single" w:sz="6" w:space="0" w:color="auto"/>
            </w:tcBorders>
          </w:tcPr>
          <w:p w:rsidR="005A21BD" w:rsidRPr="001224C3" w:rsidRDefault="00D54072" w:rsidP="008E7394">
            <w:pPr>
              <w:spacing w:before="120" w:after="120"/>
              <w:jc w:val="center"/>
              <w:rPr>
                <w:rFonts w:ascii="Arial" w:hAnsi="Arial" w:cs="Arial"/>
                <w:sz w:val="20"/>
              </w:rPr>
            </w:pPr>
            <w:r w:rsidRPr="00D54072">
              <w:rPr>
                <w:rFonts w:ascii="Arial" w:hAnsi="Arial" w:cs="Arial"/>
                <w:sz w:val="20"/>
              </w:rPr>
              <w:t>50</w:t>
            </w:r>
          </w:p>
        </w:tc>
        <w:tc>
          <w:tcPr>
            <w:tcW w:w="702" w:type="dxa"/>
            <w:tcBorders>
              <w:top w:val="single" w:sz="6" w:space="0" w:color="auto"/>
              <w:left w:val="single" w:sz="6" w:space="0" w:color="auto"/>
              <w:bottom w:val="single" w:sz="6" w:space="0" w:color="auto"/>
              <w:right w:val="single" w:sz="6" w:space="0" w:color="auto"/>
            </w:tcBorders>
          </w:tcPr>
          <w:p w:rsidR="005A21BD" w:rsidRPr="001224C3" w:rsidRDefault="00D54072" w:rsidP="008E7394">
            <w:pPr>
              <w:spacing w:before="120" w:after="120"/>
              <w:ind w:left="15"/>
              <w:jc w:val="center"/>
              <w:rPr>
                <w:rFonts w:ascii="Arial" w:hAnsi="Arial" w:cs="Arial"/>
                <w:sz w:val="20"/>
              </w:rPr>
            </w:pPr>
            <w:r w:rsidRPr="00D54072">
              <w:rPr>
                <w:rFonts w:ascii="Arial" w:hAnsi="Arial" w:cs="Arial"/>
                <w:sz w:val="20"/>
              </w:rPr>
              <w:t>60</w:t>
            </w:r>
          </w:p>
        </w:tc>
        <w:tc>
          <w:tcPr>
            <w:tcW w:w="702" w:type="dxa"/>
            <w:tcBorders>
              <w:top w:val="single" w:sz="6" w:space="0" w:color="auto"/>
              <w:left w:val="single" w:sz="6" w:space="0" w:color="auto"/>
              <w:bottom w:val="single" w:sz="6" w:space="0" w:color="auto"/>
              <w:right w:val="single" w:sz="6" w:space="0" w:color="auto"/>
            </w:tcBorders>
          </w:tcPr>
          <w:p w:rsidR="005A21BD" w:rsidRPr="001224C3" w:rsidRDefault="00D54072" w:rsidP="008E7394">
            <w:pPr>
              <w:spacing w:before="120" w:after="120"/>
              <w:ind w:left="21"/>
              <w:jc w:val="center"/>
              <w:rPr>
                <w:rFonts w:ascii="Arial" w:hAnsi="Arial" w:cs="Arial"/>
                <w:sz w:val="20"/>
              </w:rPr>
            </w:pPr>
            <w:r w:rsidRPr="00D54072">
              <w:rPr>
                <w:rFonts w:ascii="Arial" w:hAnsi="Arial" w:cs="Arial"/>
                <w:sz w:val="20"/>
              </w:rPr>
              <w:t>70</w:t>
            </w:r>
          </w:p>
        </w:tc>
        <w:tc>
          <w:tcPr>
            <w:tcW w:w="702" w:type="dxa"/>
            <w:tcBorders>
              <w:top w:val="single" w:sz="6" w:space="0" w:color="auto"/>
              <w:left w:val="single" w:sz="6" w:space="0" w:color="auto"/>
              <w:bottom w:val="single" w:sz="6" w:space="0" w:color="auto"/>
              <w:right w:val="single" w:sz="6" w:space="0" w:color="auto"/>
            </w:tcBorders>
          </w:tcPr>
          <w:p w:rsidR="005A21BD" w:rsidRPr="001224C3" w:rsidRDefault="00D54072" w:rsidP="008E7394">
            <w:pPr>
              <w:spacing w:before="120" w:after="120"/>
              <w:jc w:val="center"/>
              <w:rPr>
                <w:rFonts w:ascii="Arial" w:hAnsi="Arial" w:cs="Arial"/>
                <w:sz w:val="20"/>
              </w:rPr>
            </w:pPr>
            <w:r w:rsidRPr="00D54072">
              <w:rPr>
                <w:rFonts w:ascii="Arial" w:hAnsi="Arial" w:cs="Arial"/>
                <w:sz w:val="20"/>
              </w:rPr>
              <w:t>80</w:t>
            </w:r>
          </w:p>
        </w:tc>
        <w:tc>
          <w:tcPr>
            <w:tcW w:w="702" w:type="dxa"/>
            <w:tcBorders>
              <w:top w:val="single" w:sz="6" w:space="0" w:color="auto"/>
              <w:left w:val="single" w:sz="6" w:space="0" w:color="auto"/>
              <w:bottom w:val="single" w:sz="6" w:space="0" w:color="auto"/>
              <w:right w:val="single" w:sz="6" w:space="0" w:color="auto"/>
            </w:tcBorders>
          </w:tcPr>
          <w:p w:rsidR="005A21BD" w:rsidRPr="001224C3" w:rsidRDefault="00D54072" w:rsidP="008E7394">
            <w:pPr>
              <w:spacing w:before="120" w:after="120"/>
              <w:ind w:left="35"/>
              <w:jc w:val="center"/>
              <w:rPr>
                <w:rFonts w:ascii="Arial" w:hAnsi="Arial" w:cs="Arial"/>
                <w:sz w:val="20"/>
              </w:rPr>
            </w:pPr>
            <w:r w:rsidRPr="00D54072">
              <w:rPr>
                <w:rFonts w:ascii="Arial" w:hAnsi="Arial" w:cs="Arial"/>
                <w:sz w:val="20"/>
              </w:rPr>
              <w:t>90</w:t>
            </w:r>
          </w:p>
        </w:tc>
        <w:tc>
          <w:tcPr>
            <w:tcW w:w="717" w:type="dxa"/>
            <w:gridSpan w:val="2"/>
            <w:tcBorders>
              <w:top w:val="single" w:sz="6" w:space="0" w:color="auto"/>
              <w:left w:val="single" w:sz="6" w:space="0" w:color="auto"/>
              <w:bottom w:val="single" w:sz="6" w:space="0" w:color="auto"/>
              <w:right w:val="single" w:sz="6" w:space="0" w:color="auto"/>
            </w:tcBorders>
          </w:tcPr>
          <w:p w:rsidR="005A21BD" w:rsidRPr="001224C3" w:rsidRDefault="00D54072" w:rsidP="008E7394">
            <w:pPr>
              <w:pStyle w:val="Footer"/>
              <w:tabs>
                <w:tab w:val="clear" w:pos="4320"/>
                <w:tab w:val="clear" w:pos="8640"/>
              </w:tabs>
              <w:spacing w:before="120" w:after="120"/>
              <w:ind w:left="42"/>
              <w:jc w:val="center"/>
              <w:rPr>
                <w:rFonts w:ascii="Arial" w:hAnsi="Arial" w:cs="Arial"/>
                <w:sz w:val="20"/>
              </w:rPr>
            </w:pPr>
            <w:r w:rsidRPr="00D54072">
              <w:rPr>
                <w:rFonts w:ascii="Arial" w:hAnsi="Arial" w:cs="Arial"/>
                <w:sz w:val="20"/>
              </w:rPr>
              <w:t>100</w:t>
            </w:r>
          </w:p>
        </w:tc>
      </w:tr>
      <w:tr w:rsidR="005A21BD" w:rsidRPr="001224C3">
        <w:trPr>
          <w:gridAfter w:val="1"/>
          <w:wAfter w:w="7" w:type="dxa"/>
          <w:cantSplit/>
          <w:jc w:val="center"/>
        </w:trPr>
        <w:tc>
          <w:tcPr>
            <w:tcW w:w="1613" w:type="dxa"/>
            <w:tcBorders>
              <w:left w:val="single" w:sz="6" w:space="0" w:color="auto"/>
              <w:right w:val="single" w:sz="6" w:space="0" w:color="auto"/>
            </w:tcBorders>
          </w:tcPr>
          <w:p w:rsidR="005A21BD" w:rsidRPr="001224C3" w:rsidRDefault="00D54072" w:rsidP="008E7394">
            <w:pPr>
              <w:spacing w:before="60" w:after="60" w:line="360" w:lineRule="atLeast"/>
              <w:ind w:left="66"/>
              <w:jc w:val="center"/>
              <w:rPr>
                <w:rFonts w:ascii="Arial" w:hAnsi="Arial" w:cs="Arial"/>
                <w:sz w:val="20"/>
              </w:rPr>
            </w:pPr>
            <w:r w:rsidRPr="00D54072">
              <w:rPr>
                <w:rFonts w:ascii="Arial" w:hAnsi="Arial" w:cs="Arial"/>
                <w:sz w:val="20"/>
              </w:rPr>
              <w:t>0.0125</w:t>
            </w:r>
          </w:p>
        </w:tc>
        <w:tc>
          <w:tcPr>
            <w:tcW w:w="757" w:type="dxa"/>
            <w:tcBorders>
              <w:left w:val="single" w:sz="6" w:space="0" w:color="auto"/>
              <w:right w:val="single" w:sz="6" w:space="0" w:color="auto"/>
            </w:tcBorders>
          </w:tcPr>
          <w:p w:rsidR="005A21BD" w:rsidRPr="001224C3" w:rsidRDefault="00D54072" w:rsidP="008E7394">
            <w:pPr>
              <w:spacing w:before="60" w:after="60" w:line="360" w:lineRule="atLeast"/>
              <w:ind w:left="37"/>
              <w:jc w:val="center"/>
              <w:rPr>
                <w:rFonts w:ascii="Arial" w:hAnsi="Arial" w:cs="Arial"/>
                <w:sz w:val="20"/>
              </w:rPr>
            </w:pPr>
            <w:r w:rsidRPr="00D54072">
              <w:rPr>
                <w:rFonts w:ascii="Arial" w:hAnsi="Arial" w:cs="Arial"/>
                <w:sz w:val="20"/>
              </w:rPr>
              <w:t>0.3</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0.6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0.9</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
              <w:jc w:val="center"/>
              <w:rPr>
                <w:rFonts w:ascii="Arial" w:hAnsi="Arial" w:cs="Arial"/>
                <w:sz w:val="20"/>
              </w:rPr>
            </w:pPr>
            <w:r w:rsidRPr="00D54072">
              <w:rPr>
                <w:rFonts w:ascii="Arial" w:hAnsi="Arial" w:cs="Arial"/>
                <w:sz w:val="20"/>
              </w:rPr>
              <w:t>1.2</w:t>
            </w:r>
          </w:p>
        </w:tc>
        <w:tc>
          <w:tcPr>
            <w:tcW w:w="703"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1.5</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15"/>
              <w:jc w:val="center"/>
              <w:rPr>
                <w:rFonts w:ascii="Arial" w:hAnsi="Arial" w:cs="Arial"/>
                <w:sz w:val="20"/>
              </w:rPr>
            </w:pPr>
            <w:r w:rsidRPr="00D54072">
              <w:rPr>
                <w:rFonts w:ascii="Arial" w:hAnsi="Arial" w:cs="Arial"/>
                <w:sz w:val="20"/>
              </w:rPr>
              <w:t>1.8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1"/>
              <w:jc w:val="center"/>
              <w:rPr>
                <w:rFonts w:ascii="Arial" w:hAnsi="Arial" w:cs="Arial"/>
                <w:sz w:val="20"/>
              </w:rPr>
            </w:pPr>
            <w:r w:rsidRPr="00D54072">
              <w:rPr>
                <w:rFonts w:ascii="Arial" w:hAnsi="Arial" w:cs="Arial"/>
                <w:sz w:val="20"/>
              </w:rPr>
              <w:t>2.1</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2.4</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35"/>
              <w:jc w:val="center"/>
              <w:rPr>
                <w:rFonts w:ascii="Arial" w:hAnsi="Arial" w:cs="Arial"/>
                <w:sz w:val="20"/>
              </w:rPr>
            </w:pPr>
            <w:r w:rsidRPr="00D54072">
              <w:rPr>
                <w:rFonts w:ascii="Arial" w:hAnsi="Arial" w:cs="Arial"/>
                <w:sz w:val="20"/>
              </w:rPr>
              <w:t>2.7</w:t>
            </w:r>
          </w:p>
        </w:tc>
        <w:tc>
          <w:tcPr>
            <w:tcW w:w="710" w:type="dxa"/>
            <w:tcBorders>
              <w:left w:val="single" w:sz="6" w:space="0" w:color="auto"/>
              <w:right w:val="single" w:sz="6" w:space="0" w:color="auto"/>
            </w:tcBorders>
          </w:tcPr>
          <w:p w:rsidR="005A21BD" w:rsidRPr="001224C3" w:rsidRDefault="00D54072" w:rsidP="008E7394">
            <w:pPr>
              <w:spacing w:before="60" w:after="60" w:line="360" w:lineRule="atLeast"/>
              <w:ind w:left="42"/>
              <w:jc w:val="center"/>
              <w:rPr>
                <w:rFonts w:ascii="Arial" w:hAnsi="Arial" w:cs="Arial"/>
                <w:sz w:val="20"/>
              </w:rPr>
            </w:pPr>
            <w:r w:rsidRPr="00D54072">
              <w:rPr>
                <w:rFonts w:ascii="Arial" w:hAnsi="Arial" w:cs="Arial"/>
                <w:sz w:val="20"/>
              </w:rPr>
              <w:t>3.0</w:t>
            </w:r>
          </w:p>
        </w:tc>
      </w:tr>
      <w:tr w:rsidR="005A21BD" w:rsidRPr="001224C3">
        <w:trPr>
          <w:gridAfter w:val="1"/>
          <w:wAfter w:w="7" w:type="dxa"/>
          <w:cantSplit/>
          <w:jc w:val="center"/>
        </w:trPr>
        <w:tc>
          <w:tcPr>
            <w:tcW w:w="1613" w:type="dxa"/>
            <w:tcBorders>
              <w:left w:val="single" w:sz="6" w:space="0" w:color="auto"/>
              <w:right w:val="single" w:sz="6" w:space="0" w:color="auto"/>
            </w:tcBorders>
          </w:tcPr>
          <w:p w:rsidR="005A21BD" w:rsidRPr="001224C3" w:rsidRDefault="00D54072" w:rsidP="008E7394">
            <w:pPr>
              <w:spacing w:before="60" w:after="60" w:line="360" w:lineRule="atLeast"/>
              <w:ind w:left="66"/>
              <w:jc w:val="center"/>
              <w:rPr>
                <w:rFonts w:ascii="Arial" w:hAnsi="Arial" w:cs="Arial"/>
                <w:sz w:val="20"/>
              </w:rPr>
            </w:pPr>
            <w:r w:rsidRPr="00D54072">
              <w:rPr>
                <w:rFonts w:ascii="Arial" w:hAnsi="Arial" w:cs="Arial"/>
                <w:sz w:val="20"/>
              </w:rPr>
              <w:t>0.025</w:t>
            </w:r>
          </w:p>
        </w:tc>
        <w:tc>
          <w:tcPr>
            <w:tcW w:w="757" w:type="dxa"/>
            <w:tcBorders>
              <w:left w:val="single" w:sz="6" w:space="0" w:color="auto"/>
              <w:right w:val="single" w:sz="6" w:space="0" w:color="auto"/>
            </w:tcBorders>
          </w:tcPr>
          <w:p w:rsidR="005A21BD" w:rsidRPr="001224C3" w:rsidRDefault="00D54072" w:rsidP="008E7394">
            <w:pPr>
              <w:spacing w:before="60" w:after="60" w:line="360" w:lineRule="atLeast"/>
              <w:ind w:left="37"/>
              <w:jc w:val="center"/>
              <w:rPr>
                <w:rFonts w:ascii="Arial" w:hAnsi="Arial" w:cs="Arial"/>
                <w:sz w:val="20"/>
              </w:rPr>
            </w:pPr>
            <w:r w:rsidRPr="00D54072">
              <w:rPr>
                <w:rFonts w:ascii="Arial" w:hAnsi="Arial" w:cs="Arial"/>
                <w:sz w:val="20"/>
              </w:rPr>
              <w:t>0.6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
              <w:jc w:val="center"/>
              <w:rPr>
                <w:rFonts w:ascii="Arial" w:hAnsi="Arial" w:cs="Arial"/>
                <w:sz w:val="20"/>
              </w:rPr>
            </w:pPr>
            <w:r w:rsidRPr="00D54072">
              <w:rPr>
                <w:rFonts w:ascii="Arial" w:hAnsi="Arial" w:cs="Arial"/>
                <w:sz w:val="20"/>
              </w:rPr>
              <w:t>2.4</w:t>
            </w:r>
          </w:p>
        </w:tc>
        <w:tc>
          <w:tcPr>
            <w:tcW w:w="703"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3.0</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15"/>
              <w:jc w:val="center"/>
              <w:rPr>
                <w:rFonts w:ascii="Arial" w:hAnsi="Arial" w:cs="Arial"/>
                <w:sz w:val="20"/>
              </w:rPr>
            </w:pPr>
            <w:r w:rsidRPr="00D54072">
              <w:rPr>
                <w:rFonts w:ascii="Arial" w:hAnsi="Arial" w:cs="Arial"/>
                <w:sz w:val="20"/>
              </w:rPr>
              <w:t>3.6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1"/>
              <w:jc w:val="center"/>
              <w:rPr>
                <w:rFonts w:ascii="Arial" w:hAnsi="Arial" w:cs="Arial"/>
                <w:sz w:val="20"/>
              </w:rPr>
            </w:pPr>
            <w:r w:rsidRPr="00D54072">
              <w:rPr>
                <w:rFonts w:ascii="Arial" w:hAnsi="Arial" w:cs="Arial"/>
                <w:sz w:val="20"/>
              </w:rPr>
              <w:t>4.2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4.8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35"/>
              <w:jc w:val="center"/>
              <w:rPr>
                <w:rFonts w:ascii="Arial" w:hAnsi="Arial" w:cs="Arial"/>
                <w:sz w:val="20"/>
              </w:rPr>
            </w:pPr>
            <w:r w:rsidRPr="00D54072">
              <w:rPr>
                <w:rFonts w:ascii="Arial" w:hAnsi="Arial" w:cs="Arial"/>
                <w:sz w:val="20"/>
              </w:rPr>
              <w:t>5.4</w:t>
            </w:r>
          </w:p>
        </w:tc>
        <w:tc>
          <w:tcPr>
            <w:tcW w:w="710" w:type="dxa"/>
            <w:tcBorders>
              <w:left w:val="single" w:sz="6" w:space="0" w:color="auto"/>
              <w:right w:val="single" w:sz="6" w:space="0" w:color="auto"/>
            </w:tcBorders>
          </w:tcPr>
          <w:p w:rsidR="005A21BD" w:rsidRPr="001224C3" w:rsidRDefault="00D54072" w:rsidP="008E7394">
            <w:pPr>
              <w:spacing w:before="60" w:after="60" w:line="360" w:lineRule="atLeast"/>
              <w:ind w:left="42"/>
              <w:jc w:val="center"/>
              <w:rPr>
                <w:rFonts w:ascii="Arial" w:hAnsi="Arial" w:cs="Arial"/>
                <w:sz w:val="20"/>
              </w:rPr>
            </w:pPr>
            <w:r w:rsidRPr="00D54072">
              <w:rPr>
                <w:rFonts w:ascii="Arial" w:hAnsi="Arial" w:cs="Arial"/>
                <w:sz w:val="20"/>
              </w:rPr>
              <w:t>6.0</w:t>
            </w:r>
          </w:p>
        </w:tc>
      </w:tr>
      <w:tr w:rsidR="005A21BD" w:rsidRPr="001224C3">
        <w:trPr>
          <w:gridAfter w:val="1"/>
          <w:wAfter w:w="7" w:type="dxa"/>
          <w:cantSplit/>
          <w:jc w:val="center"/>
        </w:trPr>
        <w:tc>
          <w:tcPr>
            <w:tcW w:w="1613" w:type="dxa"/>
            <w:tcBorders>
              <w:left w:val="single" w:sz="6" w:space="0" w:color="auto"/>
              <w:right w:val="single" w:sz="6" w:space="0" w:color="auto"/>
            </w:tcBorders>
          </w:tcPr>
          <w:p w:rsidR="005A21BD" w:rsidRPr="001224C3" w:rsidRDefault="00D54072" w:rsidP="008E7394">
            <w:pPr>
              <w:spacing w:before="60" w:after="60" w:line="360" w:lineRule="atLeast"/>
              <w:ind w:left="66"/>
              <w:jc w:val="center"/>
              <w:rPr>
                <w:rFonts w:ascii="Arial" w:hAnsi="Arial" w:cs="Arial"/>
                <w:sz w:val="20"/>
              </w:rPr>
            </w:pPr>
            <w:r w:rsidRPr="00D54072">
              <w:rPr>
                <w:rFonts w:ascii="Arial" w:hAnsi="Arial" w:cs="Arial"/>
                <w:sz w:val="20"/>
              </w:rPr>
              <w:t>0.05</w:t>
            </w:r>
          </w:p>
        </w:tc>
        <w:tc>
          <w:tcPr>
            <w:tcW w:w="757" w:type="dxa"/>
            <w:tcBorders>
              <w:left w:val="single" w:sz="6" w:space="0" w:color="auto"/>
              <w:right w:val="single" w:sz="6" w:space="0" w:color="auto"/>
            </w:tcBorders>
          </w:tcPr>
          <w:p w:rsidR="005A21BD" w:rsidRPr="001224C3" w:rsidRDefault="00D54072" w:rsidP="008E7394">
            <w:pPr>
              <w:spacing w:before="60" w:after="60" w:line="360" w:lineRule="atLeast"/>
              <w:ind w:left="37"/>
              <w:jc w:val="center"/>
              <w:rPr>
                <w:rFonts w:ascii="Arial" w:hAnsi="Arial" w:cs="Arial"/>
                <w:sz w:val="20"/>
              </w:rPr>
            </w:pPr>
            <w:r w:rsidRPr="00D54072">
              <w:rPr>
                <w:rFonts w:ascii="Arial" w:hAnsi="Arial" w:cs="Arial"/>
                <w:sz w:val="20"/>
              </w:rPr>
              <w:t>1.2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2.4</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3.6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
              <w:jc w:val="center"/>
              <w:rPr>
                <w:rFonts w:ascii="Arial" w:hAnsi="Arial" w:cs="Arial"/>
                <w:sz w:val="20"/>
              </w:rPr>
            </w:pPr>
            <w:r w:rsidRPr="00D54072">
              <w:rPr>
                <w:rFonts w:ascii="Arial" w:hAnsi="Arial" w:cs="Arial"/>
                <w:sz w:val="20"/>
              </w:rPr>
              <w:t>4.8</w:t>
            </w:r>
          </w:p>
        </w:tc>
        <w:tc>
          <w:tcPr>
            <w:tcW w:w="703"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6.0</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15"/>
              <w:jc w:val="center"/>
              <w:rPr>
                <w:rFonts w:ascii="Arial" w:hAnsi="Arial" w:cs="Arial"/>
                <w:sz w:val="20"/>
              </w:rPr>
            </w:pPr>
            <w:r w:rsidRPr="00D54072">
              <w:rPr>
                <w:rFonts w:ascii="Arial" w:hAnsi="Arial" w:cs="Arial"/>
                <w:sz w:val="20"/>
              </w:rPr>
              <w:t>7.2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1"/>
              <w:jc w:val="center"/>
              <w:rPr>
                <w:rFonts w:ascii="Arial" w:hAnsi="Arial" w:cs="Arial"/>
                <w:sz w:val="20"/>
              </w:rPr>
            </w:pPr>
            <w:r w:rsidRPr="00D54072">
              <w:rPr>
                <w:rFonts w:ascii="Arial" w:hAnsi="Arial" w:cs="Arial"/>
                <w:sz w:val="20"/>
              </w:rPr>
              <w:t>8.4</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9.6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35"/>
              <w:jc w:val="center"/>
              <w:rPr>
                <w:rFonts w:ascii="Arial" w:hAnsi="Arial" w:cs="Arial"/>
                <w:sz w:val="20"/>
              </w:rPr>
            </w:pPr>
            <w:r w:rsidRPr="00D54072">
              <w:rPr>
                <w:rFonts w:ascii="Arial" w:hAnsi="Arial" w:cs="Arial"/>
                <w:sz w:val="20"/>
              </w:rPr>
              <w:t>10.8</w:t>
            </w:r>
          </w:p>
        </w:tc>
        <w:tc>
          <w:tcPr>
            <w:tcW w:w="710" w:type="dxa"/>
            <w:tcBorders>
              <w:left w:val="single" w:sz="6" w:space="0" w:color="auto"/>
              <w:right w:val="single" w:sz="6" w:space="0" w:color="auto"/>
            </w:tcBorders>
          </w:tcPr>
          <w:p w:rsidR="005A21BD" w:rsidRPr="001224C3" w:rsidRDefault="00D54072" w:rsidP="008E7394">
            <w:pPr>
              <w:spacing w:before="60" w:after="60" w:line="360" w:lineRule="atLeast"/>
              <w:ind w:left="42"/>
              <w:jc w:val="center"/>
              <w:rPr>
                <w:rFonts w:ascii="Arial" w:hAnsi="Arial" w:cs="Arial"/>
                <w:sz w:val="20"/>
              </w:rPr>
            </w:pPr>
            <w:r w:rsidRPr="00D54072">
              <w:rPr>
                <w:rFonts w:ascii="Arial" w:hAnsi="Arial" w:cs="Arial"/>
                <w:sz w:val="20"/>
              </w:rPr>
              <w:t>12.0</w:t>
            </w:r>
          </w:p>
        </w:tc>
      </w:tr>
      <w:tr w:rsidR="005A21BD" w:rsidRPr="001224C3">
        <w:trPr>
          <w:gridAfter w:val="1"/>
          <w:wAfter w:w="7" w:type="dxa"/>
          <w:cantSplit/>
          <w:jc w:val="center"/>
        </w:trPr>
        <w:tc>
          <w:tcPr>
            <w:tcW w:w="1613" w:type="dxa"/>
            <w:tcBorders>
              <w:left w:val="single" w:sz="6" w:space="0" w:color="auto"/>
              <w:right w:val="single" w:sz="6" w:space="0" w:color="auto"/>
            </w:tcBorders>
          </w:tcPr>
          <w:p w:rsidR="005A21BD" w:rsidRPr="001224C3" w:rsidRDefault="00D54072" w:rsidP="008E7394">
            <w:pPr>
              <w:spacing w:before="60" w:after="60" w:line="360" w:lineRule="atLeast"/>
              <w:ind w:left="66"/>
              <w:jc w:val="center"/>
              <w:rPr>
                <w:rFonts w:ascii="Arial" w:hAnsi="Arial" w:cs="Arial"/>
                <w:sz w:val="20"/>
              </w:rPr>
            </w:pPr>
            <w:r w:rsidRPr="00D54072">
              <w:rPr>
                <w:rFonts w:ascii="Arial" w:hAnsi="Arial" w:cs="Arial"/>
                <w:sz w:val="20"/>
              </w:rPr>
              <w:t>0.075</w:t>
            </w:r>
          </w:p>
        </w:tc>
        <w:tc>
          <w:tcPr>
            <w:tcW w:w="757" w:type="dxa"/>
            <w:tcBorders>
              <w:left w:val="single" w:sz="6" w:space="0" w:color="auto"/>
              <w:right w:val="single" w:sz="6" w:space="0" w:color="auto"/>
            </w:tcBorders>
          </w:tcPr>
          <w:p w:rsidR="005A21BD" w:rsidRPr="001224C3" w:rsidRDefault="00D54072" w:rsidP="008E7394">
            <w:pPr>
              <w:spacing w:before="60" w:after="60" w:line="360" w:lineRule="atLeast"/>
              <w:ind w:left="37"/>
              <w:jc w:val="center"/>
              <w:rPr>
                <w:rFonts w:ascii="Arial" w:hAnsi="Arial" w:cs="Arial"/>
                <w:sz w:val="20"/>
              </w:rPr>
            </w:pPr>
            <w:r w:rsidRPr="00D54072">
              <w:rPr>
                <w:rFonts w:ascii="Arial" w:hAnsi="Arial" w:cs="Arial"/>
                <w:sz w:val="20"/>
              </w:rPr>
              <w:t>1.8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3.6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5.4</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
              <w:jc w:val="center"/>
              <w:rPr>
                <w:rFonts w:ascii="Arial" w:hAnsi="Arial" w:cs="Arial"/>
                <w:sz w:val="20"/>
              </w:rPr>
            </w:pPr>
            <w:r w:rsidRPr="00D54072">
              <w:rPr>
                <w:rFonts w:ascii="Arial" w:hAnsi="Arial" w:cs="Arial"/>
                <w:sz w:val="20"/>
              </w:rPr>
              <w:t>7.2</w:t>
            </w:r>
          </w:p>
        </w:tc>
        <w:tc>
          <w:tcPr>
            <w:tcW w:w="703"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9.0</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15"/>
              <w:jc w:val="center"/>
              <w:rPr>
                <w:rFonts w:ascii="Arial" w:hAnsi="Arial" w:cs="Arial"/>
                <w:sz w:val="20"/>
              </w:rPr>
            </w:pPr>
            <w:r w:rsidRPr="00D54072">
              <w:rPr>
                <w:rFonts w:ascii="Arial" w:hAnsi="Arial" w:cs="Arial"/>
                <w:sz w:val="20"/>
              </w:rPr>
              <w:t>10.8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1"/>
              <w:jc w:val="center"/>
              <w:rPr>
                <w:rFonts w:ascii="Arial" w:hAnsi="Arial" w:cs="Arial"/>
                <w:sz w:val="20"/>
              </w:rPr>
            </w:pPr>
            <w:r w:rsidRPr="00D54072">
              <w:rPr>
                <w:rFonts w:ascii="Arial" w:hAnsi="Arial" w:cs="Arial"/>
                <w:sz w:val="20"/>
              </w:rPr>
              <w:t>12.6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14.4</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35"/>
              <w:jc w:val="center"/>
              <w:rPr>
                <w:rFonts w:ascii="Arial" w:hAnsi="Arial" w:cs="Arial"/>
                <w:sz w:val="20"/>
              </w:rPr>
            </w:pPr>
            <w:r w:rsidRPr="00D54072">
              <w:rPr>
                <w:rFonts w:ascii="Arial" w:hAnsi="Arial" w:cs="Arial"/>
                <w:sz w:val="20"/>
              </w:rPr>
              <w:t>16.2</w:t>
            </w:r>
          </w:p>
        </w:tc>
        <w:tc>
          <w:tcPr>
            <w:tcW w:w="710" w:type="dxa"/>
            <w:tcBorders>
              <w:left w:val="single" w:sz="6" w:space="0" w:color="auto"/>
              <w:right w:val="single" w:sz="6" w:space="0" w:color="auto"/>
            </w:tcBorders>
          </w:tcPr>
          <w:p w:rsidR="005A21BD" w:rsidRPr="001224C3" w:rsidRDefault="00D54072" w:rsidP="008E7394">
            <w:pPr>
              <w:spacing w:before="60" w:after="60" w:line="360" w:lineRule="atLeast"/>
              <w:ind w:left="42"/>
              <w:jc w:val="center"/>
              <w:rPr>
                <w:rFonts w:ascii="Arial" w:hAnsi="Arial" w:cs="Arial"/>
                <w:sz w:val="20"/>
              </w:rPr>
            </w:pPr>
            <w:r w:rsidRPr="00D54072">
              <w:rPr>
                <w:rFonts w:ascii="Arial" w:hAnsi="Arial" w:cs="Arial"/>
                <w:sz w:val="20"/>
              </w:rPr>
              <w:t>18.0</w:t>
            </w:r>
          </w:p>
        </w:tc>
      </w:tr>
      <w:tr w:rsidR="005A21BD" w:rsidRPr="001224C3">
        <w:trPr>
          <w:gridAfter w:val="1"/>
          <w:wAfter w:w="7" w:type="dxa"/>
          <w:cantSplit/>
          <w:jc w:val="center"/>
        </w:trPr>
        <w:tc>
          <w:tcPr>
            <w:tcW w:w="1613" w:type="dxa"/>
            <w:tcBorders>
              <w:left w:val="single" w:sz="6" w:space="0" w:color="auto"/>
              <w:right w:val="single" w:sz="6" w:space="0" w:color="auto"/>
            </w:tcBorders>
          </w:tcPr>
          <w:p w:rsidR="005A21BD" w:rsidRPr="001224C3" w:rsidRDefault="00D54072" w:rsidP="008E7394">
            <w:pPr>
              <w:spacing w:before="60" w:after="60" w:line="360" w:lineRule="atLeast"/>
              <w:ind w:left="66"/>
              <w:jc w:val="center"/>
              <w:rPr>
                <w:rFonts w:ascii="Arial" w:hAnsi="Arial" w:cs="Arial"/>
                <w:sz w:val="20"/>
              </w:rPr>
            </w:pPr>
            <w:r w:rsidRPr="00D54072">
              <w:rPr>
                <w:rFonts w:ascii="Arial" w:hAnsi="Arial" w:cs="Arial"/>
                <w:sz w:val="20"/>
              </w:rPr>
              <w:t>0.1</w:t>
            </w:r>
          </w:p>
        </w:tc>
        <w:tc>
          <w:tcPr>
            <w:tcW w:w="757" w:type="dxa"/>
            <w:tcBorders>
              <w:left w:val="single" w:sz="6" w:space="0" w:color="auto"/>
              <w:right w:val="single" w:sz="6" w:space="0" w:color="auto"/>
            </w:tcBorders>
          </w:tcPr>
          <w:p w:rsidR="005A21BD" w:rsidRPr="001224C3" w:rsidRDefault="00D54072" w:rsidP="008E7394">
            <w:pPr>
              <w:spacing w:before="60" w:after="60" w:line="360" w:lineRule="atLeast"/>
              <w:ind w:left="37"/>
              <w:jc w:val="center"/>
              <w:rPr>
                <w:rFonts w:ascii="Arial" w:hAnsi="Arial" w:cs="Arial"/>
                <w:sz w:val="20"/>
              </w:rPr>
            </w:pPr>
            <w:r w:rsidRPr="00D54072">
              <w:rPr>
                <w:rFonts w:ascii="Arial" w:hAnsi="Arial" w:cs="Arial"/>
                <w:sz w:val="20"/>
              </w:rPr>
              <w:t>2.4</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4.8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7.2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
              <w:jc w:val="center"/>
              <w:rPr>
                <w:rFonts w:ascii="Arial" w:hAnsi="Arial" w:cs="Arial"/>
                <w:sz w:val="20"/>
              </w:rPr>
            </w:pPr>
            <w:r w:rsidRPr="00D54072">
              <w:rPr>
                <w:rFonts w:ascii="Arial" w:hAnsi="Arial" w:cs="Arial"/>
                <w:sz w:val="20"/>
              </w:rPr>
              <w:t>9.6</w:t>
            </w:r>
          </w:p>
        </w:tc>
        <w:tc>
          <w:tcPr>
            <w:tcW w:w="703"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12.0</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15"/>
              <w:jc w:val="center"/>
              <w:rPr>
                <w:rFonts w:ascii="Arial" w:hAnsi="Arial" w:cs="Arial"/>
                <w:sz w:val="20"/>
              </w:rPr>
            </w:pPr>
            <w:r w:rsidRPr="00D54072">
              <w:rPr>
                <w:rFonts w:ascii="Arial" w:hAnsi="Arial" w:cs="Arial"/>
                <w:sz w:val="20"/>
              </w:rPr>
              <w:t>14.4</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1"/>
              <w:jc w:val="center"/>
              <w:rPr>
                <w:rFonts w:ascii="Arial" w:hAnsi="Arial" w:cs="Arial"/>
                <w:sz w:val="20"/>
              </w:rPr>
            </w:pPr>
            <w:r w:rsidRPr="00D54072">
              <w:rPr>
                <w:rFonts w:ascii="Arial" w:hAnsi="Arial" w:cs="Arial"/>
                <w:sz w:val="20"/>
              </w:rPr>
              <w:t>16.8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19.2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35"/>
              <w:jc w:val="center"/>
              <w:rPr>
                <w:rFonts w:ascii="Arial" w:hAnsi="Arial" w:cs="Arial"/>
                <w:sz w:val="20"/>
              </w:rPr>
            </w:pPr>
            <w:r w:rsidRPr="00D54072">
              <w:rPr>
                <w:rFonts w:ascii="Arial" w:hAnsi="Arial" w:cs="Arial"/>
                <w:sz w:val="20"/>
              </w:rPr>
              <w:t>21.6</w:t>
            </w:r>
          </w:p>
        </w:tc>
        <w:tc>
          <w:tcPr>
            <w:tcW w:w="710" w:type="dxa"/>
            <w:tcBorders>
              <w:left w:val="single" w:sz="6" w:space="0" w:color="auto"/>
              <w:right w:val="single" w:sz="6" w:space="0" w:color="auto"/>
            </w:tcBorders>
          </w:tcPr>
          <w:p w:rsidR="005A21BD" w:rsidRPr="001224C3" w:rsidRDefault="00D54072" w:rsidP="008E7394">
            <w:pPr>
              <w:spacing w:before="60" w:after="60" w:line="360" w:lineRule="atLeast"/>
              <w:ind w:left="42"/>
              <w:jc w:val="center"/>
              <w:rPr>
                <w:rFonts w:ascii="Arial" w:hAnsi="Arial" w:cs="Arial"/>
                <w:sz w:val="20"/>
              </w:rPr>
            </w:pPr>
            <w:r w:rsidRPr="00D54072">
              <w:rPr>
                <w:rFonts w:ascii="Arial" w:hAnsi="Arial" w:cs="Arial"/>
                <w:sz w:val="20"/>
              </w:rPr>
              <w:t>24.0</w:t>
            </w:r>
          </w:p>
        </w:tc>
      </w:tr>
      <w:tr w:rsidR="005A21BD" w:rsidRPr="001224C3">
        <w:trPr>
          <w:gridAfter w:val="1"/>
          <w:wAfter w:w="7" w:type="dxa"/>
          <w:cantSplit/>
          <w:jc w:val="center"/>
        </w:trPr>
        <w:tc>
          <w:tcPr>
            <w:tcW w:w="1613" w:type="dxa"/>
            <w:tcBorders>
              <w:left w:val="single" w:sz="6" w:space="0" w:color="auto"/>
              <w:right w:val="single" w:sz="6" w:space="0" w:color="auto"/>
            </w:tcBorders>
          </w:tcPr>
          <w:p w:rsidR="005A21BD" w:rsidRPr="001224C3" w:rsidRDefault="00D54072" w:rsidP="008E7394">
            <w:pPr>
              <w:spacing w:before="60" w:after="60" w:line="360" w:lineRule="atLeast"/>
              <w:ind w:left="66"/>
              <w:jc w:val="center"/>
              <w:rPr>
                <w:rFonts w:ascii="Arial" w:hAnsi="Arial" w:cs="Arial"/>
                <w:sz w:val="20"/>
              </w:rPr>
            </w:pPr>
            <w:r w:rsidRPr="00D54072">
              <w:rPr>
                <w:rFonts w:ascii="Arial" w:hAnsi="Arial" w:cs="Arial"/>
                <w:sz w:val="20"/>
              </w:rPr>
              <w:t>0.15</w:t>
            </w:r>
          </w:p>
        </w:tc>
        <w:tc>
          <w:tcPr>
            <w:tcW w:w="757" w:type="dxa"/>
            <w:tcBorders>
              <w:left w:val="single" w:sz="6" w:space="0" w:color="auto"/>
              <w:right w:val="single" w:sz="6" w:space="0" w:color="auto"/>
            </w:tcBorders>
          </w:tcPr>
          <w:p w:rsidR="005A21BD" w:rsidRPr="001224C3" w:rsidRDefault="00D54072" w:rsidP="008E7394">
            <w:pPr>
              <w:spacing w:before="60" w:after="60" w:line="360" w:lineRule="atLeast"/>
              <w:ind w:left="37"/>
              <w:jc w:val="center"/>
              <w:rPr>
                <w:rFonts w:ascii="Arial" w:hAnsi="Arial" w:cs="Arial"/>
                <w:sz w:val="20"/>
              </w:rPr>
            </w:pPr>
            <w:r w:rsidRPr="00D54072">
              <w:rPr>
                <w:rFonts w:ascii="Arial" w:hAnsi="Arial" w:cs="Arial"/>
                <w:sz w:val="20"/>
              </w:rPr>
              <w:t>3.6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7.2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10.8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
              <w:jc w:val="center"/>
              <w:rPr>
                <w:rFonts w:ascii="Arial" w:hAnsi="Arial" w:cs="Arial"/>
                <w:sz w:val="20"/>
              </w:rPr>
            </w:pPr>
            <w:r w:rsidRPr="00D54072">
              <w:rPr>
                <w:rFonts w:ascii="Arial" w:hAnsi="Arial" w:cs="Arial"/>
                <w:sz w:val="20"/>
              </w:rPr>
              <w:t>14.4</w:t>
            </w:r>
          </w:p>
        </w:tc>
        <w:tc>
          <w:tcPr>
            <w:tcW w:w="703"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18.0</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15"/>
              <w:jc w:val="center"/>
              <w:rPr>
                <w:rFonts w:ascii="Arial" w:hAnsi="Arial" w:cs="Arial"/>
                <w:sz w:val="20"/>
              </w:rPr>
            </w:pPr>
            <w:r w:rsidRPr="00D54072">
              <w:rPr>
                <w:rFonts w:ascii="Arial" w:hAnsi="Arial" w:cs="Arial"/>
                <w:sz w:val="20"/>
              </w:rPr>
              <w:t>21.6</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21"/>
              <w:jc w:val="center"/>
              <w:rPr>
                <w:rFonts w:ascii="Arial" w:hAnsi="Arial" w:cs="Arial"/>
                <w:sz w:val="20"/>
              </w:rPr>
            </w:pPr>
            <w:r w:rsidRPr="00D54072">
              <w:rPr>
                <w:rFonts w:ascii="Arial" w:hAnsi="Arial" w:cs="Arial"/>
                <w:sz w:val="20"/>
              </w:rPr>
              <w:t>25.2</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28.8</w:t>
            </w:r>
          </w:p>
        </w:tc>
        <w:tc>
          <w:tcPr>
            <w:tcW w:w="702" w:type="dxa"/>
            <w:tcBorders>
              <w:left w:val="single" w:sz="6" w:space="0" w:color="auto"/>
              <w:right w:val="single" w:sz="6" w:space="0" w:color="auto"/>
            </w:tcBorders>
          </w:tcPr>
          <w:p w:rsidR="005A21BD" w:rsidRPr="001224C3" w:rsidRDefault="00D54072" w:rsidP="008E7394">
            <w:pPr>
              <w:spacing w:before="60" w:after="60" w:line="360" w:lineRule="atLeast"/>
              <w:ind w:left="35"/>
              <w:jc w:val="center"/>
              <w:rPr>
                <w:rFonts w:ascii="Arial" w:hAnsi="Arial" w:cs="Arial"/>
                <w:sz w:val="20"/>
              </w:rPr>
            </w:pPr>
            <w:r w:rsidRPr="00D54072">
              <w:rPr>
                <w:rFonts w:ascii="Arial" w:hAnsi="Arial" w:cs="Arial"/>
                <w:sz w:val="20"/>
              </w:rPr>
              <w:t>32.4</w:t>
            </w:r>
          </w:p>
        </w:tc>
        <w:tc>
          <w:tcPr>
            <w:tcW w:w="710" w:type="dxa"/>
            <w:tcBorders>
              <w:left w:val="single" w:sz="6" w:space="0" w:color="auto"/>
              <w:right w:val="single" w:sz="6" w:space="0" w:color="auto"/>
            </w:tcBorders>
          </w:tcPr>
          <w:p w:rsidR="005A21BD" w:rsidRPr="001224C3" w:rsidRDefault="00D54072" w:rsidP="008E7394">
            <w:pPr>
              <w:spacing w:before="60" w:after="60" w:line="360" w:lineRule="atLeast"/>
              <w:ind w:left="42"/>
              <w:jc w:val="center"/>
              <w:rPr>
                <w:rFonts w:ascii="Arial" w:hAnsi="Arial" w:cs="Arial"/>
                <w:sz w:val="20"/>
              </w:rPr>
            </w:pPr>
            <w:r w:rsidRPr="00D54072">
              <w:rPr>
                <w:rFonts w:ascii="Arial" w:hAnsi="Arial" w:cs="Arial"/>
                <w:sz w:val="20"/>
              </w:rPr>
              <w:t>36.0</w:t>
            </w:r>
          </w:p>
        </w:tc>
      </w:tr>
      <w:tr w:rsidR="005A21BD" w:rsidRPr="001224C3">
        <w:trPr>
          <w:gridAfter w:val="1"/>
          <w:wAfter w:w="7" w:type="dxa"/>
          <w:cantSplit/>
          <w:jc w:val="center"/>
        </w:trPr>
        <w:tc>
          <w:tcPr>
            <w:tcW w:w="1613"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ind w:left="66"/>
              <w:jc w:val="center"/>
              <w:rPr>
                <w:rFonts w:ascii="Arial" w:hAnsi="Arial" w:cs="Arial"/>
                <w:sz w:val="20"/>
              </w:rPr>
            </w:pPr>
            <w:r w:rsidRPr="00D54072">
              <w:rPr>
                <w:rFonts w:ascii="Arial" w:hAnsi="Arial" w:cs="Arial"/>
                <w:sz w:val="20"/>
              </w:rPr>
              <w:t>0.2</w:t>
            </w:r>
          </w:p>
        </w:tc>
        <w:tc>
          <w:tcPr>
            <w:tcW w:w="757"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ind w:left="37"/>
              <w:jc w:val="center"/>
              <w:rPr>
                <w:rFonts w:ascii="Arial" w:hAnsi="Arial" w:cs="Arial"/>
                <w:sz w:val="20"/>
              </w:rPr>
            </w:pPr>
            <w:r w:rsidRPr="00D54072">
              <w:rPr>
                <w:rFonts w:ascii="Arial" w:hAnsi="Arial" w:cs="Arial"/>
                <w:sz w:val="20"/>
              </w:rPr>
              <w:t>4.8</w:t>
            </w:r>
          </w:p>
        </w:tc>
        <w:tc>
          <w:tcPr>
            <w:tcW w:w="702"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9.6</w:t>
            </w:r>
          </w:p>
        </w:tc>
        <w:tc>
          <w:tcPr>
            <w:tcW w:w="702"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14.4</w:t>
            </w:r>
          </w:p>
        </w:tc>
        <w:tc>
          <w:tcPr>
            <w:tcW w:w="702"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ind w:left="2"/>
              <w:jc w:val="center"/>
              <w:rPr>
                <w:rFonts w:ascii="Arial" w:hAnsi="Arial" w:cs="Arial"/>
                <w:sz w:val="20"/>
              </w:rPr>
            </w:pPr>
            <w:r w:rsidRPr="00D54072">
              <w:rPr>
                <w:rFonts w:ascii="Arial" w:hAnsi="Arial" w:cs="Arial"/>
                <w:sz w:val="20"/>
              </w:rPr>
              <w:t>19.2</w:t>
            </w:r>
          </w:p>
        </w:tc>
        <w:tc>
          <w:tcPr>
            <w:tcW w:w="703"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24.0</w:t>
            </w:r>
          </w:p>
        </w:tc>
        <w:tc>
          <w:tcPr>
            <w:tcW w:w="702"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ind w:left="15"/>
              <w:jc w:val="center"/>
              <w:rPr>
                <w:rFonts w:ascii="Arial" w:hAnsi="Arial" w:cs="Arial"/>
                <w:sz w:val="20"/>
              </w:rPr>
            </w:pPr>
            <w:r w:rsidRPr="00D54072">
              <w:rPr>
                <w:rFonts w:ascii="Arial" w:hAnsi="Arial" w:cs="Arial"/>
                <w:sz w:val="20"/>
              </w:rPr>
              <w:t>28.8</w:t>
            </w:r>
          </w:p>
        </w:tc>
        <w:tc>
          <w:tcPr>
            <w:tcW w:w="702"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ind w:left="21"/>
              <w:jc w:val="center"/>
              <w:rPr>
                <w:rFonts w:ascii="Arial" w:hAnsi="Arial" w:cs="Arial"/>
                <w:sz w:val="20"/>
              </w:rPr>
            </w:pPr>
            <w:r w:rsidRPr="00D54072">
              <w:rPr>
                <w:rFonts w:ascii="Arial" w:hAnsi="Arial" w:cs="Arial"/>
                <w:sz w:val="20"/>
              </w:rPr>
              <w:t>33.6</w:t>
            </w:r>
          </w:p>
        </w:tc>
        <w:tc>
          <w:tcPr>
            <w:tcW w:w="702"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jc w:val="center"/>
              <w:rPr>
                <w:rFonts w:ascii="Arial" w:hAnsi="Arial" w:cs="Arial"/>
                <w:sz w:val="20"/>
              </w:rPr>
            </w:pPr>
            <w:r w:rsidRPr="00D54072">
              <w:rPr>
                <w:rFonts w:ascii="Arial" w:hAnsi="Arial" w:cs="Arial"/>
                <w:sz w:val="20"/>
              </w:rPr>
              <w:t>38.4</w:t>
            </w:r>
          </w:p>
        </w:tc>
        <w:tc>
          <w:tcPr>
            <w:tcW w:w="702"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ind w:left="35"/>
              <w:jc w:val="center"/>
              <w:rPr>
                <w:rFonts w:ascii="Arial" w:hAnsi="Arial" w:cs="Arial"/>
                <w:sz w:val="20"/>
              </w:rPr>
            </w:pPr>
            <w:r w:rsidRPr="00D54072">
              <w:rPr>
                <w:rFonts w:ascii="Arial" w:hAnsi="Arial" w:cs="Arial"/>
                <w:sz w:val="20"/>
              </w:rPr>
              <w:t>43.2</w:t>
            </w:r>
          </w:p>
        </w:tc>
        <w:tc>
          <w:tcPr>
            <w:tcW w:w="710" w:type="dxa"/>
            <w:tcBorders>
              <w:left w:val="single" w:sz="6" w:space="0" w:color="auto"/>
              <w:bottom w:val="single" w:sz="6" w:space="0" w:color="auto"/>
              <w:right w:val="single" w:sz="6" w:space="0" w:color="auto"/>
            </w:tcBorders>
          </w:tcPr>
          <w:p w:rsidR="005A21BD" w:rsidRPr="001224C3" w:rsidRDefault="00D54072" w:rsidP="008E7394">
            <w:pPr>
              <w:spacing w:before="60" w:after="60" w:line="360" w:lineRule="atLeast"/>
              <w:ind w:left="42"/>
              <w:jc w:val="center"/>
              <w:rPr>
                <w:rFonts w:ascii="Arial" w:hAnsi="Arial" w:cs="Arial"/>
                <w:sz w:val="20"/>
              </w:rPr>
            </w:pPr>
            <w:r w:rsidRPr="00D54072">
              <w:rPr>
                <w:rFonts w:ascii="Arial" w:hAnsi="Arial" w:cs="Arial"/>
                <w:sz w:val="20"/>
              </w:rPr>
              <w:t>48.0</w:t>
            </w:r>
          </w:p>
        </w:tc>
      </w:tr>
    </w:tbl>
    <w:p w:rsidR="005A21BD" w:rsidRDefault="005A21BD">
      <w:pPr>
        <w:jc w:val="center"/>
        <w:rPr>
          <w:rFonts w:ascii="Agfa Rotis Semisans" w:hAnsi="Agfa Rotis Semisans"/>
          <w:b/>
        </w:rPr>
      </w:pPr>
    </w:p>
    <w:p w:rsidR="005A21BD" w:rsidRDefault="005A21BD">
      <w:pPr>
        <w:pStyle w:val="Heading5"/>
        <w:rPr>
          <w:rFonts w:ascii="Arial" w:hAnsi="Arial"/>
        </w:rPr>
      </w:pPr>
      <w:r>
        <w:rPr>
          <w:rFonts w:ascii="Arial" w:hAnsi="Arial"/>
        </w:rPr>
        <w:t xml:space="preserve">Table  </w:t>
      </w:r>
      <w:r w:rsidR="000B0B31">
        <w:rPr>
          <w:rFonts w:ascii="Arial" w:hAnsi="Arial"/>
        </w:rPr>
        <w:t>13</w:t>
      </w:r>
      <w:r>
        <w:rPr>
          <w:rFonts w:ascii="Arial" w:hAnsi="Arial"/>
        </w:rPr>
        <w:tab/>
        <w:t>Ultiva for Injection Infusion Rates (mL/h) for a 50 µg/mL Solution</w:t>
      </w:r>
    </w:p>
    <w:p w:rsidR="005A21BD" w:rsidRDefault="005A21BD">
      <w:pPr>
        <w:rPr>
          <w:rFonts w:ascii="Arial" w:hAnsi="Arial"/>
        </w:rPr>
      </w:pPr>
    </w:p>
    <w:tbl>
      <w:tblPr>
        <w:tblW w:w="0" w:type="auto"/>
        <w:jc w:val="center"/>
        <w:tblLayout w:type="fixed"/>
        <w:tblCellMar>
          <w:left w:w="107" w:type="dxa"/>
          <w:right w:w="107" w:type="dxa"/>
        </w:tblCellMar>
        <w:tblLook w:val="0000"/>
      </w:tblPr>
      <w:tblGrid>
        <w:gridCol w:w="1855"/>
        <w:gridCol w:w="850"/>
        <w:gridCol w:w="993"/>
        <w:gridCol w:w="850"/>
        <w:gridCol w:w="851"/>
        <w:gridCol w:w="850"/>
        <w:gridCol w:w="946"/>
        <w:gridCol w:w="850"/>
        <w:gridCol w:w="851"/>
      </w:tblGrid>
      <w:tr w:rsidR="005A21BD" w:rsidTr="000B0B31">
        <w:trPr>
          <w:cantSplit/>
          <w:jc w:val="center"/>
        </w:trPr>
        <w:tc>
          <w:tcPr>
            <w:tcW w:w="1855" w:type="dxa"/>
            <w:tcBorders>
              <w:top w:val="single" w:sz="6" w:space="0" w:color="auto"/>
              <w:left w:val="single" w:sz="6" w:space="0" w:color="auto"/>
              <w:right w:val="single" w:sz="6" w:space="0" w:color="auto"/>
            </w:tcBorders>
          </w:tcPr>
          <w:p w:rsidR="005A21BD" w:rsidRDefault="005A21BD">
            <w:pPr>
              <w:spacing w:before="60" w:after="60" w:line="360" w:lineRule="atLeast"/>
              <w:jc w:val="center"/>
              <w:rPr>
                <w:rFonts w:ascii="Arial" w:hAnsi="Arial"/>
              </w:rPr>
            </w:pPr>
            <w:r>
              <w:rPr>
                <w:rFonts w:ascii="Arial" w:hAnsi="Arial"/>
              </w:rPr>
              <w:t>Infusion Rate</w:t>
            </w:r>
          </w:p>
        </w:tc>
        <w:tc>
          <w:tcPr>
            <w:tcW w:w="7041" w:type="dxa"/>
            <w:gridSpan w:val="8"/>
            <w:tcBorders>
              <w:top w:val="single" w:sz="6" w:space="0" w:color="auto"/>
              <w:left w:val="single" w:sz="6" w:space="0" w:color="auto"/>
              <w:bottom w:val="single" w:sz="6" w:space="0" w:color="auto"/>
              <w:right w:val="single" w:sz="6" w:space="0" w:color="auto"/>
            </w:tcBorders>
          </w:tcPr>
          <w:p w:rsidR="005A21BD" w:rsidRDefault="005A21BD">
            <w:pPr>
              <w:spacing w:before="60" w:after="60" w:line="360" w:lineRule="atLeast"/>
              <w:jc w:val="center"/>
              <w:rPr>
                <w:rFonts w:ascii="Arial" w:hAnsi="Arial"/>
              </w:rPr>
            </w:pPr>
            <w:r>
              <w:rPr>
                <w:rFonts w:ascii="Arial" w:hAnsi="Arial"/>
              </w:rPr>
              <w:t>Patient Weight (kg)</w:t>
            </w:r>
          </w:p>
        </w:tc>
      </w:tr>
      <w:tr w:rsidR="005A21BD" w:rsidRPr="001224C3" w:rsidTr="000B0B31">
        <w:trPr>
          <w:cantSplit/>
          <w:jc w:val="center"/>
        </w:trPr>
        <w:tc>
          <w:tcPr>
            <w:tcW w:w="1855" w:type="dxa"/>
            <w:tcBorders>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(µg/kg/min)</w:t>
            </w:r>
          </w:p>
        </w:tc>
        <w:tc>
          <w:tcPr>
            <w:tcW w:w="850"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30</w:t>
            </w:r>
          </w:p>
        </w:tc>
        <w:tc>
          <w:tcPr>
            <w:tcW w:w="993"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40</w:t>
            </w:r>
          </w:p>
        </w:tc>
        <w:tc>
          <w:tcPr>
            <w:tcW w:w="850"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50</w:t>
            </w:r>
          </w:p>
        </w:tc>
        <w:tc>
          <w:tcPr>
            <w:tcW w:w="851"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60</w:t>
            </w:r>
          </w:p>
        </w:tc>
        <w:tc>
          <w:tcPr>
            <w:tcW w:w="850"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70</w:t>
            </w:r>
          </w:p>
        </w:tc>
        <w:tc>
          <w:tcPr>
            <w:tcW w:w="946"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80</w:t>
            </w:r>
          </w:p>
        </w:tc>
        <w:tc>
          <w:tcPr>
            <w:tcW w:w="850"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90</w:t>
            </w:r>
          </w:p>
        </w:tc>
        <w:tc>
          <w:tcPr>
            <w:tcW w:w="851" w:type="dxa"/>
            <w:tcBorders>
              <w:top w:val="single" w:sz="6" w:space="0" w:color="auto"/>
              <w:left w:val="single" w:sz="6" w:space="0" w:color="auto"/>
              <w:bottom w:val="single" w:sz="6" w:space="0" w:color="auto"/>
              <w:right w:val="single" w:sz="6" w:space="0" w:color="auto"/>
            </w:tcBorders>
          </w:tcPr>
          <w:p w:rsidR="005A21BD" w:rsidRPr="001224C3" w:rsidRDefault="00D54072">
            <w:pPr>
              <w:spacing w:before="60" w:after="60"/>
              <w:jc w:val="center"/>
              <w:rPr>
                <w:rFonts w:ascii="Arial" w:hAnsi="Arial" w:cs="Arial"/>
                <w:sz w:val="20"/>
              </w:rPr>
            </w:pPr>
            <w:r w:rsidRPr="00D54072">
              <w:rPr>
                <w:rFonts w:ascii="Arial" w:hAnsi="Arial" w:cs="Arial"/>
                <w:sz w:val="20"/>
              </w:rPr>
              <w:t>100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0.025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0.9</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1.5</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1.8</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2.1</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2.4</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2.7</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0.05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1.8</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2.4</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3.6</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4.2</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4.8</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5.4</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0.075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2.7</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3.6</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4.5</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5.4</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6.3</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7.2</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8.1</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0.1</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3.6</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4.8</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7.2</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8.4</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9.6</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10.8</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0.15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5.4</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7.2</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10.8</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12.6</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14.4</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16.2</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18.0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0.2</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7.2</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9.6</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14.4</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16.8</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19.2</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21.6</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24.0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0.25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9.0</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15.0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18.0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21.0</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24.0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27.0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30.0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18.0</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24.0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30.0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36.0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42.0</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48.0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54.0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60.0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0.75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27.0</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36.0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45.0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54.0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63.0</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72.0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81.0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90.0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36.0</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48.0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60.0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72.0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84.0</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96.0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108.0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120.0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lastRenderedPageBreak/>
              <w:t>1.25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45.0</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60.0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75.0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90.0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105.0</w:t>
            </w:r>
          </w:p>
        </w:tc>
        <w:tc>
          <w:tcPr>
            <w:tcW w:w="946" w:type="dxa"/>
            <w:tcBorders>
              <w:left w:val="single" w:sz="6" w:space="0" w:color="auto"/>
              <w:right w:val="single" w:sz="6" w:space="0" w:color="auto"/>
            </w:tcBorders>
          </w:tcPr>
          <w:p w:rsidR="005A21BD" w:rsidRPr="001224C3" w:rsidRDefault="00D54072" w:rsidP="00205960">
            <w:pPr>
              <w:spacing w:before="60" w:after="60" w:line="360" w:lineRule="atLeast"/>
              <w:jc w:val="center"/>
              <w:rPr>
                <w:rFonts w:ascii="Arial" w:hAnsi="Arial" w:cs="Arial"/>
                <w:sz w:val="20"/>
              </w:rPr>
            </w:pPr>
            <w:r w:rsidRPr="00D54072">
              <w:rPr>
                <w:rFonts w:ascii="Arial" w:hAnsi="Arial" w:cs="Arial"/>
                <w:sz w:val="20"/>
              </w:rPr>
              <w:t>120.0</w:t>
            </w:r>
          </w:p>
        </w:tc>
        <w:tc>
          <w:tcPr>
            <w:tcW w:w="850" w:type="dxa"/>
            <w:tcBorders>
              <w:left w:val="single" w:sz="6" w:space="0" w:color="auto"/>
              <w:right w:val="single" w:sz="6" w:space="0" w:color="auto"/>
            </w:tcBorders>
          </w:tcPr>
          <w:p w:rsidR="005A21BD" w:rsidRPr="001224C3" w:rsidRDefault="00D54072" w:rsidP="00205960">
            <w:pPr>
              <w:spacing w:before="60" w:after="60" w:line="360" w:lineRule="atLeast"/>
              <w:jc w:val="center"/>
              <w:rPr>
                <w:rFonts w:ascii="Arial" w:hAnsi="Arial" w:cs="Arial"/>
                <w:sz w:val="20"/>
              </w:rPr>
            </w:pPr>
            <w:r w:rsidRPr="00D54072">
              <w:rPr>
                <w:rFonts w:ascii="Arial" w:hAnsi="Arial" w:cs="Arial"/>
                <w:sz w:val="20"/>
              </w:rPr>
              <w:t>135.0</w:t>
            </w:r>
          </w:p>
        </w:tc>
        <w:tc>
          <w:tcPr>
            <w:tcW w:w="851" w:type="dxa"/>
            <w:tcBorders>
              <w:left w:val="single" w:sz="6" w:space="0" w:color="auto"/>
              <w:right w:val="single" w:sz="6" w:space="0" w:color="auto"/>
            </w:tcBorders>
          </w:tcPr>
          <w:p w:rsidR="005A21BD" w:rsidRPr="001224C3" w:rsidRDefault="00D54072" w:rsidP="00205960">
            <w:pPr>
              <w:spacing w:before="60" w:after="60" w:line="360" w:lineRule="atLeast"/>
              <w:jc w:val="center"/>
              <w:rPr>
                <w:rFonts w:ascii="Arial" w:hAnsi="Arial" w:cs="Arial"/>
                <w:sz w:val="20"/>
              </w:rPr>
            </w:pPr>
            <w:r w:rsidRPr="00D54072">
              <w:rPr>
                <w:rFonts w:ascii="Arial" w:hAnsi="Arial" w:cs="Arial"/>
                <w:sz w:val="20"/>
              </w:rPr>
              <w:t>150.0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1.5</w:t>
            </w:r>
          </w:p>
        </w:tc>
        <w:tc>
          <w:tcPr>
            <w:tcW w:w="850" w:type="dxa"/>
            <w:tcBorders>
              <w:left w:val="single" w:sz="6" w:space="0" w:color="auto"/>
              <w:right w:val="single" w:sz="6" w:space="0" w:color="auto"/>
            </w:tcBorders>
          </w:tcPr>
          <w:p w:rsidR="005A21BD" w:rsidRPr="00DE389E" w:rsidRDefault="00D54072" w:rsidP="00DE389E">
            <w:pPr>
              <w:spacing w:before="60" w:after="60" w:line="360" w:lineRule="atLeast"/>
              <w:jc w:val="center"/>
              <w:rPr>
                <w:rFonts w:ascii="Arial" w:hAnsi="Arial" w:cs="Arial"/>
                <w:sz w:val="20"/>
              </w:rPr>
            </w:pPr>
            <w:r w:rsidRPr="00DE389E">
              <w:rPr>
                <w:rFonts w:ascii="Arial" w:hAnsi="Arial" w:cs="Arial"/>
                <w:sz w:val="20"/>
              </w:rPr>
              <w:t>54.0</w:t>
            </w:r>
          </w:p>
        </w:tc>
        <w:tc>
          <w:tcPr>
            <w:tcW w:w="993" w:type="dxa"/>
            <w:tcBorders>
              <w:left w:val="single" w:sz="6" w:space="0" w:color="auto"/>
              <w:right w:val="single" w:sz="6" w:space="0" w:color="auto"/>
            </w:tcBorders>
          </w:tcPr>
          <w:p w:rsidR="005A21BD" w:rsidRPr="001224C3" w:rsidRDefault="00D54072" w:rsidP="00DE389E">
            <w:pPr>
              <w:spacing w:before="60" w:after="60" w:line="360" w:lineRule="atLeast"/>
              <w:ind w:left="35"/>
              <w:jc w:val="center"/>
              <w:rPr>
                <w:rFonts w:ascii="Arial" w:hAnsi="Arial" w:cs="Arial"/>
                <w:sz w:val="20"/>
              </w:rPr>
            </w:pPr>
            <w:r w:rsidRPr="00D54072">
              <w:rPr>
                <w:rFonts w:ascii="Arial" w:hAnsi="Arial" w:cs="Arial"/>
                <w:sz w:val="20"/>
              </w:rPr>
              <w:t>72.0</w:t>
            </w:r>
          </w:p>
        </w:tc>
        <w:tc>
          <w:tcPr>
            <w:tcW w:w="850" w:type="dxa"/>
            <w:tcBorders>
              <w:left w:val="single" w:sz="6" w:space="0" w:color="auto"/>
              <w:right w:val="single" w:sz="6" w:space="0" w:color="auto"/>
            </w:tcBorders>
          </w:tcPr>
          <w:p w:rsidR="005A21BD" w:rsidRPr="001224C3" w:rsidRDefault="00D54072" w:rsidP="00DE389E">
            <w:pPr>
              <w:spacing w:before="60" w:after="60" w:line="360" w:lineRule="atLeast"/>
              <w:ind w:left="34"/>
              <w:jc w:val="center"/>
              <w:rPr>
                <w:rFonts w:ascii="Arial" w:hAnsi="Arial" w:cs="Arial"/>
                <w:sz w:val="20"/>
              </w:rPr>
            </w:pPr>
            <w:r w:rsidRPr="00D54072">
              <w:rPr>
                <w:rFonts w:ascii="Arial" w:hAnsi="Arial" w:cs="Arial"/>
                <w:sz w:val="20"/>
              </w:rPr>
              <w:t>90.0</w:t>
            </w:r>
          </w:p>
        </w:tc>
        <w:tc>
          <w:tcPr>
            <w:tcW w:w="851" w:type="dxa"/>
            <w:tcBorders>
              <w:left w:val="single" w:sz="6" w:space="0" w:color="auto"/>
              <w:right w:val="single" w:sz="6" w:space="0" w:color="auto"/>
            </w:tcBorders>
          </w:tcPr>
          <w:p w:rsidR="005A21BD" w:rsidRPr="001224C3" w:rsidRDefault="00D54072" w:rsidP="00DE389E">
            <w:pPr>
              <w:spacing w:before="60" w:after="60" w:line="360" w:lineRule="atLeast"/>
              <w:jc w:val="center"/>
              <w:rPr>
                <w:rFonts w:ascii="Arial" w:hAnsi="Arial" w:cs="Arial"/>
                <w:sz w:val="20"/>
              </w:rPr>
            </w:pPr>
            <w:r w:rsidRPr="00D54072">
              <w:rPr>
                <w:rFonts w:ascii="Arial" w:hAnsi="Arial" w:cs="Arial"/>
                <w:sz w:val="20"/>
              </w:rPr>
              <w:t>108.0</w:t>
            </w:r>
          </w:p>
        </w:tc>
        <w:tc>
          <w:tcPr>
            <w:tcW w:w="850" w:type="dxa"/>
            <w:tcBorders>
              <w:left w:val="single" w:sz="6" w:space="0" w:color="auto"/>
              <w:right w:val="single" w:sz="6" w:space="0" w:color="auto"/>
            </w:tcBorders>
          </w:tcPr>
          <w:p w:rsidR="005A21BD" w:rsidRPr="001224C3" w:rsidRDefault="00D54072" w:rsidP="00DE389E">
            <w:pPr>
              <w:spacing w:before="60" w:after="60" w:line="360" w:lineRule="atLeast"/>
              <w:ind w:left="34"/>
              <w:jc w:val="center"/>
              <w:rPr>
                <w:rFonts w:ascii="Arial" w:hAnsi="Arial" w:cs="Arial"/>
                <w:sz w:val="20"/>
              </w:rPr>
            </w:pPr>
            <w:r w:rsidRPr="00D54072">
              <w:rPr>
                <w:rFonts w:ascii="Arial" w:hAnsi="Arial" w:cs="Arial"/>
                <w:sz w:val="20"/>
              </w:rPr>
              <w:t>126.0</w:t>
            </w:r>
          </w:p>
        </w:tc>
        <w:tc>
          <w:tcPr>
            <w:tcW w:w="946" w:type="dxa"/>
            <w:tcBorders>
              <w:left w:val="single" w:sz="6" w:space="0" w:color="auto"/>
              <w:right w:val="single" w:sz="6" w:space="0" w:color="auto"/>
            </w:tcBorders>
          </w:tcPr>
          <w:p w:rsidR="005A21BD" w:rsidRPr="001224C3" w:rsidRDefault="00D54072" w:rsidP="00DE389E">
            <w:pPr>
              <w:spacing w:before="60" w:after="60" w:line="360" w:lineRule="atLeast"/>
              <w:ind w:left="35"/>
              <w:jc w:val="center"/>
              <w:rPr>
                <w:rFonts w:ascii="Arial" w:hAnsi="Arial" w:cs="Arial"/>
                <w:sz w:val="20"/>
              </w:rPr>
            </w:pPr>
            <w:r w:rsidRPr="00D54072">
              <w:rPr>
                <w:rFonts w:ascii="Arial" w:hAnsi="Arial" w:cs="Arial"/>
                <w:sz w:val="20"/>
              </w:rPr>
              <w:t>144.0</w:t>
            </w:r>
          </w:p>
        </w:tc>
        <w:tc>
          <w:tcPr>
            <w:tcW w:w="850" w:type="dxa"/>
            <w:tcBorders>
              <w:left w:val="single" w:sz="6" w:space="0" w:color="auto"/>
              <w:right w:val="single" w:sz="6" w:space="0" w:color="auto"/>
            </w:tcBorders>
          </w:tcPr>
          <w:p w:rsidR="005A21BD" w:rsidRPr="001224C3" w:rsidRDefault="00D54072" w:rsidP="00DE389E">
            <w:pPr>
              <w:spacing w:before="60" w:after="60" w:line="360" w:lineRule="atLeast"/>
              <w:jc w:val="center"/>
              <w:rPr>
                <w:rFonts w:ascii="Arial" w:hAnsi="Arial" w:cs="Arial"/>
                <w:sz w:val="20"/>
              </w:rPr>
            </w:pPr>
            <w:r w:rsidRPr="00D54072">
              <w:rPr>
                <w:rFonts w:ascii="Arial" w:hAnsi="Arial" w:cs="Arial"/>
                <w:sz w:val="20"/>
              </w:rPr>
              <w:t>162.0</w:t>
            </w:r>
          </w:p>
        </w:tc>
        <w:tc>
          <w:tcPr>
            <w:tcW w:w="851" w:type="dxa"/>
            <w:tcBorders>
              <w:left w:val="single" w:sz="6" w:space="0" w:color="auto"/>
              <w:right w:val="single" w:sz="6" w:space="0" w:color="auto"/>
            </w:tcBorders>
          </w:tcPr>
          <w:p w:rsidR="005A21BD" w:rsidRPr="001224C3" w:rsidRDefault="00D54072" w:rsidP="00DE389E">
            <w:pPr>
              <w:spacing w:before="60" w:after="60" w:line="360" w:lineRule="atLeast"/>
              <w:jc w:val="center"/>
              <w:rPr>
                <w:rFonts w:ascii="Arial" w:hAnsi="Arial" w:cs="Arial"/>
                <w:sz w:val="20"/>
              </w:rPr>
            </w:pPr>
            <w:r w:rsidRPr="00D54072">
              <w:rPr>
                <w:rFonts w:ascii="Arial" w:hAnsi="Arial" w:cs="Arial"/>
                <w:sz w:val="20"/>
              </w:rPr>
              <w:t>180.0</w:t>
            </w:r>
          </w:p>
        </w:tc>
      </w:tr>
      <w:tr w:rsidR="005A21BD" w:rsidRPr="001224C3" w:rsidTr="000B0B31">
        <w:trPr>
          <w:cantSplit/>
          <w:jc w:val="center"/>
        </w:trPr>
        <w:tc>
          <w:tcPr>
            <w:tcW w:w="1855"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1.75</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63.0</w:t>
            </w:r>
          </w:p>
        </w:tc>
        <w:tc>
          <w:tcPr>
            <w:tcW w:w="993"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84.0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105.0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126.0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147.0</w:t>
            </w:r>
          </w:p>
        </w:tc>
        <w:tc>
          <w:tcPr>
            <w:tcW w:w="946"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168.0</w:t>
            </w:r>
          </w:p>
        </w:tc>
        <w:tc>
          <w:tcPr>
            <w:tcW w:w="850"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189.0</w:t>
            </w:r>
          </w:p>
        </w:tc>
        <w:tc>
          <w:tcPr>
            <w:tcW w:w="851" w:type="dxa"/>
            <w:tcBorders>
              <w:left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210.0</w:t>
            </w:r>
          </w:p>
        </w:tc>
      </w:tr>
      <w:tr w:rsidR="005A21BD" w:rsidRPr="001224C3" w:rsidTr="000B0B31">
        <w:trPr>
          <w:cantSplit/>
          <w:jc w:val="center"/>
        </w:trPr>
        <w:tc>
          <w:tcPr>
            <w:tcW w:w="1855"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2.0</w:t>
            </w:r>
          </w:p>
        </w:tc>
        <w:tc>
          <w:tcPr>
            <w:tcW w:w="850"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72.0</w:t>
            </w:r>
          </w:p>
        </w:tc>
        <w:tc>
          <w:tcPr>
            <w:tcW w:w="993"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96.0</w:t>
            </w:r>
          </w:p>
        </w:tc>
        <w:tc>
          <w:tcPr>
            <w:tcW w:w="850"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120.0</w:t>
            </w:r>
          </w:p>
        </w:tc>
        <w:tc>
          <w:tcPr>
            <w:tcW w:w="851"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144.0</w:t>
            </w:r>
          </w:p>
        </w:tc>
        <w:tc>
          <w:tcPr>
            <w:tcW w:w="850"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168.0</w:t>
            </w:r>
          </w:p>
        </w:tc>
        <w:tc>
          <w:tcPr>
            <w:tcW w:w="946"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192.0</w:t>
            </w:r>
          </w:p>
        </w:tc>
        <w:tc>
          <w:tcPr>
            <w:tcW w:w="850"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216.0</w:t>
            </w:r>
          </w:p>
        </w:tc>
        <w:tc>
          <w:tcPr>
            <w:tcW w:w="851" w:type="dxa"/>
            <w:tcBorders>
              <w:left w:val="single" w:sz="6" w:space="0" w:color="auto"/>
              <w:bottom w:val="single" w:sz="6" w:space="0" w:color="auto"/>
              <w:right w:val="single" w:sz="6" w:space="0" w:color="auto"/>
            </w:tcBorders>
          </w:tcPr>
          <w:p w:rsidR="005A21BD" w:rsidRPr="001224C3" w:rsidRDefault="00D54072">
            <w:pPr>
              <w:spacing w:before="60" w:after="60" w:line="360" w:lineRule="atLeast"/>
              <w:jc w:val="center"/>
              <w:rPr>
                <w:rFonts w:ascii="Arial" w:hAnsi="Arial" w:cs="Arial"/>
                <w:sz w:val="20"/>
              </w:rPr>
            </w:pPr>
            <w:r w:rsidRPr="00D54072">
              <w:rPr>
                <w:rFonts w:ascii="Arial" w:hAnsi="Arial" w:cs="Arial"/>
                <w:sz w:val="20"/>
              </w:rPr>
              <w:t>240.0</w:t>
            </w:r>
          </w:p>
        </w:tc>
      </w:tr>
    </w:tbl>
    <w:p w:rsidR="005A21BD" w:rsidRDefault="005A21BD">
      <w:pPr>
        <w:pStyle w:val="Heading5"/>
        <w:spacing w:before="60" w:after="60"/>
        <w:rPr>
          <w:rFonts w:ascii="Arial" w:hAnsi="Arial"/>
        </w:rPr>
      </w:pPr>
    </w:p>
    <w:p w:rsidR="003502B8" w:rsidRDefault="003502B8">
      <w:pPr>
        <w:rPr>
          <w:rFonts w:ascii="Arial" w:hAnsi="Arial"/>
          <w:b/>
        </w:rPr>
      </w:pPr>
      <w:r>
        <w:rPr>
          <w:rFonts w:ascii="Arial" w:hAnsi="Arial"/>
        </w:rPr>
        <w:br w:type="page"/>
      </w:r>
    </w:p>
    <w:p w:rsidR="005A21BD" w:rsidRDefault="005A21BD">
      <w:pPr>
        <w:pStyle w:val="Heading5"/>
        <w:spacing w:before="60" w:after="60"/>
        <w:rPr>
          <w:rFonts w:ascii="Arial" w:hAnsi="Arial"/>
        </w:rPr>
      </w:pPr>
      <w:r>
        <w:rPr>
          <w:rFonts w:ascii="Arial" w:hAnsi="Arial"/>
        </w:rPr>
        <w:lastRenderedPageBreak/>
        <w:t xml:space="preserve">Table  </w:t>
      </w:r>
      <w:r w:rsidR="000B0B31">
        <w:rPr>
          <w:rFonts w:ascii="Arial" w:hAnsi="Arial"/>
        </w:rPr>
        <w:t>14</w:t>
      </w:r>
      <w:r>
        <w:rPr>
          <w:rFonts w:ascii="Arial" w:hAnsi="Arial"/>
        </w:rPr>
        <w:tab/>
        <w:t>Ultiva for Injection Infusion Rates (mL/h) for a 250 µg/mL Solution</w:t>
      </w:r>
    </w:p>
    <w:tbl>
      <w:tblPr>
        <w:tblW w:w="0" w:type="auto"/>
        <w:tblInd w:w="366" w:type="dxa"/>
        <w:tblLayout w:type="fixed"/>
        <w:tblCellMar>
          <w:left w:w="107" w:type="dxa"/>
          <w:right w:w="107" w:type="dxa"/>
        </w:tblCellMar>
        <w:tblLook w:val="0000"/>
      </w:tblPr>
      <w:tblGrid>
        <w:gridCol w:w="2151"/>
        <w:gridCol w:w="916"/>
        <w:gridCol w:w="842"/>
        <w:gridCol w:w="851"/>
        <w:gridCol w:w="851"/>
        <w:gridCol w:w="850"/>
        <w:gridCol w:w="851"/>
        <w:gridCol w:w="793"/>
        <w:gridCol w:w="850"/>
      </w:tblGrid>
      <w:tr w:rsidR="005A21BD" w:rsidRPr="001224C3">
        <w:trPr>
          <w:cantSplit/>
          <w:trHeight w:val="40"/>
        </w:trPr>
        <w:tc>
          <w:tcPr>
            <w:tcW w:w="2151" w:type="dxa"/>
            <w:vMerge w:val="restart"/>
            <w:tcBorders>
              <w:top w:val="single" w:sz="6" w:space="0" w:color="auto"/>
              <w:left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Infusion Rate</w:t>
            </w:r>
            <w:r w:rsidR="005732C6">
              <w:rPr>
                <w:rFonts w:ascii="Arial" w:hAnsi="Arial" w:cs="Arial"/>
                <w:sz w:val="20"/>
              </w:rPr>
              <w:t xml:space="preserve"> </w:t>
            </w:r>
            <w:r w:rsidRPr="00D54072">
              <w:rPr>
                <w:rFonts w:ascii="Arial" w:hAnsi="Arial" w:cs="Arial"/>
                <w:sz w:val="20"/>
              </w:rPr>
              <w:t>(µg/kg/min)</w:t>
            </w:r>
          </w:p>
        </w:tc>
        <w:tc>
          <w:tcPr>
            <w:tcW w:w="6804" w:type="dxa"/>
            <w:gridSpan w:val="8"/>
            <w:tcBorders>
              <w:top w:val="single" w:sz="6" w:space="0" w:color="auto"/>
              <w:left w:val="single" w:sz="6" w:space="0" w:color="auto"/>
              <w:bottom w:val="single" w:sz="6" w:space="0" w:color="auto"/>
              <w:right w:val="single" w:sz="6" w:space="0" w:color="auto"/>
            </w:tcBorders>
          </w:tcPr>
          <w:p w:rsidR="00922616" w:rsidRPr="00922616" w:rsidRDefault="00D54072">
            <w:pPr>
              <w:spacing w:before="60" w:after="60"/>
              <w:jc w:val="center"/>
              <w:rPr>
                <w:rFonts w:ascii="Arial" w:hAnsi="Arial" w:cs="Arial"/>
                <w:sz w:val="20"/>
              </w:rPr>
            </w:pPr>
            <w:r w:rsidRPr="00D54072">
              <w:rPr>
                <w:rFonts w:ascii="Arial" w:hAnsi="Arial" w:cs="Arial"/>
                <w:sz w:val="20"/>
              </w:rPr>
              <w:t>Patient Weight (kg)</w:t>
            </w:r>
          </w:p>
        </w:tc>
      </w:tr>
      <w:tr w:rsidR="005A21BD" w:rsidRPr="001224C3">
        <w:trPr>
          <w:cantSplit/>
          <w:trHeight w:val="40"/>
        </w:trPr>
        <w:tc>
          <w:tcPr>
            <w:tcW w:w="2151" w:type="dxa"/>
            <w:vMerge/>
            <w:tcBorders>
              <w:left w:val="single" w:sz="6" w:space="0" w:color="auto"/>
              <w:bottom w:val="single" w:sz="6" w:space="0" w:color="auto"/>
              <w:right w:val="single" w:sz="6" w:space="0" w:color="auto"/>
            </w:tcBorders>
          </w:tcPr>
          <w:p w:rsidR="00922616" w:rsidRPr="00922616" w:rsidRDefault="00922616">
            <w:pPr>
              <w:spacing w:before="60" w:after="60" w:line="360" w:lineRule="atLeast"/>
              <w:jc w:val="center"/>
              <w:rPr>
                <w:rFonts w:ascii="Arial" w:hAnsi="Arial" w:cs="Arial"/>
                <w:sz w:val="20"/>
              </w:rPr>
            </w:pPr>
          </w:p>
        </w:tc>
        <w:tc>
          <w:tcPr>
            <w:tcW w:w="916"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30</w:t>
            </w:r>
          </w:p>
        </w:tc>
        <w:tc>
          <w:tcPr>
            <w:tcW w:w="842"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40</w:t>
            </w:r>
          </w:p>
        </w:tc>
        <w:tc>
          <w:tcPr>
            <w:tcW w:w="851"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50</w:t>
            </w:r>
          </w:p>
        </w:tc>
        <w:tc>
          <w:tcPr>
            <w:tcW w:w="851"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60</w:t>
            </w:r>
          </w:p>
        </w:tc>
        <w:tc>
          <w:tcPr>
            <w:tcW w:w="850"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70</w:t>
            </w:r>
          </w:p>
        </w:tc>
        <w:tc>
          <w:tcPr>
            <w:tcW w:w="851"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80</w:t>
            </w:r>
          </w:p>
        </w:tc>
        <w:tc>
          <w:tcPr>
            <w:tcW w:w="793"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90</w:t>
            </w:r>
          </w:p>
        </w:tc>
        <w:tc>
          <w:tcPr>
            <w:tcW w:w="850" w:type="dxa"/>
            <w:tcBorders>
              <w:top w:val="single" w:sz="6" w:space="0" w:color="auto"/>
              <w:left w:val="single" w:sz="6" w:space="0" w:color="auto"/>
              <w:bottom w:val="single" w:sz="6" w:space="0" w:color="auto"/>
              <w:right w:val="single" w:sz="6" w:space="0" w:color="auto"/>
            </w:tcBorders>
            <w:vAlign w:val="center"/>
          </w:tcPr>
          <w:p w:rsidR="00922616" w:rsidRPr="00922616" w:rsidRDefault="00D54072">
            <w:pPr>
              <w:spacing w:before="60" w:after="60"/>
              <w:jc w:val="center"/>
              <w:rPr>
                <w:rFonts w:ascii="Arial" w:hAnsi="Arial" w:cs="Arial"/>
                <w:sz w:val="20"/>
              </w:rPr>
            </w:pPr>
            <w:r w:rsidRPr="00D54072">
              <w:rPr>
                <w:rFonts w:ascii="Arial" w:hAnsi="Arial" w:cs="Arial"/>
                <w:sz w:val="20"/>
              </w:rPr>
              <w:t>100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pPr>
              <w:spacing w:before="60" w:after="60" w:line="360" w:lineRule="atLeast"/>
              <w:jc w:val="center"/>
              <w:rPr>
                <w:rFonts w:ascii="Arial" w:hAnsi="Arial" w:cs="Arial"/>
                <w:sz w:val="20"/>
              </w:rPr>
            </w:pPr>
            <w:r w:rsidRPr="00D54072">
              <w:rPr>
                <w:rFonts w:ascii="Arial" w:hAnsi="Arial" w:cs="Arial"/>
                <w:sz w:val="20"/>
              </w:rPr>
              <w:t>0.1</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0.72</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0.96</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1.20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1.44</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1.68</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1.92</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2.16</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2.40</w:t>
            </w:r>
          </w:p>
        </w:tc>
      </w:tr>
      <w:tr w:rsidR="005A21BD" w:rsidRPr="001224C3">
        <w:trPr>
          <w:cantSplit/>
          <w:trHeight w:val="40"/>
        </w:trPr>
        <w:tc>
          <w:tcPr>
            <w:tcW w:w="2151" w:type="dxa"/>
            <w:tcBorders>
              <w:left w:val="single" w:sz="6" w:space="0" w:color="auto"/>
              <w:right w:val="single" w:sz="6" w:space="0" w:color="auto"/>
            </w:tcBorders>
          </w:tcPr>
          <w:p w:rsidR="00922616" w:rsidRPr="002C3D10" w:rsidRDefault="00D54072" w:rsidP="002C3D10">
            <w:pPr>
              <w:spacing w:before="60" w:after="60" w:line="360" w:lineRule="atLeast"/>
              <w:jc w:val="center"/>
              <w:rPr>
                <w:rFonts w:ascii="Arial" w:hAnsi="Arial" w:cs="Arial"/>
                <w:sz w:val="20"/>
              </w:rPr>
            </w:pPr>
            <w:r w:rsidRPr="002C3D10">
              <w:rPr>
                <w:rFonts w:ascii="Arial" w:hAnsi="Arial" w:cs="Arial"/>
                <w:sz w:val="20"/>
              </w:rPr>
              <w:t>0.15</w:t>
            </w:r>
          </w:p>
        </w:tc>
        <w:tc>
          <w:tcPr>
            <w:tcW w:w="916" w:type="dxa"/>
            <w:tcBorders>
              <w:left w:val="single" w:sz="6" w:space="0" w:color="auto"/>
              <w:right w:val="single" w:sz="6" w:space="0" w:color="auto"/>
            </w:tcBorders>
          </w:tcPr>
          <w:p w:rsidR="00922616" w:rsidRPr="002C3D10" w:rsidRDefault="00D54072" w:rsidP="002C3D10">
            <w:pPr>
              <w:spacing w:before="60" w:after="60" w:line="360" w:lineRule="atLeast"/>
              <w:jc w:val="center"/>
              <w:rPr>
                <w:rFonts w:ascii="Arial" w:hAnsi="Arial" w:cs="Arial"/>
                <w:sz w:val="20"/>
              </w:rPr>
            </w:pPr>
            <w:r w:rsidRPr="002C3D10">
              <w:rPr>
                <w:rFonts w:ascii="Arial" w:hAnsi="Arial" w:cs="Arial"/>
                <w:sz w:val="20"/>
              </w:rPr>
              <w:t>1.08</w:t>
            </w:r>
          </w:p>
        </w:tc>
        <w:tc>
          <w:tcPr>
            <w:tcW w:w="842" w:type="dxa"/>
            <w:tcBorders>
              <w:left w:val="single" w:sz="6" w:space="0" w:color="auto"/>
              <w:right w:val="single" w:sz="6" w:space="0" w:color="auto"/>
            </w:tcBorders>
          </w:tcPr>
          <w:p w:rsidR="00922616" w:rsidRPr="002C3D10" w:rsidRDefault="00D54072" w:rsidP="002C3D10">
            <w:pPr>
              <w:spacing w:before="60" w:after="60" w:line="360" w:lineRule="atLeast"/>
              <w:jc w:val="center"/>
              <w:rPr>
                <w:rFonts w:ascii="Arial" w:hAnsi="Arial" w:cs="Arial"/>
                <w:sz w:val="20"/>
              </w:rPr>
            </w:pPr>
            <w:r w:rsidRPr="002C3D10">
              <w:rPr>
                <w:rFonts w:ascii="Arial" w:hAnsi="Arial" w:cs="Arial"/>
                <w:sz w:val="20"/>
              </w:rPr>
              <w:t>1.44</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1.80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2.16</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2.52</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2.88</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3.24</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3.60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0.2</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1.44</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1.92</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2.40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2.88</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3.36</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3.84</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4.32</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4.80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0.25</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1.80</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2.40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3.60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4.20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4.80</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5.40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6.00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0.5</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3.60</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4.80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6.00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7.20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8.40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9.60</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10.80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12.00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0.75</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5.40</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7.20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9.00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10.80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12.60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14.40</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16.20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18.00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1.0</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7.20</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9.60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12.00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14.40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16.80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19.20</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21.60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24.00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1.25</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9.00</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12.00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15.00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18.00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21.00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24.00</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27.00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30.00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1.5</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10.80</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14.40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18.00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21.60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25.20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28.80</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32.40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36.00</w:t>
            </w:r>
          </w:p>
        </w:tc>
      </w:tr>
      <w:tr w:rsidR="005A21BD" w:rsidRPr="001224C3">
        <w:trPr>
          <w:cantSplit/>
          <w:trHeight w:val="40"/>
        </w:trPr>
        <w:tc>
          <w:tcPr>
            <w:tcW w:w="21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1.75</w:t>
            </w:r>
          </w:p>
        </w:tc>
        <w:tc>
          <w:tcPr>
            <w:tcW w:w="916"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12.60</w:t>
            </w:r>
          </w:p>
        </w:tc>
        <w:tc>
          <w:tcPr>
            <w:tcW w:w="842"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16.80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21.00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25.20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29.40</w:t>
            </w:r>
          </w:p>
        </w:tc>
        <w:tc>
          <w:tcPr>
            <w:tcW w:w="851"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33.60</w:t>
            </w:r>
          </w:p>
        </w:tc>
        <w:tc>
          <w:tcPr>
            <w:tcW w:w="793"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37.80</w:t>
            </w:r>
          </w:p>
        </w:tc>
        <w:tc>
          <w:tcPr>
            <w:tcW w:w="850" w:type="dxa"/>
            <w:tcBorders>
              <w:left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42.00</w:t>
            </w:r>
          </w:p>
        </w:tc>
      </w:tr>
      <w:tr w:rsidR="005A21BD" w:rsidRPr="001224C3">
        <w:trPr>
          <w:cantSplit/>
          <w:trHeight w:val="40"/>
        </w:trPr>
        <w:tc>
          <w:tcPr>
            <w:tcW w:w="2151"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2.0</w:t>
            </w:r>
          </w:p>
        </w:tc>
        <w:tc>
          <w:tcPr>
            <w:tcW w:w="916"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14.40</w:t>
            </w:r>
          </w:p>
        </w:tc>
        <w:tc>
          <w:tcPr>
            <w:tcW w:w="842"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19.20</w:t>
            </w:r>
          </w:p>
        </w:tc>
        <w:tc>
          <w:tcPr>
            <w:tcW w:w="851"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24.00</w:t>
            </w:r>
          </w:p>
        </w:tc>
        <w:tc>
          <w:tcPr>
            <w:tcW w:w="851"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28.80</w:t>
            </w:r>
          </w:p>
        </w:tc>
        <w:tc>
          <w:tcPr>
            <w:tcW w:w="850"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33.60</w:t>
            </w:r>
          </w:p>
        </w:tc>
        <w:tc>
          <w:tcPr>
            <w:tcW w:w="851"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38.40</w:t>
            </w:r>
          </w:p>
        </w:tc>
        <w:tc>
          <w:tcPr>
            <w:tcW w:w="793"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43.20</w:t>
            </w:r>
          </w:p>
        </w:tc>
        <w:tc>
          <w:tcPr>
            <w:tcW w:w="850" w:type="dxa"/>
            <w:tcBorders>
              <w:left w:val="single" w:sz="6" w:space="0" w:color="auto"/>
              <w:bottom w:val="single" w:sz="6" w:space="0" w:color="auto"/>
              <w:right w:val="single" w:sz="6" w:space="0" w:color="auto"/>
            </w:tcBorders>
          </w:tcPr>
          <w:p w:rsidR="00922616" w:rsidRPr="00922616" w:rsidRDefault="00D54072" w:rsidP="002C3D10">
            <w:pPr>
              <w:spacing w:before="60" w:after="60" w:line="360" w:lineRule="atLeast"/>
              <w:jc w:val="center"/>
              <w:rPr>
                <w:rFonts w:ascii="Arial" w:hAnsi="Arial" w:cs="Arial"/>
                <w:sz w:val="20"/>
              </w:rPr>
            </w:pPr>
            <w:r w:rsidRPr="00D54072">
              <w:rPr>
                <w:rFonts w:ascii="Arial" w:hAnsi="Arial" w:cs="Arial"/>
                <w:sz w:val="20"/>
              </w:rPr>
              <w:t>48.00</w:t>
            </w:r>
          </w:p>
        </w:tc>
      </w:tr>
    </w:tbl>
    <w:p w:rsidR="005A21BD" w:rsidRDefault="005A21BD">
      <w:pPr>
        <w:rPr>
          <w:rFonts w:ascii="Arial" w:hAnsi="Arial"/>
        </w:rPr>
      </w:pPr>
    </w:p>
    <w:p w:rsidR="00B64C2F" w:rsidRDefault="00B64C2F">
      <w:pPr>
        <w:rPr>
          <w:rFonts w:ascii="Arial" w:hAnsi="Arial"/>
        </w:rPr>
      </w:pPr>
    </w:p>
    <w:p w:rsidR="00E9027E" w:rsidRDefault="00D54072">
      <w:pPr>
        <w:spacing w:after="120"/>
        <w:rPr>
          <w:rFonts w:ascii="Arial" w:hAnsi="Arial" w:cs="Arial"/>
          <w:b/>
          <w:szCs w:val="22"/>
        </w:rPr>
      </w:pPr>
      <w:r w:rsidRPr="00D54072">
        <w:rPr>
          <w:rFonts w:ascii="Arial" w:hAnsi="Arial" w:cs="Arial"/>
          <w:b/>
          <w:szCs w:val="22"/>
        </w:rPr>
        <w:t>Administration by Target-Controlled Infusion</w:t>
      </w:r>
    </w:p>
    <w:p w:rsidR="00E9027E" w:rsidRDefault="00D54072">
      <w:pPr>
        <w:spacing w:after="120"/>
        <w:rPr>
          <w:rFonts w:ascii="Arial" w:hAnsi="Arial" w:cs="Arial"/>
          <w:szCs w:val="22"/>
        </w:rPr>
      </w:pPr>
      <w:r w:rsidRPr="00D54072">
        <w:rPr>
          <w:rFonts w:ascii="Arial" w:hAnsi="Arial" w:cs="Arial"/>
          <w:szCs w:val="22"/>
        </w:rPr>
        <w:t xml:space="preserve">For TCI the recommended dilution of </w:t>
      </w:r>
      <w:r w:rsidRPr="00D54072">
        <w:rPr>
          <w:szCs w:val="22"/>
        </w:rPr>
        <w:t>Ultiva is 20 to 50 micrograms/mL.</w:t>
      </w:r>
    </w:p>
    <w:p w:rsidR="00E9027E" w:rsidRDefault="00D54072">
      <w:pPr>
        <w:tabs>
          <w:tab w:val="left" w:pos="284"/>
        </w:tabs>
        <w:spacing w:before="60" w:after="120"/>
        <w:rPr>
          <w:rFonts w:ascii="Arial" w:hAnsi="Arial" w:cs="Arial"/>
          <w:b/>
          <w:szCs w:val="22"/>
          <w:lang w:val="en-US" w:eastAsia="en-US"/>
        </w:rPr>
      </w:pPr>
      <w:r w:rsidRPr="00D54072">
        <w:rPr>
          <w:rFonts w:ascii="Arial" w:hAnsi="Arial" w:cs="Arial"/>
          <w:szCs w:val="22"/>
        </w:rPr>
        <w:t xml:space="preserve">The following table gives guidelines for blood concentrations achieved at steady </w:t>
      </w:r>
      <w:r w:rsidRPr="00D54072">
        <w:rPr>
          <w:rFonts w:ascii="Arial" w:hAnsi="Arial" w:cs="Arial"/>
          <w:szCs w:val="22"/>
          <w:lang w:val="en-US" w:eastAsia="en-US"/>
        </w:rPr>
        <w:t>steady state with MCI in a 70 kg, 170 cm, 40 year old, male patient (using Minto PK model).</w:t>
      </w:r>
    </w:p>
    <w:p w:rsidR="00E9027E" w:rsidRDefault="00D54072">
      <w:pPr>
        <w:tabs>
          <w:tab w:val="left" w:pos="284"/>
        </w:tabs>
        <w:spacing w:before="60" w:after="120"/>
        <w:rPr>
          <w:rFonts w:ascii="Arial" w:hAnsi="Arial" w:cs="Arial"/>
          <w:b/>
          <w:szCs w:val="22"/>
          <w:lang w:val="en-US" w:eastAsia="en-US"/>
        </w:rPr>
      </w:pPr>
      <w:r w:rsidRPr="00D54072">
        <w:rPr>
          <w:rFonts w:ascii="Arial" w:hAnsi="Arial" w:cs="Arial"/>
          <w:b/>
          <w:szCs w:val="22"/>
          <w:lang w:val="en-US" w:eastAsia="en-US"/>
        </w:rPr>
        <w:t>Table 15: Blood concentrations achieved at steady state with MCI in a 70 kg, 170 cm, 40 year old, male patient (using Minto PK model)</w:t>
      </w:r>
    </w:p>
    <w:tbl>
      <w:tblPr>
        <w:tblStyle w:val="TableGrid"/>
        <w:tblW w:w="0" w:type="auto"/>
        <w:tblInd w:w="108" w:type="dxa"/>
        <w:tblLook w:val="04A0"/>
      </w:tblPr>
      <w:tblGrid>
        <w:gridCol w:w="3544"/>
        <w:gridCol w:w="3969"/>
      </w:tblGrid>
      <w:tr w:rsidR="00992339" w:rsidRPr="00D1131E" w:rsidTr="00992339">
        <w:tc>
          <w:tcPr>
            <w:tcW w:w="3544" w:type="dxa"/>
          </w:tcPr>
          <w:p w:rsidR="00E9027E" w:rsidRDefault="00D54072">
            <w:pPr>
              <w:tabs>
                <w:tab w:val="left" w:pos="284"/>
              </w:tabs>
              <w:spacing w:before="60" w:after="60"/>
              <w:jc w:val="center"/>
              <w:rPr>
                <w:rFonts w:ascii="Arial" w:hAnsi="Arial" w:cs="Arial"/>
                <w:b/>
                <w:sz w:val="20"/>
                <w:lang w:val="en-US" w:eastAsia="en-US"/>
              </w:rPr>
            </w:pPr>
            <w:r w:rsidRPr="00D54072">
              <w:rPr>
                <w:rFonts w:ascii="Arial" w:hAnsi="Arial" w:cs="Arial"/>
                <w:b/>
                <w:sz w:val="20"/>
                <w:lang w:val="en-US" w:eastAsia="en-US"/>
              </w:rPr>
              <w:t>Remifentanil Infusion Rate (µg/kg/min)</w:t>
            </w:r>
          </w:p>
        </w:tc>
        <w:tc>
          <w:tcPr>
            <w:tcW w:w="3969" w:type="dxa"/>
          </w:tcPr>
          <w:p w:rsidR="00E9027E" w:rsidRDefault="00D54072">
            <w:pPr>
              <w:tabs>
                <w:tab w:val="left" w:pos="284"/>
              </w:tabs>
              <w:spacing w:before="60" w:after="60"/>
              <w:jc w:val="center"/>
              <w:rPr>
                <w:rFonts w:ascii="Arial" w:hAnsi="Arial" w:cs="Arial"/>
                <w:b/>
                <w:sz w:val="20"/>
                <w:lang w:val="en-US" w:eastAsia="en-US"/>
              </w:rPr>
            </w:pPr>
            <w:r w:rsidRPr="00D54072">
              <w:rPr>
                <w:rFonts w:ascii="Arial" w:hAnsi="Arial" w:cs="Arial"/>
                <w:b/>
                <w:sz w:val="20"/>
                <w:lang w:val="en-US" w:eastAsia="en-US"/>
              </w:rPr>
              <w:t>Remifentanil blood concentration (ng/mL)</w:t>
            </w:r>
          </w:p>
        </w:tc>
      </w:tr>
      <w:tr w:rsidR="00992339" w:rsidRPr="00D1131E" w:rsidTr="00992339">
        <w:tc>
          <w:tcPr>
            <w:tcW w:w="3544"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0.05</w:t>
            </w:r>
          </w:p>
        </w:tc>
        <w:tc>
          <w:tcPr>
            <w:tcW w:w="3969"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1.3</w:t>
            </w:r>
          </w:p>
        </w:tc>
      </w:tr>
      <w:tr w:rsidR="00992339" w:rsidRPr="00D1131E" w:rsidTr="00992339">
        <w:tc>
          <w:tcPr>
            <w:tcW w:w="3544"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0.10</w:t>
            </w:r>
          </w:p>
        </w:tc>
        <w:tc>
          <w:tcPr>
            <w:tcW w:w="3969"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2.6</w:t>
            </w:r>
          </w:p>
        </w:tc>
      </w:tr>
      <w:tr w:rsidR="00992339" w:rsidRPr="00D1131E" w:rsidTr="00992339">
        <w:tc>
          <w:tcPr>
            <w:tcW w:w="3544"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0.25</w:t>
            </w:r>
          </w:p>
        </w:tc>
        <w:tc>
          <w:tcPr>
            <w:tcW w:w="3969"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6.3</w:t>
            </w:r>
          </w:p>
        </w:tc>
      </w:tr>
      <w:tr w:rsidR="00992339" w:rsidRPr="00D1131E" w:rsidTr="00992339">
        <w:tc>
          <w:tcPr>
            <w:tcW w:w="3544"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0.40</w:t>
            </w:r>
          </w:p>
        </w:tc>
        <w:tc>
          <w:tcPr>
            <w:tcW w:w="3969"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10.4</w:t>
            </w:r>
          </w:p>
        </w:tc>
      </w:tr>
      <w:tr w:rsidR="00992339" w:rsidRPr="00D1131E" w:rsidTr="00992339">
        <w:tc>
          <w:tcPr>
            <w:tcW w:w="3544"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0.50</w:t>
            </w:r>
          </w:p>
        </w:tc>
        <w:tc>
          <w:tcPr>
            <w:tcW w:w="3969"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12.6</w:t>
            </w:r>
          </w:p>
        </w:tc>
      </w:tr>
      <w:tr w:rsidR="00992339" w:rsidRPr="00D1131E" w:rsidTr="00992339">
        <w:tc>
          <w:tcPr>
            <w:tcW w:w="3544"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1.0</w:t>
            </w:r>
          </w:p>
        </w:tc>
        <w:tc>
          <w:tcPr>
            <w:tcW w:w="3969"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25.2</w:t>
            </w:r>
          </w:p>
        </w:tc>
      </w:tr>
      <w:tr w:rsidR="00992339" w:rsidRPr="00D1131E" w:rsidTr="00992339">
        <w:tc>
          <w:tcPr>
            <w:tcW w:w="3544"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2.0</w:t>
            </w:r>
          </w:p>
        </w:tc>
        <w:tc>
          <w:tcPr>
            <w:tcW w:w="3969" w:type="dxa"/>
          </w:tcPr>
          <w:p w:rsidR="00E9027E" w:rsidRDefault="00D54072">
            <w:pPr>
              <w:tabs>
                <w:tab w:val="left" w:pos="284"/>
              </w:tabs>
              <w:spacing w:before="60" w:after="60"/>
              <w:jc w:val="center"/>
              <w:rPr>
                <w:rFonts w:ascii="Arial" w:hAnsi="Arial" w:cs="Arial"/>
                <w:sz w:val="20"/>
                <w:lang w:val="en-US" w:eastAsia="en-US"/>
              </w:rPr>
            </w:pPr>
            <w:r w:rsidRPr="00D54072">
              <w:rPr>
                <w:rFonts w:ascii="Arial" w:hAnsi="Arial" w:cs="Arial"/>
                <w:sz w:val="20"/>
                <w:lang w:val="en-US" w:eastAsia="en-US"/>
              </w:rPr>
              <w:t>50.5</w:t>
            </w:r>
          </w:p>
        </w:tc>
      </w:tr>
    </w:tbl>
    <w:p w:rsidR="005A21BD" w:rsidRDefault="005A21BD">
      <w:pPr>
        <w:rPr>
          <w:rFonts w:ascii="Arial" w:hAnsi="Arial"/>
          <w:b/>
        </w:rPr>
      </w:pPr>
    </w:p>
    <w:p w:rsidR="00E9027E" w:rsidRDefault="00D54072">
      <w:pPr>
        <w:spacing w:after="120"/>
        <w:rPr>
          <w:rFonts w:ascii="Arial" w:hAnsi="Arial" w:cs="Arial"/>
          <w:b/>
          <w:szCs w:val="22"/>
        </w:rPr>
      </w:pPr>
      <w:r w:rsidRPr="00D54072">
        <w:rPr>
          <w:rFonts w:ascii="Arial" w:hAnsi="Arial" w:cs="Arial"/>
          <w:b/>
          <w:szCs w:val="22"/>
        </w:rPr>
        <w:t>Discontinuation:</w:t>
      </w:r>
    </w:p>
    <w:p w:rsidR="00E9027E" w:rsidRDefault="00D54072">
      <w:pPr>
        <w:spacing w:after="120"/>
        <w:rPr>
          <w:rFonts w:ascii="Arial" w:hAnsi="Arial" w:cs="Arial"/>
          <w:b/>
          <w:szCs w:val="22"/>
        </w:rPr>
      </w:pPr>
      <w:r w:rsidRPr="00D54072">
        <w:rPr>
          <w:rFonts w:ascii="Arial" w:hAnsi="Arial" w:cs="Arial"/>
          <w:b/>
          <w:szCs w:val="22"/>
        </w:rPr>
        <w:t xml:space="preserve">Upon discontinuation of Ultiva sufficient drug may remain in intravenous lines or in the dead space of cannulae to cause opioid-related effects (e.g. respiratory depression) if </w:t>
      </w:r>
      <w:r w:rsidRPr="00D54072">
        <w:rPr>
          <w:rFonts w:ascii="Arial" w:hAnsi="Arial" w:cs="Arial"/>
          <w:b/>
          <w:szCs w:val="22"/>
        </w:rPr>
        <w:lastRenderedPageBreak/>
        <w:t xml:space="preserve">the line is flushed.  Therefore, appropriate measures should be taken to avoid such inadvertent administration of Ultiva </w:t>
      </w:r>
      <w:r w:rsidRPr="00D54072">
        <w:rPr>
          <w:rFonts w:ascii="Arial" w:hAnsi="Arial" w:cs="Arial"/>
          <w:szCs w:val="22"/>
        </w:rPr>
        <w:t>(see</w:t>
      </w:r>
      <w:r w:rsidRPr="00D54072">
        <w:rPr>
          <w:rFonts w:ascii="Arial" w:hAnsi="Arial" w:cs="Arial"/>
          <w:b/>
          <w:szCs w:val="22"/>
        </w:rPr>
        <w:t xml:space="preserve"> PRECAUTIONS</w:t>
      </w:r>
      <w:r w:rsidRPr="00D54072">
        <w:rPr>
          <w:rFonts w:ascii="Arial" w:hAnsi="Arial" w:cs="Arial"/>
          <w:szCs w:val="22"/>
        </w:rPr>
        <w:t>)</w:t>
      </w:r>
      <w:r w:rsidRPr="00D54072">
        <w:rPr>
          <w:rFonts w:ascii="Arial" w:hAnsi="Arial" w:cs="Arial"/>
          <w:b/>
          <w:szCs w:val="22"/>
        </w:rPr>
        <w:t>.</w:t>
      </w:r>
    </w:p>
    <w:p w:rsidR="00E9027E" w:rsidRDefault="00E9027E">
      <w:pPr>
        <w:spacing w:after="120"/>
        <w:rPr>
          <w:rFonts w:ascii="Arial" w:hAnsi="Arial" w:cs="Arial"/>
          <w:szCs w:val="22"/>
        </w:rPr>
      </w:pPr>
    </w:p>
    <w:p w:rsidR="00E9027E" w:rsidRDefault="00D54072">
      <w:pPr>
        <w:spacing w:after="120"/>
        <w:rPr>
          <w:rFonts w:ascii="Arial" w:hAnsi="Arial" w:cs="Arial"/>
          <w:b/>
          <w:szCs w:val="22"/>
        </w:rPr>
      </w:pPr>
      <w:r w:rsidRPr="00D54072">
        <w:rPr>
          <w:rFonts w:ascii="Arial" w:hAnsi="Arial" w:cs="Arial"/>
          <w:b/>
          <w:szCs w:val="22"/>
        </w:rPr>
        <w:t>O</w:t>
      </w:r>
      <w:smartTag w:uri="schemas-GSKSiteLocations-com/fourthcoffee" w:element="flavor">
        <w:r w:rsidRPr="00D54072">
          <w:rPr>
            <w:rFonts w:ascii="Arial" w:hAnsi="Arial" w:cs="Arial"/>
            <w:b/>
            <w:szCs w:val="22"/>
          </w:rPr>
          <w:t>VER</w:t>
        </w:r>
      </w:smartTag>
      <w:r w:rsidRPr="00D54072">
        <w:rPr>
          <w:rFonts w:ascii="Arial" w:hAnsi="Arial" w:cs="Arial"/>
          <w:b/>
          <w:szCs w:val="22"/>
        </w:rPr>
        <w:t>DOSAGE:</w:t>
      </w:r>
    </w:p>
    <w:p w:rsidR="00922616" w:rsidRDefault="00D54072">
      <w:pPr>
        <w:spacing w:after="120"/>
        <w:rPr>
          <w:rFonts w:ascii="Arial" w:hAnsi="Arial" w:cs="Arial"/>
          <w:szCs w:val="22"/>
        </w:rPr>
      </w:pPr>
      <w:r w:rsidRPr="00D54072">
        <w:rPr>
          <w:rFonts w:ascii="Arial" w:hAnsi="Arial" w:cs="Arial"/>
          <w:szCs w:val="22"/>
        </w:rPr>
        <w:t xml:space="preserve">Overdosage is manifested by an extension of the pharmacologically predictable actions of Ultiva.  </w:t>
      </w:r>
    </w:p>
    <w:p w:rsidR="00922616" w:rsidRDefault="00D54072">
      <w:pPr>
        <w:spacing w:after="120"/>
        <w:rPr>
          <w:rFonts w:ascii="Arial" w:hAnsi="Arial" w:cs="Arial"/>
          <w:szCs w:val="22"/>
        </w:rPr>
      </w:pPr>
      <w:r w:rsidRPr="00D54072">
        <w:rPr>
          <w:rFonts w:ascii="Arial" w:hAnsi="Arial" w:cs="Arial"/>
          <w:szCs w:val="22"/>
        </w:rPr>
        <w:t>In the event of overdosage or suspected overdosage, take the following actions:  discontinue administration of Ultiva, maintain a patent airway, initiate assisted or controlled ventilation with oxygen, and maintain adequate cardiovascular function.  If depressed respiration is associated with muscle rigidity, a neuromuscular blocking agent may be required to facilitate assisted or controlled respiration.  Intravenous fluids and vasopressor agents for the treatment of hypotension and other supportive measures may be employed.</w:t>
      </w:r>
    </w:p>
    <w:p w:rsidR="00E9027E" w:rsidRDefault="00D54072">
      <w:pPr>
        <w:spacing w:after="120"/>
        <w:rPr>
          <w:rFonts w:ascii="Arial" w:hAnsi="Arial" w:cs="Arial"/>
          <w:szCs w:val="22"/>
        </w:rPr>
      </w:pPr>
      <w:r w:rsidRPr="00D54072">
        <w:rPr>
          <w:rFonts w:ascii="Arial" w:hAnsi="Arial" w:cs="Arial"/>
          <w:szCs w:val="22"/>
        </w:rPr>
        <w:t xml:space="preserve">Intravenous administration of naloxone may be given as a specific antidote to manage severe respiratory depression and muscle rigidity. </w:t>
      </w:r>
    </w:p>
    <w:p w:rsidR="00E9027E" w:rsidRDefault="00E9027E">
      <w:pPr>
        <w:spacing w:after="120"/>
        <w:rPr>
          <w:rFonts w:ascii="Arial" w:hAnsi="Arial" w:cs="Arial"/>
          <w:szCs w:val="22"/>
        </w:rPr>
      </w:pPr>
    </w:p>
    <w:p w:rsidR="00E9027E" w:rsidRDefault="00D54072">
      <w:pPr>
        <w:spacing w:after="120"/>
        <w:rPr>
          <w:rFonts w:ascii="Arial" w:hAnsi="Arial" w:cs="Arial"/>
          <w:b/>
          <w:szCs w:val="22"/>
        </w:rPr>
      </w:pPr>
      <w:r w:rsidRPr="00D54072">
        <w:rPr>
          <w:rFonts w:ascii="Arial" w:hAnsi="Arial" w:cs="Arial"/>
          <w:b/>
          <w:szCs w:val="22"/>
        </w:rPr>
        <w:t>PRESENTATION AND STORAGE CONDITIONS:</w:t>
      </w:r>
    </w:p>
    <w:p w:rsidR="00E9027E" w:rsidRDefault="00D54072">
      <w:pPr>
        <w:spacing w:after="120"/>
        <w:rPr>
          <w:rFonts w:ascii="Arial" w:hAnsi="Arial" w:cs="Arial"/>
          <w:szCs w:val="22"/>
        </w:rPr>
      </w:pPr>
      <w:r w:rsidRPr="00D54072">
        <w:rPr>
          <w:rFonts w:ascii="Arial" w:hAnsi="Arial" w:cs="Arial"/>
          <w:szCs w:val="22"/>
        </w:rPr>
        <w:t>Ultiva Injection is a sterile, non-pyrogenic, preservative-free, white to off-white lyophilised powder for intravenous use and is available as:</w:t>
      </w:r>
    </w:p>
    <w:p w:rsidR="00E9027E" w:rsidRDefault="00D54072">
      <w:pPr>
        <w:spacing w:after="120"/>
        <w:rPr>
          <w:rFonts w:ascii="Arial" w:hAnsi="Arial" w:cs="Arial"/>
          <w:szCs w:val="22"/>
        </w:rPr>
      </w:pPr>
      <w:r w:rsidRPr="00D54072">
        <w:rPr>
          <w:rFonts w:ascii="Arial" w:hAnsi="Arial" w:cs="Arial"/>
          <w:szCs w:val="22"/>
        </w:rPr>
        <w:t>1 mg remifentanil base (as the hydrochloride salt) in 3 mL vials in cartons of 5.</w:t>
      </w:r>
    </w:p>
    <w:p w:rsidR="00E9027E" w:rsidRDefault="00D54072">
      <w:pPr>
        <w:spacing w:after="120"/>
        <w:rPr>
          <w:rFonts w:ascii="Arial" w:hAnsi="Arial" w:cs="Arial"/>
          <w:szCs w:val="22"/>
        </w:rPr>
      </w:pPr>
      <w:r w:rsidRPr="00D54072">
        <w:rPr>
          <w:rFonts w:ascii="Arial" w:hAnsi="Arial" w:cs="Arial"/>
          <w:szCs w:val="22"/>
        </w:rPr>
        <w:t>2 mg remifentanil base (as the hydrochloride salt) in 5 mL vials in cartons of 5.</w:t>
      </w:r>
    </w:p>
    <w:p w:rsidR="00E9027E" w:rsidRDefault="00D54072">
      <w:pPr>
        <w:spacing w:after="120"/>
        <w:rPr>
          <w:rFonts w:ascii="Arial" w:hAnsi="Arial" w:cs="Arial"/>
          <w:szCs w:val="22"/>
        </w:rPr>
      </w:pPr>
      <w:r w:rsidRPr="00D54072">
        <w:rPr>
          <w:rFonts w:ascii="Arial" w:hAnsi="Arial" w:cs="Arial"/>
          <w:szCs w:val="22"/>
        </w:rPr>
        <w:t>5 mg remifentanil base (as the hydrochloride salt) in 10 mL vials in cartons of 5.</w:t>
      </w:r>
    </w:p>
    <w:p w:rsidR="008E2B65" w:rsidRDefault="008E2B65">
      <w:pPr>
        <w:spacing w:after="120"/>
        <w:rPr>
          <w:rFonts w:ascii="Arial" w:hAnsi="Arial" w:cs="Arial"/>
          <w:szCs w:val="22"/>
        </w:rPr>
      </w:pPr>
    </w:p>
    <w:p w:rsidR="00E9027E" w:rsidRDefault="00D54072">
      <w:pPr>
        <w:spacing w:after="120"/>
        <w:rPr>
          <w:rFonts w:ascii="Arial" w:hAnsi="Arial" w:cs="Arial"/>
          <w:szCs w:val="22"/>
        </w:rPr>
      </w:pPr>
      <w:r w:rsidRPr="00D54072">
        <w:rPr>
          <w:rFonts w:ascii="Arial" w:hAnsi="Arial" w:cs="Arial"/>
          <w:szCs w:val="22"/>
        </w:rPr>
        <w:t>Container labelled “Single dose.”</w:t>
      </w:r>
    </w:p>
    <w:p w:rsidR="008E2B65" w:rsidRDefault="008E2B65">
      <w:pPr>
        <w:spacing w:after="120"/>
        <w:rPr>
          <w:rFonts w:ascii="Arial" w:hAnsi="Arial" w:cs="Arial"/>
          <w:szCs w:val="22"/>
        </w:rPr>
      </w:pPr>
    </w:p>
    <w:p w:rsidR="00E9027E" w:rsidRDefault="00D54072">
      <w:pPr>
        <w:spacing w:after="120"/>
        <w:rPr>
          <w:rFonts w:ascii="Arial" w:hAnsi="Arial" w:cs="Arial"/>
          <w:szCs w:val="22"/>
        </w:rPr>
      </w:pPr>
      <w:r w:rsidRPr="00D54072">
        <w:rPr>
          <w:rFonts w:ascii="Arial" w:hAnsi="Arial" w:cs="Arial"/>
          <w:szCs w:val="22"/>
        </w:rPr>
        <w:t>Store below 25°C.</w:t>
      </w:r>
    </w:p>
    <w:p w:rsidR="008E2B65" w:rsidRDefault="008E2B65">
      <w:pPr>
        <w:spacing w:after="120"/>
        <w:rPr>
          <w:rFonts w:ascii="Arial" w:hAnsi="Arial" w:cs="Arial"/>
          <w:szCs w:val="22"/>
        </w:rPr>
      </w:pPr>
    </w:p>
    <w:p w:rsidR="00E9027E" w:rsidRDefault="00D54072">
      <w:pPr>
        <w:spacing w:after="120"/>
        <w:rPr>
          <w:rFonts w:ascii="Arial" w:hAnsi="Arial" w:cs="Arial"/>
          <w:szCs w:val="22"/>
        </w:rPr>
      </w:pPr>
      <w:r w:rsidRPr="00D54072">
        <w:rPr>
          <w:rFonts w:ascii="Arial" w:hAnsi="Arial" w:cs="Arial"/>
          <w:szCs w:val="22"/>
        </w:rPr>
        <w:t>The reconstituted solution is chemically and physically stable for 48 hours at room temperature but since the product includes no preservative, reconstituted product should be used promptly and any unused material discarded.  If storage is necessary, hold at 2-8</w:t>
      </w:r>
      <w:r w:rsidRPr="00D54072">
        <w:rPr>
          <w:rFonts w:ascii="Arial" w:hAnsi="Arial" w:cs="Arial"/>
          <w:szCs w:val="22"/>
        </w:rPr>
        <w:sym w:font="Symbol" w:char="F0B0"/>
      </w:r>
      <w:r w:rsidRPr="00D54072">
        <w:rPr>
          <w:rFonts w:ascii="Arial" w:hAnsi="Arial" w:cs="Arial"/>
          <w:szCs w:val="22"/>
        </w:rPr>
        <w:t>C for not more than 24 hours to reduce microbiological hazard.</w:t>
      </w:r>
    </w:p>
    <w:p w:rsidR="00E9027E" w:rsidRDefault="00E9027E">
      <w:pPr>
        <w:spacing w:after="120"/>
        <w:rPr>
          <w:rFonts w:ascii="Arial" w:hAnsi="Arial" w:cs="Arial"/>
          <w:b/>
          <w:szCs w:val="22"/>
        </w:rPr>
      </w:pPr>
    </w:p>
    <w:p w:rsidR="00E9027E" w:rsidRDefault="00D54072">
      <w:pPr>
        <w:spacing w:after="120"/>
        <w:rPr>
          <w:rFonts w:ascii="Arial" w:hAnsi="Arial" w:cs="Arial"/>
          <w:b/>
          <w:szCs w:val="22"/>
        </w:rPr>
      </w:pPr>
      <w:r w:rsidRPr="00D54072">
        <w:rPr>
          <w:rFonts w:ascii="Arial" w:hAnsi="Arial" w:cs="Arial"/>
          <w:b/>
          <w:szCs w:val="22"/>
        </w:rPr>
        <w:t xml:space="preserve">NAME </w:t>
      </w:r>
      <w:smartTag w:uri="urn:schemas-microsoft-com:office:smarttags" w:element="stockticker">
        <w:r w:rsidRPr="00D54072">
          <w:rPr>
            <w:rFonts w:ascii="Arial" w:hAnsi="Arial" w:cs="Arial"/>
            <w:b/>
            <w:szCs w:val="22"/>
          </w:rPr>
          <w:t>AND</w:t>
        </w:r>
      </w:smartTag>
      <w:r w:rsidRPr="00D54072">
        <w:rPr>
          <w:rFonts w:ascii="Arial" w:hAnsi="Arial" w:cs="Arial"/>
          <w:b/>
          <w:szCs w:val="22"/>
        </w:rPr>
        <w:t xml:space="preserve"> ADDRESS OF THE SPONSOR:</w:t>
      </w:r>
    </w:p>
    <w:p w:rsidR="00E9027E" w:rsidRDefault="00D54072">
      <w:pPr>
        <w:spacing w:after="120"/>
        <w:rPr>
          <w:rFonts w:ascii="Arial" w:hAnsi="Arial" w:cs="Arial"/>
          <w:szCs w:val="22"/>
        </w:rPr>
      </w:pPr>
      <w:r w:rsidRPr="00D54072">
        <w:rPr>
          <w:rFonts w:ascii="Arial" w:hAnsi="Arial" w:cs="Arial"/>
          <w:szCs w:val="22"/>
        </w:rPr>
        <w:t>GlaxoSmithKline Australia Pty Ltd</w:t>
      </w:r>
    </w:p>
    <w:p w:rsidR="00E9027E" w:rsidRDefault="00D54072">
      <w:pPr>
        <w:spacing w:after="120"/>
        <w:rPr>
          <w:rFonts w:ascii="Arial" w:hAnsi="Arial" w:cs="Arial"/>
          <w:szCs w:val="22"/>
        </w:rPr>
      </w:pPr>
      <w:r w:rsidRPr="00D54072">
        <w:rPr>
          <w:rFonts w:ascii="Arial" w:hAnsi="Arial" w:cs="Arial"/>
          <w:szCs w:val="22"/>
        </w:rPr>
        <w:t>Level 4, 436 Johnston Street</w:t>
      </w:r>
    </w:p>
    <w:p w:rsidR="00E9027E" w:rsidRDefault="00D54072">
      <w:pPr>
        <w:spacing w:after="120"/>
        <w:rPr>
          <w:rFonts w:ascii="Arial" w:hAnsi="Arial" w:cs="Arial"/>
          <w:szCs w:val="22"/>
        </w:rPr>
      </w:pPr>
      <w:r w:rsidRPr="00D54072">
        <w:rPr>
          <w:rFonts w:ascii="Arial" w:hAnsi="Arial" w:cs="Arial"/>
          <w:szCs w:val="22"/>
        </w:rPr>
        <w:t>Abbotsford, Victoria, 3067</w:t>
      </w:r>
    </w:p>
    <w:p w:rsidR="00E9027E" w:rsidRDefault="00E9027E">
      <w:pPr>
        <w:spacing w:after="120"/>
        <w:rPr>
          <w:rFonts w:ascii="Arial" w:hAnsi="Arial" w:cs="Arial"/>
          <w:szCs w:val="22"/>
        </w:rPr>
      </w:pPr>
    </w:p>
    <w:p w:rsidR="00E9027E" w:rsidRDefault="00D54072">
      <w:pPr>
        <w:spacing w:after="120"/>
        <w:rPr>
          <w:rFonts w:ascii="Arial" w:hAnsi="Arial" w:cs="Arial"/>
          <w:szCs w:val="22"/>
        </w:rPr>
      </w:pPr>
      <w:r w:rsidRPr="00D54072">
        <w:rPr>
          <w:rFonts w:ascii="Arial" w:hAnsi="Arial" w:cs="Arial"/>
          <w:b/>
          <w:szCs w:val="22"/>
        </w:rPr>
        <w:t>POISON SCHEDULE OF THE MEDICINE</w:t>
      </w:r>
    </w:p>
    <w:p w:rsidR="00E9027E" w:rsidRDefault="00D54072">
      <w:pPr>
        <w:spacing w:after="120"/>
        <w:rPr>
          <w:rFonts w:ascii="Arial" w:hAnsi="Arial" w:cs="Arial"/>
          <w:szCs w:val="22"/>
        </w:rPr>
      </w:pPr>
      <w:r w:rsidRPr="00D54072">
        <w:rPr>
          <w:rFonts w:ascii="Arial" w:hAnsi="Arial" w:cs="Arial"/>
          <w:szCs w:val="22"/>
        </w:rPr>
        <w:t xml:space="preserve">Schedule </w:t>
      </w:r>
      <w:r w:rsidR="004B2F21">
        <w:rPr>
          <w:rFonts w:ascii="Arial" w:hAnsi="Arial" w:cs="Arial"/>
          <w:szCs w:val="22"/>
        </w:rPr>
        <w:t>8. Controlled Drug</w:t>
      </w:r>
    </w:p>
    <w:p w:rsidR="00E9027E" w:rsidRDefault="00E9027E">
      <w:pPr>
        <w:pStyle w:val="Heading3"/>
        <w:spacing w:after="120"/>
        <w:rPr>
          <w:rFonts w:ascii="Arial" w:hAnsi="Arial" w:cs="Arial"/>
          <w:szCs w:val="22"/>
        </w:rPr>
      </w:pPr>
    </w:p>
    <w:p w:rsidR="00E9027E" w:rsidRDefault="00D54072">
      <w:pPr>
        <w:spacing w:after="120"/>
        <w:rPr>
          <w:rFonts w:ascii="Arial" w:hAnsi="Arial" w:cs="Arial"/>
          <w:szCs w:val="22"/>
        </w:rPr>
      </w:pPr>
      <w:r w:rsidRPr="00D54072">
        <w:rPr>
          <w:rFonts w:ascii="Arial" w:hAnsi="Arial" w:cs="Arial"/>
          <w:b/>
          <w:szCs w:val="22"/>
        </w:rPr>
        <w:t xml:space="preserve">DATE OF FIRST INCLUSION IN THE AUSTRALIAN REGISTER OF THERAPEUTIC GOODS (THE ARTG): </w:t>
      </w:r>
      <w:r w:rsidRPr="00D54072">
        <w:rPr>
          <w:rFonts w:ascii="Arial" w:hAnsi="Arial" w:cs="Arial"/>
          <w:szCs w:val="22"/>
        </w:rPr>
        <w:t>4 May 1998</w:t>
      </w:r>
    </w:p>
    <w:p w:rsidR="00E9027E" w:rsidRDefault="00E9027E">
      <w:pPr>
        <w:pStyle w:val="Heading3"/>
        <w:spacing w:after="120"/>
        <w:rPr>
          <w:rFonts w:ascii="Arial" w:hAnsi="Arial" w:cs="Arial"/>
          <w:szCs w:val="22"/>
        </w:rPr>
      </w:pPr>
    </w:p>
    <w:p w:rsidR="008E2B65" w:rsidRDefault="008E2B65">
      <w:pPr>
        <w:rPr>
          <w:rFonts w:ascii="Arial" w:hAnsi="Arial" w:cs="Arial"/>
          <w:b/>
          <w:szCs w:val="22"/>
        </w:rPr>
      </w:pPr>
      <w:r>
        <w:rPr>
          <w:rFonts w:ascii="Arial" w:hAnsi="Arial" w:cs="Arial"/>
          <w:szCs w:val="22"/>
        </w:rPr>
        <w:br w:type="page"/>
      </w:r>
    </w:p>
    <w:p w:rsidR="00E9027E" w:rsidRDefault="00D54072">
      <w:pPr>
        <w:pStyle w:val="Heading3"/>
        <w:spacing w:after="120"/>
        <w:rPr>
          <w:rFonts w:ascii="Arial" w:hAnsi="Arial" w:cs="Arial"/>
          <w:szCs w:val="22"/>
          <w:u w:val="none"/>
        </w:rPr>
      </w:pPr>
      <w:r w:rsidRPr="00D54072">
        <w:rPr>
          <w:rFonts w:ascii="Arial" w:hAnsi="Arial" w:cs="Arial"/>
          <w:szCs w:val="22"/>
          <w:u w:val="none"/>
        </w:rPr>
        <w:lastRenderedPageBreak/>
        <w:t xml:space="preserve">DATE OF MOST RECENT AMENDMENT: </w:t>
      </w:r>
      <w:r w:rsidR="000C2BFC">
        <w:rPr>
          <w:rFonts w:ascii="Arial" w:hAnsi="Arial" w:cs="Arial"/>
          <w:szCs w:val="22"/>
          <w:u w:val="none"/>
        </w:rPr>
        <w:t>28 June 2012</w:t>
      </w:r>
    </w:p>
    <w:p w:rsidR="00E9027E" w:rsidRDefault="00E9027E">
      <w:pPr>
        <w:tabs>
          <w:tab w:val="left" w:pos="180"/>
        </w:tabs>
        <w:spacing w:after="120"/>
        <w:rPr>
          <w:rFonts w:ascii="Arial" w:hAnsi="Arial" w:cs="Arial"/>
          <w:szCs w:val="22"/>
        </w:rPr>
      </w:pPr>
    </w:p>
    <w:p w:rsidR="00E9027E" w:rsidRDefault="00D54072">
      <w:pPr>
        <w:tabs>
          <w:tab w:val="left" w:pos="180"/>
        </w:tabs>
        <w:spacing w:after="120"/>
        <w:rPr>
          <w:rFonts w:ascii="Arial" w:hAnsi="Arial" w:cs="Arial"/>
          <w:szCs w:val="22"/>
        </w:rPr>
      </w:pPr>
      <w:r w:rsidRPr="00D54072">
        <w:rPr>
          <w:rFonts w:ascii="Arial" w:hAnsi="Arial" w:cs="Arial"/>
          <w:szCs w:val="22"/>
        </w:rPr>
        <w:t xml:space="preserve">Version </w:t>
      </w:r>
      <w:r w:rsidR="00807166">
        <w:rPr>
          <w:rFonts w:ascii="Arial" w:hAnsi="Arial" w:cs="Arial"/>
          <w:szCs w:val="22"/>
        </w:rPr>
        <w:t>4.0</w:t>
      </w:r>
    </w:p>
    <w:p w:rsidR="00E9027E" w:rsidRDefault="00E9027E">
      <w:pPr>
        <w:spacing w:after="120"/>
        <w:rPr>
          <w:rFonts w:ascii="Arial" w:hAnsi="Arial" w:cs="Arial"/>
          <w:b/>
          <w:szCs w:val="22"/>
          <w:bdr w:val="single" w:sz="4" w:space="0" w:color="auto"/>
        </w:rPr>
      </w:pPr>
    </w:p>
    <w:p w:rsidR="00E9027E" w:rsidRDefault="00D54072">
      <w:pPr>
        <w:spacing w:after="120"/>
        <w:rPr>
          <w:rFonts w:ascii="Arial" w:hAnsi="Arial" w:cs="Arial"/>
          <w:b/>
          <w:szCs w:val="22"/>
        </w:rPr>
      </w:pPr>
      <w:r w:rsidRPr="00D54072">
        <w:rPr>
          <w:rFonts w:ascii="Arial" w:hAnsi="Arial" w:cs="Arial"/>
          <w:szCs w:val="22"/>
        </w:rPr>
        <w:t>Ultiva</w:t>
      </w:r>
      <w:r w:rsidRPr="00D54072">
        <w:rPr>
          <w:rFonts w:ascii="Arial" w:hAnsi="Arial" w:cs="Arial"/>
          <w:szCs w:val="22"/>
          <w:vertAlign w:val="superscript"/>
        </w:rPr>
        <w:sym w:font="Symbol" w:char="F0D2"/>
      </w:r>
      <w:r w:rsidRPr="00D54072">
        <w:rPr>
          <w:rFonts w:ascii="Arial" w:hAnsi="Arial" w:cs="Arial"/>
          <w:szCs w:val="22"/>
        </w:rPr>
        <w:t xml:space="preserve"> is a registered trade mark of the GlaxoSmithKline group of companies.</w:t>
      </w:r>
    </w:p>
    <w:sectPr w:rsidR="00E9027E" w:rsidSect="00DE389E">
      <w:headerReference w:type="default" r:id="rId10"/>
      <w:footerReference w:type="default" r:id="rId11"/>
      <w:pgSz w:w="11894" w:h="16834" w:code="9"/>
      <w:pgMar w:top="1276" w:right="1298"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4D1" w:rsidRDefault="00EF24D1">
      <w:r>
        <w:separator/>
      </w:r>
    </w:p>
  </w:endnote>
  <w:endnote w:type="continuationSeparator" w:id="0">
    <w:p w:rsidR="00EF24D1" w:rsidRDefault="00EF24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fa Rotis Semisans">
    <w:altName w:val="Tahoma"/>
    <w:charset w:val="00"/>
    <w:family w:val="swiss"/>
    <w:pitch w:val="variable"/>
    <w:sig w:usb0="00000007" w:usb1="00000000" w:usb2="00000000" w:usb3="00000000" w:csb0="00000013"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F1" w:rsidRPr="004D104B" w:rsidRDefault="008540FE" w:rsidP="004D104B">
    <w:pPr>
      <w:pStyle w:val="Footer"/>
      <w:tabs>
        <w:tab w:val="clear" w:pos="4320"/>
        <w:tab w:val="clear" w:pos="8640"/>
        <w:tab w:val="left" w:pos="284"/>
        <w:tab w:val="right" w:pos="8931"/>
      </w:tabs>
      <w:jc w:val="center"/>
      <w:rPr>
        <w:rFonts w:ascii="Arial" w:hAnsi="Arial" w:cs="Arial"/>
        <w:sz w:val="16"/>
        <w:szCs w:val="16"/>
      </w:rPr>
    </w:pPr>
    <w:r w:rsidRPr="004D104B">
      <w:rPr>
        <w:rStyle w:val="PageNumber"/>
        <w:rFonts w:ascii="Arial" w:hAnsi="Arial" w:cs="Arial"/>
        <w:sz w:val="16"/>
        <w:szCs w:val="16"/>
      </w:rPr>
      <w:fldChar w:fldCharType="begin"/>
    </w:r>
    <w:r w:rsidR="009A75F1" w:rsidRPr="004D104B">
      <w:rPr>
        <w:rStyle w:val="PageNumber"/>
        <w:rFonts w:ascii="Arial" w:hAnsi="Arial" w:cs="Arial"/>
        <w:sz w:val="16"/>
        <w:szCs w:val="16"/>
      </w:rPr>
      <w:instrText xml:space="preserve"> PAGE </w:instrText>
    </w:r>
    <w:r w:rsidRPr="004D104B">
      <w:rPr>
        <w:rStyle w:val="PageNumber"/>
        <w:rFonts w:ascii="Arial" w:hAnsi="Arial" w:cs="Arial"/>
        <w:sz w:val="16"/>
        <w:szCs w:val="16"/>
      </w:rPr>
      <w:fldChar w:fldCharType="separate"/>
    </w:r>
    <w:r w:rsidR="00730CC2">
      <w:rPr>
        <w:rStyle w:val="PageNumber"/>
        <w:rFonts w:ascii="Arial" w:hAnsi="Arial" w:cs="Arial"/>
        <w:noProof/>
        <w:sz w:val="16"/>
        <w:szCs w:val="16"/>
      </w:rPr>
      <w:t>2</w:t>
    </w:r>
    <w:r w:rsidRPr="004D104B">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4D1" w:rsidRDefault="00EF24D1">
      <w:r>
        <w:separator/>
      </w:r>
    </w:p>
  </w:footnote>
  <w:footnote w:type="continuationSeparator" w:id="0">
    <w:p w:rsidR="00EF24D1" w:rsidRDefault="00EF24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8955B5" w:rsidTr="00625DFE">
      <w:tc>
        <w:tcPr>
          <w:tcW w:w="8720" w:type="dxa"/>
          <w:shd w:val="clear" w:color="auto" w:fill="E4F2E0"/>
        </w:tcPr>
        <w:p w:rsidR="008955B5" w:rsidRPr="00D361CA" w:rsidRDefault="008955B5" w:rsidP="008955B5">
          <w:pPr>
            <w:spacing w:before="40" w:after="40"/>
            <w:rPr>
              <w:b/>
              <w:sz w:val="20"/>
            </w:rPr>
          </w:pPr>
          <w:r w:rsidRPr="00D361CA">
            <w:rPr>
              <w:b/>
              <w:sz w:val="20"/>
            </w:rPr>
            <w:t xml:space="preserve">Attachment 1: Product information for </w:t>
          </w:r>
          <w:r w:rsidRPr="008955B5">
            <w:rPr>
              <w:b/>
              <w:sz w:val="20"/>
            </w:rPr>
            <w:t>AusPAR Ultiva GlaxoSmithKline Australia Pty Ltd PM-2011-00909-3-1</w:t>
          </w:r>
          <w:r>
            <w:rPr>
              <w:b/>
              <w:sz w:val="20"/>
            </w:rPr>
            <w:t xml:space="preserve"> </w:t>
          </w:r>
          <w:r w:rsidRPr="008955B5">
            <w:rPr>
              <w:b/>
              <w:sz w:val="20"/>
            </w:rPr>
            <w:t>Final 29 January 2013</w:t>
          </w:r>
          <w:r w:rsidRPr="00D361CA">
            <w:rPr>
              <w:b/>
              <w:sz w:val="20"/>
            </w:rPr>
            <w:t>. This Product Information was approved at the time this AusPAR was published.</w:t>
          </w:r>
        </w:p>
      </w:tc>
    </w:tr>
  </w:tbl>
  <w:p w:rsidR="008955B5" w:rsidRPr="00F0271E" w:rsidRDefault="008955B5" w:rsidP="008955B5">
    <w:pPr>
      <w:rPr>
        <w:i/>
      </w:rPr>
    </w:pPr>
  </w:p>
  <w:p w:rsidR="008955B5" w:rsidRDefault="008955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11B4623E"/>
    <w:lvl w:ilvl="0">
      <w:start w:val="1"/>
      <w:numFmt w:val="decimal"/>
      <w:lvlText w:val="%1."/>
      <w:legacy w:legacy="1" w:legacySpace="0" w:legacyIndent="1152"/>
      <w:lvlJc w:val="left"/>
      <w:pPr>
        <w:ind w:left="1152" w:hanging="1152"/>
      </w:p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289784A"/>
    <w:multiLevelType w:val="hybridMultilevel"/>
    <w:tmpl w:val="F962D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636CF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6A52B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EC246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111A4C61"/>
    <w:multiLevelType w:val="singleLevel"/>
    <w:tmpl w:val="C1F20DCC"/>
    <w:lvl w:ilvl="0">
      <w:start w:val="2"/>
      <w:numFmt w:val="decimal"/>
      <w:lvlText w:val="%1."/>
      <w:lvlJc w:val="left"/>
      <w:pPr>
        <w:tabs>
          <w:tab w:val="num" w:pos="420"/>
        </w:tabs>
        <w:ind w:left="420" w:hanging="420"/>
      </w:pPr>
      <w:rPr>
        <w:rFonts w:hint="default"/>
      </w:rPr>
    </w:lvl>
  </w:abstractNum>
  <w:abstractNum w:abstractNumId="6">
    <w:nsid w:val="11CE4B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CB7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90B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7BE62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95E31EF"/>
    <w:multiLevelType w:val="singleLevel"/>
    <w:tmpl w:val="A75AA7D8"/>
    <w:lvl w:ilvl="0">
      <w:start w:val="1"/>
      <w:numFmt w:val="lowerLetter"/>
      <w:lvlText w:val="(%1)"/>
      <w:lvlJc w:val="left"/>
      <w:pPr>
        <w:tabs>
          <w:tab w:val="num" w:pos="420"/>
        </w:tabs>
        <w:ind w:left="420" w:hanging="420"/>
      </w:pPr>
      <w:rPr>
        <w:rFonts w:hint="default"/>
      </w:rPr>
    </w:lvl>
  </w:abstractNum>
  <w:abstractNum w:abstractNumId="11">
    <w:nsid w:val="2A582410"/>
    <w:multiLevelType w:val="singleLevel"/>
    <w:tmpl w:val="CFC67BD0"/>
    <w:lvl w:ilvl="0">
      <w:start w:val="1"/>
      <w:numFmt w:val="bullet"/>
      <w:lvlText w:val=""/>
      <w:lvlJc w:val="left"/>
      <w:pPr>
        <w:tabs>
          <w:tab w:val="num" w:pos="360"/>
        </w:tabs>
        <w:ind w:left="360" w:hanging="360"/>
      </w:pPr>
      <w:rPr>
        <w:rFonts w:ascii="Symbol" w:hAnsi="Symbol" w:hint="default"/>
      </w:rPr>
    </w:lvl>
  </w:abstractNum>
  <w:abstractNum w:abstractNumId="12">
    <w:nsid w:val="2B3245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035190D"/>
    <w:multiLevelType w:val="singleLevel"/>
    <w:tmpl w:val="CFC67BD0"/>
    <w:lvl w:ilvl="0">
      <w:start w:val="1"/>
      <w:numFmt w:val="bullet"/>
      <w:pStyle w:val="listbull"/>
      <w:lvlText w:val=""/>
      <w:lvlJc w:val="left"/>
      <w:pPr>
        <w:tabs>
          <w:tab w:val="num" w:pos="360"/>
        </w:tabs>
        <w:ind w:left="360" w:hanging="360"/>
      </w:pPr>
      <w:rPr>
        <w:rFonts w:ascii="Symbol" w:hAnsi="Symbol" w:hint="default"/>
      </w:rPr>
    </w:lvl>
  </w:abstractNum>
  <w:abstractNum w:abstractNumId="14">
    <w:nsid w:val="3CD74890"/>
    <w:multiLevelType w:val="multilevel"/>
    <w:tmpl w:val="FF28415C"/>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EC37EC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nsid w:val="433C0AE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46501BC1"/>
    <w:multiLevelType w:val="hybridMultilevel"/>
    <w:tmpl w:val="D7CAF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087546"/>
    <w:multiLevelType w:val="singleLevel"/>
    <w:tmpl w:val="0409000F"/>
    <w:lvl w:ilvl="0">
      <w:start w:val="2"/>
      <w:numFmt w:val="decimal"/>
      <w:lvlText w:val="%1."/>
      <w:lvlJc w:val="left"/>
      <w:pPr>
        <w:tabs>
          <w:tab w:val="num" w:pos="360"/>
        </w:tabs>
        <w:ind w:left="360" w:hanging="360"/>
      </w:pPr>
      <w:rPr>
        <w:rFonts w:hint="default"/>
      </w:rPr>
    </w:lvl>
  </w:abstractNum>
  <w:abstractNum w:abstractNumId="19">
    <w:nsid w:val="5033028D"/>
    <w:multiLevelType w:val="multilevel"/>
    <w:tmpl w:val="111E1D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2153BAD"/>
    <w:multiLevelType w:val="singleLevel"/>
    <w:tmpl w:val="37E23766"/>
    <w:lvl w:ilvl="0">
      <w:start w:val="1"/>
      <w:numFmt w:val="lowerRoman"/>
      <w:lvlText w:val="%1."/>
      <w:legacy w:legacy="1" w:legacySpace="0" w:legacyIndent="360"/>
      <w:lvlJc w:val="left"/>
      <w:pPr>
        <w:ind w:left="360" w:hanging="360"/>
      </w:pPr>
    </w:lvl>
  </w:abstractNum>
  <w:abstractNum w:abstractNumId="21">
    <w:nsid w:val="537A281D"/>
    <w:multiLevelType w:val="hybridMultilevel"/>
    <w:tmpl w:val="2BB6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C253646"/>
    <w:multiLevelType w:val="singleLevel"/>
    <w:tmpl w:val="A184AFDE"/>
    <w:lvl w:ilvl="0">
      <w:start w:val="1"/>
      <w:numFmt w:val="lowerLetter"/>
      <w:lvlText w:val="(%1)"/>
      <w:lvlJc w:val="left"/>
      <w:pPr>
        <w:tabs>
          <w:tab w:val="num" w:pos="420"/>
        </w:tabs>
        <w:ind w:left="420" w:hanging="420"/>
      </w:pPr>
      <w:rPr>
        <w:rFonts w:hint="default"/>
        <w:b/>
      </w:rPr>
    </w:lvl>
  </w:abstractNum>
  <w:abstractNum w:abstractNumId="23">
    <w:nsid w:val="5F42272A"/>
    <w:multiLevelType w:val="hybridMultilevel"/>
    <w:tmpl w:val="4424A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22D30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41F33D5"/>
    <w:multiLevelType w:val="multilevel"/>
    <w:tmpl w:val="7C5AE4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80669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04549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7A5675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0"/>
  </w:num>
  <w:num w:numId="3">
    <w:abstractNumId w:val="2"/>
  </w:num>
  <w:num w:numId="4">
    <w:abstractNumId w:val="18"/>
  </w:num>
  <w:num w:numId="5">
    <w:abstractNumId w:val="14"/>
  </w:num>
  <w:num w:numId="6">
    <w:abstractNumId w:val="25"/>
  </w:num>
  <w:num w:numId="7">
    <w:abstractNumId w:val="19"/>
  </w:num>
  <w:num w:numId="8">
    <w:abstractNumId w:val="13"/>
  </w:num>
  <w:num w:numId="9">
    <w:abstractNumId w:val="8"/>
  </w:num>
  <w:num w:numId="10">
    <w:abstractNumId w:val="20"/>
  </w:num>
  <w:num w:numId="11">
    <w:abstractNumId w:val="11"/>
  </w:num>
  <w:num w:numId="12">
    <w:abstractNumId w:val="22"/>
  </w:num>
  <w:num w:numId="13">
    <w:abstractNumId w:val="9"/>
  </w:num>
  <w:num w:numId="14">
    <w:abstractNumId w:val="28"/>
  </w:num>
  <w:num w:numId="15">
    <w:abstractNumId w:val="24"/>
  </w:num>
  <w:num w:numId="16">
    <w:abstractNumId w:val="6"/>
  </w:num>
  <w:num w:numId="17">
    <w:abstractNumId w:val="3"/>
  </w:num>
  <w:num w:numId="18">
    <w:abstractNumId w:val="12"/>
  </w:num>
  <w:num w:numId="19">
    <w:abstractNumId w:val="5"/>
  </w:num>
  <w:num w:numId="20">
    <w:abstractNumId w:val="10"/>
  </w:num>
  <w:num w:numId="21">
    <w:abstractNumId w:val="26"/>
  </w:num>
  <w:num w:numId="22">
    <w:abstractNumId w:val="4"/>
  </w:num>
  <w:num w:numId="23">
    <w:abstractNumId w:val="27"/>
  </w:num>
  <w:num w:numId="24">
    <w:abstractNumId w:val="16"/>
  </w:num>
  <w:num w:numId="25">
    <w:abstractNumId w:val="7"/>
  </w:num>
  <w:num w:numId="26">
    <w:abstractNumId w:val="1"/>
  </w:num>
  <w:num w:numId="27">
    <w:abstractNumId w:val="21"/>
  </w:num>
  <w:num w:numId="28">
    <w:abstractNumId w:val="17"/>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D104B"/>
    <w:rsid w:val="00003BCC"/>
    <w:rsid w:val="0005131B"/>
    <w:rsid w:val="000B0B31"/>
    <w:rsid w:val="000C2BFC"/>
    <w:rsid w:val="000E6847"/>
    <w:rsid w:val="001224C3"/>
    <w:rsid w:val="00132C0F"/>
    <w:rsid w:val="0015740B"/>
    <w:rsid w:val="00191D3E"/>
    <w:rsid w:val="0019346C"/>
    <w:rsid w:val="00197541"/>
    <w:rsid w:val="001A47DB"/>
    <w:rsid w:val="00205960"/>
    <w:rsid w:val="00245A09"/>
    <w:rsid w:val="00266827"/>
    <w:rsid w:val="00294540"/>
    <w:rsid w:val="002C3D10"/>
    <w:rsid w:val="002C7CBB"/>
    <w:rsid w:val="002D4930"/>
    <w:rsid w:val="002E74F4"/>
    <w:rsid w:val="0032504F"/>
    <w:rsid w:val="003502B8"/>
    <w:rsid w:val="003852EE"/>
    <w:rsid w:val="003904BC"/>
    <w:rsid w:val="00395FAC"/>
    <w:rsid w:val="003A54D5"/>
    <w:rsid w:val="003B3B4B"/>
    <w:rsid w:val="003B54CA"/>
    <w:rsid w:val="003E1CAF"/>
    <w:rsid w:val="00417966"/>
    <w:rsid w:val="00432BDD"/>
    <w:rsid w:val="00441CE1"/>
    <w:rsid w:val="004715BC"/>
    <w:rsid w:val="004733FB"/>
    <w:rsid w:val="0048138B"/>
    <w:rsid w:val="004902F8"/>
    <w:rsid w:val="00492ED0"/>
    <w:rsid w:val="004B11F7"/>
    <w:rsid w:val="004B2F21"/>
    <w:rsid w:val="004D104B"/>
    <w:rsid w:val="004E09B7"/>
    <w:rsid w:val="004F1B1A"/>
    <w:rsid w:val="00505B29"/>
    <w:rsid w:val="005179D3"/>
    <w:rsid w:val="005266DB"/>
    <w:rsid w:val="0052791D"/>
    <w:rsid w:val="00567E52"/>
    <w:rsid w:val="005732C6"/>
    <w:rsid w:val="00581324"/>
    <w:rsid w:val="00597DFD"/>
    <w:rsid w:val="005A21BD"/>
    <w:rsid w:val="005E4949"/>
    <w:rsid w:val="005F7D09"/>
    <w:rsid w:val="00611A96"/>
    <w:rsid w:val="00611B71"/>
    <w:rsid w:val="0062618B"/>
    <w:rsid w:val="00707123"/>
    <w:rsid w:val="00717377"/>
    <w:rsid w:val="0072470D"/>
    <w:rsid w:val="00730CC2"/>
    <w:rsid w:val="00752793"/>
    <w:rsid w:val="00756BF9"/>
    <w:rsid w:val="00780E84"/>
    <w:rsid w:val="00785319"/>
    <w:rsid w:val="007A0421"/>
    <w:rsid w:val="007C4DF6"/>
    <w:rsid w:val="00803A7F"/>
    <w:rsid w:val="00807166"/>
    <w:rsid w:val="00842446"/>
    <w:rsid w:val="008540FE"/>
    <w:rsid w:val="00854D9A"/>
    <w:rsid w:val="008904A0"/>
    <w:rsid w:val="008955B5"/>
    <w:rsid w:val="008D160E"/>
    <w:rsid w:val="008E2B65"/>
    <w:rsid w:val="008E7394"/>
    <w:rsid w:val="00922616"/>
    <w:rsid w:val="00956150"/>
    <w:rsid w:val="00975735"/>
    <w:rsid w:val="00992339"/>
    <w:rsid w:val="009A75F1"/>
    <w:rsid w:val="009D0563"/>
    <w:rsid w:val="009D0AAB"/>
    <w:rsid w:val="00A15B65"/>
    <w:rsid w:val="00A343CF"/>
    <w:rsid w:val="00A347B6"/>
    <w:rsid w:val="00A56518"/>
    <w:rsid w:val="00A7174C"/>
    <w:rsid w:val="00AA38D9"/>
    <w:rsid w:val="00AB2A34"/>
    <w:rsid w:val="00AB2E9F"/>
    <w:rsid w:val="00AB605B"/>
    <w:rsid w:val="00B02501"/>
    <w:rsid w:val="00B027BC"/>
    <w:rsid w:val="00B1223A"/>
    <w:rsid w:val="00B44E7C"/>
    <w:rsid w:val="00B60A0F"/>
    <w:rsid w:val="00B6491C"/>
    <w:rsid w:val="00B64C2F"/>
    <w:rsid w:val="00BA140D"/>
    <w:rsid w:val="00BA5FAD"/>
    <w:rsid w:val="00C146E7"/>
    <w:rsid w:val="00C4342C"/>
    <w:rsid w:val="00C5410D"/>
    <w:rsid w:val="00C62329"/>
    <w:rsid w:val="00C82745"/>
    <w:rsid w:val="00C8652A"/>
    <w:rsid w:val="00CB6823"/>
    <w:rsid w:val="00CC098F"/>
    <w:rsid w:val="00D112AF"/>
    <w:rsid w:val="00D1131E"/>
    <w:rsid w:val="00D31D41"/>
    <w:rsid w:val="00D54072"/>
    <w:rsid w:val="00D9028E"/>
    <w:rsid w:val="00DC2037"/>
    <w:rsid w:val="00DE26C0"/>
    <w:rsid w:val="00DE389E"/>
    <w:rsid w:val="00E10EE5"/>
    <w:rsid w:val="00E15F37"/>
    <w:rsid w:val="00E63314"/>
    <w:rsid w:val="00E74BA5"/>
    <w:rsid w:val="00E76AD1"/>
    <w:rsid w:val="00E9027E"/>
    <w:rsid w:val="00E959D1"/>
    <w:rsid w:val="00EA64A8"/>
    <w:rsid w:val="00EF24D1"/>
    <w:rsid w:val="00EF78CB"/>
    <w:rsid w:val="00F20721"/>
    <w:rsid w:val="00F26813"/>
    <w:rsid w:val="00F56B42"/>
    <w:rsid w:val="00FA788F"/>
    <w:rsid w:val="00FB1974"/>
    <w:rsid w:val="00FC257F"/>
    <w:rsid w:val="00FC4081"/>
    <w:rsid w:val="00FD06FA"/>
    <w:rsid w:val="00FE1A57"/>
    <w:rsid w:val="00FE47A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schemas-GSKSiteLocations-com/fourthcoffee" w:name="flavor"/>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B71"/>
    <w:rPr>
      <w:rFonts w:ascii="CG Times (W1)" w:hAnsi="CG Times (W1)"/>
      <w:sz w:val="22"/>
      <w:lang w:val="en-GB"/>
    </w:rPr>
  </w:style>
  <w:style w:type="paragraph" w:styleId="Heading1">
    <w:name w:val="heading 1"/>
    <w:basedOn w:val="Normal"/>
    <w:next w:val="Normal"/>
    <w:qFormat/>
    <w:rsid w:val="00611B71"/>
    <w:pPr>
      <w:keepNext/>
      <w:spacing w:after="240"/>
      <w:ind w:left="1152" w:hanging="1152"/>
      <w:jc w:val="both"/>
      <w:outlineLvl w:val="0"/>
    </w:pPr>
    <w:rPr>
      <w:rFonts w:ascii="Arial" w:hAnsi="Arial"/>
      <w:b/>
      <w:caps/>
      <w:sz w:val="24"/>
    </w:rPr>
  </w:style>
  <w:style w:type="paragraph" w:styleId="Heading2">
    <w:name w:val="heading 2"/>
    <w:basedOn w:val="Heading1"/>
    <w:next w:val="Normal"/>
    <w:qFormat/>
    <w:rsid w:val="00611B71"/>
    <w:pPr>
      <w:outlineLvl w:val="1"/>
    </w:pPr>
    <w:rPr>
      <w:caps w:val="0"/>
    </w:rPr>
  </w:style>
  <w:style w:type="paragraph" w:styleId="Heading3">
    <w:name w:val="heading 3"/>
    <w:basedOn w:val="Normal"/>
    <w:next w:val="Normal"/>
    <w:qFormat/>
    <w:rsid w:val="00611B71"/>
    <w:pPr>
      <w:keepNext/>
      <w:outlineLvl w:val="2"/>
    </w:pPr>
    <w:rPr>
      <w:rFonts w:ascii="Agfa Rotis Semisans" w:hAnsi="Agfa Rotis Semisans"/>
      <w:b/>
      <w:u w:val="double"/>
    </w:rPr>
  </w:style>
  <w:style w:type="paragraph" w:styleId="Heading4">
    <w:name w:val="heading 4"/>
    <w:basedOn w:val="Normal"/>
    <w:next w:val="Normal"/>
    <w:qFormat/>
    <w:rsid w:val="00611B71"/>
    <w:pPr>
      <w:keepNext/>
      <w:tabs>
        <w:tab w:val="left" w:pos="274"/>
        <w:tab w:val="left" w:pos="547"/>
        <w:tab w:val="right" w:pos="4464"/>
        <w:tab w:val="right" w:pos="9360"/>
      </w:tabs>
      <w:spacing w:line="280" w:lineRule="atLeast"/>
      <w:ind w:right="648"/>
      <w:jc w:val="center"/>
      <w:outlineLvl w:val="3"/>
    </w:pPr>
    <w:rPr>
      <w:rFonts w:ascii="Arial" w:hAnsi="Arial"/>
      <w:b/>
    </w:rPr>
  </w:style>
  <w:style w:type="paragraph" w:styleId="Heading5">
    <w:name w:val="heading 5"/>
    <w:aliases w:val=" DO NOT USE"/>
    <w:basedOn w:val="Normal"/>
    <w:next w:val="Normal"/>
    <w:qFormat/>
    <w:rsid w:val="00611B71"/>
    <w:pPr>
      <w:keepNext/>
      <w:jc w:val="center"/>
      <w:outlineLvl w:val="4"/>
    </w:pPr>
    <w:rPr>
      <w:rFonts w:ascii="CG Times (WN)" w:hAnsi="CG Times (WN)"/>
      <w:b/>
    </w:rPr>
  </w:style>
  <w:style w:type="paragraph" w:styleId="Heading6">
    <w:name w:val="heading 6"/>
    <w:basedOn w:val="Normal"/>
    <w:next w:val="Normal"/>
    <w:qFormat/>
    <w:rsid w:val="00611B71"/>
    <w:pPr>
      <w:keepNext/>
      <w:jc w:val="both"/>
      <w:outlineLvl w:val="5"/>
    </w:pPr>
    <w:rPr>
      <w:rFonts w:ascii="Agfa Rotis Semisans" w:hAnsi="Agfa Rotis Semisans"/>
      <w:b/>
    </w:rPr>
  </w:style>
  <w:style w:type="paragraph" w:styleId="Heading7">
    <w:name w:val="heading 7"/>
    <w:basedOn w:val="Heading6"/>
    <w:next w:val="Normal"/>
    <w:qFormat/>
    <w:rsid w:val="00611B71"/>
    <w:pPr>
      <w:numPr>
        <w:ilvl w:val="6"/>
        <w:numId w:val="2"/>
      </w:numPr>
      <w:spacing w:before="120" w:after="240"/>
      <w:ind w:left="1152" w:hanging="1152"/>
      <w:jc w:val="left"/>
      <w:outlineLvl w:val="6"/>
    </w:pPr>
    <w:rPr>
      <w:rFonts w:ascii="Arial" w:hAnsi="Arial"/>
      <w:i/>
    </w:rPr>
  </w:style>
  <w:style w:type="paragraph" w:styleId="Heading8">
    <w:name w:val="heading 8"/>
    <w:basedOn w:val="Normal"/>
    <w:next w:val="Normal"/>
    <w:qFormat/>
    <w:rsid w:val="00611B71"/>
    <w:pPr>
      <w:keepNext/>
      <w:jc w:val="both"/>
      <w:outlineLvl w:val="7"/>
    </w:pPr>
    <w:rPr>
      <w:rFonts w:ascii="Agfa Rotis Semisans" w:hAnsi="Agfa Rotis Semisans"/>
      <w:b/>
      <w:i/>
    </w:rPr>
  </w:style>
  <w:style w:type="paragraph" w:styleId="Heading9">
    <w:name w:val="heading 9"/>
    <w:basedOn w:val="Heading8"/>
    <w:next w:val="Normal"/>
    <w:qFormat/>
    <w:rsid w:val="00611B71"/>
    <w:pPr>
      <w:numPr>
        <w:ilvl w:val="8"/>
        <w:numId w:val="2"/>
      </w:numPr>
      <w:tabs>
        <w:tab w:val="num" w:pos="360"/>
      </w:tabs>
      <w:spacing w:before="120" w:after="240"/>
      <w:ind w:left="1152" w:hanging="1152"/>
      <w:jc w:val="left"/>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B71"/>
    <w:pPr>
      <w:jc w:val="center"/>
    </w:pPr>
    <w:rPr>
      <w:rFonts w:ascii="CG Times (WN)" w:hAnsi="CG Times (WN)"/>
      <w:b/>
    </w:rPr>
  </w:style>
  <w:style w:type="paragraph" w:styleId="Footer">
    <w:name w:val="footer"/>
    <w:basedOn w:val="Normal"/>
    <w:rsid w:val="00611B71"/>
    <w:pPr>
      <w:tabs>
        <w:tab w:val="center" w:pos="4320"/>
        <w:tab w:val="right" w:pos="8640"/>
      </w:tabs>
      <w:jc w:val="both"/>
    </w:pPr>
    <w:rPr>
      <w:rFonts w:ascii="CG Times (WN)" w:hAnsi="CG Times (WN)"/>
    </w:rPr>
  </w:style>
  <w:style w:type="paragraph" w:styleId="BodyText">
    <w:name w:val="Body Text"/>
    <w:basedOn w:val="Normal"/>
    <w:rsid w:val="00611B71"/>
    <w:pPr>
      <w:jc w:val="both"/>
    </w:pPr>
    <w:rPr>
      <w:rFonts w:ascii="CG Times (WN)" w:hAnsi="CG Times (WN)"/>
    </w:rPr>
  </w:style>
  <w:style w:type="paragraph" w:customStyle="1" w:styleId="listbull">
    <w:name w:val="list:bull"/>
    <w:basedOn w:val="Normal"/>
    <w:rsid w:val="00611B71"/>
    <w:pPr>
      <w:numPr>
        <w:numId w:val="8"/>
      </w:numPr>
      <w:tabs>
        <w:tab w:val="clear" w:pos="360"/>
      </w:tabs>
      <w:spacing w:after="120"/>
    </w:pPr>
    <w:rPr>
      <w:rFonts w:ascii="Times New Roman" w:hAnsi="Times New Roman"/>
      <w:lang w:eastAsia="en-US"/>
    </w:rPr>
  </w:style>
  <w:style w:type="paragraph" w:customStyle="1" w:styleId="listrom">
    <w:name w:val="list:rom"/>
    <w:basedOn w:val="Normal"/>
    <w:rsid w:val="00611B71"/>
    <w:pPr>
      <w:spacing w:after="120"/>
      <w:ind w:left="432" w:hanging="432"/>
    </w:pPr>
    <w:rPr>
      <w:rFonts w:ascii="Times New Roman" w:hAnsi="Times New Roman"/>
      <w:lang w:eastAsia="en-US"/>
    </w:rPr>
  </w:style>
  <w:style w:type="paragraph" w:styleId="BodyText2">
    <w:name w:val="Body Text 2"/>
    <w:basedOn w:val="Normal"/>
    <w:rsid w:val="00611B71"/>
    <w:pPr>
      <w:jc w:val="both"/>
    </w:pPr>
    <w:rPr>
      <w:rFonts w:ascii="Agfa Rotis Semisans" w:hAnsi="Agfa Rotis Semisans"/>
      <w:b/>
    </w:rPr>
  </w:style>
  <w:style w:type="paragraph" w:styleId="BodyTextIndent">
    <w:name w:val="Body Text Indent"/>
    <w:basedOn w:val="Normal"/>
    <w:rsid w:val="00611B71"/>
    <w:pPr>
      <w:tabs>
        <w:tab w:val="left" w:pos="851"/>
      </w:tabs>
      <w:ind w:left="851" w:hanging="851"/>
      <w:jc w:val="both"/>
    </w:pPr>
    <w:rPr>
      <w:rFonts w:ascii="Agfa Rotis Semisans" w:hAnsi="Agfa Rotis Semisans"/>
      <w:b/>
    </w:rPr>
  </w:style>
  <w:style w:type="paragraph" w:styleId="BodyText3">
    <w:name w:val="Body Text 3"/>
    <w:basedOn w:val="Normal"/>
    <w:rsid w:val="00611B71"/>
    <w:pPr>
      <w:shd w:val="clear" w:color="auto" w:fill="FFFF00"/>
      <w:jc w:val="both"/>
    </w:pPr>
    <w:rPr>
      <w:rFonts w:ascii="Agfa Rotis Semisans" w:hAnsi="Agfa Rotis Semisans"/>
      <w:b/>
    </w:rPr>
  </w:style>
  <w:style w:type="paragraph" w:customStyle="1" w:styleId="NoNumHead3">
    <w:name w:val="NoNum:Head3"/>
    <w:basedOn w:val="Normal"/>
    <w:next w:val="Normal"/>
    <w:rsid w:val="00611B71"/>
    <w:pPr>
      <w:keepNext/>
      <w:spacing w:before="120" w:after="240"/>
    </w:pPr>
    <w:rPr>
      <w:rFonts w:ascii="Arial" w:hAnsi="Arial"/>
      <w:b/>
      <w:sz w:val="24"/>
    </w:rPr>
  </w:style>
  <w:style w:type="paragraph" w:styleId="CommentText">
    <w:name w:val="annotation text"/>
    <w:basedOn w:val="Normal"/>
    <w:link w:val="CommentTextChar"/>
    <w:semiHidden/>
    <w:rsid w:val="00611B71"/>
    <w:pPr>
      <w:spacing w:after="240"/>
    </w:pPr>
    <w:rPr>
      <w:rFonts w:ascii="Times New Roman" w:hAnsi="Times New Roman"/>
      <w:sz w:val="20"/>
    </w:rPr>
  </w:style>
  <w:style w:type="paragraph" w:customStyle="1" w:styleId="TableTitle">
    <w:name w:val="Table Title"/>
    <w:basedOn w:val="Heading2"/>
    <w:next w:val="Table"/>
    <w:rsid w:val="00611B71"/>
    <w:pPr>
      <w:outlineLvl w:val="9"/>
    </w:pPr>
  </w:style>
  <w:style w:type="paragraph" w:customStyle="1" w:styleId="Table">
    <w:name w:val="Table"/>
    <w:basedOn w:val="Normal"/>
    <w:next w:val="Normal"/>
    <w:rsid w:val="00611B71"/>
    <w:rPr>
      <w:rFonts w:ascii="Arial" w:hAnsi="Arial"/>
      <w:sz w:val="24"/>
    </w:rPr>
  </w:style>
  <w:style w:type="paragraph" w:styleId="Header">
    <w:name w:val="header"/>
    <w:basedOn w:val="Normal"/>
    <w:rsid w:val="00611B71"/>
    <w:pPr>
      <w:tabs>
        <w:tab w:val="center" w:pos="4153"/>
        <w:tab w:val="right" w:pos="8306"/>
      </w:tabs>
      <w:jc w:val="both"/>
    </w:pPr>
    <w:rPr>
      <w:rFonts w:ascii="Times New Roman" w:hAnsi="Times New Roman"/>
      <w:sz w:val="24"/>
    </w:rPr>
  </w:style>
  <w:style w:type="character" w:styleId="PageNumber">
    <w:name w:val="page number"/>
    <w:basedOn w:val="DefaultParagraphFont"/>
    <w:rsid w:val="00611B71"/>
  </w:style>
  <w:style w:type="paragraph" w:customStyle="1" w:styleId="textcentred">
    <w:name w:val="text:centred"/>
    <w:basedOn w:val="Normal"/>
    <w:next w:val="Normal"/>
    <w:rsid w:val="00611B71"/>
    <w:pPr>
      <w:spacing w:after="240"/>
      <w:jc w:val="center"/>
    </w:pPr>
    <w:rPr>
      <w:rFonts w:ascii="Times New Roman" w:hAnsi="Times New Roman"/>
      <w:sz w:val="24"/>
    </w:rPr>
  </w:style>
  <w:style w:type="paragraph" w:customStyle="1" w:styleId="centhead12">
    <w:name w:val="centhead12"/>
    <w:basedOn w:val="Normal"/>
    <w:next w:val="Normal"/>
    <w:rsid w:val="00611B71"/>
    <w:pPr>
      <w:keepNext/>
      <w:spacing w:after="240"/>
      <w:jc w:val="center"/>
    </w:pPr>
    <w:rPr>
      <w:rFonts w:ascii="Arial" w:hAnsi="Arial"/>
      <w:b/>
      <w:sz w:val="24"/>
    </w:rPr>
  </w:style>
  <w:style w:type="paragraph" w:customStyle="1" w:styleId="listssp">
    <w:name w:val="list:ssp"/>
    <w:basedOn w:val="Normal"/>
    <w:rsid w:val="00611B71"/>
    <w:rPr>
      <w:rFonts w:ascii="Times New Roman" w:hAnsi="Times New Roman"/>
      <w:sz w:val="24"/>
    </w:rPr>
  </w:style>
  <w:style w:type="paragraph" w:styleId="DocumentMap">
    <w:name w:val="Document Map"/>
    <w:basedOn w:val="Normal"/>
    <w:semiHidden/>
    <w:rsid w:val="00611B71"/>
    <w:pPr>
      <w:shd w:val="clear" w:color="auto" w:fill="000080"/>
    </w:pPr>
    <w:rPr>
      <w:rFonts w:ascii="Tahoma" w:hAnsi="Tahoma"/>
    </w:rPr>
  </w:style>
  <w:style w:type="paragraph" w:styleId="BalloonText">
    <w:name w:val="Balloon Text"/>
    <w:basedOn w:val="Normal"/>
    <w:semiHidden/>
    <w:rsid w:val="00611B71"/>
    <w:rPr>
      <w:rFonts w:ascii="Tahoma" w:hAnsi="Tahoma" w:cs="Tahoma"/>
      <w:sz w:val="16"/>
      <w:szCs w:val="16"/>
    </w:rPr>
  </w:style>
  <w:style w:type="character" w:customStyle="1" w:styleId="CSIchar">
    <w:name w:val="CSIchar"/>
    <w:basedOn w:val="DefaultParagraphFont"/>
    <w:rsid w:val="003A54D5"/>
    <w:rPr>
      <w:bdr w:val="none" w:sz="0" w:space="0" w:color="auto"/>
      <w:shd w:val="clear" w:color="auto" w:fill="CCCCCC"/>
    </w:rPr>
  </w:style>
  <w:style w:type="paragraph" w:customStyle="1" w:styleId="BridgeheadGDS">
    <w:name w:val="Bridgehead GDS"/>
    <w:basedOn w:val="Normal"/>
    <w:autoRedefine/>
    <w:rsid w:val="00417966"/>
    <w:pPr>
      <w:keepNext/>
      <w:spacing w:after="240"/>
      <w:outlineLvl w:val="0"/>
    </w:pPr>
    <w:rPr>
      <w:rFonts w:ascii="Times New Roman" w:hAnsi="Times New Roman"/>
      <w:b/>
      <w:sz w:val="24"/>
      <w:lang w:eastAsia="en-US"/>
    </w:rPr>
  </w:style>
  <w:style w:type="paragraph" w:customStyle="1" w:styleId="Postspace">
    <w:name w:val="Postspace"/>
    <w:basedOn w:val="Normal"/>
    <w:autoRedefine/>
    <w:rsid w:val="00417966"/>
    <w:pPr>
      <w:spacing w:after="220"/>
    </w:pPr>
    <w:rPr>
      <w:rFonts w:ascii="Times New Roman" w:hAnsi="Times New Roman"/>
      <w:sz w:val="24"/>
      <w:lang w:eastAsia="en-US"/>
    </w:rPr>
  </w:style>
  <w:style w:type="paragraph" w:customStyle="1" w:styleId="anchor">
    <w:name w:val="anchor"/>
    <w:basedOn w:val="Normal"/>
    <w:autoRedefine/>
    <w:rsid w:val="00417966"/>
    <w:rPr>
      <w:rFonts w:ascii="Times New Roman" w:hAnsi="Times New Roman"/>
      <w:sz w:val="24"/>
      <w:lang w:eastAsia="en-US"/>
    </w:rPr>
  </w:style>
  <w:style w:type="table" w:styleId="TableGrid">
    <w:name w:val="Table Grid"/>
    <w:basedOn w:val="TableNormal"/>
    <w:uiPriority w:val="59"/>
    <w:rsid w:val="00992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5B29"/>
    <w:rPr>
      <w:sz w:val="16"/>
      <w:szCs w:val="16"/>
    </w:rPr>
  </w:style>
  <w:style w:type="paragraph" w:styleId="CommentSubject">
    <w:name w:val="annotation subject"/>
    <w:basedOn w:val="CommentText"/>
    <w:next w:val="CommentText"/>
    <w:link w:val="CommentSubjectChar"/>
    <w:uiPriority w:val="99"/>
    <w:semiHidden/>
    <w:unhideWhenUsed/>
    <w:rsid w:val="00505B29"/>
    <w:pPr>
      <w:spacing w:after="0"/>
    </w:pPr>
    <w:rPr>
      <w:rFonts w:ascii="CG Times (W1)" w:hAnsi="CG Times (W1)"/>
      <w:b/>
      <w:bCs/>
    </w:rPr>
  </w:style>
  <w:style w:type="character" w:customStyle="1" w:styleId="CommentTextChar">
    <w:name w:val="Comment Text Char"/>
    <w:basedOn w:val="DefaultParagraphFont"/>
    <w:link w:val="CommentText"/>
    <w:semiHidden/>
    <w:rsid w:val="00505B29"/>
    <w:rPr>
      <w:lang w:val="en-GB"/>
    </w:rPr>
  </w:style>
  <w:style w:type="character" w:customStyle="1" w:styleId="CommentSubjectChar">
    <w:name w:val="Comment Subject Char"/>
    <w:basedOn w:val="CommentTextChar"/>
    <w:link w:val="CommentSubject"/>
    <w:rsid w:val="00505B29"/>
  </w:style>
  <w:style w:type="character" w:styleId="FollowedHyperlink">
    <w:name w:val="FollowedHyperlink"/>
    <w:basedOn w:val="DefaultParagraphFont"/>
    <w:uiPriority w:val="99"/>
    <w:semiHidden/>
    <w:unhideWhenUsed/>
    <w:rsid w:val="00E9027E"/>
    <w:rPr>
      <w:color w:val="800080" w:themeColor="followedHyperlink"/>
      <w:u w:val="single"/>
    </w:rPr>
  </w:style>
  <w:style w:type="paragraph" w:styleId="ListParagraph">
    <w:name w:val="List Paragraph"/>
    <w:basedOn w:val="Normal"/>
    <w:uiPriority w:val="34"/>
    <w:qFormat/>
    <w:rsid w:val="003852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800D-EA6F-4D80-8E90-890F07D5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35</Pages>
  <Words>11429</Words>
  <Characters>66858</Characters>
  <Application>Microsoft Office Word</Application>
  <DocSecurity>0</DocSecurity>
  <Lines>1630</Lines>
  <Paragraphs>1003</Paragraphs>
  <ScaleCrop>false</ScaleCrop>
  <HeadingPairs>
    <vt:vector size="2" baseType="variant">
      <vt:variant>
        <vt:lpstr>Title</vt:lpstr>
      </vt:variant>
      <vt:variant>
        <vt:i4>1</vt:i4>
      </vt:variant>
    </vt:vector>
  </HeadingPairs>
  <TitlesOfParts>
    <vt:vector size="1" baseType="lpstr">
      <vt:lpstr>PRODUCT INFORMATION</vt:lpstr>
    </vt:vector>
  </TitlesOfParts>
  <Company/>
  <LinksUpToDate>false</LinksUpToDate>
  <CharactersWithSpaces>77284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AusPAR Ultiva GlaxoSmithKline Australia Pty Ltd PM-2011-00909-3-1 Final 29 January 2013</dc:title>
  <dc:subject>prescription medicine regulation</dc:subject>
  <dc:creator>GlaxoSmithKline Australia Pty Ltd</dc:creator>
  <cp:lastModifiedBy>Wrigley, Andrew</cp:lastModifiedBy>
  <cp:revision>4</cp:revision>
  <cp:lastPrinted>2012-07-03T08:15:00Z</cp:lastPrinted>
  <dcterms:created xsi:type="dcterms:W3CDTF">2013-01-29T04:03:00Z</dcterms:created>
  <dcterms:modified xsi:type="dcterms:W3CDTF">2013-03-06T00:17:00Z</dcterms:modified>
</cp:coreProperties>
</file>