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2F3A7325" w14:textId="77777777" w:rsidTr="00BF1190">
        <w:trPr>
          <w:trHeight w:val="1863"/>
        </w:trPr>
        <w:tc>
          <w:tcPr>
            <w:tcW w:w="3652" w:type="dxa"/>
            <w:tcBorders>
              <w:top w:val="nil"/>
              <w:left w:val="nil"/>
              <w:bottom w:val="nil"/>
              <w:right w:val="nil"/>
            </w:tcBorders>
          </w:tcPr>
          <w:p w14:paraId="455A2B43" w14:textId="061ABB40" w:rsidR="008E7846" w:rsidRPr="00096AA7" w:rsidRDefault="000A4816" w:rsidP="00096AA7">
            <w:pPr>
              <w:rPr>
                <w:rFonts w:ascii="Arial" w:hAnsi="Arial" w:cs="Arial"/>
                <w:b/>
                <w:color w:val="002C47"/>
                <w:sz w:val="36"/>
                <w:szCs w:val="36"/>
              </w:rPr>
            </w:pPr>
            <w:r>
              <w:rPr>
                <w:rFonts w:ascii="Arial" w:hAnsi="Arial" w:cs="Arial"/>
                <w:b/>
                <w:color w:val="002C47"/>
                <w:sz w:val="36"/>
                <w:szCs w:val="36"/>
              </w:rPr>
              <w:t>May</w:t>
            </w:r>
            <w:r w:rsidR="00C474C0">
              <w:rPr>
                <w:rFonts w:ascii="Arial" w:hAnsi="Arial" w:cs="Arial"/>
                <w:b/>
                <w:color w:val="002C47"/>
                <w:sz w:val="36"/>
                <w:szCs w:val="36"/>
              </w:rPr>
              <w:t xml:space="preserve"> 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413FD64" w14:textId="77777777" w:rsidTr="0032583B">
        <w:trPr>
          <w:trHeight w:val="868"/>
        </w:trPr>
        <w:tc>
          <w:tcPr>
            <w:tcW w:w="9079" w:type="dxa"/>
          </w:tcPr>
          <w:p w14:paraId="7060290E" w14:textId="4EED135C"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proofErr w:type="spellStart"/>
            <w:r w:rsidR="00C474C0">
              <w:rPr>
                <w:color w:val="FFFFFF" w:themeColor="background1"/>
              </w:rPr>
              <w:t>Remd</w:t>
            </w:r>
            <w:r w:rsidR="000A4816">
              <w:rPr>
                <w:color w:val="FFFFFF" w:themeColor="background1"/>
              </w:rPr>
              <w:t>e</w:t>
            </w:r>
            <w:r w:rsidR="00C474C0">
              <w:rPr>
                <w:color w:val="FFFFFF" w:themeColor="background1"/>
              </w:rPr>
              <w:t>sivir</w:t>
            </w:r>
            <w:proofErr w:type="spellEnd"/>
          </w:p>
        </w:tc>
      </w:tr>
      <w:tr w:rsidR="0032583B" w:rsidRPr="00B64760" w14:paraId="7C2FC028" w14:textId="77777777" w:rsidTr="0032583B">
        <w:tc>
          <w:tcPr>
            <w:tcW w:w="9079" w:type="dxa"/>
          </w:tcPr>
          <w:p w14:paraId="7DECB02E" w14:textId="6AF2217A" w:rsidR="0032583B" w:rsidRPr="008E7846" w:rsidRDefault="0032583B" w:rsidP="00460036">
            <w:pPr>
              <w:pStyle w:val="Subtitle"/>
              <w:rPr>
                <w:color w:val="FFFFFF" w:themeColor="background1"/>
              </w:rPr>
            </w:pPr>
            <w:r w:rsidRPr="008E7846">
              <w:rPr>
                <w:color w:val="FFFFFF" w:themeColor="background1"/>
              </w:rPr>
              <w:t xml:space="preserve">Proprietary Product Name: </w:t>
            </w:r>
            <w:proofErr w:type="spellStart"/>
            <w:r w:rsidR="00C474C0">
              <w:rPr>
                <w:color w:val="FFFFFF" w:themeColor="background1"/>
              </w:rPr>
              <w:t>Veklury</w:t>
            </w:r>
            <w:proofErr w:type="spellEnd"/>
          </w:p>
        </w:tc>
      </w:tr>
      <w:tr w:rsidR="0032583B" w:rsidRPr="00B64760" w14:paraId="41FEA6B4" w14:textId="77777777" w:rsidTr="0032583B">
        <w:trPr>
          <w:trHeight w:val="486"/>
        </w:trPr>
        <w:tc>
          <w:tcPr>
            <w:tcW w:w="9079" w:type="dxa"/>
          </w:tcPr>
          <w:p w14:paraId="4EEBAAA7" w14:textId="79A49335" w:rsidR="0032583B" w:rsidRPr="008E7846" w:rsidRDefault="00460036" w:rsidP="0032583B">
            <w:pPr>
              <w:pStyle w:val="Subtitle"/>
              <w:rPr>
                <w:color w:val="FFFFFF" w:themeColor="background1"/>
              </w:rPr>
            </w:pPr>
            <w:r>
              <w:rPr>
                <w:color w:val="FFFFFF" w:themeColor="background1"/>
              </w:rPr>
              <w:t xml:space="preserve">Sponsor: </w:t>
            </w:r>
            <w:r w:rsidR="00C474C0">
              <w:rPr>
                <w:color w:val="FFFFFF" w:themeColor="background1"/>
              </w:rPr>
              <w:t>Gilead Sciences Pty Ltd</w:t>
            </w:r>
          </w:p>
        </w:tc>
      </w:tr>
    </w:tbl>
    <w:p w14:paraId="614E1FA8" w14:textId="77777777" w:rsidR="008E7846" w:rsidRPr="0085156D" w:rsidRDefault="008E7846" w:rsidP="0085156D">
      <w:r w:rsidRPr="0085156D">
        <w:br w:type="page"/>
      </w:r>
    </w:p>
    <w:p w14:paraId="0D2148D3" w14:textId="77777777" w:rsidR="008E7846" w:rsidRPr="001F6CBA" w:rsidRDefault="008E7846" w:rsidP="008E7846">
      <w:pPr>
        <w:pStyle w:val="NonTOCHeading2"/>
      </w:pPr>
      <w:r w:rsidRPr="001F6CBA">
        <w:lastRenderedPageBreak/>
        <w:t>About the Therapeutic Goods Administration (TGA)</w:t>
      </w:r>
    </w:p>
    <w:p w14:paraId="50F3837E"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908657F"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422A821E"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73CE8F96"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566773C3" w14:textId="2B33C75E"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59D0ECDC" w14:textId="77777777" w:rsidR="008E7846" w:rsidRDefault="008E7846" w:rsidP="00875A6B">
      <w:pPr>
        <w:pStyle w:val="NonTOCHeading2"/>
      </w:pPr>
      <w:r>
        <w:t xml:space="preserve">About </w:t>
      </w:r>
      <w:proofErr w:type="spellStart"/>
      <w:r>
        <w:t>AusPARs</w:t>
      </w:r>
      <w:proofErr w:type="spellEnd"/>
    </w:p>
    <w:p w14:paraId="3F1B98C7"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0C0D081"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200B9FE9" w14:textId="77777777" w:rsidR="008E7846" w:rsidRDefault="008E7846" w:rsidP="008E7846">
      <w:pPr>
        <w:pStyle w:val="ListBullet"/>
        <w:numPr>
          <w:ilvl w:val="0"/>
          <w:numId w:val="3"/>
        </w:numPr>
        <w:ind w:left="357" w:hanging="357"/>
      </w:pPr>
      <w:r>
        <w:t xml:space="preserve">An AusPAR is prepared for submissions that relate to new chemical entities, generic medicines, major </w:t>
      </w:r>
      <w:proofErr w:type="gramStart"/>
      <w:r>
        <w:t>variations</w:t>
      </w:r>
      <w:proofErr w:type="gramEnd"/>
      <w:r>
        <w:t xml:space="preserve"> and extensions of indications.</w:t>
      </w:r>
    </w:p>
    <w:p w14:paraId="79026636"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C182B23"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763BD1ED" w14:textId="77777777" w:rsidR="00924482" w:rsidRPr="00DF1D7F" w:rsidRDefault="00924482" w:rsidP="00F54B65">
      <w:pPr>
        <w:pStyle w:val="LegalSubheading"/>
        <w:spacing w:before="3120"/>
      </w:pPr>
      <w:r w:rsidRPr="00DF1D7F">
        <w:t>Copyright</w:t>
      </w:r>
    </w:p>
    <w:p w14:paraId="6FF166CF" w14:textId="7C742B40"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D65C2">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1B01FAD4"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6005296" w14:textId="77777777" w:rsidR="0089635C" w:rsidRPr="0089635C" w:rsidRDefault="0089635C" w:rsidP="0010788A">
          <w:pPr>
            <w:pStyle w:val="Contents"/>
          </w:pPr>
          <w:r w:rsidRPr="0010788A">
            <w:t>Contents</w:t>
          </w:r>
        </w:p>
        <w:p w14:paraId="31AC3633" w14:textId="513C5BE1" w:rsidR="00563969"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02724826" w:history="1">
            <w:r w:rsidR="00563969" w:rsidRPr="00F933F7">
              <w:rPr>
                <w:rStyle w:val="Hyperlink"/>
                <w:noProof/>
              </w:rPr>
              <w:t>List of abbreviations</w:t>
            </w:r>
            <w:r w:rsidR="00563969">
              <w:rPr>
                <w:noProof/>
                <w:webHidden/>
              </w:rPr>
              <w:tab/>
            </w:r>
            <w:r w:rsidR="00563969">
              <w:rPr>
                <w:noProof/>
                <w:webHidden/>
              </w:rPr>
              <w:fldChar w:fldCharType="begin"/>
            </w:r>
            <w:r w:rsidR="00563969">
              <w:rPr>
                <w:noProof/>
                <w:webHidden/>
              </w:rPr>
              <w:instrText xml:space="preserve"> PAGEREF _Toc102724826 \h </w:instrText>
            </w:r>
            <w:r w:rsidR="00563969">
              <w:rPr>
                <w:noProof/>
                <w:webHidden/>
              </w:rPr>
            </w:r>
            <w:r w:rsidR="00563969">
              <w:rPr>
                <w:noProof/>
                <w:webHidden/>
              </w:rPr>
              <w:fldChar w:fldCharType="separate"/>
            </w:r>
            <w:r w:rsidR="00563969">
              <w:rPr>
                <w:noProof/>
                <w:webHidden/>
              </w:rPr>
              <w:t>4</w:t>
            </w:r>
            <w:r w:rsidR="00563969">
              <w:rPr>
                <w:noProof/>
                <w:webHidden/>
              </w:rPr>
              <w:fldChar w:fldCharType="end"/>
            </w:r>
          </w:hyperlink>
        </w:p>
        <w:p w14:paraId="36A81A6B" w14:textId="21797BB0" w:rsidR="00563969" w:rsidRDefault="00801A83">
          <w:pPr>
            <w:pStyle w:val="TOC1"/>
            <w:rPr>
              <w:rFonts w:asciiTheme="minorHAnsi" w:eastAsiaTheme="minorEastAsia" w:hAnsiTheme="minorHAnsi" w:cstheme="minorBidi"/>
              <w:b w:val="0"/>
              <w:noProof/>
              <w:sz w:val="22"/>
              <w:lang w:eastAsia="en-AU"/>
            </w:rPr>
          </w:pPr>
          <w:hyperlink w:anchor="_Toc102724827" w:history="1">
            <w:r w:rsidR="00563969" w:rsidRPr="00F933F7">
              <w:rPr>
                <w:rStyle w:val="Hyperlink"/>
                <w:noProof/>
              </w:rPr>
              <w:t>I. Introduction to product submission</w:t>
            </w:r>
            <w:r w:rsidR="00563969">
              <w:rPr>
                <w:noProof/>
                <w:webHidden/>
              </w:rPr>
              <w:tab/>
            </w:r>
            <w:r w:rsidR="00563969">
              <w:rPr>
                <w:noProof/>
                <w:webHidden/>
              </w:rPr>
              <w:fldChar w:fldCharType="begin"/>
            </w:r>
            <w:r w:rsidR="00563969">
              <w:rPr>
                <w:noProof/>
                <w:webHidden/>
              </w:rPr>
              <w:instrText xml:space="preserve"> PAGEREF _Toc102724827 \h </w:instrText>
            </w:r>
            <w:r w:rsidR="00563969">
              <w:rPr>
                <w:noProof/>
                <w:webHidden/>
              </w:rPr>
            </w:r>
            <w:r w:rsidR="00563969">
              <w:rPr>
                <w:noProof/>
                <w:webHidden/>
              </w:rPr>
              <w:fldChar w:fldCharType="separate"/>
            </w:r>
            <w:r w:rsidR="00563969">
              <w:rPr>
                <w:noProof/>
                <w:webHidden/>
              </w:rPr>
              <w:t>5</w:t>
            </w:r>
            <w:r w:rsidR="00563969">
              <w:rPr>
                <w:noProof/>
                <w:webHidden/>
              </w:rPr>
              <w:fldChar w:fldCharType="end"/>
            </w:r>
          </w:hyperlink>
        </w:p>
        <w:p w14:paraId="6A0A572E" w14:textId="07561460" w:rsidR="00563969" w:rsidRDefault="00801A83">
          <w:pPr>
            <w:pStyle w:val="TOC2"/>
            <w:rPr>
              <w:rFonts w:asciiTheme="minorHAnsi" w:eastAsiaTheme="minorEastAsia" w:hAnsiTheme="minorHAnsi" w:cstheme="minorBidi"/>
              <w:b w:val="0"/>
              <w:noProof/>
              <w:sz w:val="22"/>
              <w:lang w:eastAsia="en-AU"/>
            </w:rPr>
          </w:pPr>
          <w:hyperlink w:anchor="_Toc102724828" w:history="1">
            <w:r w:rsidR="00563969" w:rsidRPr="00F933F7">
              <w:rPr>
                <w:rStyle w:val="Hyperlink"/>
                <w:noProof/>
                <w:lang w:eastAsia="en-AU"/>
              </w:rPr>
              <w:t>Submission details</w:t>
            </w:r>
            <w:r w:rsidR="00563969">
              <w:rPr>
                <w:noProof/>
                <w:webHidden/>
              </w:rPr>
              <w:tab/>
            </w:r>
            <w:r w:rsidR="00563969">
              <w:rPr>
                <w:noProof/>
                <w:webHidden/>
              </w:rPr>
              <w:fldChar w:fldCharType="begin"/>
            </w:r>
            <w:r w:rsidR="00563969">
              <w:rPr>
                <w:noProof/>
                <w:webHidden/>
              </w:rPr>
              <w:instrText xml:space="preserve"> PAGEREF _Toc102724828 \h </w:instrText>
            </w:r>
            <w:r w:rsidR="00563969">
              <w:rPr>
                <w:noProof/>
                <w:webHidden/>
              </w:rPr>
            </w:r>
            <w:r w:rsidR="00563969">
              <w:rPr>
                <w:noProof/>
                <w:webHidden/>
              </w:rPr>
              <w:fldChar w:fldCharType="separate"/>
            </w:r>
            <w:r w:rsidR="00563969">
              <w:rPr>
                <w:noProof/>
                <w:webHidden/>
              </w:rPr>
              <w:t>5</w:t>
            </w:r>
            <w:r w:rsidR="00563969">
              <w:rPr>
                <w:noProof/>
                <w:webHidden/>
              </w:rPr>
              <w:fldChar w:fldCharType="end"/>
            </w:r>
          </w:hyperlink>
        </w:p>
        <w:p w14:paraId="29BF7786" w14:textId="3463E24F" w:rsidR="00563969" w:rsidRDefault="00801A83">
          <w:pPr>
            <w:pStyle w:val="TOC2"/>
            <w:rPr>
              <w:rFonts w:asciiTheme="minorHAnsi" w:eastAsiaTheme="minorEastAsia" w:hAnsiTheme="minorHAnsi" w:cstheme="minorBidi"/>
              <w:b w:val="0"/>
              <w:noProof/>
              <w:sz w:val="22"/>
              <w:lang w:eastAsia="en-AU"/>
            </w:rPr>
          </w:pPr>
          <w:hyperlink w:anchor="_Toc102724829" w:history="1">
            <w:r w:rsidR="00563969" w:rsidRPr="00F933F7">
              <w:rPr>
                <w:rStyle w:val="Hyperlink"/>
                <w:noProof/>
              </w:rPr>
              <w:t>Product background</w:t>
            </w:r>
            <w:r w:rsidR="00563969">
              <w:rPr>
                <w:noProof/>
                <w:webHidden/>
              </w:rPr>
              <w:tab/>
            </w:r>
            <w:r w:rsidR="00563969">
              <w:rPr>
                <w:noProof/>
                <w:webHidden/>
              </w:rPr>
              <w:fldChar w:fldCharType="begin"/>
            </w:r>
            <w:r w:rsidR="00563969">
              <w:rPr>
                <w:noProof/>
                <w:webHidden/>
              </w:rPr>
              <w:instrText xml:space="preserve"> PAGEREF _Toc102724829 \h </w:instrText>
            </w:r>
            <w:r w:rsidR="00563969">
              <w:rPr>
                <w:noProof/>
                <w:webHidden/>
              </w:rPr>
            </w:r>
            <w:r w:rsidR="00563969">
              <w:rPr>
                <w:noProof/>
                <w:webHidden/>
              </w:rPr>
              <w:fldChar w:fldCharType="separate"/>
            </w:r>
            <w:r w:rsidR="00563969">
              <w:rPr>
                <w:noProof/>
                <w:webHidden/>
              </w:rPr>
              <w:t>6</w:t>
            </w:r>
            <w:r w:rsidR="00563969">
              <w:rPr>
                <w:noProof/>
                <w:webHidden/>
              </w:rPr>
              <w:fldChar w:fldCharType="end"/>
            </w:r>
          </w:hyperlink>
        </w:p>
        <w:p w14:paraId="3159142A" w14:textId="19329C52" w:rsidR="00563969" w:rsidRDefault="00801A83">
          <w:pPr>
            <w:pStyle w:val="TOC2"/>
            <w:rPr>
              <w:rFonts w:asciiTheme="minorHAnsi" w:eastAsiaTheme="minorEastAsia" w:hAnsiTheme="minorHAnsi" w:cstheme="minorBidi"/>
              <w:b w:val="0"/>
              <w:noProof/>
              <w:sz w:val="22"/>
              <w:lang w:eastAsia="en-AU"/>
            </w:rPr>
          </w:pPr>
          <w:hyperlink w:anchor="_Toc102724830" w:history="1">
            <w:r w:rsidR="00563969" w:rsidRPr="00F933F7">
              <w:rPr>
                <w:rStyle w:val="Hyperlink"/>
                <w:noProof/>
              </w:rPr>
              <w:t>Regulatory status</w:t>
            </w:r>
            <w:r w:rsidR="00563969">
              <w:rPr>
                <w:noProof/>
                <w:webHidden/>
              </w:rPr>
              <w:tab/>
            </w:r>
            <w:r w:rsidR="00563969">
              <w:rPr>
                <w:noProof/>
                <w:webHidden/>
              </w:rPr>
              <w:fldChar w:fldCharType="begin"/>
            </w:r>
            <w:r w:rsidR="00563969">
              <w:rPr>
                <w:noProof/>
                <w:webHidden/>
              </w:rPr>
              <w:instrText xml:space="preserve"> PAGEREF _Toc102724830 \h </w:instrText>
            </w:r>
            <w:r w:rsidR="00563969">
              <w:rPr>
                <w:noProof/>
                <w:webHidden/>
              </w:rPr>
            </w:r>
            <w:r w:rsidR="00563969">
              <w:rPr>
                <w:noProof/>
                <w:webHidden/>
              </w:rPr>
              <w:fldChar w:fldCharType="separate"/>
            </w:r>
            <w:r w:rsidR="00563969">
              <w:rPr>
                <w:noProof/>
                <w:webHidden/>
              </w:rPr>
              <w:t>8</w:t>
            </w:r>
            <w:r w:rsidR="00563969">
              <w:rPr>
                <w:noProof/>
                <w:webHidden/>
              </w:rPr>
              <w:fldChar w:fldCharType="end"/>
            </w:r>
          </w:hyperlink>
        </w:p>
        <w:p w14:paraId="416769D9" w14:textId="32B2A69A" w:rsidR="00563969" w:rsidRDefault="00801A83">
          <w:pPr>
            <w:pStyle w:val="TOC2"/>
            <w:rPr>
              <w:rFonts w:asciiTheme="minorHAnsi" w:eastAsiaTheme="minorEastAsia" w:hAnsiTheme="minorHAnsi" w:cstheme="minorBidi"/>
              <w:b w:val="0"/>
              <w:noProof/>
              <w:sz w:val="22"/>
              <w:lang w:eastAsia="en-AU"/>
            </w:rPr>
          </w:pPr>
          <w:hyperlink w:anchor="_Toc102724831" w:history="1">
            <w:r w:rsidR="00563969" w:rsidRPr="00F933F7">
              <w:rPr>
                <w:rStyle w:val="Hyperlink"/>
                <w:noProof/>
              </w:rPr>
              <w:t>Product Information</w:t>
            </w:r>
            <w:r w:rsidR="00563969">
              <w:rPr>
                <w:noProof/>
                <w:webHidden/>
              </w:rPr>
              <w:tab/>
            </w:r>
            <w:r w:rsidR="00563969">
              <w:rPr>
                <w:noProof/>
                <w:webHidden/>
              </w:rPr>
              <w:fldChar w:fldCharType="begin"/>
            </w:r>
            <w:r w:rsidR="00563969">
              <w:rPr>
                <w:noProof/>
                <w:webHidden/>
              </w:rPr>
              <w:instrText xml:space="preserve"> PAGEREF _Toc102724831 \h </w:instrText>
            </w:r>
            <w:r w:rsidR="00563969">
              <w:rPr>
                <w:noProof/>
                <w:webHidden/>
              </w:rPr>
            </w:r>
            <w:r w:rsidR="00563969">
              <w:rPr>
                <w:noProof/>
                <w:webHidden/>
              </w:rPr>
              <w:fldChar w:fldCharType="separate"/>
            </w:r>
            <w:r w:rsidR="00563969">
              <w:rPr>
                <w:noProof/>
                <w:webHidden/>
              </w:rPr>
              <w:t>9</w:t>
            </w:r>
            <w:r w:rsidR="00563969">
              <w:rPr>
                <w:noProof/>
                <w:webHidden/>
              </w:rPr>
              <w:fldChar w:fldCharType="end"/>
            </w:r>
          </w:hyperlink>
        </w:p>
        <w:p w14:paraId="37547476" w14:textId="55728B25" w:rsidR="00563969" w:rsidRDefault="00801A83">
          <w:pPr>
            <w:pStyle w:val="TOC1"/>
            <w:rPr>
              <w:rFonts w:asciiTheme="minorHAnsi" w:eastAsiaTheme="minorEastAsia" w:hAnsiTheme="minorHAnsi" w:cstheme="minorBidi"/>
              <w:b w:val="0"/>
              <w:noProof/>
              <w:sz w:val="22"/>
              <w:lang w:eastAsia="en-AU"/>
            </w:rPr>
          </w:pPr>
          <w:hyperlink w:anchor="_Toc102724832" w:history="1">
            <w:r w:rsidR="00563969" w:rsidRPr="00F933F7">
              <w:rPr>
                <w:rStyle w:val="Hyperlink"/>
                <w:noProof/>
              </w:rPr>
              <w:t>II. Registration timeline</w:t>
            </w:r>
            <w:r w:rsidR="00563969">
              <w:rPr>
                <w:noProof/>
                <w:webHidden/>
              </w:rPr>
              <w:tab/>
            </w:r>
            <w:r w:rsidR="00563969">
              <w:rPr>
                <w:noProof/>
                <w:webHidden/>
              </w:rPr>
              <w:fldChar w:fldCharType="begin"/>
            </w:r>
            <w:r w:rsidR="00563969">
              <w:rPr>
                <w:noProof/>
                <w:webHidden/>
              </w:rPr>
              <w:instrText xml:space="preserve"> PAGEREF _Toc102724832 \h </w:instrText>
            </w:r>
            <w:r w:rsidR="00563969">
              <w:rPr>
                <w:noProof/>
                <w:webHidden/>
              </w:rPr>
            </w:r>
            <w:r w:rsidR="00563969">
              <w:rPr>
                <w:noProof/>
                <w:webHidden/>
              </w:rPr>
              <w:fldChar w:fldCharType="separate"/>
            </w:r>
            <w:r w:rsidR="00563969">
              <w:rPr>
                <w:noProof/>
                <w:webHidden/>
              </w:rPr>
              <w:t>9</w:t>
            </w:r>
            <w:r w:rsidR="00563969">
              <w:rPr>
                <w:noProof/>
                <w:webHidden/>
              </w:rPr>
              <w:fldChar w:fldCharType="end"/>
            </w:r>
          </w:hyperlink>
        </w:p>
        <w:p w14:paraId="3E04A969" w14:textId="08CB2A66" w:rsidR="00563969" w:rsidRDefault="00801A83">
          <w:pPr>
            <w:pStyle w:val="TOC1"/>
            <w:rPr>
              <w:rFonts w:asciiTheme="minorHAnsi" w:eastAsiaTheme="minorEastAsia" w:hAnsiTheme="minorHAnsi" w:cstheme="minorBidi"/>
              <w:b w:val="0"/>
              <w:noProof/>
              <w:sz w:val="22"/>
              <w:lang w:eastAsia="en-AU"/>
            </w:rPr>
          </w:pPr>
          <w:hyperlink w:anchor="_Toc102724833" w:history="1">
            <w:r w:rsidR="00563969" w:rsidRPr="00F933F7">
              <w:rPr>
                <w:rStyle w:val="Hyperlink"/>
                <w:noProof/>
              </w:rPr>
              <w:t>III. Submission overview and risk/benefit assessment</w:t>
            </w:r>
            <w:r w:rsidR="00563969">
              <w:rPr>
                <w:noProof/>
                <w:webHidden/>
              </w:rPr>
              <w:tab/>
            </w:r>
            <w:r w:rsidR="00563969">
              <w:rPr>
                <w:noProof/>
                <w:webHidden/>
              </w:rPr>
              <w:fldChar w:fldCharType="begin"/>
            </w:r>
            <w:r w:rsidR="00563969">
              <w:rPr>
                <w:noProof/>
                <w:webHidden/>
              </w:rPr>
              <w:instrText xml:space="preserve"> PAGEREF _Toc102724833 \h </w:instrText>
            </w:r>
            <w:r w:rsidR="00563969">
              <w:rPr>
                <w:noProof/>
                <w:webHidden/>
              </w:rPr>
            </w:r>
            <w:r w:rsidR="00563969">
              <w:rPr>
                <w:noProof/>
                <w:webHidden/>
              </w:rPr>
              <w:fldChar w:fldCharType="separate"/>
            </w:r>
            <w:r w:rsidR="00563969">
              <w:rPr>
                <w:noProof/>
                <w:webHidden/>
              </w:rPr>
              <w:t>10</w:t>
            </w:r>
            <w:r w:rsidR="00563969">
              <w:rPr>
                <w:noProof/>
                <w:webHidden/>
              </w:rPr>
              <w:fldChar w:fldCharType="end"/>
            </w:r>
          </w:hyperlink>
        </w:p>
        <w:p w14:paraId="53E3F31D" w14:textId="59F71985" w:rsidR="00563969" w:rsidRDefault="00801A83">
          <w:pPr>
            <w:pStyle w:val="TOC2"/>
            <w:rPr>
              <w:rFonts w:asciiTheme="minorHAnsi" w:eastAsiaTheme="minorEastAsia" w:hAnsiTheme="minorHAnsi" w:cstheme="minorBidi"/>
              <w:b w:val="0"/>
              <w:noProof/>
              <w:sz w:val="22"/>
              <w:lang w:eastAsia="en-AU"/>
            </w:rPr>
          </w:pPr>
          <w:hyperlink w:anchor="_Toc102724834" w:history="1">
            <w:r w:rsidR="00563969" w:rsidRPr="00F933F7">
              <w:rPr>
                <w:rStyle w:val="Hyperlink"/>
                <w:noProof/>
              </w:rPr>
              <w:t>Quality</w:t>
            </w:r>
            <w:r w:rsidR="00563969">
              <w:rPr>
                <w:noProof/>
                <w:webHidden/>
              </w:rPr>
              <w:tab/>
            </w:r>
            <w:r w:rsidR="00563969">
              <w:rPr>
                <w:noProof/>
                <w:webHidden/>
              </w:rPr>
              <w:fldChar w:fldCharType="begin"/>
            </w:r>
            <w:r w:rsidR="00563969">
              <w:rPr>
                <w:noProof/>
                <w:webHidden/>
              </w:rPr>
              <w:instrText xml:space="preserve"> PAGEREF _Toc102724834 \h </w:instrText>
            </w:r>
            <w:r w:rsidR="00563969">
              <w:rPr>
                <w:noProof/>
                <w:webHidden/>
              </w:rPr>
            </w:r>
            <w:r w:rsidR="00563969">
              <w:rPr>
                <w:noProof/>
                <w:webHidden/>
              </w:rPr>
              <w:fldChar w:fldCharType="separate"/>
            </w:r>
            <w:r w:rsidR="00563969">
              <w:rPr>
                <w:noProof/>
                <w:webHidden/>
              </w:rPr>
              <w:t>10</w:t>
            </w:r>
            <w:r w:rsidR="00563969">
              <w:rPr>
                <w:noProof/>
                <w:webHidden/>
              </w:rPr>
              <w:fldChar w:fldCharType="end"/>
            </w:r>
          </w:hyperlink>
        </w:p>
        <w:p w14:paraId="6AF294CC" w14:textId="0FA0E57A" w:rsidR="00563969" w:rsidRDefault="00801A83">
          <w:pPr>
            <w:pStyle w:val="TOC2"/>
            <w:rPr>
              <w:rFonts w:asciiTheme="minorHAnsi" w:eastAsiaTheme="minorEastAsia" w:hAnsiTheme="minorHAnsi" w:cstheme="minorBidi"/>
              <w:b w:val="0"/>
              <w:noProof/>
              <w:sz w:val="22"/>
              <w:lang w:eastAsia="en-AU"/>
            </w:rPr>
          </w:pPr>
          <w:hyperlink w:anchor="_Toc102724835" w:history="1">
            <w:r w:rsidR="00563969" w:rsidRPr="00F933F7">
              <w:rPr>
                <w:rStyle w:val="Hyperlink"/>
                <w:noProof/>
              </w:rPr>
              <w:t>Nonclinical</w:t>
            </w:r>
            <w:r w:rsidR="00563969">
              <w:rPr>
                <w:noProof/>
                <w:webHidden/>
              </w:rPr>
              <w:tab/>
            </w:r>
            <w:r w:rsidR="00563969">
              <w:rPr>
                <w:noProof/>
                <w:webHidden/>
              </w:rPr>
              <w:fldChar w:fldCharType="begin"/>
            </w:r>
            <w:r w:rsidR="00563969">
              <w:rPr>
                <w:noProof/>
                <w:webHidden/>
              </w:rPr>
              <w:instrText xml:space="preserve"> PAGEREF _Toc102724835 \h </w:instrText>
            </w:r>
            <w:r w:rsidR="00563969">
              <w:rPr>
                <w:noProof/>
                <w:webHidden/>
              </w:rPr>
            </w:r>
            <w:r w:rsidR="00563969">
              <w:rPr>
                <w:noProof/>
                <w:webHidden/>
              </w:rPr>
              <w:fldChar w:fldCharType="separate"/>
            </w:r>
            <w:r w:rsidR="00563969">
              <w:rPr>
                <w:noProof/>
                <w:webHidden/>
              </w:rPr>
              <w:t>10</w:t>
            </w:r>
            <w:r w:rsidR="00563969">
              <w:rPr>
                <w:noProof/>
                <w:webHidden/>
              </w:rPr>
              <w:fldChar w:fldCharType="end"/>
            </w:r>
          </w:hyperlink>
        </w:p>
        <w:p w14:paraId="77433A36" w14:textId="7835DE3A" w:rsidR="00563969" w:rsidRDefault="00801A83">
          <w:pPr>
            <w:pStyle w:val="TOC2"/>
            <w:rPr>
              <w:rFonts w:asciiTheme="minorHAnsi" w:eastAsiaTheme="minorEastAsia" w:hAnsiTheme="minorHAnsi" w:cstheme="minorBidi"/>
              <w:b w:val="0"/>
              <w:noProof/>
              <w:sz w:val="22"/>
              <w:lang w:eastAsia="en-AU"/>
            </w:rPr>
          </w:pPr>
          <w:hyperlink w:anchor="_Toc102724836" w:history="1">
            <w:r w:rsidR="00563969" w:rsidRPr="00F933F7">
              <w:rPr>
                <w:rStyle w:val="Hyperlink"/>
                <w:noProof/>
              </w:rPr>
              <w:t>Clinical</w:t>
            </w:r>
            <w:r w:rsidR="00563969">
              <w:rPr>
                <w:noProof/>
                <w:webHidden/>
              </w:rPr>
              <w:tab/>
            </w:r>
            <w:r w:rsidR="00563969">
              <w:rPr>
                <w:noProof/>
                <w:webHidden/>
              </w:rPr>
              <w:fldChar w:fldCharType="begin"/>
            </w:r>
            <w:r w:rsidR="00563969">
              <w:rPr>
                <w:noProof/>
                <w:webHidden/>
              </w:rPr>
              <w:instrText xml:space="preserve"> PAGEREF _Toc102724836 \h </w:instrText>
            </w:r>
            <w:r w:rsidR="00563969">
              <w:rPr>
                <w:noProof/>
                <w:webHidden/>
              </w:rPr>
            </w:r>
            <w:r w:rsidR="00563969">
              <w:rPr>
                <w:noProof/>
                <w:webHidden/>
              </w:rPr>
              <w:fldChar w:fldCharType="separate"/>
            </w:r>
            <w:r w:rsidR="00563969">
              <w:rPr>
                <w:noProof/>
                <w:webHidden/>
              </w:rPr>
              <w:t>11</w:t>
            </w:r>
            <w:r w:rsidR="00563969">
              <w:rPr>
                <w:noProof/>
                <w:webHidden/>
              </w:rPr>
              <w:fldChar w:fldCharType="end"/>
            </w:r>
          </w:hyperlink>
        </w:p>
        <w:p w14:paraId="691D1D3B" w14:textId="71B53E17" w:rsidR="00563969" w:rsidRDefault="00801A83">
          <w:pPr>
            <w:pStyle w:val="TOC2"/>
            <w:rPr>
              <w:rFonts w:asciiTheme="minorHAnsi" w:eastAsiaTheme="minorEastAsia" w:hAnsiTheme="minorHAnsi" w:cstheme="minorBidi"/>
              <w:b w:val="0"/>
              <w:noProof/>
              <w:sz w:val="22"/>
              <w:lang w:eastAsia="en-AU"/>
            </w:rPr>
          </w:pPr>
          <w:hyperlink w:anchor="_Toc102724837" w:history="1">
            <w:r w:rsidR="00563969" w:rsidRPr="00F933F7">
              <w:rPr>
                <w:rStyle w:val="Hyperlink"/>
                <w:noProof/>
                <w:lang w:eastAsia="en-AU"/>
              </w:rPr>
              <w:t>Risk management plan</w:t>
            </w:r>
            <w:r w:rsidR="00563969">
              <w:rPr>
                <w:noProof/>
                <w:webHidden/>
              </w:rPr>
              <w:tab/>
            </w:r>
            <w:r w:rsidR="00563969">
              <w:rPr>
                <w:noProof/>
                <w:webHidden/>
              </w:rPr>
              <w:fldChar w:fldCharType="begin"/>
            </w:r>
            <w:r w:rsidR="00563969">
              <w:rPr>
                <w:noProof/>
                <w:webHidden/>
              </w:rPr>
              <w:instrText xml:space="preserve"> PAGEREF _Toc102724837 \h </w:instrText>
            </w:r>
            <w:r w:rsidR="00563969">
              <w:rPr>
                <w:noProof/>
                <w:webHidden/>
              </w:rPr>
            </w:r>
            <w:r w:rsidR="00563969">
              <w:rPr>
                <w:noProof/>
                <w:webHidden/>
              </w:rPr>
              <w:fldChar w:fldCharType="separate"/>
            </w:r>
            <w:r w:rsidR="00563969">
              <w:rPr>
                <w:noProof/>
                <w:webHidden/>
              </w:rPr>
              <w:t>25</w:t>
            </w:r>
            <w:r w:rsidR="00563969">
              <w:rPr>
                <w:noProof/>
                <w:webHidden/>
              </w:rPr>
              <w:fldChar w:fldCharType="end"/>
            </w:r>
          </w:hyperlink>
        </w:p>
        <w:p w14:paraId="1CF744C4" w14:textId="3774CAA2" w:rsidR="00563969" w:rsidRDefault="00801A83">
          <w:pPr>
            <w:pStyle w:val="TOC2"/>
            <w:rPr>
              <w:rFonts w:asciiTheme="minorHAnsi" w:eastAsiaTheme="minorEastAsia" w:hAnsiTheme="minorHAnsi" w:cstheme="minorBidi"/>
              <w:b w:val="0"/>
              <w:noProof/>
              <w:sz w:val="22"/>
              <w:lang w:eastAsia="en-AU"/>
            </w:rPr>
          </w:pPr>
          <w:hyperlink w:anchor="_Toc102724838" w:history="1">
            <w:r w:rsidR="00563969" w:rsidRPr="00F933F7">
              <w:rPr>
                <w:rStyle w:val="Hyperlink"/>
                <w:noProof/>
              </w:rPr>
              <w:t>Risk-benefit analysis</w:t>
            </w:r>
            <w:r w:rsidR="00563969">
              <w:rPr>
                <w:noProof/>
                <w:webHidden/>
              </w:rPr>
              <w:tab/>
            </w:r>
            <w:r w:rsidR="00563969">
              <w:rPr>
                <w:noProof/>
                <w:webHidden/>
              </w:rPr>
              <w:fldChar w:fldCharType="begin"/>
            </w:r>
            <w:r w:rsidR="00563969">
              <w:rPr>
                <w:noProof/>
                <w:webHidden/>
              </w:rPr>
              <w:instrText xml:space="preserve"> PAGEREF _Toc102724838 \h </w:instrText>
            </w:r>
            <w:r w:rsidR="00563969">
              <w:rPr>
                <w:noProof/>
                <w:webHidden/>
              </w:rPr>
            </w:r>
            <w:r w:rsidR="00563969">
              <w:rPr>
                <w:noProof/>
                <w:webHidden/>
              </w:rPr>
              <w:fldChar w:fldCharType="separate"/>
            </w:r>
            <w:r w:rsidR="00563969">
              <w:rPr>
                <w:noProof/>
                <w:webHidden/>
              </w:rPr>
              <w:t>27</w:t>
            </w:r>
            <w:r w:rsidR="00563969">
              <w:rPr>
                <w:noProof/>
                <w:webHidden/>
              </w:rPr>
              <w:fldChar w:fldCharType="end"/>
            </w:r>
          </w:hyperlink>
        </w:p>
        <w:p w14:paraId="5515CEFF" w14:textId="72F3C095" w:rsidR="00563969" w:rsidRDefault="00801A83">
          <w:pPr>
            <w:pStyle w:val="TOC2"/>
            <w:rPr>
              <w:rFonts w:asciiTheme="minorHAnsi" w:eastAsiaTheme="minorEastAsia" w:hAnsiTheme="minorHAnsi" w:cstheme="minorBidi"/>
              <w:b w:val="0"/>
              <w:noProof/>
              <w:sz w:val="22"/>
              <w:lang w:eastAsia="en-AU"/>
            </w:rPr>
          </w:pPr>
          <w:hyperlink w:anchor="_Toc102724839" w:history="1">
            <w:r w:rsidR="00563969" w:rsidRPr="00F933F7">
              <w:rPr>
                <w:rStyle w:val="Hyperlink"/>
                <w:noProof/>
              </w:rPr>
              <w:t>Outcome</w:t>
            </w:r>
            <w:r w:rsidR="00563969">
              <w:rPr>
                <w:noProof/>
                <w:webHidden/>
              </w:rPr>
              <w:tab/>
            </w:r>
            <w:r w:rsidR="00563969">
              <w:rPr>
                <w:noProof/>
                <w:webHidden/>
              </w:rPr>
              <w:fldChar w:fldCharType="begin"/>
            </w:r>
            <w:r w:rsidR="00563969">
              <w:rPr>
                <w:noProof/>
                <w:webHidden/>
              </w:rPr>
              <w:instrText xml:space="preserve"> PAGEREF _Toc102724839 \h </w:instrText>
            </w:r>
            <w:r w:rsidR="00563969">
              <w:rPr>
                <w:noProof/>
                <w:webHidden/>
              </w:rPr>
            </w:r>
            <w:r w:rsidR="00563969">
              <w:rPr>
                <w:noProof/>
                <w:webHidden/>
              </w:rPr>
              <w:fldChar w:fldCharType="separate"/>
            </w:r>
            <w:r w:rsidR="00563969">
              <w:rPr>
                <w:noProof/>
                <w:webHidden/>
              </w:rPr>
              <w:t>33</w:t>
            </w:r>
            <w:r w:rsidR="00563969">
              <w:rPr>
                <w:noProof/>
                <w:webHidden/>
              </w:rPr>
              <w:fldChar w:fldCharType="end"/>
            </w:r>
          </w:hyperlink>
        </w:p>
        <w:p w14:paraId="40B2E487" w14:textId="2C43AA25" w:rsidR="00563969" w:rsidRDefault="00801A83">
          <w:pPr>
            <w:pStyle w:val="TOC1"/>
            <w:rPr>
              <w:rFonts w:asciiTheme="minorHAnsi" w:eastAsiaTheme="minorEastAsia" w:hAnsiTheme="minorHAnsi" w:cstheme="minorBidi"/>
              <w:b w:val="0"/>
              <w:noProof/>
              <w:sz w:val="22"/>
              <w:lang w:eastAsia="en-AU"/>
            </w:rPr>
          </w:pPr>
          <w:hyperlink w:anchor="_Toc102724840" w:history="1">
            <w:r w:rsidR="00563969" w:rsidRPr="00F933F7">
              <w:rPr>
                <w:rStyle w:val="Hyperlink"/>
                <w:noProof/>
              </w:rPr>
              <w:t>Attachment 1. Product Information</w:t>
            </w:r>
            <w:r w:rsidR="00563969">
              <w:rPr>
                <w:noProof/>
                <w:webHidden/>
              </w:rPr>
              <w:tab/>
            </w:r>
            <w:r w:rsidR="00563969">
              <w:rPr>
                <w:noProof/>
                <w:webHidden/>
              </w:rPr>
              <w:fldChar w:fldCharType="begin"/>
            </w:r>
            <w:r w:rsidR="00563969">
              <w:rPr>
                <w:noProof/>
                <w:webHidden/>
              </w:rPr>
              <w:instrText xml:space="preserve"> PAGEREF _Toc102724840 \h </w:instrText>
            </w:r>
            <w:r w:rsidR="00563969">
              <w:rPr>
                <w:noProof/>
                <w:webHidden/>
              </w:rPr>
            </w:r>
            <w:r w:rsidR="00563969">
              <w:rPr>
                <w:noProof/>
                <w:webHidden/>
              </w:rPr>
              <w:fldChar w:fldCharType="separate"/>
            </w:r>
            <w:r w:rsidR="00563969">
              <w:rPr>
                <w:noProof/>
                <w:webHidden/>
              </w:rPr>
              <w:t>34</w:t>
            </w:r>
            <w:r w:rsidR="00563969">
              <w:rPr>
                <w:noProof/>
                <w:webHidden/>
              </w:rPr>
              <w:fldChar w:fldCharType="end"/>
            </w:r>
          </w:hyperlink>
        </w:p>
        <w:p w14:paraId="15A7F682" w14:textId="29F5EB5B" w:rsidR="003A7F6C" w:rsidRPr="00B811C6" w:rsidRDefault="00C525A2" w:rsidP="00B811C6">
          <w:pPr>
            <w:pStyle w:val="TOC2"/>
          </w:pPr>
          <w:r>
            <w:fldChar w:fldCharType="end"/>
          </w:r>
        </w:p>
      </w:sdtContent>
    </w:sdt>
    <w:bookmarkStart w:id="2" w:name="_Toc314842482" w:displacedByCustomXml="prev"/>
    <w:p w14:paraId="67A8885B" w14:textId="77777777" w:rsidR="00FD119B" w:rsidRDefault="00FD119B">
      <w:pPr>
        <w:spacing w:before="0" w:after="200" w:line="0" w:lineRule="auto"/>
      </w:pPr>
      <w:r>
        <w:br w:type="page"/>
      </w:r>
    </w:p>
    <w:p w14:paraId="2B63EC8C" w14:textId="6CDD3838" w:rsidR="00C52E24" w:rsidRPr="00C52E24" w:rsidRDefault="00324E45" w:rsidP="00C474C0">
      <w:pPr>
        <w:pStyle w:val="Heading2"/>
      </w:pPr>
      <w:bookmarkStart w:id="3" w:name="_Toc351716269"/>
      <w:bookmarkStart w:id="4" w:name="_Toc351718881"/>
      <w:bookmarkStart w:id="5" w:name="_Toc355338616"/>
      <w:bookmarkStart w:id="6" w:name="_Toc356306144"/>
      <w:bookmarkStart w:id="7" w:name="_Toc102724826"/>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40457B" w:rsidRPr="00FD119B" w14:paraId="5AF54907" w14:textId="77777777" w:rsidTr="00294D7D">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39296DA6" w14:textId="77777777" w:rsidR="0040457B" w:rsidRPr="00FD119B" w:rsidRDefault="0040457B" w:rsidP="00FA2AA4">
            <w:pPr>
              <w:rPr>
                <w:lang w:eastAsia="en-US"/>
              </w:rPr>
            </w:pPr>
            <w:r w:rsidRPr="00FD119B">
              <w:rPr>
                <w:lang w:eastAsia="en-US"/>
              </w:rPr>
              <w:t>Abbreviation</w:t>
            </w:r>
          </w:p>
        </w:tc>
        <w:tc>
          <w:tcPr>
            <w:tcW w:w="6911" w:type="dxa"/>
            <w:tcBorders>
              <w:top w:val="single" w:sz="4" w:space="0" w:color="auto"/>
              <w:left w:val="single" w:sz="4" w:space="0" w:color="auto"/>
              <w:bottom w:val="single" w:sz="4" w:space="0" w:color="auto"/>
              <w:right w:val="single" w:sz="4" w:space="0" w:color="auto"/>
            </w:tcBorders>
          </w:tcPr>
          <w:p w14:paraId="0560504D" w14:textId="77777777" w:rsidR="0040457B" w:rsidRPr="00FD119B" w:rsidRDefault="0040457B" w:rsidP="00FA2AA4">
            <w:pPr>
              <w:rPr>
                <w:lang w:eastAsia="en-US"/>
              </w:rPr>
            </w:pPr>
            <w:r w:rsidRPr="00FD119B">
              <w:rPr>
                <w:lang w:eastAsia="en-US"/>
              </w:rPr>
              <w:t>Meaning</w:t>
            </w:r>
          </w:p>
        </w:tc>
      </w:tr>
      <w:tr w:rsidR="0040457B" w:rsidRPr="00FD119B" w14:paraId="38AC1AE2" w14:textId="77777777" w:rsidTr="00294D7D">
        <w:tc>
          <w:tcPr>
            <w:tcW w:w="1809" w:type="dxa"/>
          </w:tcPr>
          <w:p w14:paraId="0EFF6E15" w14:textId="77777777" w:rsidR="0040457B" w:rsidRDefault="0040457B" w:rsidP="00294D7D">
            <w:r>
              <w:t>ACM</w:t>
            </w:r>
          </w:p>
        </w:tc>
        <w:tc>
          <w:tcPr>
            <w:tcW w:w="6911" w:type="dxa"/>
          </w:tcPr>
          <w:p w14:paraId="782EDB9D" w14:textId="77777777" w:rsidR="0040457B" w:rsidRPr="00460036" w:rsidRDefault="0040457B" w:rsidP="00294D7D">
            <w:r w:rsidRPr="00460036">
              <w:t>Advisory Committee on Medicines</w:t>
            </w:r>
          </w:p>
        </w:tc>
      </w:tr>
      <w:tr w:rsidR="0040457B" w:rsidRPr="00FD119B" w14:paraId="4DF22941" w14:textId="77777777" w:rsidTr="00294D7D">
        <w:tc>
          <w:tcPr>
            <w:tcW w:w="1809" w:type="dxa"/>
          </w:tcPr>
          <w:p w14:paraId="3D902BE4" w14:textId="77777777" w:rsidR="0040457B" w:rsidRDefault="0040457B" w:rsidP="00294D7D">
            <w:r>
              <w:t>ACTT</w:t>
            </w:r>
          </w:p>
        </w:tc>
        <w:tc>
          <w:tcPr>
            <w:tcW w:w="6911" w:type="dxa"/>
          </w:tcPr>
          <w:p w14:paraId="5EF090DC" w14:textId="77777777" w:rsidR="0040457B" w:rsidRDefault="0040457B" w:rsidP="00294D7D">
            <w:r>
              <w:t>Adaptive COVID-19 treatment trial</w:t>
            </w:r>
          </w:p>
        </w:tc>
      </w:tr>
      <w:tr w:rsidR="0040457B" w:rsidRPr="00FD119B" w14:paraId="47D090AF" w14:textId="77777777" w:rsidTr="00294D7D">
        <w:tc>
          <w:tcPr>
            <w:tcW w:w="1809" w:type="dxa"/>
          </w:tcPr>
          <w:p w14:paraId="5E257A94" w14:textId="77777777" w:rsidR="0040457B" w:rsidRDefault="0040457B" w:rsidP="00294D7D">
            <w:r>
              <w:t>ALT</w:t>
            </w:r>
          </w:p>
        </w:tc>
        <w:tc>
          <w:tcPr>
            <w:tcW w:w="6911" w:type="dxa"/>
          </w:tcPr>
          <w:p w14:paraId="5EDC630B" w14:textId="77777777" w:rsidR="0040457B" w:rsidRDefault="0040457B" w:rsidP="00294D7D">
            <w:r>
              <w:t>A</w:t>
            </w:r>
            <w:r w:rsidRPr="003B7FF6">
              <w:t>lanine aminotransferase</w:t>
            </w:r>
          </w:p>
        </w:tc>
      </w:tr>
      <w:tr w:rsidR="0040457B" w:rsidRPr="00FD119B" w14:paraId="0650D3BD" w14:textId="77777777" w:rsidTr="00294D7D">
        <w:tc>
          <w:tcPr>
            <w:tcW w:w="1809" w:type="dxa"/>
          </w:tcPr>
          <w:p w14:paraId="274B74CC" w14:textId="77777777" w:rsidR="0040457B" w:rsidRDefault="0040457B" w:rsidP="00294D7D">
            <w:r>
              <w:t>ARTG</w:t>
            </w:r>
          </w:p>
        </w:tc>
        <w:tc>
          <w:tcPr>
            <w:tcW w:w="6911" w:type="dxa"/>
          </w:tcPr>
          <w:p w14:paraId="14CC8D2E" w14:textId="77777777" w:rsidR="0040457B" w:rsidRPr="00460036" w:rsidRDefault="0040457B" w:rsidP="00294D7D">
            <w:r w:rsidRPr="00460036">
              <w:t>Australian Register of Therapeutic Goods</w:t>
            </w:r>
          </w:p>
        </w:tc>
      </w:tr>
      <w:tr w:rsidR="0040457B" w:rsidRPr="00FD119B" w14:paraId="33E1786F" w14:textId="77777777" w:rsidTr="00294D7D">
        <w:tc>
          <w:tcPr>
            <w:tcW w:w="1809" w:type="dxa"/>
          </w:tcPr>
          <w:p w14:paraId="65D7ABB6" w14:textId="77777777" w:rsidR="0040457B" w:rsidRDefault="0040457B" w:rsidP="00294D7D">
            <w:r>
              <w:t>ASA</w:t>
            </w:r>
          </w:p>
        </w:tc>
        <w:tc>
          <w:tcPr>
            <w:tcW w:w="6911" w:type="dxa"/>
          </w:tcPr>
          <w:p w14:paraId="1DE34BD9" w14:textId="77777777" w:rsidR="0040457B" w:rsidRDefault="0040457B" w:rsidP="00294D7D">
            <w:r>
              <w:t>Australia specific annex</w:t>
            </w:r>
          </w:p>
        </w:tc>
      </w:tr>
      <w:tr w:rsidR="0040457B" w:rsidRPr="00FD119B" w14:paraId="3A5FFB2F" w14:textId="77777777" w:rsidTr="00294D7D">
        <w:tc>
          <w:tcPr>
            <w:tcW w:w="1809" w:type="dxa"/>
          </w:tcPr>
          <w:p w14:paraId="6BD6016E" w14:textId="77777777" w:rsidR="0040457B" w:rsidRDefault="0040457B" w:rsidP="00294D7D">
            <w:r>
              <w:t>CI</w:t>
            </w:r>
          </w:p>
        </w:tc>
        <w:tc>
          <w:tcPr>
            <w:tcW w:w="6911" w:type="dxa"/>
          </w:tcPr>
          <w:p w14:paraId="0C01C144" w14:textId="77777777" w:rsidR="0040457B" w:rsidRDefault="0040457B" w:rsidP="00294D7D">
            <w:r>
              <w:t>Confidence interval</w:t>
            </w:r>
          </w:p>
        </w:tc>
      </w:tr>
      <w:tr w:rsidR="0040457B" w:rsidRPr="00FD119B" w14:paraId="140A2148" w14:textId="77777777" w:rsidTr="00294D7D">
        <w:tc>
          <w:tcPr>
            <w:tcW w:w="1809" w:type="dxa"/>
          </w:tcPr>
          <w:p w14:paraId="0F341DBB" w14:textId="77777777" w:rsidR="0040457B" w:rsidRDefault="0040457B" w:rsidP="00294D7D">
            <w:r>
              <w:t>CMI</w:t>
            </w:r>
          </w:p>
        </w:tc>
        <w:tc>
          <w:tcPr>
            <w:tcW w:w="6911" w:type="dxa"/>
          </w:tcPr>
          <w:p w14:paraId="5D6558BD" w14:textId="77777777" w:rsidR="0040457B" w:rsidRDefault="0040457B" w:rsidP="00294D7D">
            <w:r>
              <w:t>Consumer Medicines Information</w:t>
            </w:r>
          </w:p>
        </w:tc>
      </w:tr>
      <w:tr w:rsidR="0040457B" w:rsidRPr="00FD119B" w14:paraId="2E927962" w14:textId="77777777" w:rsidTr="00294D7D">
        <w:tc>
          <w:tcPr>
            <w:tcW w:w="1809" w:type="dxa"/>
          </w:tcPr>
          <w:p w14:paraId="63AB79BB" w14:textId="77777777" w:rsidR="0040457B" w:rsidRDefault="0040457B" w:rsidP="00294D7D">
            <w:r>
              <w:t>COVID-19</w:t>
            </w:r>
          </w:p>
        </w:tc>
        <w:tc>
          <w:tcPr>
            <w:tcW w:w="6911" w:type="dxa"/>
          </w:tcPr>
          <w:p w14:paraId="4469EC13" w14:textId="77777777" w:rsidR="0040457B" w:rsidRDefault="0040457B" w:rsidP="00294D7D">
            <w:r w:rsidRPr="003B3119">
              <w:t>Coronavirus disease</w:t>
            </w:r>
            <w:r>
              <w:t xml:space="preserve"> 2019</w:t>
            </w:r>
          </w:p>
        </w:tc>
      </w:tr>
      <w:tr w:rsidR="0040457B" w:rsidRPr="00FD119B" w14:paraId="287C521B" w14:textId="77777777" w:rsidTr="00294D7D">
        <w:tc>
          <w:tcPr>
            <w:tcW w:w="1809" w:type="dxa"/>
          </w:tcPr>
          <w:p w14:paraId="44476E55" w14:textId="77777777" w:rsidR="0040457B" w:rsidRDefault="0040457B" w:rsidP="00294D7D">
            <w:r>
              <w:t>DLP</w:t>
            </w:r>
          </w:p>
        </w:tc>
        <w:tc>
          <w:tcPr>
            <w:tcW w:w="6911" w:type="dxa"/>
          </w:tcPr>
          <w:p w14:paraId="03608288" w14:textId="77777777" w:rsidR="0040457B" w:rsidRDefault="0040457B" w:rsidP="00294D7D">
            <w:r>
              <w:t>Data lock point</w:t>
            </w:r>
          </w:p>
        </w:tc>
      </w:tr>
      <w:tr w:rsidR="0040457B" w:rsidRPr="00FD119B" w14:paraId="6852CEBB" w14:textId="77777777" w:rsidTr="00294D7D">
        <w:tc>
          <w:tcPr>
            <w:tcW w:w="1809" w:type="dxa"/>
          </w:tcPr>
          <w:p w14:paraId="4466A036" w14:textId="77777777" w:rsidR="0040457B" w:rsidRDefault="0040457B" w:rsidP="00294D7D">
            <w:r>
              <w:t>EMA</w:t>
            </w:r>
          </w:p>
        </w:tc>
        <w:tc>
          <w:tcPr>
            <w:tcW w:w="6911" w:type="dxa"/>
          </w:tcPr>
          <w:p w14:paraId="301D1F9E" w14:textId="77777777" w:rsidR="0040457B" w:rsidRDefault="0040457B" w:rsidP="00294D7D">
            <w:r w:rsidRPr="004674CE">
              <w:rPr>
                <w:rFonts w:eastAsiaTheme="minorHAnsi"/>
                <w:iCs/>
                <w:snapToGrid w:val="0"/>
                <w:kern w:val="2"/>
              </w:rPr>
              <w:t>European Medicines Agency</w:t>
            </w:r>
          </w:p>
        </w:tc>
      </w:tr>
      <w:tr w:rsidR="0040457B" w:rsidRPr="00FD119B" w14:paraId="5FF4A2F5" w14:textId="77777777" w:rsidTr="00294D7D">
        <w:tc>
          <w:tcPr>
            <w:tcW w:w="1809" w:type="dxa"/>
          </w:tcPr>
          <w:p w14:paraId="4BD1D012" w14:textId="77777777" w:rsidR="0040457B" w:rsidRDefault="0040457B" w:rsidP="00294D7D">
            <w:r>
              <w:t>EU</w:t>
            </w:r>
          </w:p>
        </w:tc>
        <w:tc>
          <w:tcPr>
            <w:tcW w:w="6911" w:type="dxa"/>
          </w:tcPr>
          <w:p w14:paraId="4B283135" w14:textId="77777777" w:rsidR="0040457B" w:rsidRDefault="0040457B" w:rsidP="00294D7D">
            <w:r>
              <w:t>European Union</w:t>
            </w:r>
          </w:p>
        </w:tc>
      </w:tr>
      <w:tr w:rsidR="0040457B" w:rsidRPr="00FD119B" w14:paraId="26C86179" w14:textId="77777777" w:rsidTr="00294D7D">
        <w:tc>
          <w:tcPr>
            <w:tcW w:w="1809" w:type="dxa"/>
          </w:tcPr>
          <w:p w14:paraId="471C6FA3" w14:textId="77777777" w:rsidR="0040457B" w:rsidRDefault="0040457B" w:rsidP="00294D7D">
            <w:r>
              <w:t>EUA</w:t>
            </w:r>
          </w:p>
        </w:tc>
        <w:tc>
          <w:tcPr>
            <w:tcW w:w="6911" w:type="dxa"/>
          </w:tcPr>
          <w:p w14:paraId="28F3A9DE" w14:textId="77777777" w:rsidR="0040457B" w:rsidRDefault="0040457B">
            <w:r>
              <w:t>Emergency Usage Authorization (Unites States of America)</w:t>
            </w:r>
          </w:p>
        </w:tc>
      </w:tr>
      <w:tr w:rsidR="0040457B" w:rsidRPr="00FD119B" w14:paraId="21823910" w14:textId="77777777" w:rsidTr="00294D7D">
        <w:tc>
          <w:tcPr>
            <w:tcW w:w="1809" w:type="dxa"/>
          </w:tcPr>
          <w:p w14:paraId="70501ECB" w14:textId="77777777" w:rsidR="0040457B" w:rsidRDefault="0040457B" w:rsidP="00294D7D">
            <w:r>
              <w:t>FDA</w:t>
            </w:r>
          </w:p>
        </w:tc>
        <w:tc>
          <w:tcPr>
            <w:tcW w:w="6911" w:type="dxa"/>
          </w:tcPr>
          <w:p w14:paraId="4CBA48A8" w14:textId="77777777" w:rsidR="0040457B" w:rsidRDefault="0040457B" w:rsidP="00294D7D">
            <w:r>
              <w:t>Food and Drug Administration (United States of America)</w:t>
            </w:r>
          </w:p>
        </w:tc>
      </w:tr>
      <w:tr w:rsidR="0040457B" w:rsidRPr="00FD119B" w14:paraId="08ADF989" w14:textId="77777777" w:rsidTr="00294D7D">
        <w:tc>
          <w:tcPr>
            <w:tcW w:w="1809" w:type="dxa"/>
          </w:tcPr>
          <w:p w14:paraId="1BD3E119" w14:textId="77777777" w:rsidR="0040457B" w:rsidRDefault="0040457B" w:rsidP="00294D7D">
            <w:r>
              <w:t>Nsp12</w:t>
            </w:r>
          </w:p>
        </w:tc>
        <w:tc>
          <w:tcPr>
            <w:tcW w:w="6911" w:type="dxa"/>
          </w:tcPr>
          <w:p w14:paraId="2A6F3E18" w14:textId="77777777" w:rsidR="0040457B" w:rsidRDefault="0040457B" w:rsidP="00294D7D">
            <w:proofErr w:type="spellStart"/>
            <w:r>
              <w:t>N</w:t>
            </w:r>
            <w:r w:rsidRPr="0016093F">
              <w:t>onstructural</w:t>
            </w:r>
            <w:proofErr w:type="spellEnd"/>
            <w:r w:rsidRPr="0016093F">
              <w:t xml:space="preserve"> protein 12</w:t>
            </w:r>
          </w:p>
        </w:tc>
      </w:tr>
      <w:tr w:rsidR="0040457B" w:rsidRPr="00FD119B" w14:paraId="287FE108" w14:textId="77777777" w:rsidTr="00294D7D">
        <w:tc>
          <w:tcPr>
            <w:tcW w:w="1809" w:type="dxa"/>
          </w:tcPr>
          <w:p w14:paraId="154AB5F1" w14:textId="77777777" w:rsidR="0040457B" w:rsidRDefault="0040457B" w:rsidP="00294D7D">
            <w:r>
              <w:t>PI</w:t>
            </w:r>
          </w:p>
        </w:tc>
        <w:tc>
          <w:tcPr>
            <w:tcW w:w="6911" w:type="dxa"/>
          </w:tcPr>
          <w:p w14:paraId="6E32A8BA" w14:textId="77777777" w:rsidR="0040457B" w:rsidRPr="00460036" w:rsidRDefault="0040457B" w:rsidP="00294D7D">
            <w:r>
              <w:t>Product Information</w:t>
            </w:r>
          </w:p>
        </w:tc>
      </w:tr>
      <w:tr w:rsidR="0040457B" w:rsidRPr="00FD119B" w14:paraId="2363AA1C" w14:textId="77777777" w:rsidTr="00294D7D">
        <w:tc>
          <w:tcPr>
            <w:tcW w:w="1809" w:type="dxa"/>
          </w:tcPr>
          <w:p w14:paraId="4CE8B451" w14:textId="77777777" w:rsidR="0040457B" w:rsidRDefault="0040457B" w:rsidP="00294D7D">
            <w:r>
              <w:t>PK</w:t>
            </w:r>
          </w:p>
        </w:tc>
        <w:tc>
          <w:tcPr>
            <w:tcW w:w="6911" w:type="dxa"/>
          </w:tcPr>
          <w:p w14:paraId="165A5B0C" w14:textId="77777777" w:rsidR="0040457B" w:rsidRDefault="0040457B" w:rsidP="00294D7D">
            <w:r>
              <w:t>Pharmacokinetic(s)</w:t>
            </w:r>
          </w:p>
        </w:tc>
      </w:tr>
      <w:tr w:rsidR="0040457B" w:rsidRPr="00FD119B" w14:paraId="419A3F96" w14:textId="77777777" w:rsidTr="00294D7D">
        <w:tc>
          <w:tcPr>
            <w:tcW w:w="1809" w:type="dxa"/>
          </w:tcPr>
          <w:p w14:paraId="4181CA57" w14:textId="77777777" w:rsidR="0040457B" w:rsidRDefault="0040457B" w:rsidP="00294D7D">
            <w:r>
              <w:t>PSUR</w:t>
            </w:r>
          </w:p>
        </w:tc>
        <w:tc>
          <w:tcPr>
            <w:tcW w:w="6911" w:type="dxa"/>
          </w:tcPr>
          <w:p w14:paraId="2B3C411A" w14:textId="77777777" w:rsidR="0040457B" w:rsidRDefault="0040457B" w:rsidP="00294D7D">
            <w:r w:rsidRPr="0040457B">
              <w:t>Periodic Safety Update Report</w:t>
            </w:r>
          </w:p>
        </w:tc>
      </w:tr>
      <w:tr w:rsidR="0040457B" w:rsidRPr="00FD119B" w14:paraId="4349135E" w14:textId="77777777" w:rsidTr="00294D7D">
        <w:tc>
          <w:tcPr>
            <w:tcW w:w="1809" w:type="dxa"/>
          </w:tcPr>
          <w:p w14:paraId="55863FB9" w14:textId="77777777" w:rsidR="0040457B" w:rsidRDefault="0040457B" w:rsidP="00294D7D">
            <w:r>
              <w:t>RMP</w:t>
            </w:r>
          </w:p>
        </w:tc>
        <w:tc>
          <w:tcPr>
            <w:tcW w:w="6911" w:type="dxa"/>
          </w:tcPr>
          <w:p w14:paraId="1A477B12" w14:textId="77777777" w:rsidR="0040457B" w:rsidRDefault="0040457B" w:rsidP="00294D7D">
            <w:r>
              <w:t>Risk management plan</w:t>
            </w:r>
          </w:p>
        </w:tc>
      </w:tr>
      <w:tr w:rsidR="0040457B" w:rsidRPr="00FD119B" w14:paraId="78C2E037" w14:textId="77777777" w:rsidTr="00294D7D">
        <w:tc>
          <w:tcPr>
            <w:tcW w:w="1809" w:type="dxa"/>
          </w:tcPr>
          <w:p w14:paraId="6578CEF8" w14:textId="77777777" w:rsidR="0040457B" w:rsidRDefault="0040457B" w:rsidP="00294D7D">
            <w:r>
              <w:t>SARS-CoV-2</w:t>
            </w:r>
          </w:p>
        </w:tc>
        <w:tc>
          <w:tcPr>
            <w:tcW w:w="6911" w:type="dxa"/>
          </w:tcPr>
          <w:p w14:paraId="66A8E76B" w14:textId="77777777" w:rsidR="0040457B" w:rsidRDefault="0040457B" w:rsidP="00294D7D">
            <w:r>
              <w:t>S</w:t>
            </w:r>
            <w:r w:rsidRPr="00556560">
              <w:t>evere acute respiratory syndrome</w:t>
            </w:r>
            <w:r>
              <w:t xml:space="preserve"> </w:t>
            </w:r>
            <w:r w:rsidRPr="00556560">
              <w:t>related coronavirus</w:t>
            </w:r>
            <w:r>
              <w:t xml:space="preserve"> 2</w:t>
            </w:r>
          </w:p>
        </w:tc>
      </w:tr>
      <w:tr w:rsidR="0040457B" w:rsidRPr="00FD119B" w14:paraId="2657B21C" w14:textId="77777777" w:rsidTr="00294D7D">
        <w:tc>
          <w:tcPr>
            <w:tcW w:w="1809" w:type="dxa"/>
          </w:tcPr>
          <w:p w14:paraId="672090D8" w14:textId="77777777" w:rsidR="0040457B" w:rsidRDefault="0040457B" w:rsidP="00294D7D">
            <w:r>
              <w:t>SBECD</w:t>
            </w:r>
          </w:p>
        </w:tc>
        <w:tc>
          <w:tcPr>
            <w:tcW w:w="6911" w:type="dxa"/>
          </w:tcPr>
          <w:p w14:paraId="676199D7" w14:textId="77777777" w:rsidR="0040457B" w:rsidRDefault="0040457B" w:rsidP="00294D7D">
            <w:proofErr w:type="spellStart"/>
            <w:r>
              <w:t>S</w:t>
            </w:r>
            <w:r w:rsidRPr="009A05E6">
              <w:t>ulfobutylether</w:t>
            </w:r>
            <w:proofErr w:type="spellEnd"/>
            <w:r w:rsidRPr="009A05E6">
              <w:t>-beta-cyclodextrin</w:t>
            </w:r>
          </w:p>
        </w:tc>
      </w:tr>
      <w:tr w:rsidR="0040457B" w:rsidRPr="00FD119B" w14:paraId="6D313C89" w14:textId="77777777" w:rsidTr="00294D7D">
        <w:tc>
          <w:tcPr>
            <w:tcW w:w="1809" w:type="dxa"/>
          </w:tcPr>
          <w:p w14:paraId="0D58B052" w14:textId="77777777" w:rsidR="0040457B" w:rsidRDefault="0040457B" w:rsidP="00294D7D">
            <w:r>
              <w:t>TGA</w:t>
            </w:r>
          </w:p>
        </w:tc>
        <w:tc>
          <w:tcPr>
            <w:tcW w:w="6911" w:type="dxa"/>
          </w:tcPr>
          <w:p w14:paraId="1E70EC98" w14:textId="77777777" w:rsidR="0040457B" w:rsidRDefault="0040457B" w:rsidP="00294D7D">
            <w:r w:rsidRPr="0087139B">
              <w:t>Therapeutic Goods Administration</w:t>
            </w:r>
          </w:p>
        </w:tc>
      </w:tr>
      <w:tr w:rsidR="0040457B" w:rsidRPr="00FD119B" w14:paraId="58D4CCE4" w14:textId="77777777" w:rsidTr="00294D7D">
        <w:tc>
          <w:tcPr>
            <w:tcW w:w="1809" w:type="dxa"/>
          </w:tcPr>
          <w:p w14:paraId="14EC5240" w14:textId="77777777" w:rsidR="0040457B" w:rsidRDefault="0040457B" w:rsidP="00294D7D">
            <w:r>
              <w:t>US(A)</w:t>
            </w:r>
          </w:p>
        </w:tc>
        <w:tc>
          <w:tcPr>
            <w:tcW w:w="6911" w:type="dxa"/>
          </w:tcPr>
          <w:p w14:paraId="491C2C1A" w14:textId="77777777" w:rsidR="0040457B" w:rsidRDefault="0040457B" w:rsidP="00294D7D">
            <w:r>
              <w:t>United States (of America)</w:t>
            </w:r>
          </w:p>
        </w:tc>
      </w:tr>
    </w:tbl>
    <w:p w14:paraId="7D306585" w14:textId="77777777" w:rsidR="00FD119B" w:rsidRPr="00FD119B" w:rsidRDefault="00FD119B" w:rsidP="00FD119B">
      <w:pPr>
        <w:spacing w:before="0" w:after="200" w:line="0" w:lineRule="auto"/>
        <w:rPr>
          <w:b/>
          <w:i/>
          <w:sz w:val="24"/>
          <w:szCs w:val="24"/>
        </w:rPr>
      </w:pPr>
      <w:r w:rsidRPr="00FD119B">
        <w:rPr>
          <w:b/>
          <w:i/>
          <w:sz w:val="24"/>
          <w:szCs w:val="24"/>
        </w:rPr>
        <w:br w:type="page"/>
      </w:r>
    </w:p>
    <w:p w14:paraId="39158D69" w14:textId="77777777" w:rsidR="008E7846" w:rsidRDefault="00F53C07" w:rsidP="008E7846">
      <w:pPr>
        <w:pStyle w:val="Heading2"/>
      </w:pPr>
      <w:bookmarkStart w:id="8" w:name="_Toc102724827"/>
      <w:r>
        <w:lastRenderedPageBreak/>
        <w:t>I.</w:t>
      </w:r>
      <w:r w:rsidR="008E7846">
        <w:t xml:space="preserve"> Introduction to product submission</w:t>
      </w:r>
      <w:bookmarkEnd w:id="0"/>
      <w:bookmarkEnd w:id="2"/>
      <w:bookmarkEnd w:id="8"/>
    </w:p>
    <w:p w14:paraId="0ADEC5EC" w14:textId="77777777" w:rsidR="008E7846" w:rsidRDefault="008E7846" w:rsidP="008E7846">
      <w:pPr>
        <w:pStyle w:val="Heading3"/>
        <w:rPr>
          <w:lang w:eastAsia="en-AU"/>
        </w:rPr>
      </w:pPr>
      <w:bookmarkStart w:id="9" w:name="_Toc247691502"/>
      <w:bookmarkStart w:id="10" w:name="_Toc314842483"/>
      <w:bookmarkStart w:id="11" w:name="_Toc102724828"/>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78DE3DFC" w14:textId="77777777" w:rsidTr="003735BC">
        <w:tc>
          <w:tcPr>
            <w:tcW w:w="2907" w:type="dxa"/>
          </w:tcPr>
          <w:p w14:paraId="1F5B9ADF"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18510FF7" w14:textId="21CDBF53" w:rsidR="008E7846" w:rsidRPr="003D1E62" w:rsidRDefault="003B3119" w:rsidP="001B5C90">
            <w:r>
              <w:t>Extension of indication</w:t>
            </w:r>
          </w:p>
        </w:tc>
      </w:tr>
      <w:tr w:rsidR="00460036" w:rsidRPr="003D1E62" w14:paraId="6FE4EBE8" w14:textId="77777777" w:rsidTr="003735BC">
        <w:tc>
          <w:tcPr>
            <w:tcW w:w="2907" w:type="dxa"/>
          </w:tcPr>
          <w:p w14:paraId="00FCE2CA" w14:textId="354971C3" w:rsidR="00460036" w:rsidRPr="003D1E62" w:rsidRDefault="00460036" w:rsidP="003D1E62">
            <w:pPr>
              <w:rPr>
                <w:i/>
              </w:rPr>
            </w:pPr>
            <w:r w:rsidRPr="00460036">
              <w:rPr>
                <w:i/>
              </w:rPr>
              <w:t>Product name:</w:t>
            </w:r>
          </w:p>
        </w:tc>
        <w:tc>
          <w:tcPr>
            <w:tcW w:w="6307" w:type="dxa"/>
          </w:tcPr>
          <w:p w14:paraId="009504C7" w14:textId="58A24163" w:rsidR="00460036" w:rsidRPr="003D1E62" w:rsidRDefault="00C474C0" w:rsidP="001B5C90">
            <w:proofErr w:type="spellStart"/>
            <w:r>
              <w:t>Veklury</w:t>
            </w:r>
            <w:proofErr w:type="spellEnd"/>
          </w:p>
        </w:tc>
      </w:tr>
      <w:tr w:rsidR="00460036" w:rsidRPr="003D1E62" w14:paraId="3BC884CB" w14:textId="77777777" w:rsidTr="003735BC">
        <w:tc>
          <w:tcPr>
            <w:tcW w:w="2907" w:type="dxa"/>
          </w:tcPr>
          <w:p w14:paraId="3C3B0FAA" w14:textId="1DAD56EC" w:rsidR="00460036" w:rsidRPr="003D1E62" w:rsidRDefault="00460036" w:rsidP="003D1E62">
            <w:pPr>
              <w:rPr>
                <w:i/>
              </w:rPr>
            </w:pPr>
            <w:r w:rsidRPr="00460036">
              <w:rPr>
                <w:i/>
              </w:rPr>
              <w:t>Active ingredient:</w:t>
            </w:r>
          </w:p>
        </w:tc>
        <w:tc>
          <w:tcPr>
            <w:tcW w:w="6307" w:type="dxa"/>
          </w:tcPr>
          <w:p w14:paraId="40D4B8F6" w14:textId="7C705559" w:rsidR="00460036" w:rsidRPr="003D1E62" w:rsidRDefault="00C474C0" w:rsidP="001B5C90">
            <w:proofErr w:type="spellStart"/>
            <w:r>
              <w:t>Remdesivir</w:t>
            </w:r>
            <w:proofErr w:type="spellEnd"/>
          </w:p>
        </w:tc>
      </w:tr>
      <w:tr w:rsidR="008E7846" w:rsidRPr="003D1E62" w14:paraId="6B38E373" w14:textId="77777777" w:rsidTr="003735BC">
        <w:tc>
          <w:tcPr>
            <w:tcW w:w="2907" w:type="dxa"/>
          </w:tcPr>
          <w:p w14:paraId="169B27E8" w14:textId="77777777" w:rsidR="008E7846" w:rsidRPr="003D1E62" w:rsidRDefault="008E7846" w:rsidP="003D1E62">
            <w:r w:rsidRPr="003D1E62">
              <w:rPr>
                <w:i/>
              </w:rPr>
              <w:t>Decision</w:t>
            </w:r>
            <w:r w:rsidRPr="003D1E62">
              <w:t>:</w:t>
            </w:r>
          </w:p>
        </w:tc>
        <w:tc>
          <w:tcPr>
            <w:tcW w:w="6307" w:type="dxa"/>
          </w:tcPr>
          <w:p w14:paraId="59569FAF" w14:textId="7619F1D0" w:rsidR="008E7846" w:rsidRPr="00ED19F6" w:rsidRDefault="00ED19F6" w:rsidP="001B5C90">
            <w:r w:rsidRPr="00ED19F6">
              <w:t>Approved for provisional registration</w:t>
            </w:r>
          </w:p>
        </w:tc>
      </w:tr>
      <w:tr w:rsidR="008E7846" w:rsidRPr="003D1E62" w14:paraId="4508BEF4" w14:textId="77777777" w:rsidTr="003735BC">
        <w:tc>
          <w:tcPr>
            <w:tcW w:w="2907" w:type="dxa"/>
          </w:tcPr>
          <w:p w14:paraId="007A9BAE"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7AB32113" w14:textId="488D1A64" w:rsidR="008E7846" w:rsidRPr="00FA2AA4" w:rsidRDefault="00FA2AA4" w:rsidP="001B5C90">
            <w:r w:rsidRPr="00FA2AA4">
              <w:t xml:space="preserve">5 </w:t>
            </w:r>
            <w:r>
              <w:t>M</w:t>
            </w:r>
            <w:r w:rsidRPr="00FA2AA4">
              <w:t>ay 2022</w:t>
            </w:r>
          </w:p>
        </w:tc>
      </w:tr>
      <w:tr w:rsidR="00ED2922" w:rsidRPr="003D1E62" w14:paraId="2E1E66C9" w14:textId="77777777" w:rsidTr="003735BC">
        <w:tc>
          <w:tcPr>
            <w:tcW w:w="2907" w:type="dxa"/>
          </w:tcPr>
          <w:p w14:paraId="7B926EFA" w14:textId="77777777" w:rsidR="00ED2922" w:rsidRPr="00441C3F" w:rsidRDefault="00ED2922" w:rsidP="001B5C90">
            <w:pPr>
              <w:rPr>
                <w:i/>
              </w:rPr>
            </w:pPr>
            <w:r w:rsidRPr="00441C3F">
              <w:rPr>
                <w:i/>
              </w:rPr>
              <w:t>Date of entry onto ARTG</w:t>
            </w:r>
            <w:r w:rsidR="00500337">
              <w:rPr>
                <w:i/>
              </w:rPr>
              <w:t>:</w:t>
            </w:r>
          </w:p>
        </w:tc>
        <w:tc>
          <w:tcPr>
            <w:tcW w:w="6307" w:type="dxa"/>
          </w:tcPr>
          <w:p w14:paraId="3BB872F1" w14:textId="745F75E3" w:rsidR="00ED2922" w:rsidRPr="00034591" w:rsidRDefault="00034591" w:rsidP="00D153D8">
            <w:pPr>
              <w:rPr>
                <w:iCs/>
              </w:rPr>
            </w:pPr>
            <w:r w:rsidRPr="00034591">
              <w:rPr>
                <w:iCs/>
              </w:rPr>
              <w:t>6 May 2022</w:t>
            </w:r>
          </w:p>
        </w:tc>
      </w:tr>
      <w:tr w:rsidR="00500337" w:rsidRPr="003D1E62" w14:paraId="5BBDD127" w14:textId="77777777" w:rsidTr="003735BC">
        <w:tc>
          <w:tcPr>
            <w:tcW w:w="2907" w:type="dxa"/>
          </w:tcPr>
          <w:p w14:paraId="5F5A01B0" w14:textId="753566EE" w:rsidR="00500337" w:rsidRPr="00441C3F" w:rsidRDefault="00500337" w:rsidP="001B5C90">
            <w:pPr>
              <w:rPr>
                <w:i/>
              </w:rPr>
            </w:pPr>
            <w:r>
              <w:rPr>
                <w:i/>
              </w:rPr>
              <w:t>ARTG number:</w:t>
            </w:r>
          </w:p>
        </w:tc>
        <w:tc>
          <w:tcPr>
            <w:tcW w:w="6307" w:type="dxa"/>
          </w:tcPr>
          <w:p w14:paraId="1AFFA085" w14:textId="35FC87BB" w:rsidR="00500337" w:rsidRPr="00ED19F6" w:rsidRDefault="00ED19F6" w:rsidP="00EC463D">
            <w:r w:rsidRPr="00ED19F6">
              <w:t>338419</w:t>
            </w:r>
          </w:p>
        </w:tc>
      </w:tr>
      <w:tr w:rsidR="003735BC" w:rsidRPr="003D1E62" w14:paraId="50E4C4BC" w14:textId="77777777" w:rsidTr="003735BC">
        <w:tc>
          <w:tcPr>
            <w:tcW w:w="2907" w:type="dxa"/>
          </w:tcPr>
          <w:p w14:paraId="1C0D9FE9"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bookmarkStart w:id="12" w:name="_Ref102717148"/>
            <w:r w:rsidR="00460036">
              <w:rPr>
                <w:rStyle w:val="FootnoteReference"/>
                <w:i/>
              </w:rPr>
              <w:footnoteReference w:id="1"/>
            </w:r>
            <w:bookmarkEnd w:id="12"/>
          </w:p>
        </w:tc>
        <w:tc>
          <w:tcPr>
            <w:tcW w:w="6307" w:type="dxa"/>
          </w:tcPr>
          <w:p w14:paraId="51BC5FD9" w14:textId="2F9C88BE" w:rsidR="003735BC" w:rsidRDefault="003735BC" w:rsidP="003735BC">
            <w:r>
              <w:t>Yes</w:t>
            </w:r>
          </w:p>
          <w:p w14:paraId="633705C2" w14:textId="1CBAA82E" w:rsidR="003735BC" w:rsidRPr="00487162" w:rsidRDefault="003735BC" w:rsidP="003735BC">
            <w:r>
              <w:t>As a provisionally registered product, this medicine will remain in the Black Triangle Scheme for the duration of its provisional registration</w:t>
            </w:r>
          </w:p>
        </w:tc>
      </w:tr>
    </w:tbl>
    <w:p w14:paraId="735C314B"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2E11BE5C" w14:textId="77777777" w:rsidTr="00BF1190">
        <w:tc>
          <w:tcPr>
            <w:tcW w:w="2907" w:type="dxa"/>
          </w:tcPr>
          <w:p w14:paraId="32DBF1A6"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012538D1" w14:textId="77777777" w:rsidR="00C474C0" w:rsidRDefault="00C474C0" w:rsidP="00C474C0">
            <w:r>
              <w:t>Gilead Sciences Pty Ltd</w:t>
            </w:r>
          </w:p>
          <w:p w14:paraId="2A398509" w14:textId="77777777" w:rsidR="00A41C97" w:rsidRDefault="00C474C0" w:rsidP="00C474C0">
            <w:pPr>
              <w:rPr>
                <w:lang w:val="es-ES"/>
              </w:rPr>
            </w:pPr>
            <w:proofErr w:type="spellStart"/>
            <w:r w:rsidRPr="00020392">
              <w:rPr>
                <w:lang w:val="es-ES"/>
              </w:rPr>
              <w:t>Level</w:t>
            </w:r>
            <w:proofErr w:type="spellEnd"/>
            <w:r w:rsidRPr="00020392">
              <w:rPr>
                <w:lang w:val="es-ES"/>
              </w:rPr>
              <w:t xml:space="preserve"> 6, 417 </w:t>
            </w:r>
            <w:proofErr w:type="spellStart"/>
            <w:r w:rsidRPr="00020392">
              <w:rPr>
                <w:lang w:val="es-ES"/>
              </w:rPr>
              <w:t>St</w:t>
            </w:r>
            <w:proofErr w:type="spellEnd"/>
            <w:r w:rsidRPr="00020392">
              <w:rPr>
                <w:lang w:val="es-ES"/>
              </w:rPr>
              <w:t xml:space="preserve"> </w:t>
            </w:r>
            <w:proofErr w:type="spellStart"/>
            <w:r w:rsidRPr="00020392">
              <w:rPr>
                <w:lang w:val="es-ES"/>
              </w:rPr>
              <w:t>Kilda</w:t>
            </w:r>
            <w:proofErr w:type="spellEnd"/>
            <w:r w:rsidRPr="00020392">
              <w:rPr>
                <w:lang w:val="es-ES"/>
              </w:rPr>
              <w:t xml:space="preserve"> Road,</w:t>
            </w:r>
          </w:p>
          <w:p w14:paraId="3AD23A42" w14:textId="59B09EDE" w:rsidR="008E7846" w:rsidRPr="00487162" w:rsidRDefault="00C474C0" w:rsidP="00C474C0">
            <w:r w:rsidRPr="00020392">
              <w:rPr>
                <w:lang w:val="es-ES"/>
              </w:rPr>
              <w:t>Melbourne, Victoria 3004</w:t>
            </w:r>
          </w:p>
        </w:tc>
      </w:tr>
      <w:tr w:rsidR="008E7846" w:rsidRPr="00487162" w14:paraId="3BAF9370" w14:textId="77777777" w:rsidTr="00BF1190">
        <w:tc>
          <w:tcPr>
            <w:tcW w:w="2907" w:type="dxa"/>
          </w:tcPr>
          <w:p w14:paraId="79C094BA" w14:textId="544FCA41" w:rsidR="008E7846" w:rsidRPr="00487162" w:rsidRDefault="001B5C90" w:rsidP="00E45619">
            <w:pPr>
              <w:rPr>
                <w:i/>
              </w:rPr>
            </w:pPr>
            <w:r>
              <w:rPr>
                <w:i/>
              </w:rPr>
              <w:t>Dose form</w:t>
            </w:r>
            <w:r w:rsidR="00C474C0">
              <w:rPr>
                <w:i/>
              </w:rPr>
              <w:t>s</w:t>
            </w:r>
            <w:r>
              <w:rPr>
                <w:i/>
              </w:rPr>
              <w:t>:</w:t>
            </w:r>
          </w:p>
        </w:tc>
        <w:tc>
          <w:tcPr>
            <w:tcW w:w="6307" w:type="dxa"/>
          </w:tcPr>
          <w:p w14:paraId="6C16A472" w14:textId="12831DC8" w:rsidR="008E7846" w:rsidRPr="00487162" w:rsidRDefault="008F6286" w:rsidP="00E45619">
            <w:r>
              <w:rPr>
                <w:rFonts w:eastAsia="Calibri"/>
              </w:rPr>
              <w:t>P</w:t>
            </w:r>
            <w:r w:rsidRPr="00020392">
              <w:rPr>
                <w:rFonts w:eastAsia="Calibri"/>
              </w:rPr>
              <w:t xml:space="preserve">owder </w:t>
            </w:r>
            <w:r w:rsidR="00C474C0" w:rsidRPr="00020392">
              <w:rPr>
                <w:rFonts w:eastAsia="Calibri"/>
              </w:rPr>
              <w:t>for injection</w:t>
            </w:r>
          </w:p>
        </w:tc>
      </w:tr>
      <w:tr w:rsidR="008E7846" w:rsidRPr="00487162" w14:paraId="1062A990" w14:textId="77777777" w:rsidTr="00BF1190">
        <w:tc>
          <w:tcPr>
            <w:tcW w:w="2907" w:type="dxa"/>
          </w:tcPr>
          <w:p w14:paraId="59B80A6D" w14:textId="5D6B2C24" w:rsidR="008E7846" w:rsidRPr="00487162" w:rsidRDefault="00324E45" w:rsidP="00E45619">
            <w:pPr>
              <w:rPr>
                <w:i/>
              </w:rPr>
            </w:pPr>
            <w:r>
              <w:rPr>
                <w:i/>
              </w:rPr>
              <w:t>Strength</w:t>
            </w:r>
            <w:r w:rsidR="00C474C0">
              <w:rPr>
                <w:i/>
              </w:rPr>
              <w:t>s</w:t>
            </w:r>
            <w:r>
              <w:rPr>
                <w:i/>
              </w:rPr>
              <w:t>:</w:t>
            </w:r>
          </w:p>
        </w:tc>
        <w:tc>
          <w:tcPr>
            <w:tcW w:w="6307" w:type="dxa"/>
          </w:tcPr>
          <w:p w14:paraId="0474D02B" w14:textId="3AA69EA8" w:rsidR="008E7846" w:rsidRPr="00487162" w:rsidRDefault="00C474C0" w:rsidP="00C474C0">
            <w:r w:rsidRPr="00020392">
              <w:t>Powder for injection: 100 mg</w:t>
            </w:r>
          </w:p>
        </w:tc>
      </w:tr>
      <w:tr w:rsidR="008E7846" w:rsidRPr="00487162" w14:paraId="39490DDD" w14:textId="77777777" w:rsidTr="00BF1190">
        <w:tc>
          <w:tcPr>
            <w:tcW w:w="2907" w:type="dxa"/>
          </w:tcPr>
          <w:p w14:paraId="340FA5AC" w14:textId="52DF3743" w:rsidR="008E7846" w:rsidRPr="00487162" w:rsidRDefault="008E7846" w:rsidP="00E45619">
            <w:pPr>
              <w:rPr>
                <w:i/>
              </w:rPr>
            </w:pPr>
            <w:r w:rsidRPr="00487162">
              <w:rPr>
                <w:i/>
              </w:rPr>
              <w:t>Container:</w:t>
            </w:r>
          </w:p>
        </w:tc>
        <w:tc>
          <w:tcPr>
            <w:tcW w:w="6307" w:type="dxa"/>
          </w:tcPr>
          <w:p w14:paraId="57537F57" w14:textId="5CBAFCB7" w:rsidR="008E7846" w:rsidRPr="00487162" w:rsidRDefault="00C474C0" w:rsidP="00E45619">
            <w:r>
              <w:t>Vial</w:t>
            </w:r>
          </w:p>
        </w:tc>
      </w:tr>
      <w:tr w:rsidR="008E7846" w:rsidRPr="00487162" w14:paraId="701C6FE6" w14:textId="77777777" w:rsidTr="00BF1190">
        <w:tc>
          <w:tcPr>
            <w:tcW w:w="2907" w:type="dxa"/>
          </w:tcPr>
          <w:p w14:paraId="42A5A848" w14:textId="53EE1B01" w:rsidR="008E7846" w:rsidRPr="00487162" w:rsidRDefault="008E7846" w:rsidP="00E45619">
            <w:pPr>
              <w:rPr>
                <w:i/>
              </w:rPr>
            </w:pPr>
            <w:r w:rsidRPr="00487162">
              <w:rPr>
                <w:i/>
              </w:rPr>
              <w:t>Pack size:</w:t>
            </w:r>
          </w:p>
        </w:tc>
        <w:tc>
          <w:tcPr>
            <w:tcW w:w="6307" w:type="dxa"/>
          </w:tcPr>
          <w:p w14:paraId="6835B98E" w14:textId="27B80AB6" w:rsidR="008E7846" w:rsidRPr="00487162" w:rsidRDefault="00C474C0" w:rsidP="00E45619">
            <w:r>
              <w:t>One</w:t>
            </w:r>
          </w:p>
        </w:tc>
      </w:tr>
      <w:tr w:rsidR="008E7846" w:rsidRPr="00487162" w14:paraId="63775869" w14:textId="77777777" w:rsidTr="00BF1190">
        <w:tc>
          <w:tcPr>
            <w:tcW w:w="2907" w:type="dxa"/>
          </w:tcPr>
          <w:p w14:paraId="0DFDB94D"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3FDD7C2" w14:textId="77777777" w:rsidR="00ED19F6" w:rsidRPr="00ED19F6" w:rsidRDefault="00ED19F6" w:rsidP="00ED19F6">
            <w:pPr>
              <w:rPr>
                <w:i/>
                <w:iCs/>
                <w:u w:val="single"/>
              </w:rPr>
            </w:pPr>
            <w:r w:rsidRPr="00ED19F6">
              <w:rPr>
                <w:i/>
                <w:iCs/>
                <w:u w:val="single"/>
              </w:rPr>
              <w:t>Disease and setting</w:t>
            </w:r>
          </w:p>
          <w:p w14:paraId="16EB6E96" w14:textId="0D4EE639" w:rsidR="00ED19F6" w:rsidRPr="00ED19F6" w:rsidRDefault="00ED19F6" w:rsidP="00ED19F6">
            <w:pPr>
              <w:rPr>
                <w:i/>
                <w:iCs/>
              </w:rPr>
            </w:pPr>
            <w:proofErr w:type="spellStart"/>
            <w:r w:rsidRPr="00ED19F6">
              <w:rPr>
                <w:i/>
                <w:iCs/>
              </w:rPr>
              <w:t>Veklury</w:t>
            </w:r>
            <w:proofErr w:type="spellEnd"/>
            <w:r w:rsidRPr="00ED19F6">
              <w:rPr>
                <w:i/>
                <w:iCs/>
              </w:rPr>
              <w:t xml:space="preserve"> has </w:t>
            </w:r>
            <w:r w:rsidRPr="00ED19F6">
              <w:rPr>
                <w:rFonts w:ascii="Cambria-BoldItalic" w:hAnsi="Cambria-BoldItalic" w:cs="Cambria-BoldItalic"/>
                <w:b/>
                <w:bCs/>
                <w:i/>
                <w:iCs/>
              </w:rPr>
              <w:t xml:space="preserve">provisional approval </w:t>
            </w:r>
            <w:r w:rsidRPr="00ED19F6">
              <w:rPr>
                <w:i/>
                <w:iCs/>
              </w:rPr>
              <w:t>for the treatment of coronavirus disease 2019 (COVID-19) in:</w:t>
            </w:r>
          </w:p>
          <w:p w14:paraId="13F28D86" w14:textId="7DB6EC46" w:rsidR="00ED19F6" w:rsidRPr="00ED19F6" w:rsidRDefault="00ED19F6" w:rsidP="00ED19F6">
            <w:pPr>
              <w:pStyle w:val="ListBullet"/>
              <w:rPr>
                <w:i/>
                <w:iCs/>
              </w:rPr>
            </w:pPr>
            <w:r w:rsidRPr="00ED19F6">
              <w:rPr>
                <w:i/>
                <w:iCs/>
              </w:rPr>
              <w:t>paediatric patients (at least 4 weeks of age and weighing at least 3 kg) who have pneumonia due to SARS-CoV-2, and who require supplemental oxygen.</w:t>
            </w:r>
          </w:p>
          <w:p w14:paraId="620891BD" w14:textId="5A2E3040" w:rsidR="00ED19F6" w:rsidRPr="00ED19F6" w:rsidRDefault="00ED19F6" w:rsidP="00ED19F6">
            <w:pPr>
              <w:pStyle w:val="ListBullet"/>
              <w:rPr>
                <w:i/>
                <w:iCs/>
              </w:rPr>
            </w:pPr>
            <w:r w:rsidRPr="00ED19F6">
              <w:rPr>
                <w:i/>
                <w:iCs/>
              </w:rPr>
              <w:lastRenderedPageBreak/>
              <w:t>adults and paediatric patients (weighing at least 40 kg) who do not require supplemental oxygen and who are at high risk of progressing to severe COVID-19.</w:t>
            </w:r>
          </w:p>
          <w:p w14:paraId="59BA846E" w14:textId="1E3BABE7" w:rsidR="008E7846" w:rsidRPr="00ED19F6" w:rsidRDefault="00ED19F6" w:rsidP="00ED19F6">
            <w:r w:rsidRPr="00ED19F6">
              <w:rPr>
                <w:i/>
                <w:iCs/>
              </w:rPr>
              <w:t>The decision to approve this medicine has been made based on limited data. More comprehensive evidence is required to be submitted.</w:t>
            </w:r>
          </w:p>
        </w:tc>
      </w:tr>
      <w:tr w:rsidR="008E7846" w:rsidRPr="00487162" w14:paraId="6C41EC24" w14:textId="77777777" w:rsidTr="00BF1190">
        <w:tc>
          <w:tcPr>
            <w:tcW w:w="2907" w:type="dxa"/>
          </w:tcPr>
          <w:p w14:paraId="748795EC" w14:textId="2878B01E" w:rsidR="008E7846" w:rsidRPr="00487162" w:rsidRDefault="008E7846" w:rsidP="00E45619">
            <w:pPr>
              <w:rPr>
                <w:i/>
              </w:rPr>
            </w:pPr>
            <w:r w:rsidRPr="00487162">
              <w:rPr>
                <w:i/>
              </w:rPr>
              <w:lastRenderedPageBreak/>
              <w:t>Route of administration:</w:t>
            </w:r>
          </w:p>
        </w:tc>
        <w:tc>
          <w:tcPr>
            <w:tcW w:w="6307" w:type="dxa"/>
          </w:tcPr>
          <w:p w14:paraId="108F8083" w14:textId="5585709D" w:rsidR="008E7846" w:rsidRPr="00487162" w:rsidRDefault="00C474C0" w:rsidP="00E45619">
            <w:r w:rsidRPr="007B3B4A">
              <w:rPr>
                <w:rFonts w:eastAsia="Calibri"/>
              </w:rPr>
              <w:t>Intravenous infusion</w:t>
            </w:r>
          </w:p>
        </w:tc>
      </w:tr>
      <w:tr w:rsidR="008E7846" w:rsidRPr="00487162" w14:paraId="177D0A03" w14:textId="77777777" w:rsidTr="00BF1190">
        <w:tc>
          <w:tcPr>
            <w:tcW w:w="2907" w:type="dxa"/>
          </w:tcPr>
          <w:p w14:paraId="380D1704" w14:textId="77777777" w:rsidR="008E7846" w:rsidRPr="00487162" w:rsidRDefault="008E7846" w:rsidP="00E45619">
            <w:pPr>
              <w:rPr>
                <w:i/>
              </w:rPr>
            </w:pPr>
            <w:r w:rsidRPr="00487162">
              <w:rPr>
                <w:i/>
              </w:rPr>
              <w:t>Dosage:</w:t>
            </w:r>
          </w:p>
        </w:tc>
        <w:tc>
          <w:tcPr>
            <w:tcW w:w="6307" w:type="dxa"/>
          </w:tcPr>
          <w:p w14:paraId="169C0766" w14:textId="3ED3A999" w:rsidR="00ED19F6" w:rsidRDefault="00ED19F6" w:rsidP="00ED19F6">
            <w:r>
              <w:t xml:space="preserve">The recommended dosage of </w:t>
            </w:r>
            <w:proofErr w:type="spellStart"/>
            <w:r>
              <w:t>Veklury</w:t>
            </w:r>
            <w:proofErr w:type="spellEnd"/>
            <w:r>
              <w:t xml:space="preserve"> for adults and paediatric patients (weighing at least 40 kg) is:</w:t>
            </w:r>
          </w:p>
          <w:p w14:paraId="7AD495D7" w14:textId="01CF28F1" w:rsidR="00ED19F6" w:rsidRDefault="00ED19F6" w:rsidP="00ED19F6">
            <w:pPr>
              <w:pStyle w:val="ListBullet"/>
            </w:pPr>
            <w:r>
              <w:t xml:space="preserve">Day 1 - a single loading dose of </w:t>
            </w:r>
            <w:proofErr w:type="spellStart"/>
            <w:r>
              <w:t>Veklury</w:t>
            </w:r>
            <w:proofErr w:type="spellEnd"/>
            <w:r>
              <w:t xml:space="preserve"> 200 mg given by intravenous (IV) infusion</w:t>
            </w:r>
          </w:p>
          <w:p w14:paraId="48854560" w14:textId="0DF697C7" w:rsidR="00ED19F6" w:rsidRDefault="00ED19F6" w:rsidP="00ED19F6">
            <w:pPr>
              <w:pStyle w:val="ListBullet"/>
            </w:pPr>
            <w:r>
              <w:t>Day 2 onwards - 100 mg given once daily by intravenous infusion.</w:t>
            </w:r>
          </w:p>
          <w:p w14:paraId="5140D7DB" w14:textId="13593A06" w:rsidR="00ED19F6" w:rsidRDefault="00ED19F6" w:rsidP="00ED19F6">
            <w:r>
              <w:t xml:space="preserve">The recommended dosage of </w:t>
            </w:r>
            <w:proofErr w:type="spellStart"/>
            <w:r>
              <w:t>Veklury</w:t>
            </w:r>
            <w:proofErr w:type="spellEnd"/>
            <w:r>
              <w:t xml:space="preserve"> in paediatric patients at least 4 weeks of age and weighing 3 kg to less than 40 kg is:</w:t>
            </w:r>
          </w:p>
          <w:p w14:paraId="3FA5C619" w14:textId="025416B2" w:rsidR="00ED19F6" w:rsidRDefault="00ED19F6" w:rsidP="00ED19F6">
            <w:pPr>
              <w:pStyle w:val="ListBullet"/>
            </w:pPr>
            <w:r>
              <w:t xml:space="preserve">Day 1 – a single loading dose of </w:t>
            </w:r>
            <w:proofErr w:type="spellStart"/>
            <w:r>
              <w:t>Veklury</w:t>
            </w:r>
            <w:proofErr w:type="spellEnd"/>
            <w:r>
              <w:t xml:space="preserve"> 5 mg/kg given by intravenous infusion</w:t>
            </w:r>
          </w:p>
          <w:p w14:paraId="42C4EB20" w14:textId="246A4B2A" w:rsidR="00460036" w:rsidRPr="00487162" w:rsidRDefault="00ED19F6" w:rsidP="00ED19F6">
            <w:pPr>
              <w:pStyle w:val="ListBullet"/>
            </w:pPr>
            <w:r>
              <w:t>Day 2 onwards – 2.5 mg/kg given once daily by intravenous infusion.</w:t>
            </w:r>
          </w:p>
        </w:tc>
      </w:tr>
      <w:tr w:rsidR="00460036" w:rsidRPr="00487162" w14:paraId="589A407A" w14:textId="77777777" w:rsidTr="00BF1190">
        <w:tc>
          <w:tcPr>
            <w:tcW w:w="2907" w:type="dxa"/>
          </w:tcPr>
          <w:p w14:paraId="32F5D155" w14:textId="77777777" w:rsidR="00460036" w:rsidRPr="00487162" w:rsidRDefault="00460036" w:rsidP="00E45619">
            <w:pPr>
              <w:rPr>
                <w:i/>
              </w:rPr>
            </w:pPr>
            <w:r w:rsidRPr="00460036">
              <w:rPr>
                <w:i/>
              </w:rPr>
              <w:t>Pregnancy category</w:t>
            </w:r>
            <w:r>
              <w:rPr>
                <w:i/>
              </w:rPr>
              <w:t>:</w:t>
            </w:r>
          </w:p>
        </w:tc>
        <w:tc>
          <w:tcPr>
            <w:tcW w:w="6307" w:type="dxa"/>
          </w:tcPr>
          <w:p w14:paraId="1389BC56" w14:textId="77777777" w:rsidR="00763C96" w:rsidRPr="00DB18DF" w:rsidRDefault="00763C96" w:rsidP="00763C96">
            <w:r w:rsidRPr="00DB18DF">
              <w:t>B2</w:t>
            </w:r>
          </w:p>
          <w:p w14:paraId="260ADA2E" w14:textId="77777777" w:rsidR="00763C96" w:rsidRPr="00DB18DF" w:rsidRDefault="00763C96" w:rsidP="00763C96">
            <w:r w:rsidRPr="00DB18DF">
              <w:t xml:space="preserve">Drugs which have been taken by only a limited number of pregnant women and women of childbearing age, without an increase in the frequency of malformation or other direct or indirect harmful effects on the human </w:t>
            </w:r>
            <w:proofErr w:type="spellStart"/>
            <w:r w:rsidRPr="00DB18DF">
              <w:t>fetus</w:t>
            </w:r>
            <w:proofErr w:type="spellEnd"/>
            <w:r w:rsidRPr="00DB18DF">
              <w:t xml:space="preserve"> having been observed.</w:t>
            </w:r>
          </w:p>
          <w:p w14:paraId="59F7D3EB" w14:textId="0FCF86DB" w:rsidR="00763C96" w:rsidRDefault="00763C96" w:rsidP="00460036">
            <w:r w:rsidRPr="00DB18DF">
              <w:t>Studies in animals are inadequate or may be lacking, but available data show no evidence of an increased occurrence of fetal damage.</w:t>
            </w:r>
          </w:p>
          <w:p w14:paraId="447BB34C" w14:textId="5F36F23C"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30A8684E" w14:textId="77777777" w:rsidR="008E7846" w:rsidRDefault="008E7846" w:rsidP="008E7846">
      <w:pPr>
        <w:pStyle w:val="Heading3"/>
      </w:pPr>
      <w:bookmarkStart w:id="13" w:name="_Toc247691503"/>
      <w:bookmarkStart w:id="14" w:name="_Toc314842484"/>
      <w:bookmarkStart w:id="15" w:name="_Toc102724829"/>
      <w:r>
        <w:t>Product background</w:t>
      </w:r>
      <w:bookmarkEnd w:id="13"/>
      <w:bookmarkEnd w:id="14"/>
      <w:bookmarkEnd w:id="15"/>
    </w:p>
    <w:p w14:paraId="47B645F6" w14:textId="02B0C112" w:rsidR="008E7846" w:rsidRDefault="00250271" w:rsidP="00940A89">
      <w:r w:rsidRPr="00250271">
        <w:t xml:space="preserve">This AusPAR describes the application by </w:t>
      </w:r>
      <w:r w:rsidR="00763C96">
        <w:t>Gilead Science Pty Ltd</w:t>
      </w:r>
      <w:r w:rsidRPr="00250271">
        <w:t xml:space="preserve"> (the sponsor) to register </w:t>
      </w:r>
      <w:proofErr w:type="spellStart"/>
      <w:r w:rsidR="00763C96">
        <w:t>Veklury</w:t>
      </w:r>
      <w:proofErr w:type="spellEnd"/>
      <w:r w:rsidRPr="00250271">
        <w:t xml:space="preserve"> (</w:t>
      </w:r>
      <w:proofErr w:type="spellStart"/>
      <w:r w:rsidR="00763C96">
        <w:t>remdesivir</w:t>
      </w:r>
      <w:proofErr w:type="spellEnd"/>
      <w:r w:rsidRPr="00250271">
        <w:t xml:space="preserve">) </w:t>
      </w:r>
      <w:r w:rsidR="00763C96">
        <w:t>100</w:t>
      </w:r>
      <w:r w:rsidR="004D2528">
        <w:t xml:space="preserve"> </w:t>
      </w:r>
      <w:r w:rsidR="00763C96">
        <w:t xml:space="preserve">mg, powder for injection </w:t>
      </w:r>
      <w:r w:rsidRPr="00250271">
        <w:t xml:space="preserve">for the following </w:t>
      </w:r>
      <w:r w:rsidR="003B3119">
        <w:t>extension of indication:</w:t>
      </w:r>
    </w:p>
    <w:p w14:paraId="16B4545B" w14:textId="1DCD3CFA" w:rsidR="00763C96" w:rsidRPr="003B3119" w:rsidRDefault="003B3119" w:rsidP="003B3119">
      <w:pPr>
        <w:ind w:left="720"/>
        <w:rPr>
          <w:i/>
          <w:iCs/>
        </w:rPr>
      </w:pPr>
      <w:r>
        <w:rPr>
          <w:i/>
          <w:iCs/>
        </w:rPr>
        <w:t>A</w:t>
      </w:r>
      <w:r w:rsidR="00763C96" w:rsidRPr="003B3119">
        <w:rPr>
          <w:i/>
          <w:iCs/>
        </w:rPr>
        <w:t>dults and paediatric patients (at least 4 weeks of age and weighing at least 3 kg) with pneumonia, requiring supplemental oxygen (low- or high-flow oxygen or other non-invasive ventilation at start of treatment) (see section 5.1).</w:t>
      </w:r>
    </w:p>
    <w:p w14:paraId="294F6F25" w14:textId="67CB83F6" w:rsidR="00763C96" w:rsidRDefault="003B3119" w:rsidP="003B3119">
      <w:pPr>
        <w:ind w:left="720"/>
        <w:rPr>
          <w:i/>
          <w:iCs/>
        </w:rPr>
      </w:pPr>
      <w:r>
        <w:rPr>
          <w:i/>
          <w:iCs/>
        </w:rPr>
        <w:lastRenderedPageBreak/>
        <w:t>A</w:t>
      </w:r>
      <w:r w:rsidR="00763C96" w:rsidRPr="003B3119">
        <w:rPr>
          <w:i/>
          <w:iCs/>
        </w:rPr>
        <w:t>dults and paediatric patients (weighing at least 40 kg) who do not require supplemental oxygen and who are at increased risk of progressing to severe COVID</w:t>
      </w:r>
      <w:r w:rsidR="00A41C97">
        <w:rPr>
          <w:i/>
          <w:iCs/>
        </w:rPr>
        <w:noBreakHyphen/>
      </w:r>
      <w:r w:rsidR="00763C96" w:rsidRPr="003B3119">
        <w:rPr>
          <w:i/>
          <w:iCs/>
        </w:rPr>
        <w:t>19</w:t>
      </w:r>
    </w:p>
    <w:p w14:paraId="015BE069" w14:textId="6F33D3D6" w:rsidR="003B3119" w:rsidRDefault="003B3119" w:rsidP="00801A83">
      <w:r w:rsidRPr="003B3119">
        <w:t>Coronavirus disease</w:t>
      </w:r>
      <w:r>
        <w:t xml:space="preserve"> 2019 (</w:t>
      </w:r>
      <w:r w:rsidRPr="003B3119">
        <w:t>COVID-19</w:t>
      </w:r>
      <w:r>
        <w:t>)</w:t>
      </w:r>
      <w:r w:rsidRPr="003B3119">
        <w:t xml:space="preserve"> is a coronavirus that can cause a complex respiratory and systemic syndrome that includes severe pneumonitis and shock. The pathophysiology of severe COVID-19 disease includes both cellular damage by the virus and a harmful immune response producing systemic inflammation. Antiviral medications and immune modulating agents have both been used in severe COVID-19 disease along with supportive therapy, generally producing positive outcomes of limited scale. The effectiveness of these agents has been difficult to quantify partly because the pathogenicity COVID-19 differs between various strains of the virus, is difficult to predict in individual cases, and pre-existing immunity from vaccination or natural infection substantially modifies the course of COVID-19 disease.</w:t>
      </w:r>
    </w:p>
    <w:p w14:paraId="32529BE0" w14:textId="377053FE" w:rsidR="003B3119" w:rsidRDefault="003B3119" w:rsidP="003B3119">
      <w:r>
        <w:t xml:space="preserve">A range of therapeutic options for COVID-19 are being investigated and include antivirals, monoclonal antibodies, immunomodulators, plasma and corticosteroids. However, </w:t>
      </w:r>
      <w:r w:rsidR="00556560" w:rsidRPr="00556560">
        <w:t>severe acute respiratory syndrome</w:t>
      </w:r>
      <w:r w:rsidR="00556560">
        <w:t xml:space="preserve"> </w:t>
      </w:r>
      <w:r w:rsidR="00556560" w:rsidRPr="00556560">
        <w:t>related coronavirus</w:t>
      </w:r>
      <w:r w:rsidR="00556560">
        <w:t xml:space="preserve"> 2</w:t>
      </w:r>
      <w:r w:rsidR="00A41C97">
        <w:t xml:space="preserve"> </w:t>
      </w:r>
      <w:r w:rsidR="00556560">
        <w:t>(</w:t>
      </w:r>
      <w:r>
        <w:t>SARS-CoV-2</w:t>
      </w:r>
      <w:r w:rsidR="00556560">
        <w:t>)</w:t>
      </w:r>
      <w:r>
        <w:t xml:space="preserve"> specific treatment options are </w:t>
      </w:r>
      <w:r w:rsidR="00044C32">
        <w:t>limited,</w:t>
      </w:r>
      <w:r>
        <w:t xml:space="preserve"> and management is primarily </w:t>
      </w:r>
      <w:r w:rsidR="004674CE">
        <w:t>supportive,</w:t>
      </w:r>
      <w:r>
        <w:t xml:space="preserve"> and the optimal management approach is evolving</w:t>
      </w:r>
      <w:r w:rsidR="00044C32">
        <w:t xml:space="preserve">. There are currently no SARS-CoV-2 specific registered therapeutic options indicated for use in severe COVID-19 illness in Australia. The current treatments with provisional approval are listed below and those being evaluated are available on the </w:t>
      </w:r>
      <w:r w:rsidR="004674CE" w:rsidRPr="004674CE">
        <w:t>Therapeutic Goods Administration</w:t>
      </w:r>
      <w:r w:rsidR="004674CE">
        <w:t xml:space="preserve"> (</w:t>
      </w:r>
      <w:r w:rsidR="00044C32">
        <w:t>TGA</w:t>
      </w:r>
      <w:r w:rsidR="004674CE">
        <w:t>)</w:t>
      </w:r>
      <w:r w:rsidR="00044C32">
        <w:t xml:space="preserve"> website and shown in </w:t>
      </w:r>
      <w:r w:rsidR="00044C32">
        <w:fldChar w:fldCharType="begin"/>
      </w:r>
      <w:r w:rsidR="00044C32">
        <w:instrText xml:space="preserve"> REF _Ref101950060 \h </w:instrText>
      </w:r>
      <w:r w:rsidR="00044C32">
        <w:fldChar w:fldCharType="separate"/>
      </w:r>
      <w:r w:rsidR="00563969" w:rsidRPr="00044C32">
        <w:t xml:space="preserve">Table </w:t>
      </w:r>
      <w:r w:rsidR="00563969">
        <w:rPr>
          <w:noProof/>
        </w:rPr>
        <w:t>1</w:t>
      </w:r>
      <w:r w:rsidR="00044C32">
        <w:fldChar w:fldCharType="end"/>
      </w:r>
      <w:r w:rsidR="00044C32">
        <w:t>.</w:t>
      </w:r>
      <w:r w:rsidR="00044C32">
        <w:rPr>
          <w:rStyle w:val="FootnoteReference"/>
        </w:rPr>
        <w:footnoteReference w:id="2"/>
      </w:r>
    </w:p>
    <w:p w14:paraId="7C289908" w14:textId="3D8A309D" w:rsidR="003B3119" w:rsidRDefault="00044C32" w:rsidP="00044C32">
      <w:pPr>
        <w:pStyle w:val="TableTitle"/>
      </w:pPr>
      <w:bookmarkStart w:id="16" w:name="_Ref101950060"/>
      <w:r w:rsidRPr="00044C32">
        <w:lastRenderedPageBreak/>
        <w:t xml:space="preserve">Table </w:t>
      </w:r>
      <w:fldSimple w:instr=" SEQ Table \* ARABIC ">
        <w:r w:rsidR="00563969">
          <w:rPr>
            <w:noProof/>
          </w:rPr>
          <w:t>1</w:t>
        </w:r>
      </w:fldSimple>
      <w:bookmarkEnd w:id="16"/>
      <w:r w:rsidRPr="00044C32">
        <w:t>:</w:t>
      </w:r>
      <w:r>
        <w:t xml:space="preserve"> Current Australia registered COVID-19 therapeutics</w:t>
      </w:r>
    </w:p>
    <w:tbl>
      <w:tblPr>
        <w:tblStyle w:val="TableTGAblue"/>
        <w:tblW w:w="0" w:type="auto"/>
        <w:tblLook w:val="04A0" w:firstRow="1" w:lastRow="0" w:firstColumn="1" w:lastColumn="0" w:noHBand="0" w:noVBand="1"/>
      </w:tblPr>
      <w:tblGrid>
        <w:gridCol w:w="1970"/>
        <w:gridCol w:w="2160"/>
        <w:gridCol w:w="1710"/>
        <w:gridCol w:w="2644"/>
      </w:tblGrid>
      <w:tr w:rsidR="00593095" w:rsidRPr="00593095" w14:paraId="63448837" w14:textId="77777777" w:rsidTr="00FA2AA4">
        <w:trPr>
          <w:cnfStyle w:val="100000000000" w:firstRow="1" w:lastRow="0" w:firstColumn="0" w:lastColumn="0" w:oddVBand="0" w:evenVBand="0" w:oddHBand="0" w:evenHBand="0" w:firstRowFirstColumn="0" w:firstRowLastColumn="0" w:lastRowFirstColumn="0" w:lastRowLastColumn="0"/>
        </w:trPr>
        <w:tc>
          <w:tcPr>
            <w:tcW w:w="0" w:type="dxa"/>
          </w:tcPr>
          <w:p w14:paraId="14B6003D" w14:textId="3D27A001" w:rsidR="00593095" w:rsidRPr="00FA2AA4" w:rsidRDefault="00593095" w:rsidP="00FA2AA4">
            <w:pPr>
              <w:pStyle w:val="TableTitle"/>
              <w:ind w:left="0" w:right="0"/>
              <w:rPr>
                <w:sz w:val="20"/>
              </w:rPr>
            </w:pPr>
            <w:r w:rsidRPr="00FA2AA4">
              <w:rPr>
                <w:bCs/>
                <w:color w:val="FFFFFF"/>
                <w:sz w:val="20"/>
              </w:rPr>
              <w:t>Effective date</w:t>
            </w:r>
          </w:p>
        </w:tc>
        <w:tc>
          <w:tcPr>
            <w:tcW w:w="2160" w:type="dxa"/>
          </w:tcPr>
          <w:p w14:paraId="2533E8CC" w14:textId="343211F8" w:rsidR="00593095" w:rsidRPr="00FA2AA4" w:rsidRDefault="00593095" w:rsidP="00FA2AA4">
            <w:pPr>
              <w:pStyle w:val="TableTitle"/>
              <w:ind w:left="0" w:right="0"/>
              <w:rPr>
                <w:sz w:val="20"/>
              </w:rPr>
            </w:pPr>
            <w:r w:rsidRPr="00FA2AA4">
              <w:rPr>
                <w:bCs/>
                <w:color w:val="FFFFFF"/>
                <w:sz w:val="20"/>
              </w:rPr>
              <w:t>Sponsor</w:t>
            </w:r>
          </w:p>
        </w:tc>
        <w:tc>
          <w:tcPr>
            <w:tcW w:w="1710" w:type="dxa"/>
          </w:tcPr>
          <w:p w14:paraId="53769C45" w14:textId="7FE81521" w:rsidR="00593095" w:rsidRPr="00FA2AA4" w:rsidRDefault="00593095" w:rsidP="00FA2AA4">
            <w:pPr>
              <w:pStyle w:val="TableTitle"/>
              <w:ind w:left="0" w:right="0"/>
              <w:rPr>
                <w:sz w:val="20"/>
              </w:rPr>
            </w:pPr>
            <w:r w:rsidRPr="00FA2AA4">
              <w:rPr>
                <w:bCs/>
                <w:color w:val="FFFFFF"/>
                <w:sz w:val="20"/>
              </w:rPr>
              <w:t>Name</w:t>
            </w:r>
          </w:p>
        </w:tc>
        <w:tc>
          <w:tcPr>
            <w:tcW w:w="0" w:type="dxa"/>
          </w:tcPr>
          <w:p w14:paraId="0855EBD2" w14:textId="057FA27B" w:rsidR="00593095" w:rsidRPr="00FA2AA4" w:rsidRDefault="00593095" w:rsidP="00FA2AA4">
            <w:pPr>
              <w:pStyle w:val="TableTitle"/>
              <w:ind w:left="0" w:right="0"/>
              <w:rPr>
                <w:sz w:val="20"/>
              </w:rPr>
            </w:pPr>
            <w:r w:rsidRPr="00FA2AA4">
              <w:rPr>
                <w:bCs/>
                <w:color w:val="FFFFFF"/>
                <w:sz w:val="20"/>
              </w:rPr>
              <w:t>Regulatory status</w:t>
            </w:r>
          </w:p>
        </w:tc>
      </w:tr>
      <w:tr w:rsidR="00593095" w:rsidRPr="00593095" w14:paraId="115B79B8" w14:textId="77777777" w:rsidTr="00593095">
        <w:tc>
          <w:tcPr>
            <w:tcW w:w="1970" w:type="dxa"/>
          </w:tcPr>
          <w:p w14:paraId="572A9745" w14:textId="0C88F62B" w:rsidR="00593095" w:rsidRPr="00FA2AA4" w:rsidRDefault="00593095" w:rsidP="00FA2AA4">
            <w:pPr>
              <w:pStyle w:val="TableTitle"/>
              <w:ind w:left="0" w:right="0"/>
              <w:rPr>
                <w:b w:val="0"/>
                <w:sz w:val="20"/>
              </w:rPr>
            </w:pPr>
            <w:r w:rsidRPr="00FA2AA4">
              <w:rPr>
                <w:b w:val="0"/>
                <w:color w:val="000000"/>
                <w:sz w:val="20"/>
              </w:rPr>
              <w:t>4 November 2021</w:t>
            </w:r>
          </w:p>
        </w:tc>
        <w:tc>
          <w:tcPr>
            <w:tcW w:w="2160" w:type="dxa"/>
          </w:tcPr>
          <w:p w14:paraId="17FA247C" w14:textId="7D588CE9" w:rsidR="00593095" w:rsidRPr="00FA2AA4" w:rsidRDefault="00593095" w:rsidP="00FA2AA4">
            <w:pPr>
              <w:pStyle w:val="TableTitle"/>
              <w:ind w:left="0" w:right="0"/>
              <w:rPr>
                <w:b w:val="0"/>
                <w:sz w:val="20"/>
              </w:rPr>
            </w:pPr>
            <w:r w:rsidRPr="00FA2AA4">
              <w:rPr>
                <w:b w:val="0"/>
                <w:color w:val="000000"/>
                <w:sz w:val="20"/>
              </w:rPr>
              <w:t>AstraZeneca Pty Ltd</w:t>
            </w:r>
          </w:p>
        </w:tc>
        <w:tc>
          <w:tcPr>
            <w:tcW w:w="1710" w:type="dxa"/>
          </w:tcPr>
          <w:p w14:paraId="72566A88" w14:textId="4922B6D0" w:rsidR="00593095" w:rsidRPr="00FA2AA4" w:rsidRDefault="00593095" w:rsidP="00FA2AA4">
            <w:pPr>
              <w:pStyle w:val="TableTitle"/>
              <w:ind w:left="0" w:right="0"/>
              <w:rPr>
                <w:b w:val="0"/>
                <w:sz w:val="20"/>
              </w:rPr>
            </w:pPr>
            <w:proofErr w:type="spellStart"/>
            <w:r w:rsidRPr="00FA2AA4">
              <w:rPr>
                <w:b w:val="0"/>
                <w:color w:val="000000"/>
                <w:sz w:val="20"/>
              </w:rPr>
              <w:t>tixagevimab</w:t>
            </w:r>
            <w:proofErr w:type="spellEnd"/>
            <w:r w:rsidRPr="00FA2AA4">
              <w:rPr>
                <w:b w:val="0"/>
                <w:color w:val="000000"/>
                <w:sz w:val="20"/>
              </w:rPr>
              <w:t xml:space="preserve"> and </w:t>
            </w:r>
            <w:proofErr w:type="spellStart"/>
            <w:r w:rsidRPr="00FA2AA4">
              <w:rPr>
                <w:b w:val="0"/>
                <w:color w:val="000000"/>
                <w:sz w:val="20"/>
              </w:rPr>
              <w:t>cilgavimab</w:t>
            </w:r>
            <w:proofErr w:type="spellEnd"/>
            <w:r w:rsidRPr="00FA2AA4">
              <w:rPr>
                <w:b w:val="0"/>
                <w:color w:val="000000"/>
                <w:sz w:val="20"/>
              </w:rPr>
              <w:t xml:space="preserve"> (EVUSHELD)</w:t>
            </w:r>
          </w:p>
        </w:tc>
        <w:tc>
          <w:tcPr>
            <w:tcW w:w="2644" w:type="dxa"/>
          </w:tcPr>
          <w:p w14:paraId="7841DA2A" w14:textId="53CC2041" w:rsidR="00593095" w:rsidRPr="00FA2AA4" w:rsidRDefault="00593095" w:rsidP="00FA2AA4">
            <w:pPr>
              <w:pStyle w:val="TableTitle"/>
              <w:ind w:left="0" w:right="0"/>
              <w:rPr>
                <w:b w:val="0"/>
                <w:sz w:val="20"/>
              </w:rPr>
            </w:pPr>
            <w:r w:rsidRPr="00FA2AA4">
              <w:rPr>
                <w:b w:val="0"/>
                <w:color w:val="000000"/>
                <w:sz w:val="20"/>
              </w:rPr>
              <w:t>Provisionally approved for pre-exposure prophylaxis only on 24 February 2022</w:t>
            </w:r>
          </w:p>
        </w:tc>
      </w:tr>
      <w:tr w:rsidR="00593095" w:rsidRPr="00593095" w14:paraId="3E0D894B" w14:textId="77777777" w:rsidTr="00593095">
        <w:tc>
          <w:tcPr>
            <w:tcW w:w="1970" w:type="dxa"/>
          </w:tcPr>
          <w:p w14:paraId="7D593014" w14:textId="58FE3D85" w:rsidR="00593095" w:rsidRPr="00FA2AA4" w:rsidRDefault="00593095" w:rsidP="00FA2AA4">
            <w:pPr>
              <w:pStyle w:val="TableTitle"/>
              <w:ind w:left="0" w:right="0"/>
              <w:rPr>
                <w:b w:val="0"/>
                <w:sz w:val="20"/>
              </w:rPr>
            </w:pPr>
            <w:r w:rsidRPr="00FA2AA4">
              <w:rPr>
                <w:b w:val="0"/>
                <w:color w:val="000000"/>
                <w:sz w:val="20"/>
              </w:rPr>
              <w:t>5 October 2021</w:t>
            </w:r>
          </w:p>
        </w:tc>
        <w:tc>
          <w:tcPr>
            <w:tcW w:w="2160" w:type="dxa"/>
          </w:tcPr>
          <w:p w14:paraId="61965DDC" w14:textId="2C8B0457" w:rsidR="00593095" w:rsidRPr="00FA2AA4" w:rsidRDefault="00593095" w:rsidP="00FA2AA4">
            <w:pPr>
              <w:pStyle w:val="TableTitle"/>
              <w:ind w:left="0" w:right="0"/>
              <w:rPr>
                <w:b w:val="0"/>
                <w:sz w:val="20"/>
              </w:rPr>
            </w:pPr>
            <w:r w:rsidRPr="00FA2AA4">
              <w:rPr>
                <w:b w:val="0"/>
                <w:color w:val="000000"/>
                <w:sz w:val="20"/>
              </w:rPr>
              <w:t>Pfizer Australia</w:t>
            </w:r>
          </w:p>
        </w:tc>
        <w:tc>
          <w:tcPr>
            <w:tcW w:w="1710" w:type="dxa"/>
          </w:tcPr>
          <w:p w14:paraId="609B9EA8" w14:textId="6C323C18" w:rsidR="00593095" w:rsidRPr="00FA2AA4" w:rsidRDefault="00593095" w:rsidP="00FA2AA4">
            <w:pPr>
              <w:pStyle w:val="TableTitle"/>
              <w:ind w:left="0" w:right="0"/>
              <w:rPr>
                <w:b w:val="0"/>
                <w:sz w:val="20"/>
              </w:rPr>
            </w:pPr>
            <w:proofErr w:type="spellStart"/>
            <w:r w:rsidRPr="00FA2AA4">
              <w:rPr>
                <w:b w:val="0"/>
                <w:color w:val="000000"/>
                <w:sz w:val="20"/>
              </w:rPr>
              <w:t>nirmatrelvir</w:t>
            </w:r>
            <w:proofErr w:type="spellEnd"/>
            <w:r w:rsidRPr="00FA2AA4">
              <w:rPr>
                <w:b w:val="0"/>
                <w:color w:val="000000"/>
                <w:sz w:val="20"/>
              </w:rPr>
              <w:t xml:space="preserve"> + ritonavir (PAXLOVID)</w:t>
            </w:r>
          </w:p>
        </w:tc>
        <w:tc>
          <w:tcPr>
            <w:tcW w:w="2644" w:type="dxa"/>
          </w:tcPr>
          <w:p w14:paraId="4D2275C9" w14:textId="5E38514A" w:rsidR="00593095" w:rsidRPr="00FA2AA4" w:rsidRDefault="00593095" w:rsidP="00FA2AA4">
            <w:pPr>
              <w:pStyle w:val="TableTitle"/>
              <w:ind w:left="0" w:right="0"/>
              <w:rPr>
                <w:b w:val="0"/>
                <w:sz w:val="20"/>
              </w:rPr>
            </w:pPr>
            <w:r w:rsidRPr="00FA2AA4">
              <w:rPr>
                <w:b w:val="0"/>
                <w:color w:val="000000"/>
                <w:sz w:val="20"/>
              </w:rPr>
              <w:t>Provisionally approved on 18 January 2022</w:t>
            </w:r>
          </w:p>
        </w:tc>
      </w:tr>
      <w:tr w:rsidR="00593095" w:rsidRPr="00593095" w14:paraId="272AEC39" w14:textId="77777777" w:rsidTr="00593095">
        <w:tc>
          <w:tcPr>
            <w:tcW w:w="1970" w:type="dxa"/>
          </w:tcPr>
          <w:p w14:paraId="2858E3F4" w14:textId="3193655E" w:rsidR="00593095" w:rsidRPr="00FA2AA4" w:rsidRDefault="00593095" w:rsidP="00FA2AA4">
            <w:pPr>
              <w:pStyle w:val="TableTitle"/>
              <w:ind w:left="0" w:right="0"/>
              <w:rPr>
                <w:b w:val="0"/>
                <w:sz w:val="20"/>
              </w:rPr>
            </w:pPr>
            <w:r w:rsidRPr="00FA2AA4">
              <w:rPr>
                <w:b w:val="0"/>
                <w:color w:val="000000"/>
                <w:sz w:val="20"/>
              </w:rPr>
              <w:t>27 September 2021</w:t>
            </w:r>
          </w:p>
        </w:tc>
        <w:tc>
          <w:tcPr>
            <w:tcW w:w="2160" w:type="dxa"/>
          </w:tcPr>
          <w:p w14:paraId="752DDC15" w14:textId="743F6A66" w:rsidR="00593095" w:rsidRPr="00FA2AA4" w:rsidRDefault="00593095" w:rsidP="00FA2AA4">
            <w:pPr>
              <w:pStyle w:val="TableTitle"/>
              <w:ind w:left="0" w:right="0"/>
              <w:rPr>
                <w:b w:val="0"/>
                <w:sz w:val="20"/>
              </w:rPr>
            </w:pPr>
            <w:r>
              <w:rPr>
                <w:b w:val="0"/>
                <w:color w:val="000000"/>
                <w:sz w:val="20"/>
              </w:rPr>
              <w:t>Roche Products Pty </w:t>
            </w:r>
            <w:r w:rsidRPr="00FA2AA4">
              <w:rPr>
                <w:b w:val="0"/>
                <w:color w:val="000000"/>
                <w:sz w:val="20"/>
              </w:rPr>
              <w:t>Ltd</w:t>
            </w:r>
          </w:p>
        </w:tc>
        <w:tc>
          <w:tcPr>
            <w:tcW w:w="1710" w:type="dxa"/>
          </w:tcPr>
          <w:p w14:paraId="7B6106AA" w14:textId="08CFE8FB" w:rsidR="00593095" w:rsidRPr="00FA2AA4" w:rsidRDefault="00593095" w:rsidP="00FA2AA4">
            <w:pPr>
              <w:pStyle w:val="TableTitle"/>
              <w:ind w:left="0" w:right="0"/>
              <w:rPr>
                <w:b w:val="0"/>
                <w:sz w:val="20"/>
              </w:rPr>
            </w:pPr>
            <w:r w:rsidRPr="00FA2AA4">
              <w:rPr>
                <w:b w:val="0"/>
                <w:color w:val="000000"/>
                <w:sz w:val="20"/>
              </w:rPr>
              <w:t>tocilizumab (ACTEMRA)</w:t>
            </w:r>
          </w:p>
        </w:tc>
        <w:tc>
          <w:tcPr>
            <w:tcW w:w="2644" w:type="dxa"/>
          </w:tcPr>
          <w:p w14:paraId="54499D78" w14:textId="7CC86DED" w:rsidR="00593095" w:rsidRPr="00FA2AA4" w:rsidRDefault="00593095" w:rsidP="00FA2AA4">
            <w:pPr>
              <w:pStyle w:val="TableTitle"/>
              <w:ind w:left="0" w:right="0"/>
              <w:rPr>
                <w:b w:val="0"/>
                <w:sz w:val="20"/>
              </w:rPr>
            </w:pPr>
            <w:r w:rsidRPr="00FA2AA4">
              <w:rPr>
                <w:b w:val="0"/>
                <w:color w:val="000000"/>
                <w:sz w:val="20"/>
              </w:rPr>
              <w:t>Prov</w:t>
            </w:r>
            <w:r>
              <w:rPr>
                <w:b w:val="0"/>
                <w:color w:val="000000"/>
                <w:sz w:val="20"/>
              </w:rPr>
              <w:t>isionally approved on 1 </w:t>
            </w:r>
            <w:r w:rsidRPr="00FA2AA4">
              <w:rPr>
                <w:b w:val="0"/>
                <w:color w:val="000000"/>
                <w:sz w:val="20"/>
              </w:rPr>
              <w:t>December 2021</w:t>
            </w:r>
          </w:p>
        </w:tc>
      </w:tr>
      <w:tr w:rsidR="00593095" w:rsidRPr="00593095" w14:paraId="03577C8F" w14:textId="77777777" w:rsidTr="00593095">
        <w:tc>
          <w:tcPr>
            <w:tcW w:w="1970" w:type="dxa"/>
          </w:tcPr>
          <w:p w14:paraId="34B50233" w14:textId="7411F13D" w:rsidR="00593095" w:rsidRPr="00FA2AA4" w:rsidRDefault="00593095" w:rsidP="00FA2AA4">
            <w:pPr>
              <w:pStyle w:val="TableTitle"/>
              <w:ind w:left="0" w:right="0"/>
              <w:rPr>
                <w:b w:val="0"/>
                <w:sz w:val="20"/>
              </w:rPr>
            </w:pPr>
            <w:r w:rsidRPr="00FA2AA4">
              <w:rPr>
                <w:b w:val="0"/>
                <w:color w:val="000000"/>
                <w:sz w:val="20"/>
              </w:rPr>
              <w:t>20 August 2021</w:t>
            </w:r>
          </w:p>
        </w:tc>
        <w:tc>
          <w:tcPr>
            <w:tcW w:w="2160" w:type="dxa"/>
          </w:tcPr>
          <w:p w14:paraId="1F2240E9" w14:textId="6F60A79F" w:rsidR="00593095" w:rsidRPr="00FA2AA4" w:rsidRDefault="00593095" w:rsidP="00FA2AA4">
            <w:pPr>
              <w:pStyle w:val="TableTitle"/>
              <w:ind w:left="0" w:right="0"/>
              <w:rPr>
                <w:b w:val="0"/>
                <w:sz w:val="20"/>
              </w:rPr>
            </w:pPr>
            <w:proofErr w:type="spellStart"/>
            <w:r w:rsidRPr="00FA2AA4">
              <w:rPr>
                <w:b w:val="0"/>
                <w:color w:val="000000"/>
                <w:sz w:val="20"/>
              </w:rPr>
              <w:t>Celltrion</w:t>
            </w:r>
            <w:proofErr w:type="spellEnd"/>
            <w:r w:rsidRPr="00FA2AA4">
              <w:rPr>
                <w:b w:val="0"/>
                <w:color w:val="000000"/>
                <w:sz w:val="20"/>
              </w:rPr>
              <w:t xml:space="preserve"> Healthcare Australia Pty Ltd</w:t>
            </w:r>
          </w:p>
        </w:tc>
        <w:tc>
          <w:tcPr>
            <w:tcW w:w="1710" w:type="dxa"/>
          </w:tcPr>
          <w:p w14:paraId="0020F115" w14:textId="6A0B5F58" w:rsidR="00593095" w:rsidRPr="00FA2AA4" w:rsidRDefault="00593095" w:rsidP="00FA2AA4">
            <w:pPr>
              <w:pStyle w:val="TableTitle"/>
              <w:ind w:left="0" w:right="0"/>
              <w:rPr>
                <w:b w:val="0"/>
                <w:sz w:val="20"/>
              </w:rPr>
            </w:pPr>
            <w:proofErr w:type="spellStart"/>
            <w:r w:rsidRPr="00FA2AA4">
              <w:rPr>
                <w:b w:val="0"/>
                <w:color w:val="000000"/>
                <w:sz w:val="20"/>
              </w:rPr>
              <w:t>regdanvimab</w:t>
            </w:r>
            <w:proofErr w:type="spellEnd"/>
            <w:r w:rsidRPr="00FA2AA4">
              <w:rPr>
                <w:b w:val="0"/>
                <w:color w:val="000000"/>
                <w:sz w:val="20"/>
              </w:rPr>
              <w:t xml:space="preserve"> (REGKIRONA)</w:t>
            </w:r>
          </w:p>
        </w:tc>
        <w:tc>
          <w:tcPr>
            <w:tcW w:w="2644" w:type="dxa"/>
          </w:tcPr>
          <w:p w14:paraId="0ACD5C38" w14:textId="414C8F3F" w:rsidR="00593095" w:rsidRPr="00FA2AA4" w:rsidRDefault="00593095" w:rsidP="00FA2AA4">
            <w:pPr>
              <w:pStyle w:val="TableTitle"/>
              <w:ind w:left="0" w:right="0"/>
              <w:rPr>
                <w:b w:val="0"/>
                <w:sz w:val="20"/>
              </w:rPr>
            </w:pPr>
            <w:r>
              <w:rPr>
                <w:b w:val="0"/>
                <w:color w:val="000000"/>
                <w:sz w:val="20"/>
              </w:rPr>
              <w:t>Provisionally approved on 6 </w:t>
            </w:r>
            <w:r w:rsidRPr="00FA2AA4">
              <w:rPr>
                <w:b w:val="0"/>
                <w:color w:val="000000"/>
                <w:sz w:val="20"/>
              </w:rPr>
              <w:t>December 2021</w:t>
            </w:r>
          </w:p>
        </w:tc>
      </w:tr>
      <w:tr w:rsidR="00593095" w:rsidRPr="00593095" w14:paraId="5BC215A8" w14:textId="77777777" w:rsidTr="00593095">
        <w:tc>
          <w:tcPr>
            <w:tcW w:w="1970" w:type="dxa"/>
          </w:tcPr>
          <w:p w14:paraId="4E521BE2" w14:textId="5AD0E9D1" w:rsidR="00593095" w:rsidRPr="00FA2AA4" w:rsidRDefault="00593095" w:rsidP="00FA2AA4">
            <w:pPr>
              <w:pStyle w:val="TableTitle"/>
              <w:ind w:left="0" w:right="0"/>
              <w:rPr>
                <w:b w:val="0"/>
                <w:sz w:val="20"/>
              </w:rPr>
            </w:pPr>
            <w:r w:rsidRPr="00FA2AA4">
              <w:rPr>
                <w:b w:val="0"/>
                <w:color w:val="000000"/>
                <w:sz w:val="20"/>
              </w:rPr>
              <w:t>20 August 2021</w:t>
            </w:r>
          </w:p>
        </w:tc>
        <w:tc>
          <w:tcPr>
            <w:tcW w:w="2160" w:type="dxa"/>
          </w:tcPr>
          <w:p w14:paraId="3F04828C" w14:textId="10A01C89" w:rsidR="00593095" w:rsidRPr="00FA2AA4" w:rsidRDefault="00593095" w:rsidP="00FA2AA4">
            <w:pPr>
              <w:pStyle w:val="TableTitle"/>
              <w:ind w:left="0" w:right="0"/>
              <w:rPr>
                <w:b w:val="0"/>
                <w:sz w:val="20"/>
              </w:rPr>
            </w:pPr>
            <w:r>
              <w:rPr>
                <w:b w:val="0"/>
                <w:color w:val="000000"/>
                <w:sz w:val="20"/>
              </w:rPr>
              <w:t>Roche Products Pty </w:t>
            </w:r>
            <w:r w:rsidRPr="00FA2AA4">
              <w:rPr>
                <w:b w:val="0"/>
                <w:color w:val="000000"/>
                <w:sz w:val="20"/>
              </w:rPr>
              <w:t>Ltd</w:t>
            </w:r>
          </w:p>
        </w:tc>
        <w:tc>
          <w:tcPr>
            <w:tcW w:w="1710" w:type="dxa"/>
          </w:tcPr>
          <w:p w14:paraId="2B1118D1" w14:textId="6C55A1D6" w:rsidR="00593095" w:rsidRPr="00FA2AA4" w:rsidRDefault="00593095" w:rsidP="00FA2AA4">
            <w:pPr>
              <w:pStyle w:val="TableTitle"/>
              <w:ind w:left="0" w:right="0"/>
              <w:rPr>
                <w:b w:val="0"/>
                <w:sz w:val="20"/>
              </w:rPr>
            </w:pPr>
            <w:proofErr w:type="spellStart"/>
            <w:r w:rsidRPr="00FA2AA4">
              <w:rPr>
                <w:b w:val="0"/>
                <w:color w:val="000000"/>
                <w:sz w:val="20"/>
              </w:rPr>
              <w:t>casirivimab</w:t>
            </w:r>
            <w:proofErr w:type="spellEnd"/>
            <w:r w:rsidRPr="00FA2AA4">
              <w:rPr>
                <w:b w:val="0"/>
                <w:color w:val="000000"/>
                <w:sz w:val="20"/>
              </w:rPr>
              <w:t xml:space="preserve"> + </w:t>
            </w:r>
            <w:proofErr w:type="spellStart"/>
            <w:r w:rsidRPr="00FA2AA4">
              <w:rPr>
                <w:b w:val="0"/>
                <w:color w:val="000000"/>
                <w:sz w:val="20"/>
              </w:rPr>
              <w:t>imdevimab</w:t>
            </w:r>
            <w:proofErr w:type="spellEnd"/>
            <w:r w:rsidRPr="00FA2AA4">
              <w:rPr>
                <w:b w:val="0"/>
                <w:color w:val="000000"/>
                <w:sz w:val="20"/>
              </w:rPr>
              <w:t xml:space="preserve"> (RONAPREVE)</w:t>
            </w:r>
          </w:p>
        </w:tc>
        <w:tc>
          <w:tcPr>
            <w:tcW w:w="2644" w:type="dxa"/>
          </w:tcPr>
          <w:p w14:paraId="49F1C93D" w14:textId="2C2E7086" w:rsidR="00593095" w:rsidRPr="00FA2AA4" w:rsidRDefault="00593095" w:rsidP="00FA2AA4">
            <w:pPr>
              <w:pStyle w:val="TableTitle"/>
              <w:ind w:left="0" w:right="0"/>
              <w:rPr>
                <w:b w:val="0"/>
                <w:sz w:val="20"/>
              </w:rPr>
            </w:pPr>
            <w:r w:rsidRPr="00FA2AA4">
              <w:rPr>
                <w:b w:val="0"/>
                <w:color w:val="000000"/>
                <w:sz w:val="20"/>
              </w:rPr>
              <w:t>Provisionally approved on 15 October 2021</w:t>
            </w:r>
          </w:p>
        </w:tc>
      </w:tr>
      <w:tr w:rsidR="00593095" w:rsidRPr="00593095" w14:paraId="3FA3CFB5" w14:textId="77777777" w:rsidTr="00593095">
        <w:tc>
          <w:tcPr>
            <w:tcW w:w="1970" w:type="dxa"/>
          </w:tcPr>
          <w:p w14:paraId="3FC5A878" w14:textId="0C9FA02C" w:rsidR="00593095" w:rsidRPr="00FA2AA4" w:rsidRDefault="00593095" w:rsidP="00FA2AA4">
            <w:pPr>
              <w:pStyle w:val="TableTitle"/>
              <w:ind w:left="0" w:right="0"/>
              <w:rPr>
                <w:b w:val="0"/>
                <w:sz w:val="20"/>
              </w:rPr>
            </w:pPr>
            <w:r w:rsidRPr="00FA2AA4">
              <w:rPr>
                <w:b w:val="0"/>
                <w:color w:val="000000"/>
                <w:sz w:val="20"/>
              </w:rPr>
              <w:t>9 August 2021</w:t>
            </w:r>
          </w:p>
        </w:tc>
        <w:tc>
          <w:tcPr>
            <w:tcW w:w="2160" w:type="dxa"/>
          </w:tcPr>
          <w:p w14:paraId="1CDCE6A7" w14:textId="62D06324" w:rsidR="00593095" w:rsidRPr="00FA2AA4" w:rsidRDefault="00593095" w:rsidP="00FA2AA4">
            <w:pPr>
              <w:pStyle w:val="TableTitle"/>
              <w:ind w:left="0" w:right="0"/>
              <w:rPr>
                <w:b w:val="0"/>
                <w:sz w:val="20"/>
              </w:rPr>
            </w:pPr>
            <w:r w:rsidRPr="00FA2AA4">
              <w:rPr>
                <w:b w:val="0"/>
                <w:color w:val="000000"/>
                <w:sz w:val="20"/>
              </w:rPr>
              <w:t>Merck Sharp and Dohme (Australia) Pty Ltd</w:t>
            </w:r>
          </w:p>
        </w:tc>
        <w:tc>
          <w:tcPr>
            <w:tcW w:w="1710" w:type="dxa"/>
          </w:tcPr>
          <w:p w14:paraId="61894D16" w14:textId="6F784DE4" w:rsidR="00593095" w:rsidRPr="00FA2AA4" w:rsidRDefault="00593095" w:rsidP="00FA2AA4">
            <w:pPr>
              <w:pStyle w:val="TableTitle"/>
              <w:ind w:left="0" w:right="0"/>
              <w:rPr>
                <w:b w:val="0"/>
                <w:sz w:val="20"/>
              </w:rPr>
            </w:pPr>
            <w:proofErr w:type="spellStart"/>
            <w:r w:rsidRPr="00FA2AA4">
              <w:rPr>
                <w:b w:val="0"/>
                <w:color w:val="000000"/>
                <w:sz w:val="20"/>
              </w:rPr>
              <w:t>molnupiravir</w:t>
            </w:r>
            <w:proofErr w:type="spellEnd"/>
            <w:r w:rsidRPr="00FA2AA4">
              <w:rPr>
                <w:b w:val="0"/>
                <w:color w:val="000000"/>
                <w:sz w:val="20"/>
              </w:rPr>
              <w:t xml:space="preserve"> (LAGEVRIO)</w:t>
            </w:r>
          </w:p>
        </w:tc>
        <w:tc>
          <w:tcPr>
            <w:tcW w:w="2644" w:type="dxa"/>
          </w:tcPr>
          <w:p w14:paraId="6B5F3C93" w14:textId="755120A8" w:rsidR="00593095" w:rsidRPr="00FA2AA4" w:rsidRDefault="00593095" w:rsidP="00FA2AA4">
            <w:pPr>
              <w:pStyle w:val="TableTitle"/>
              <w:ind w:left="0" w:right="0"/>
              <w:rPr>
                <w:b w:val="0"/>
                <w:sz w:val="20"/>
              </w:rPr>
            </w:pPr>
            <w:r w:rsidRPr="00FA2AA4">
              <w:rPr>
                <w:b w:val="0"/>
                <w:color w:val="000000"/>
                <w:sz w:val="20"/>
              </w:rPr>
              <w:t>Provisionally approved on 18 January 2022</w:t>
            </w:r>
          </w:p>
        </w:tc>
      </w:tr>
      <w:tr w:rsidR="00593095" w:rsidRPr="00593095" w14:paraId="17A1EFBD" w14:textId="77777777" w:rsidTr="00593095">
        <w:tc>
          <w:tcPr>
            <w:tcW w:w="1970" w:type="dxa"/>
          </w:tcPr>
          <w:p w14:paraId="0A6439C9" w14:textId="445EBE8C" w:rsidR="00593095" w:rsidRPr="00FA2AA4" w:rsidRDefault="00593095" w:rsidP="00FA2AA4">
            <w:pPr>
              <w:pStyle w:val="TableTitle"/>
              <w:ind w:left="0" w:right="0"/>
              <w:rPr>
                <w:b w:val="0"/>
                <w:sz w:val="20"/>
              </w:rPr>
            </w:pPr>
            <w:r w:rsidRPr="00FA2AA4">
              <w:rPr>
                <w:b w:val="0"/>
                <w:color w:val="000000"/>
                <w:sz w:val="20"/>
              </w:rPr>
              <w:t>13 April 2021</w:t>
            </w:r>
          </w:p>
        </w:tc>
        <w:tc>
          <w:tcPr>
            <w:tcW w:w="2160" w:type="dxa"/>
          </w:tcPr>
          <w:p w14:paraId="42097E21" w14:textId="01C0E1E5" w:rsidR="00593095" w:rsidRPr="00FA2AA4" w:rsidRDefault="00593095" w:rsidP="00FA2AA4">
            <w:pPr>
              <w:pStyle w:val="TableTitle"/>
              <w:ind w:left="0" w:right="0"/>
              <w:rPr>
                <w:b w:val="0"/>
                <w:sz w:val="20"/>
              </w:rPr>
            </w:pPr>
            <w:r w:rsidRPr="00FA2AA4">
              <w:rPr>
                <w:b w:val="0"/>
                <w:color w:val="000000"/>
                <w:sz w:val="20"/>
              </w:rPr>
              <w:t>GlaxoSmithKline Australia Pty Ltd</w:t>
            </w:r>
          </w:p>
        </w:tc>
        <w:tc>
          <w:tcPr>
            <w:tcW w:w="1710" w:type="dxa"/>
          </w:tcPr>
          <w:p w14:paraId="013894FA" w14:textId="5FA6CA48" w:rsidR="00593095" w:rsidRPr="00FA2AA4" w:rsidRDefault="00593095" w:rsidP="00FA2AA4">
            <w:pPr>
              <w:pStyle w:val="TableTitle"/>
              <w:ind w:left="0" w:right="0"/>
              <w:rPr>
                <w:b w:val="0"/>
                <w:sz w:val="20"/>
              </w:rPr>
            </w:pPr>
            <w:proofErr w:type="spellStart"/>
            <w:r w:rsidRPr="00FA2AA4">
              <w:rPr>
                <w:b w:val="0"/>
                <w:color w:val="000000"/>
                <w:sz w:val="20"/>
              </w:rPr>
              <w:t>sotrovimab</w:t>
            </w:r>
            <w:proofErr w:type="spellEnd"/>
            <w:r w:rsidRPr="00FA2AA4">
              <w:rPr>
                <w:b w:val="0"/>
                <w:color w:val="000000"/>
                <w:sz w:val="20"/>
              </w:rPr>
              <w:t xml:space="preserve"> (XEVUDY)</w:t>
            </w:r>
          </w:p>
        </w:tc>
        <w:tc>
          <w:tcPr>
            <w:tcW w:w="2644" w:type="dxa"/>
          </w:tcPr>
          <w:p w14:paraId="72B7FE41" w14:textId="1CAB1FED" w:rsidR="00593095" w:rsidRPr="00FA2AA4" w:rsidRDefault="00593095" w:rsidP="00FA2AA4">
            <w:pPr>
              <w:pStyle w:val="TableTitle"/>
              <w:ind w:left="0" w:right="0"/>
              <w:rPr>
                <w:b w:val="0"/>
                <w:sz w:val="20"/>
              </w:rPr>
            </w:pPr>
            <w:r w:rsidRPr="00FA2AA4">
              <w:rPr>
                <w:b w:val="0"/>
                <w:color w:val="000000"/>
                <w:sz w:val="20"/>
              </w:rPr>
              <w:t>Provisionally approved on 20 August 2021</w:t>
            </w:r>
          </w:p>
        </w:tc>
      </w:tr>
      <w:tr w:rsidR="00593095" w:rsidRPr="00593095" w14:paraId="13500EF8" w14:textId="77777777" w:rsidTr="00FA2AA4">
        <w:tc>
          <w:tcPr>
            <w:tcW w:w="1970" w:type="dxa"/>
          </w:tcPr>
          <w:p w14:paraId="41349619" w14:textId="6BF48390" w:rsidR="00593095" w:rsidRPr="00FA2AA4" w:rsidRDefault="00593095" w:rsidP="00FA2AA4">
            <w:pPr>
              <w:pStyle w:val="TableTitle"/>
              <w:ind w:left="0" w:right="0"/>
              <w:rPr>
                <w:b w:val="0"/>
                <w:sz w:val="20"/>
              </w:rPr>
            </w:pPr>
            <w:r w:rsidRPr="00FA2AA4">
              <w:rPr>
                <w:b w:val="0"/>
                <w:color w:val="000000"/>
                <w:sz w:val="20"/>
              </w:rPr>
              <w:t>6 July 2020</w:t>
            </w:r>
          </w:p>
        </w:tc>
        <w:tc>
          <w:tcPr>
            <w:tcW w:w="2160" w:type="dxa"/>
          </w:tcPr>
          <w:p w14:paraId="196F0577" w14:textId="1C040060" w:rsidR="00593095" w:rsidRPr="00FA2AA4" w:rsidRDefault="00593095" w:rsidP="00FA2AA4">
            <w:pPr>
              <w:pStyle w:val="TableTitle"/>
              <w:ind w:left="0" w:right="0"/>
              <w:rPr>
                <w:b w:val="0"/>
                <w:sz w:val="20"/>
              </w:rPr>
            </w:pPr>
            <w:r>
              <w:rPr>
                <w:b w:val="0"/>
                <w:color w:val="000000"/>
                <w:sz w:val="20"/>
              </w:rPr>
              <w:t>Gilead Sciences Pty </w:t>
            </w:r>
            <w:r w:rsidRPr="00FA2AA4">
              <w:rPr>
                <w:b w:val="0"/>
                <w:color w:val="000000"/>
                <w:sz w:val="20"/>
              </w:rPr>
              <w:t>Ltd</w:t>
            </w:r>
          </w:p>
        </w:tc>
        <w:tc>
          <w:tcPr>
            <w:tcW w:w="1710" w:type="dxa"/>
          </w:tcPr>
          <w:p w14:paraId="53316B8A" w14:textId="1AF5F453" w:rsidR="00593095" w:rsidRPr="00FA2AA4" w:rsidRDefault="00593095" w:rsidP="00FA2AA4">
            <w:pPr>
              <w:pStyle w:val="TableTitle"/>
              <w:ind w:left="0" w:right="0"/>
              <w:rPr>
                <w:b w:val="0"/>
                <w:sz w:val="20"/>
              </w:rPr>
            </w:pPr>
            <w:proofErr w:type="spellStart"/>
            <w:r w:rsidRPr="00FA2AA4">
              <w:rPr>
                <w:b w:val="0"/>
                <w:color w:val="000000"/>
                <w:sz w:val="20"/>
              </w:rPr>
              <w:t>remdesivir</w:t>
            </w:r>
            <w:proofErr w:type="spellEnd"/>
            <w:r w:rsidRPr="00FA2AA4">
              <w:rPr>
                <w:b w:val="0"/>
                <w:color w:val="000000"/>
                <w:sz w:val="20"/>
              </w:rPr>
              <w:t xml:space="preserve"> (VEKLURY)</w:t>
            </w:r>
          </w:p>
        </w:tc>
        <w:tc>
          <w:tcPr>
            <w:tcW w:w="2644" w:type="dxa"/>
          </w:tcPr>
          <w:p w14:paraId="68AAD08B" w14:textId="77777777" w:rsidR="00593095" w:rsidRPr="00FA2AA4" w:rsidRDefault="00593095" w:rsidP="00FA2AA4">
            <w:pPr>
              <w:ind w:left="0" w:right="0"/>
              <w:rPr>
                <w:color w:val="000000"/>
                <w:sz w:val="20"/>
              </w:rPr>
            </w:pPr>
            <w:r w:rsidRPr="00FA2AA4">
              <w:rPr>
                <w:color w:val="000000"/>
                <w:sz w:val="20"/>
              </w:rPr>
              <w:t>Provisionally approved on 10 July 2020</w:t>
            </w:r>
          </w:p>
          <w:p w14:paraId="29F767A6" w14:textId="7C0F4DC4" w:rsidR="00593095" w:rsidRPr="00FA2AA4" w:rsidRDefault="00593095" w:rsidP="00FA2AA4">
            <w:pPr>
              <w:pStyle w:val="TableTitle"/>
              <w:ind w:left="0" w:right="0"/>
              <w:rPr>
                <w:b w:val="0"/>
                <w:sz w:val="20"/>
              </w:rPr>
            </w:pPr>
            <w:r w:rsidRPr="00FA2AA4">
              <w:rPr>
                <w:b w:val="0"/>
                <w:color w:val="000000"/>
                <w:sz w:val="20"/>
              </w:rPr>
              <w:t>Extension of indications under evaluation</w:t>
            </w:r>
          </w:p>
        </w:tc>
      </w:tr>
    </w:tbl>
    <w:p w14:paraId="1B04304E" w14:textId="10AFDA24" w:rsidR="00044C32" w:rsidRPr="00044C32" w:rsidRDefault="00593095" w:rsidP="00044C32">
      <w:r>
        <w:t>O</w:t>
      </w:r>
      <w:r w:rsidR="00044C32">
        <w:t>f these, none are currently approved in Australia for use in the paediatric population &lt;</w:t>
      </w:r>
      <w:r>
        <w:t> </w:t>
      </w:r>
      <w:r w:rsidR="00044C32">
        <w:t>12</w:t>
      </w:r>
      <w:r>
        <w:t> </w:t>
      </w:r>
      <w:r w:rsidR="00044C32">
        <w:t>years of age.</w:t>
      </w:r>
    </w:p>
    <w:p w14:paraId="6EE3C944" w14:textId="77777777" w:rsidR="008E7846" w:rsidRPr="003F31A2" w:rsidRDefault="00386150" w:rsidP="008E7846">
      <w:pPr>
        <w:pStyle w:val="Heading3"/>
      </w:pPr>
      <w:bookmarkStart w:id="17" w:name="_Toc314842485"/>
      <w:bookmarkStart w:id="18" w:name="_Toc247691504"/>
      <w:bookmarkStart w:id="19" w:name="_Toc102724830"/>
      <w:r>
        <w:t>Regulatory s</w:t>
      </w:r>
      <w:r w:rsidR="008E7846">
        <w:t>tatus</w:t>
      </w:r>
      <w:bookmarkEnd w:id="17"/>
      <w:bookmarkEnd w:id="18"/>
      <w:bookmarkEnd w:id="19"/>
    </w:p>
    <w:p w14:paraId="121146CD" w14:textId="45505711" w:rsidR="00006FAB" w:rsidRDefault="00006FAB" w:rsidP="00006FAB">
      <w:bookmarkStart w:id="20" w:name="_Toc247691505"/>
      <w:bookmarkStart w:id="21" w:name="_Toc314842486"/>
      <w:r>
        <w:t xml:space="preserve">The product received initial </w:t>
      </w:r>
      <w:r w:rsidR="00044C32">
        <w:t xml:space="preserve">provisional </w:t>
      </w:r>
      <w:r>
        <w:t>registration on the Australian Register of Therapeutic Goods (ARTG) o</w:t>
      </w:r>
      <w:r w:rsidR="00044C32">
        <w:t>n 10 July 2020</w:t>
      </w:r>
      <w:r w:rsidR="00593095">
        <w:t xml:space="preserve"> for the following indication:</w:t>
      </w:r>
    </w:p>
    <w:p w14:paraId="37160FF2" w14:textId="77777777" w:rsidR="00044C32" w:rsidRPr="00954662" w:rsidRDefault="00044C32" w:rsidP="00044C32">
      <w:pPr>
        <w:ind w:left="720"/>
        <w:rPr>
          <w:i/>
          <w:iCs/>
        </w:rPr>
      </w:pPr>
      <w:proofErr w:type="spellStart"/>
      <w:r w:rsidRPr="00954662">
        <w:rPr>
          <w:i/>
          <w:iCs/>
        </w:rPr>
        <w:t>Veklury</w:t>
      </w:r>
      <w:proofErr w:type="spellEnd"/>
      <w:r w:rsidRPr="00954662">
        <w:rPr>
          <w:i/>
          <w:iCs/>
        </w:rPr>
        <w:t xml:space="preserve"> has </w:t>
      </w:r>
      <w:r w:rsidRPr="00954662">
        <w:rPr>
          <w:bCs/>
          <w:i/>
          <w:iCs/>
        </w:rPr>
        <w:t>provisional approval</w:t>
      </w:r>
      <w:r w:rsidRPr="00954662">
        <w:rPr>
          <w:i/>
          <w:iCs/>
        </w:rPr>
        <w:t xml:space="preserve"> for the treatment of Coronavirus Disease 2019 (COVID-19) in adults and adolescents (aged 12 years and older weighing at least 40 kg) with pneumonia, requiring supplemental oxygen.</w:t>
      </w:r>
    </w:p>
    <w:p w14:paraId="3BDD626F" w14:textId="245FE6C8" w:rsidR="00044C32" w:rsidRDefault="00044C32" w:rsidP="00044C32">
      <w:pPr>
        <w:ind w:left="720"/>
        <w:rPr>
          <w:i/>
          <w:iCs/>
        </w:rPr>
      </w:pPr>
      <w:r w:rsidRPr="00954662">
        <w:rPr>
          <w:i/>
          <w:iCs/>
        </w:rPr>
        <w:t>The decision to approve this medicine has been made based on limited data. More comprehensive evidence is required to be submitted</w:t>
      </w:r>
      <w:r>
        <w:rPr>
          <w:i/>
          <w:iCs/>
        </w:rPr>
        <w:t>.</w:t>
      </w:r>
    </w:p>
    <w:p w14:paraId="4A318922" w14:textId="6966B816" w:rsidR="00FA2AA4" w:rsidRPr="00FA2AA4" w:rsidRDefault="00FA2AA4" w:rsidP="00FA2AA4">
      <w:pPr>
        <w:spacing w:before="0" w:after="200" w:line="0" w:lineRule="auto"/>
        <w:rPr>
          <w:i/>
          <w:iCs/>
        </w:rPr>
      </w:pPr>
      <w:r>
        <w:rPr>
          <w:i/>
          <w:iCs/>
        </w:rPr>
        <w:br w:type="page"/>
      </w:r>
    </w:p>
    <w:p w14:paraId="172B0489" w14:textId="2CCFF23D" w:rsidR="00006FAB" w:rsidRDefault="00006FAB" w:rsidP="00FA2AA4">
      <w:pPr>
        <w:keepNext/>
      </w:pPr>
      <w:r>
        <w:lastRenderedPageBreak/>
        <w:t xml:space="preserve">At the time the TGA considered this application, a similar application was under consideration in </w:t>
      </w:r>
      <w:r w:rsidR="00CB28B1">
        <w:t xml:space="preserve">European Union (EU) and the United States of America (USA). The </w:t>
      </w:r>
      <w:r w:rsidR="002A38EB">
        <w:t>US </w:t>
      </w:r>
      <w:r w:rsidR="00CB28B1">
        <w:t>Food</w:t>
      </w:r>
      <w:r w:rsidR="002A38EB">
        <w:t> </w:t>
      </w:r>
      <w:r w:rsidR="00CB28B1">
        <w:t>and Drug Administration (FDA) has issued an Emergency Usage Authori</w:t>
      </w:r>
      <w:r w:rsidR="002A38EB">
        <w:t>z</w:t>
      </w:r>
      <w:r w:rsidR="00CB28B1">
        <w:t xml:space="preserve">ation (EUA) for use of </w:t>
      </w:r>
      <w:proofErr w:type="spellStart"/>
      <w:r w:rsidR="000A4816">
        <w:t>remdesivir</w:t>
      </w:r>
      <w:proofErr w:type="spellEnd"/>
      <w:r w:rsidR="00CB28B1">
        <w:t xml:space="preserve"> in patients &gt; 12 years of age as follow</w:t>
      </w:r>
      <w:r w:rsidR="002A38EB">
        <w:t>s</w:t>
      </w:r>
      <w:r w:rsidR="00CB28B1">
        <w:t>:</w:t>
      </w:r>
    </w:p>
    <w:p w14:paraId="36C5CD47" w14:textId="4A30ACFB" w:rsidR="00CB28B1" w:rsidRPr="00FA2AA4" w:rsidRDefault="00CB28B1" w:rsidP="00FA2AA4">
      <w:pPr>
        <w:keepNext/>
        <w:ind w:left="720"/>
        <w:rPr>
          <w:i/>
        </w:rPr>
      </w:pPr>
      <w:r w:rsidRPr="00FA2AA4">
        <w:rPr>
          <w:i/>
        </w:rPr>
        <w:t xml:space="preserve">Based on the totality of scientific evidence available to FDA, it is reasonable to believe that </w:t>
      </w:r>
      <w:proofErr w:type="spellStart"/>
      <w:r w:rsidRPr="00FA2AA4">
        <w:rPr>
          <w:i/>
        </w:rPr>
        <w:t>Veklury</w:t>
      </w:r>
      <w:proofErr w:type="spellEnd"/>
      <w:r w:rsidRPr="00FA2AA4">
        <w:rPr>
          <w:i/>
        </w:rPr>
        <w:t xml:space="preserve"> may be effective for the treatment of COVID-19 in paediatric patients weighing 3.5 kg to less than </w:t>
      </w:r>
      <w:r w:rsidR="006944AB" w:rsidRPr="00FA2AA4">
        <w:rPr>
          <w:i/>
        </w:rPr>
        <w:t xml:space="preserve">40 kg or paediatric patients less than 12 years of age weighing at least 3.5 kg, with positive results of direct SARS-CoV-2 viral testing, and who </w:t>
      </w:r>
    </w:p>
    <w:p w14:paraId="37F9B31B" w14:textId="1F695827" w:rsidR="006944AB" w:rsidRPr="00FA2AA4" w:rsidRDefault="006944AB" w:rsidP="00FA2AA4">
      <w:pPr>
        <w:pStyle w:val="ListBullet3"/>
        <w:rPr>
          <w:i/>
        </w:rPr>
      </w:pPr>
      <w:r w:rsidRPr="00FA2AA4">
        <w:rPr>
          <w:i/>
        </w:rPr>
        <w:t>Are hospitalized, or</w:t>
      </w:r>
    </w:p>
    <w:p w14:paraId="0F00884A" w14:textId="4868E4A3" w:rsidR="006944AB" w:rsidRPr="00FA2AA4" w:rsidRDefault="006944AB" w:rsidP="00FA2AA4">
      <w:pPr>
        <w:pStyle w:val="ListBullet3"/>
        <w:rPr>
          <w:i/>
        </w:rPr>
      </w:pPr>
      <w:r w:rsidRPr="00FA2AA4">
        <w:rPr>
          <w:i/>
        </w:rPr>
        <w:t>Are not hospitalized and have mild to moderate COVID-</w:t>
      </w:r>
      <w:proofErr w:type="gramStart"/>
      <w:r w:rsidRPr="00FA2AA4">
        <w:rPr>
          <w:i/>
        </w:rPr>
        <w:t>19, and</w:t>
      </w:r>
      <w:proofErr w:type="gramEnd"/>
      <w:r w:rsidRPr="00FA2AA4">
        <w:rPr>
          <w:i/>
        </w:rPr>
        <w:t xml:space="preserve"> are at high risk for progression to severe COVID-19, including hospitalization or death.</w:t>
      </w:r>
    </w:p>
    <w:p w14:paraId="7B1817AE" w14:textId="3515C21B" w:rsidR="006944AB" w:rsidRDefault="006944AB" w:rsidP="006944AB">
      <w:r w:rsidRPr="006944AB">
        <w:t xml:space="preserve">The EUA is not a registration process </w:t>
      </w:r>
      <w:r w:rsidRPr="002A38EB">
        <w:t>per se</w:t>
      </w:r>
      <w:r w:rsidRPr="006944AB">
        <w:t xml:space="preserve"> but is based on an assessment by the FDA that the product may be effective for the treatment of COVID-19, that COVID-19 is a severe or life-threatening condition, and that there is no adequate, </w:t>
      </w:r>
      <w:proofErr w:type="gramStart"/>
      <w:r w:rsidRPr="006944AB">
        <w:t>approved</w:t>
      </w:r>
      <w:proofErr w:type="gramEnd"/>
      <w:r w:rsidRPr="006944AB">
        <w:t xml:space="preserve"> and available alternative treatment available.</w:t>
      </w:r>
    </w:p>
    <w:p w14:paraId="2FC2230B" w14:textId="77777777" w:rsidR="008E7846" w:rsidRDefault="008E7846" w:rsidP="00940A89">
      <w:pPr>
        <w:pStyle w:val="Heading3"/>
      </w:pPr>
      <w:bookmarkStart w:id="22" w:name="_Toc102724831"/>
      <w:r>
        <w:t>Product Information</w:t>
      </w:r>
      <w:bookmarkEnd w:id="20"/>
      <w:bookmarkEnd w:id="21"/>
      <w:bookmarkEnd w:id="22"/>
    </w:p>
    <w:p w14:paraId="45C732CA" w14:textId="7402C3C5"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3" w:history="1">
        <w:r w:rsidR="00441C3F" w:rsidRPr="00441C3F">
          <w:rPr>
            <w:rStyle w:val="Hyperlink"/>
          </w:rPr>
          <w:t>https://www.tga.gov.au/product-information-pi</w:t>
        </w:r>
      </w:hyperlink>
      <w:r w:rsidR="00441C3F">
        <w:t>&gt;</w:t>
      </w:r>
      <w:r w:rsidR="00940A89" w:rsidRPr="00940A89">
        <w:t>.</w:t>
      </w:r>
    </w:p>
    <w:p w14:paraId="078A42CE" w14:textId="77777777" w:rsidR="00500337" w:rsidRDefault="00500337" w:rsidP="00500337">
      <w:pPr>
        <w:pStyle w:val="Heading2"/>
      </w:pPr>
      <w:bookmarkStart w:id="25" w:name="_Toc504480011"/>
      <w:bookmarkStart w:id="26" w:name="_Toc102724832"/>
      <w:r>
        <w:t>II. Registration timeline</w:t>
      </w:r>
      <w:bookmarkEnd w:id="25"/>
      <w:bookmarkEnd w:id="26"/>
    </w:p>
    <w:p w14:paraId="0DF49D94" w14:textId="77777777" w:rsidR="006944AB" w:rsidRDefault="006944AB" w:rsidP="006A58A8">
      <w:pPr>
        <w:pStyle w:val="TableTitle"/>
        <w:rPr>
          <w:b w:val="0"/>
        </w:rPr>
      </w:pPr>
      <w:r w:rsidRPr="006944AB">
        <w:rPr>
          <w:b w:val="0"/>
        </w:rPr>
        <w:t>Data were provided as a rolling submission. Under normal circumstances, TGA's assessment (for both provisional and general registration) begins once all information to support registration is available. As part of the Department of Health's response to the pandemic, the TGA has agreed to accept rolling data for COVID-19 vaccines and treatments, to enable early evaluation of data as it comes to hand</w:t>
      </w:r>
    </w:p>
    <w:p w14:paraId="18F0C42D" w14:textId="0E020655" w:rsidR="006A58A8" w:rsidRDefault="00757621" w:rsidP="00757621">
      <w:pPr>
        <w:pStyle w:val="TableTitle"/>
      </w:pPr>
      <w:r w:rsidRPr="00757621">
        <w:t xml:space="preserve">Table </w:t>
      </w:r>
      <w:fldSimple w:instr=" SEQ Table \* ARABIC ">
        <w:r w:rsidR="00563969">
          <w:rPr>
            <w:noProof/>
          </w:rPr>
          <w:t>2</w:t>
        </w:r>
      </w:fldSimple>
      <w:r>
        <w:t xml:space="preserve">: </w:t>
      </w:r>
      <w:r w:rsidR="006A58A8" w:rsidRPr="006A58A8">
        <w:t>Timeline for Submission PM-20</w:t>
      </w:r>
      <w:r w:rsidR="00324E45">
        <w:t>2</w:t>
      </w:r>
      <w:r w:rsidR="006944AB">
        <w:t>2</w:t>
      </w:r>
      <w:r w:rsidR="006A58A8" w:rsidRPr="006A58A8">
        <w:t>-</w:t>
      </w:r>
      <w:r w:rsidR="006944AB">
        <w:t>00260</w:t>
      </w:r>
      <w:r w:rsidR="006A58A8" w:rsidRPr="006A58A8">
        <w:t>-1-</w:t>
      </w:r>
      <w:r w:rsidR="006944AB">
        <w:t>2</w:t>
      </w:r>
    </w:p>
    <w:tbl>
      <w:tblPr>
        <w:tblStyle w:val="TableTGAblue"/>
        <w:tblW w:w="0" w:type="auto"/>
        <w:tblLook w:val="04A0" w:firstRow="1" w:lastRow="0" w:firstColumn="1" w:lastColumn="0" w:noHBand="0" w:noVBand="1"/>
      </w:tblPr>
      <w:tblGrid>
        <w:gridCol w:w="4265"/>
        <w:gridCol w:w="4229"/>
      </w:tblGrid>
      <w:tr w:rsidR="006944AB" w14:paraId="7F67AC81" w14:textId="77777777" w:rsidTr="006944AB">
        <w:trPr>
          <w:cnfStyle w:val="100000000000" w:firstRow="1" w:lastRow="0" w:firstColumn="0" w:lastColumn="0" w:oddVBand="0" w:evenVBand="0" w:oddHBand="0" w:evenHBand="0" w:firstRowFirstColumn="0" w:firstRowLastColumn="0" w:lastRowFirstColumn="0" w:lastRowLastColumn="0"/>
        </w:trPr>
        <w:tc>
          <w:tcPr>
            <w:tcW w:w="4265" w:type="dxa"/>
            <w:tcBorders>
              <w:top w:val="single" w:sz="4" w:space="0" w:color="auto"/>
              <w:left w:val="single" w:sz="4" w:space="0" w:color="auto"/>
              <w:bottom w:val="single" w:sz="4" w:space="0" w:color="auto"/>
              <w:right w:val="single" w:sz="4" w:space="0" w:color="auto"/>
            </w:tcBorders>
          </w:tcPr>
          <w:p w14:paraId="6E7BC15B" w14:textId="77777777" w:rsidR="006944AB" w:rsidRDefault="006944AB" w:rsidP="006511D5">
            <w:r>
              <w:t>Description</w:t>
            </w:r>
          </w:p>
        </w:tc>
        <w:tc>
          <w:tcPr>
            <w:tcW w:w="4229" w:type="dxa"/>
            <w:tcBorders>
              <w:top w:val="single" w:sz="4" w:space="0" w:color="auto"/>
              <w:left w:val="single" w:sz="4" w:space="0" w:color="auto"/>
              <w:bottom w:val="single" w:sz="4" w:space="0" w:color="auto"/>
              <w:right w:val="single" w:sz="4" w:space="0" w:color="auto"/>
            </w:tcBorders>
          </w:tcPr>
          <w:p w14:paraId="1CB5A42A" w14:textId="77777777" w:rsidR="006944AB" w:rsidRDefault="006944AB" w:rsidP="006511D5">
            <w:r>
              <w:t>Date</w:t>
            </w:r>
          </w:p>
        </w:tc>
      </w:tr>
      <w:tr w:rsidR="006944AB" w14:paraId="40FBE059" w14:textId="77777777" w:rsidTr="006944AB">
        <w:tc>
          <w:tcPr>
            <w:tcW w:w="4265" w:type="dxa"/>
          </w:tcPr>
          <w:p w14:paraId="6A1AF8E5" w14:textId="77777777" w:rsidR="006944AB" w:rsidRDefault="006944AB" w:rsidP="006511D5">
            <w:r>
              <w:t>Submission dossier accepted and first round evaluation commenced</w:t>
            </w:r>
          </w:p>
        </w:tc>
        <w:tc>
          <w:tcPr>
            <w:tcW w:w="4229" w:type="dxa"/>
          </w:tcPr>
          <w:p w14:paraId="27CB6559" w14:textId="3B6F589F" w:rsidR="006944AB" w:rsidRPr="00ED19F6" w:rsidRDefault="00ED19F6" w:rsidP="006511D5">
            <w:pPr>
              <w:rPr>
                <w:color w:val="auto"/>
              </w:rPr>
            </w:pPr>
            <w:r w:rsidRPr="00ED19F6">
              <w:rPr>
                <w:color w:val="auto"/>
              </w:rPr>
              <w:t>8 March 2022</w:t>
            </w:r>
          </w:p>
        </w:tc>
      </w:tr>
      <w:tr w:rsidR="006944AB" w14:paraId="65FF8F3A" w14:textId="77777777" w:rsidTr="006944AB">
        <w:tc>
          <w:tcPr>
            <w:tcW w:w="4265" w:type="dxa"/>
          </w:tcPr>
          <w:p w14:paraId="19DA8815" w14:textId="77777777" w:rsidR="006944AB" w:rsidRDefault="006944AB" w:rsidP="006511D5">
            <w:r>
              <w:t>Evaluation completed</w:t>
            </w:r>
          </w:p>
        </w:tc>
        <w:tc>
          <w:tcPr>
            <w:tcW w:w="4229" w:type="dxa"/>
          </w:tcPr>
          <w:p w14:paraId="6FA3479F" w14:textId="1DB6D6CE" w:rsidR="006944AB" w:rsidRPr="00ED19F6" w:rsidRDefault="00ED19F6" w:rsidP="006511D5">
            <w:pPr>
              <w:rPr>
                <w:color w:val="auto"/>
              </w:rPr>
            </w:pPr>
            <w:r w:rsidRPr="00ED19F6">
              <w:rPr>
                <w:color w:val="auto"/>
              </w:rPr>
              <w:t>2 May 2022</w:t>
            </w:r>
          </w:p>
        </w:tc>
      </w:tr>
      <w:tr w:rsidR="006944AB" w14:paraId="5B9DEDBC" w14:textId="77777777" w:rsidTr="006944AB">
        <w:tc>
          <w:tcPr>
            <w:tcW w:w="4265" w:type="dxa"/>
          </w:tcPr>
          <w:p w14:paraId="182696A3" w14:textId="6C2A89E8" w:rsidR="006944AB" w:rsidRDefault="006944AB" w:rsidP="006511D5">
            <w:r>
              <w:t>Delegate’s Overall benefit-risk assessmen</w:t>
            </w:r>
            <w:r w:rsidRPr="006944AB">
              <w:rPr>
                <w:color w:val="auto"/>
              </w:rPr>
              <w:t>t and request for Advisory Committee advice</w:t>
            </w:r>
          </w:p>
        </w:tc>
        <w:tc>
          <w:tcPr>
            <w:tcW w:w="4229" w:type="dxa"/>
          </w:tcPr>
          <w:p w14:paraId="1B6DBAA4" w14:textId="322B678F" w:rsidR="006944AB" w:rsidRPr="00ED19F6" w:rsidRDefault="00757621" w:rsidP="006511D5">
            <w:pPr>
              <w:rPr>
                <w:color w:val="auto"/>
              </w:rPr>
            </w:pPr>
            <w:r w:rsidRPr="00ED19F6">
              <w:rPr>
                <w:color w:val="auto"/>
              </w:rPr>
              <w:t>21 April 2022</w:t>
            </w:r>
          </w:p>
        </w:tc>
      </w:tr>
      <w:tr w:rsidR="006944AB" w14:paraId="0EA5E0D7" w14:textId="77777777" w:rsidTr="006944AB">
        <w:tc>
          <w:tcPr>
            <w:tcW w:w="4265" w:type="dxa"/>
          </w:tcPr>
          <w:p w14:paraId="54B61C10" w14:textId="77777777" w:rsidR="006944AB" w:rsidRDefault="006944AB" w:rsidP="006511D5">
            <w:r>
              <w:t>Sponsor’s pre-Advisory Committee response</w:t>
            </w:r>
          </w:p>
        </w:tc>
        <w:tc>
          <w:tcPr>
            <w:tcW w:w="4229" w:type="dxa"/>
          </w:tcPr>
          <w:p w14:paraId="695F78B0" w14:textId="283A4CD7" w:rsidR="006944AB" w:rsidRPr="00ED19F6" w:rsidRDefault="00416142" w:rsidP="006511D5">
            <w:pPr>
              <w:rPr>
                <w:color w:val="auto"/>
              </w:rPr>
            </w:pPr>
            <w:r w:rsidRPr="00ED19F6">
              <w:rPr>
                <w:color w:val="auto"/>
              </w:rPr>
              <w:t>25 April 2022</w:t>
            </w:r>
          </w:p>
        </w:tc>
      </w:tr>
      <w:tr w:rsidR="006944AB" w14:paraId="7D3DC53D" w14:textId="77777777" w:rsidTr="006944AB">
        <w:tc>
          <w:tcPr>
            <w:tcW w:w="4265" w:type="dxa"/>
          </w:tcPr>
          <w:p w14:paraId="0CAF56F9" w14:textId="77777777" w:rsidR="006944AB" w:rsidRDefault="006944AB" w:rsidP="006511D5">
            <w:r>
              <w:t>Advisory Committee meeting</w:t>
            </w:r>
          </w:p>
        </w:tc>
        <w:tc>
          <w:tcPr>
            <w:tcW w:w="4229" w:type="dxa"/>
          </w:tcPr>
          <w:p w14:paraId="3DA85125" w14:textId="369F63C2" w:rsidR="006944AB" w:rsidRPr="00ED19F6" w:rsidRDefault="006944AB" w:rsidP="006511D5">
            <w:pPr>
              <w:rPr>
                <w:color w:val="auto"/>
              </w:rPr>
            </w:pPr>
            <w:r w:rsidRPr="00ED19F6">
              <w:rPr>
                <w:color w:val="auto"/>
              </w:rPr>
              <w:t>26 April 2022</w:t>
            </w:r>
          </w:p>
        </w:tc>
      </w:tr>
      <w:tr w:rsidR="006944AB" w14:paraId="082413BB" w14:textId="77777777" w:rsidTr="006944AB">
        <w:tc>
          <w:tcPr>
            <w:tcW w:w="4265" w:type="dxa"/>
          </w:tcPr>
          <w:p w14:paraId="45C4BC55" w14:textId="77777777" w:rsidR="006944AB" w:rsidRDefault="006944AB" w:rsidP="006511D5">
            <w:r>
              <w:t>Registration decision (Outcome)</w:t>
            </w:r>
          </w:p>
        </w:tc>
        <w:tc>
          <w:tcPr>
            <w:tcW w:w="4229" w:type="dxa"/>
          </w:tcPr>
          <w:p w14:paraId="2779D66E" w14:textId="3311A30E" w:rsidR="006944AB" w:rsidRPr="00ED19F6" w:rsidRDefault="00ED19F6" w:rsidP="006511D5">
            <w:pPr>
              <w:rPr>
                <w:color w:val="auto"/>
              </w:rPr>
            </w:pPr>
            <w:r w:rsidRPr="00ED19F6">
              <w:rPr>
                <w:color w:val="auto"/>
              </w:rPr>
              <w:t>5 May 2022</w:t>
            </w:r>
          </w:p>
        </w:tc>
      </w:tr>
      <w:tr w:rsidR="006944AB" w14:paraId="19047667" w14:textId="77777777" w:rsidTr="006944AB">
        <w:tc>
          <w:tcPr>
            <w:tcW w:w="4265" w:type="dxa"/>
          </w:tcPr>
          <w:p w14:paraId="6B159146" w14:textId="77777777" w:rsidR="006944AB" w:rsidRDefault="006944AB" w:rsidP="006511D5">
            <w:r>
              <w:lastRenderedPageBreak/>
              <w:t>Completion of administrative activities and registration on the ARTG</w:t>
            </w:r>
          </w:p>
        </w:tc>
        <w:tc>
          <w:tcPr>
            <w:tcW w:w="4229" w:type="dxa"/>
          </w:tcPr>
          <w:p w14:paraId="357307F1" w14:textId="41DAD1FE" w:rsidR="006944AB" w:rsidRPr="00034591" w:rsidRDefault="00034591" w:rsidP="006511D5">
            <w:pPr>
              <w:rPr>
                <w:color w:val="auto"/>
              </w:rPr>
            </w:pPr>
            <w:r w:rsidRPr="00034591">
              <w:rPr>
                <w:color w:val="auto"/>
              </w:rPr>
              <w:t>6 May 2022</w:t>
            </w:r>
          </w:p>
        </w:tc>
      </w:tr>
      <w:tr w:rsidR="006944AB" w14:paraId="71DBC71C" w14:textId="77777777" w:rsidTr="006944AB">
        <w:tc>
          <w:tcPr>
            <w:tcW w:w="4265" w:type="dxa"/>
          </w:tcPr>
          <w:p w14:paraId="5B3F1CB1" w14:textId="77777777" w:rsidR="006944AB" w:rsidRDefault="006944AB" w:rsidP="006511D5">
            <w:r>
              <w:t>Number of working days from submission dossier acceptance to registration decision*</w:t>
            </w:r>
          </w:p>
        </w:tc>
        <w:tc>
          <w:tcPr>
            <w:tcW w:w="4229" w:type="dxa"/>
          </w:tcPr>
          <w:p w14:paraId="1F3C92E3" w14:textId="0CABBCC7" w:rsidR="006944AB" w:rsidRPr="00C66E30" w:rsidRDefault="00C66E30" w:rsidP="006511D5">
            <w:pPr>
              <w:rPr>
                <w:color w:val="auto"/>
              </w:rPr>
            </w:pPr>
            <w:r w:rsidRPr="00C66E30">
              <w:rPr>
                <w:color w:val="auto"/>
              </w:rPr>
              <w:t>40 days</w:t>
            </w:r>
          </w:p>
        </w:tc>
      </w:tr>
    </w:tbl>
    <w:p w14:paraId="00A3A9B5" w14:textId="57397C3C" w:rsidR="006944AB" w:rsidRPr="006A58A8" w:rsidRDefault="006944AB" w:rsidP="0018251F">
      <w:pPr>
        <w:pStyle w:val="TableDescription"/>
      </w:pPr>
      <w:r>
        <w:t>*</w:t>
      </w:r>
      <w:r w:rsidRPr="00BF3774">
        <w:t xml:space="preserve">Statutory </w:t>
      </w:r>
      <w:r>
        <w:t>timeframe for standard applications is 255 working days</w:t>
      </w:r>
    </w:p>
    <w:p w14:paraId="3D180BD8" w14:textId="77777777" w:rsidR="008E7846" w:rsidRPr="00792A32" w:rsidRDefault="00456765" w:rsidP="008E7846">
      <w:pPr>
        <w:pStyle w:val="Heading2"/>
      </w:pPr>
      <w:bookmarkStart w:id="27" w:name="_Toc196046504"/>
      <w:bookmarkStart w:id="28" w:name="_Toc247691527"/>
      <w:bookmarkStart w:id="29" w:name="_Toc314842510"/>
      <w:bookmarkStart w:id="30" w:name="_Toc102724833"/>
      <w:bookmarkStart w:id="31" w:name="_Toc163441390"/>
      <w:bookmarkEnd w:id="1"/>
      <w:bookmarkEnd w:id="23"/>
      <w:bookmarkEnd w:id="24"/>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7"/>
      <w:bookmarkEnd w:id="28"/>
      <w:bookmarkEnd w:id="29"/>
      <w:bookmarkEnd w:id="30"/>
    </w:p>
    <w:p w14:paraId="5E8B23AD" w14:textId="77777777" w:rsidR="00006FAB" w:rsidRDefault="00006FAB">
      <w:bookmarkStart w:id="32" w:name="_Toc247691528"/>
      <w:r>
        <w:t xml:space="preserve">The </w:t>
      </w:r>
      <w:r w:rsidRPr="002A38EB">
        <w:t>submission</w:t>
      </w:r>
      <w:r>
        <w:t xml:space="preserve"> was summarised in the following Delegate’s overview and recommendations.</w:t>
      </w:r>
    </w:p>
    <w:p w14:paraId="1D4BD58A" w14:textId="77777777" w:rsidR="008E7846" w:rsidRDefault="008E7846" w:rsidP="008E7846">
      <w:pPr>
        <w:pStyle w:val="Heading3"/>
      </w:pPr>
      <w:bookmarkStart w:id="33" w:name="_Toc314842511"/>
      <w:bookmarkStart w:id="34" w:name="_Toc102724834"/>
      <w:r>
        <w:t>Quality</w:t>
      </w:r>
      <w:bookmarkEnd w:id="32"/>
      <w:bookmarkEnd w:id="33"/>
      <w:bookmarkEnd w:id="34"/>
    </w:p>
    <w:p w14:paraId="6C533A50" w14:textId="259917D1" w:rsidR="00EC4FF4" w:rsidRDefault="00EC4FF4" w:rsidP="00EC4FF4">
      <w:r>
        <w:t>A full quality evaluation was conducted at the time this product received initial registration.</w:t>
      </w:r>
      <w:r w:rsidR="00FA2AA4">
        <w:t xml:space="preserve"> There was no requirement for a quality evaluation for this submission.</w:t>
      </w:r>
    </w:p>
    <w:p w14:paraId="23F28264" w14:textId="77777777" w:rsidR="008E7846" w:rsidRDefault="008E7846" w:rsidP="008E7846">
      <w:pPr>
        <w:pStyle w:val="Heading3"/>
      </w:pPr>
      <w:bookmarkStart w:id="35" w:name="_Toc314842512"/>
      <w:bookmarkStart w:id="36" w:name="_Toc102724835"/>
      <w:r>
        <w:t>Nonclinical</w:t>
      </w:r>
      <w:bookmarkEnd w:id="35"/>
      <w:bookmarkEnd w:id="36"/>
    </w:p>
    <w:p w14:paraId="20BF8B31" w14:textId="05EE087F" w:rsidR="00EC4FF4" w:rsidRDefault="00EC4FF4" w:rsidP="00EC4FF4">
      <w:bookmarkStart w:id="37" w:name="_Toc247691530"/>
      <w:bookmarkStart w:id="38" w:name="_Toc314842513"/>
      <w:r>
        <w:t>The nonclinical evaluator has summarised the toxicology findings as:</w:t>
      </w:r>
    </w:p>
    <w:p w14:paraId="459883C9" w14:textId="77EC64C3" w:rsidR="00EC4FF4" w:rsidRPr="00EC4FF4" w:rsidRDefault="00EC4FF4" w:rsidP="00EC4FF4">
      <w:pPr>
        <w:pStyle w:val="ListBullet"/>
      </w:pPr>
      <w:proofErr w:type="spellStart"/>
      <w:r w:rsidRPr="0016093F">
        <w:t>Remdesivir</w:t>
      </w:r>
      <w:proofErr w:type="spellEnd"/>
      <w:r w:rsidRPr="0016093F">
        <w:t xml:space="preserve"> retains activity against SARS-CoV-2 variants (</w:t>
      </w:r>
      <w:r w:rsidR="002A38EB">
        <w:t>A</w:t>
      </w:r>
      <w:r w:rsidRPr="0016093F">
        <w:t xml:space="preserve">lpha, </w:t>
      </w:r>
      <w:r w:rsidR="002A38EB">
        <w:t>B</w:t>
      </w:r>
      <w:r w:rsidRPr="0016093F">
        <w:t xml:space="preserve">eta, </w:t>
      </w:r>
      <w:r w:rsidR="002A38EB">
        <w:t>G</w:t>
      </w:r>
      <w:r w:rsidRPr="0016093F">
        <w:t xml:space="preserve">amma, </w:t>
      </w:r>
      <w:r w:rsidR="002A38EB">
        <w:t>D</w:t>
      </w:r>
      <w:r w:rsidRPr="0016093F">
        <w:t xml:space="preserve">elta, </w:t>
      </w:r>
      <w:r w:rsidR="002A38EB">
        <w:t>E</w:t>
      </w:r>
      <w:r w:rsidRPr="0016093F">
        <w:t xml:space="preserve">psilon, and </w:t>
      </w:r>
      <w:r w:rsidR="002A38EB">
        <w:t>O</w:t>
      </w:r>
      <w:r w:rsidRPr="0016093F">
        <w:t>micron BA.1) and recombination virus with viral RNA</w:t>
      </w:r>
      <w:r w:rsidR="004674CE">
        <w:t xml:space="preserve"> </w:t>
      </w:r>
      <w:r w:rsidRPr="0016093F">
        <w:t xml:space="preserve">dependent RNA polymerase </w:t>
      </w:r>
      <w:proofErr w:type="spellStart"/>
      <w:r w:rsidRPr="0016093F">
        <w:t>nonstructural</w:t>
      </w:r>
      <w:proofErr w:type="spellEnd"/>
      <w:r w:rsidRPr="0016093F">
        <w:t xml:space="preserve"> protein 12 (Nsp12) mutations P323L, A97V, D484Y or F694Y, which were found in clinical isolates.</w:t>
      </w:r>
    </w:p>
    <w:p w14:paraId="0704A0DF" w14:textId="42E2974F" w:rsidR="00EC4FF4" w:rsidRPr="0016093F" w:rsidRDefault="00EC4FF4" w:rsidP="00EC4FF4">
      <w:pPr>
        <w:pStyle w:val="ListBullet"/>
      </w:pPr>
      <w:r w:rsidRPr="0016093F">
        <w:t xml:space="preserve">Several mutations of at the Nsp12 were selected by serial passaging of the virus in the presence of </w:t>
      </w:r>
      <w:proofErr w:type="spellStart"/>
      <w:r w:rsidRPr="0016093F">
        <w:t>remdesivir</w:t>
      </w:r>
      <w:proofErr w:type="spellEnd"/>
      <w:r w:rsidRPr="0016093F">
        <w:t xml:space="preserve"> or its metabolite GS-441524. The mutations include V166A/L, N198S, F476L, V553L, S759A, V792I, C799F/R and E802D. Susceptibility to </w:t>
      </w:r>
      <w:proofErr w:type="spellStart"/>
      <w:r w:rsidRPr="0016093F">
        <w:t>remdesivir</w:t>
      </w:r>
      <w:proofErr w:type="spellEnd"/>
      <w:r w:rsidRPr="0016093F">
        <w:t xml:space="preserve"> of the mutants was reduced by 2.3</w:t>
      </w:r>
      <w:r w:rsidR="002A38EB">
        <w:t>-</w:t>
      </w:r>
      <w:r>
        <w:t xml:space="preserve"> to </w:t>
      </w:r>
      <w:r w:rsidRPr="0016093F">
        <w:t>10</w:t>
      </w:r>
      <w:r w:rsidR="002A38EB">
        <w:t>-</w:t>
      </w:r>
      <w:r w:rsidRPr="0016093F">
        <w:t>fold.</w:t>
      </w:r>
    </w:p>
    <w:p w14:paraId="2032D1CA" w14:textId="068E14ED" w:rsidR="00EC4FF4" w:rsidRPr="00EC4FF4" w:rsidRDefault="00EC4FF4" w:rsidP="00EC4FF4">
      <w:pPr>
        <w:pStyle w:val="ListBullet"/>
      </w:pPr>
      <w:r w:rsidRPr="0016093F">
        <w:t>The previously unidentified, major human metabolite (M27) was identified as thiocyanate anion, which was also formed in rats. The safety of this metabolite is considered to have been assessed by the toxicity studies in rats.</w:t>
      </w:r>
    </w:p>
    <w:p w14:paraId="0C700771" w14:textId="208180BC" w:rsidR="00EC4FF4" w:rsidRPr="00EC4FF4" w:rsidRDefault="00EC4FF4" w:rsidP="00EC4FF4">
      <w:pPr>
        <w:pStyle w:val="ListBullet"/>
      </w:pPr>
      <w:r w:rsidRPr="0016093F">
        <w:rPr>
          <w:i/>
          <w:iCs/>
        </w:rPr>
        <w:t>In vitro</w:t>
      </w:r>
      <w:r w:rsidRPr="0016093F">
        <w:t xml:space="preserve"> studies demonstrated that </w:t>
      </w:r>
      <w:proofErr w:type="spellStart"/>
      <w:r w:rsidRPr="0016093F">
        <w:t>remdesivir</w:t>
      </w:r>
      <w:proofErr w:type="spellEnd"/>
      <w:r w:rsidRPr="0016093F">
        <w:t xml:space="preserve"> is rapidly hydrolysed by </w:t>
      </w:r>
      <w:proofErr w:type="spellStart"/>
      <w:r w:rsidRPr="0016093F">
        <w:t>carboxyesterase</w:t>
      </w:r>
      <w:proofErr w:type="spellEnd"/>
      <w:r w:rsidRPr="0016093F">
        <w:t xml:space="preserve"> 1 </w:t>
      </w:r>
      <w:r w:rsidR="004674CE">
        <w:t xml:space="preserve">b, </w:t>
      </w:r>
      <w:proofErr w:type="spellStart"/>
      <w:r w:rsidR="004674CE" w:rsidRPr="0016093F">
        <w:t>carboxyesterase</w:t>
      </w:r>
      <w:proofErr w:type="spellEnd"/>
      <w:r w:rsidR="004674CE">
        <w:t xml:space="preserve"> 1c</w:t>
      </w:r>
      <w:r w:rsidRPr="0016093F">
        <w:t xml:space="preserve"> and cathepsin A, with minimal contribution by CYP450.</w:t>
      </w:r>
    </w:p>
    <w:p w14:paraId="0E9B3400" w14:textId="63F976EE" w:rsidR="00EC4FF4" w:rsidRPr="00EC4FF4" w:rsidRDefault="00EC4FF4" w:rsidP="00EC4FF4">
      <w:pPr>
        <w:pStyle w:val="ListBullet"/>
      </w:pPr>
      <w:r w:rsidRPr="0016093F">
        <w:t>There are no studies in juvenile animals. As discussed in the nonclinical evaluation report, the safety, particularly renal toxicity is of concern for</w:t>
      </w:r>
      <w:r>
        <w:t xml:space="preserve"> </w:t>
      </w:r>
      <w:proofErr w:type="spellStart"/>
      <w:r>
        <w:t>remd</w:t>
      </w:r>
      <w:r w:rsidR="000A4816">
        <w:t>e</w:t>
      </w:r>
      <w:r>
        <w:t>sivir</w:t>
      </w:r>
      <w:proofErr w:type="spellEnd"/>
      <w:r w:rsidRPr="0016093F">
        <w:t xml:space="preserve"> in paediatric patients.</w:t>
      </w:r>
    </w:p>
    <w:p w14:paraId="2C1D8304" w14:textId="3083A477" w:rsidR="00EC4FF4" w:rsidRPr="00EC4FF4" w:rsidRDefault="00EC4FF4" w:rsidP="00EC4FF4">
      <w:pPr>
        <w:pStyle w:val="ListBullet"/>
      </w:pPr>
      <w:r w:rsidRPr="0016093F">
        <w:t xml:space="preserve">The </w:t>
      </w:r>
      <w:r w:rsidR="00B75AF3">
        <w:t>PI</w:t>
      </w:r>
      <w:r w:rsidRPr="0016093F">
        <w:t xml:space="preserve"> should be amended as directed </w:t>
      </w:r>
      <w:r>
        <w:t>in the nonclinical evaluation report.</w:t>
      </w:r>
    </w:p>
    <w:p w14:paraId="03380C8B" w14:textId="100FAC95" w:rsidR="00EC4FF4" w:rsidRPr="0016093F" w:rsidRDefault="00EC4FF4" w:rsidP="00EC4FF4">
      <w:pPr>
        <w:pStyle w:val="ListBullet"/>
      </w:pPr>
      <w:r w:rsidRPr="0016093F">
        <w:t>The previous nonclinical evaluation recommended additional studies should be provided to the TGA as a condition of provisional approval. The following studies remain outstanding:</w:t>
      </w:r>
    </w:p>
    <w:p w14:paraId="1845ED0A" w14:textId="2F5D937B" w:rsidR="00EC4FF4" w:rsidRPr="0016093F" w:rsidRDefault="00F72602" w:rsidP="00F72602">
      <w:pPr>
        <w:pStyle w:val="ListBullet2"/>
      </w:pPr>
      <w:r>
        <w:rPr>
          <w:snapToGrid w:val="0"/>
        </w:rPr>
        <w:t>Study AD-399-2009</w:t>
      </w:r>
      <w:r w:rsidR="00EC4FF4" w:rsidRPr="0016093F">
        <w:rPr>
          <w:snapToGrid w:val="0"/>
        </w:rPr>
        <w:t xml:space="preserve"> on the activation potential of </w:t>
      </w:r>
      <w:proofErr w:type="spellStart"/>
      <w:r w:rsidR="00EC4FF4" w:rsidRPr="0016093F">
        <w:rPr>
          <w:snapToGrid w:val="0"/>
        </w:rPr>
        <w:t>remdesivir</w:t>
      </w:r>
      <w:proofErr w:type="spellEnd"/>
      <w:r w:rsidR="00EC4FF4" w:rsidRPr="0016093F">
        <w:rPr>
          <w:snapToGrid w:val="0"/>
        </w:rPr>
        <w:t xml:space="preserve"> on </w:t>
      </w:r>
      <w:r>
        <w:rPr>
          <w:snapToGrid w:val="0"/>
        </w:rPr>
        <w:t xml:space="preserve">the </w:t>
      </w:r>
      <w:r w:rsidRPr="00F72602">
        <w:rPr>
          <w:snapToGrid w:val="0"/>
        </w:rPr>
        <w:t>aryl hydrocarbon receptor</w:t>
      </w:r>
      <w:r>
        <w:rPr>
          <w:snapToGrid w:val="0"/>
        </w:rPr>
        <w:t xml:space="preserve"> (</w:t>
      </w:r>
      <w:proofErr w:type="spellStart"/>
      <w:r w:rsidR="00EC4FF4" w:rsidRPr="0016093F">
        <w:rPr>
          <w:snapToGrid w:val="0"/>
        </w:rPr>
        <w:t>AhR</w:t>
      </w:r>
      <w:proofErr w:type="spellEnd"/>
      <w:r>
        <w:rPr>
          <w:snapToGrid w:val="0"/>
        </w:rPr>
        <w:t>)</w:t>
      </w:r>
      <w:r w:rsidR="00EC4FF4" w:rsidRPr="0016093F">
        <w:rPr>
          <w:snapToGrid w:val="0"/>
        </w:rPr>
        <w:t xml:space="preserve"> and </w:t>
      </w:r>
      <w:proofErr w:type="spellStart"/>
      <w:r>
        <w:rPr>
          <w:snapToGrid w:val="0"/>
        </w:rPr>
        <w:t>pregnane</w:t>
      </w:r>
      <w:proofErr w:type="spellEnd"/>
      <w:r>
        <w:rPr>
          <w:snapToGrid w:val="0"/>
        </w:rPr>
        <w:t xml:space="preserve"> X r</w:t>
      </w:r>
      <w:r w:rsidRPr="00F72602">
        <w:rPr>
          <w:snapToGrid w:val="0"/>
        </w:rPr>
        <w:t xml:space="preserve">eceptor </w:t>
      </w:r>
      <w:r>
        <w:rPr>
          <w:snapToGrid w:val="0"/>
        </w:rPr>
        <w:t>(</w:t>
      </w:r>
      <w:r w:rsidR="00EC4FF4" w:rsidRPr="0016093F">
        <w:rPr>
          <w:snapToGrid w:val="0"/>
        </w:rPr>
        <w:t>PXR</w:t>
      </w:r>
      <w:proofErr w:type="gramStart"/>
      <w:r>
        <w:rPr>
          <w:snapToGrid w:val="0"/>
        </w:rPr>
        <w:t>) .</w:t>
      </w:r>
      <w:proofErr w:type="gramEnd"/>
    </w:p>
    <w:p w14:paraId="4DA3697B" w14:textId="5427DB1D" w:rsidR="00EC4FF4" w:rsidRPr="0016093F" w:rsidRDefault="00EC4FF4" w:rsidP="00F72602">
      <w:pPr>
        <w:pStyle w:val="ListBullet2"/>
      </w:pPr>
      <w:r w:rsidRPr="0016093F">
        <w:lastRenderedPageBreak/>
        <w:t xml:space="preserve">Substrate/inhibition studies for </w:t>
      </w:r>
      <w:r w:rsidR="00967B99">
        <w:t xml:space="preserve">the </w:t>
      </w:r>
      <w:proofErr w:type="spellStart"/>
      <w:r w:rsidR="00967B99">
        <w:t>remdesivir</w:t>
      </w:r>
      <w:proofErr w:type="spellEnd"/>
      <w:r w:rsidR="00967B99">
        <w:t xml:space="preserve"> metabolite </w:t>
      </w:r>
      <w:r w:rsidRPr="0016093F">
        <w:t xml:space="preserve">GS-441524 with </w:t>
      </w:r>
      <w:r w:rsidR="00F72602">
        <w:t>organic cation transporter</w:t>
      </w:r>
      <w:r w:rsidR="00F72602">
        <w:noBreakHyphen/>
      </w:r>
      <w:r w:rsidR="00F72602" w:rsidRPr="00F72602">
        <w:t xml:space="preserve">2 </w:t>
      </w:r>
      <w:r w:rsidR="00F72602">
        <w:t>(</w:t>
      </w:r>
      <w:r w:rsidRPr="0016093F">
        <w:t>OCT2</w:t>
      </w:r>
      <w:r w:rsidR="00F72602">
        <w:t>)</w:t>
      </w:r>
      <w:r w:rsidRPr="0016093F">
        <w:t xml:space="preserve"> and</w:t>
      </w:r>
      <w:r w:rsidR="00F72602">
        <w:t xml:space="preserve"> </w:t>
      </w:r>
      <w:r w:rsidR="00F72602" w:rsidRPr="00F72602">
        <w:t>multidrug and toxin extrusion 1</w:t>
      </w:r>
      <w:r w:rsidR="00F72602">
        <w:t xml:space="preserve"> and 2 transporters</w:t>
      </w:r>
      <w:r w:rsidRPr="0016093F">
        <w:t xml:space="preserve"> </w:t>
      </w:r>
      <w:r w:rsidR="00F72602">
        <w:t>(</w:t>
      </w:r>
      <w:r w:rsidRPr="0016093F">
        <w:t>MATE1/2K</w:t>
      </w:r>
      <w:r w:rsidR="00F72602">
        <w:t>)</w:t>
      </w:r>
      <w:r w:rsidRPr="0016093F">
        <w:t xml:space="preserve"> and possibly other transporters. </w:t>
      </w:r>
    </w:p>
    <w:p w14:paraId="11128427" w14:textId="7327E78B" w:rsidR="00EC4FF4" w:rsidRPr="0016093F" w:rsidRDefault="00EC4FF4" w:rsidP="00EC4FF4">
      <w:pPr>
        <w:pStyle w:val="ListBullet2"/>
      </w:pPr>
      <w:r w:rsidRPr="0016093F">
        <w:t xml:space="preserve">Effect of </w:t>
      </w:r>
      <w:r w:rsidR="00967B99">
        <w:t xml:space="preserve">the </w:t>
      </w:r>
      <w:proofErr w:type="spellStart"/>
      <w:r w:rsidR="00967B99">
        <w:t>remdesivir</w:t>
      </w:r>
      <w:proofErr w:type="spellEnd"/>
      <w:r w:rsidR="00967B99">
        <w:t xml:space="preserve"> metabolite </w:t>
      </w:r>
      <w:r w:rsidRPr="0016093F">
        <w:t>GS</w:t>
      </w:r>
      <w:r w:rsidRPr="0016093F">
        <w:noBreakHyphen/>
        <w:t>704277 on hepatic efflux transporters (</w:t>
      </w:r>
      <w:r>
        <w:t>for example,</w:t>
      </w:r>
      <w:r w:rsidRPr="0016093F">
        <w:t xml:space="preserve"> </w:t>
      </w:r>
      <w:r w:rsidR="00F72602">
        <w:t>P-glycoprotein (</w:t>
      </w:r>
      <w:r w:rsidRPr="0016093F">
        <w:t>P-</w:t>
      </w:r>
      <w:proofErr w:type="spellStart"/>
      <w:r w:rsidRPr="0016093F">
        <w:t>gp</w:t>
      </w:r>
      <w:proofErr w:type="spellEnd"/>
      <w:r w:rsidR="00F72602">
        <w:t>)</w:t>
      </w:r>
      <w:r w:rsidRPr="0016093F">
        <w:t>, and MATE1).</w:t>
      </w:r>
    </w:p>
    <w:p w14:paraId="34805AE4" w14:textId="77777777" w:rsidR="00F72602" w:rsidRDefault="00EC4FF4" w:rsidP="00EC4FF4">
      <w:r>
        <w:t xml:space="preserve">The </w:t>
      </w:r>
      <w:r w:rsidR="004674CE">
        <w:t>e</w:t>
      </w:r>
      <w:r>
        <w:t xml:space="preserve">valuator has noted that </w:t>
      </w:r>
      <w:proofErr w:type="spellStart"/>
      <w:r w:rsidR="000A4816">
        <w:t>remdesivir</w:t>
      </w:r>
      <w:proofErr w:type="spellEnd"/>
      <w:r>
        <w:t xml:space="preserve"> contains the excipient </w:t>
      </w:r>
      <w:proofErr w:type="spellStart"/>
      <w:r w:rsidR="009A05E6" w:rsidRPr="009A05E6">
        <w:t>sulfobutylether</w:t>
      </w:r>
      <w:proofErr w:type="spellEnd"/>
      <w:r w:rsidR="009A05E6" w:rsidRPr="009A05E6">
        <w:t xml:space="preserve">-beta-cyclodextrin </w:t>
      </w:r>
      <w:r w:rsidR="009A05E6">
        <w:t>(</w:t>
      </w:r>
      <w:r>
        <w:t>SBECD</w:t>
      </w:r>
      <w:r w:rsidR="009A05E6">
        <w:t>)</w:t>
      </w:r>
      <w:r>
        <w:t>, which can cause renal toxicity. No toxicity studies for SBECD in young animals were submitted.</w:t>
      </w:r>
    </w:p>
    <w:p w14:paraId="1390AFCF" w14:textId="33EFAEC6" w:rsidR="00EC4FF4" w:rsidRDefault="00EC4FF4" w:rsidP="00EC4FF4">
      <w:r>
        <w:t xml:space="preserve">The </w:t>
      </w:r>
      <w:r w:rsidR="00E66882">
        <w:t>nonclinical e</w:t>
      </w:r>
      <w:r>
        <w:t>valuator has noted</w:t>
      </w:r>
      <w:r w:rsidR="00F72602">
        <w:t>:</w:t>
      </w:r>
    </w:p>
    <w:p w14:paraId="30B55FFB" w14:textId="6E970A77" w:rsidR="00EC4FF4" w:rsidRPr="0016093F" w:rsidRDefault="00E66882" w:rsidP="00FA2AA4">
      <w:pPr>
        <w:spacing w:before="0" w:after="180" w:line="252" w:lineRule="auto"/>
        <w:rPr>
          <w:rFonts w:eastAsiaTheme="minorHAnsi"/>
          <w:iCs/>
          <w:snapToGrid w:val="0"/>
          <w:kern w:val="2"/>
        </w:rPr>
      </w:pPr>
      <w:r>
        <w:rPr>
          <w:rFonts w:eastAsiaTheme="minorHAnsi"/>
          <w:iCs/>
          <w:snapToGrid w:val="0"/>
          <w:kern w:val="2"/>
        </w:rPr>
        <w:t>‘</w:t>
      </w:r>
      <w:r w:rsidR="00EC4FF4" w:rsidRPr="0016093F">
        <w:rPr>
          <w:rFonts w:eastAsiaTheme="minorHAnsi"/>
          <w:iCs/>
          <w:snapToGrid w:val="0"/>
          <w:kern w:val="2"/>
        </w:rPr>
        <w:t>The use of</w:t>
      </w:r>
      <w:r w:rsidR="004674CE">
        <w:rPr>
          <w:rFonts w:eastAsiaTheme="minorHAnsi"/>
          <w:iCs/>
          <w:snapToGrid w:val="0"/>
          <w:kern w:val="2"/>
        </w:rPr>
        <w:t xml:space="preserve"> </w:t>
      </w:r>
      <w:proofErr w:type="spellStart"/>
      <w:r w:rsidR="004674CE">
        <w:rPr>
          <w:rFonts w:eastAsiaTheme="minorHAnsi"/>
          <w:iCs/>
          <w:snapToGrid w:val="0"/>
          <w:kern w:val="2"/>
        </w:rPr>
        <w:t>remdesivir</w:t>
      </w:r>
      <w:proofErr w:type="spellEnd"/>
      <w:r w:rsidR="00EC4FF4" w:rsidRPr="0016093F">
        <w:rPr>
          <w:rFonts w:eastAsiaTheme="minorHAnsi"/>
          <w:iCs/>
          <w:snapToGrid w:val="0"/>
          <w:kern w:val="2"/>
        </w:rPr>
        <w:t xml:space="preserve"> in very young children poses a greater risk of renal toxicity than in adults.</w:t>
      </w:r>
      <w:r w:rsidR="004674CE">
        <w:rPr>
          <w:rFonts w:eastAsiaTheme="minorHAnsi"/>
          <w:iCs/>
          <w:snapToGrid w:val="0"/>
          <w:kern w:val="2"/>
        </w:rPr>
        <w:t>’</w:t>
      </w:r>
      <w:r w:rsidR="00EC4FF4" w:rsidRPr="0016093F">
        <w:rPr>
          <w:rFonts w:eastAsiaTheme="minorHAnsi"/>
          <w:iCs/>
          <w:snapToGrid w:val="0"/>
          <w:kern w:val="2"/>
        </w:rPr>
        <w:t xml:space="preserve"> It is noted that the </w:t>
      </w:r>
      <w:r w:rsidR="004674CE" w:rsidRPr="004674CE">
        <w:rPr>
          <w:rFonts w:eastAsiaTheme="minorHAnsi"/>
          <w:iCs/>
          <w:snapToGrid w:val="0"/>
          <w:kern w:val="2"/>
        </w:rPr>
        <w:t xml:space="preserve">European Medicines Agency </w:t>
      </w:r>
      <w:r w:rsidR="004674CE">
        <w:rPr>
          <w:rFonts w:eastAsiaTheme="minorHAnsi"/>
          <w:iCs/>
          <w:snapToGrid w:val="0"/>
          <w:kern w:val="2"/>
        </w:rPr>
        <w:t>(</w:t>
      </w:r>
      <w:r w:rsidR="00EC4FF4" w:rsidRPr="0016093F">
        <w:rPr>
          <w:rFonts w:eastAsiaTheme="minorHAnsi"/>
          <w:iCs/>
          <w:snapToGrid w:val="0"/>
          <w:kern w:val="2"/>
        </w:rPr>
        <w:t>EMA</w:t>
      </w:r>
      <w:r w:rsidR="004674CE">
        <w:rPr>
          <w:rFonts w:eastAsiaTheme="minorHAnsi"/>
          <w:iCs/>
          <w:snapToGrid w:val="0"/>
          <w:kern w:val="2"/>
        </w:rPr>
        <w:t>)</w:t>
      </w:r>
      <w:r w:rsidR="00EC4FF4" w:rsidRPr="0016093F">
        <w:rPr>
          <w:rFonts w:eastAsiaTheme="minorHAnsi"/>
          <w:iCs/>
          <w:snapToGrid w:val="0"/>
          <w:kern w:val="2"/>
        </w:rPr>
        <w:t xml:space="preserve"> recommends that a </w:t>
      </w:r>
      <w:proofErr w:type="gramStart"/>
      <w:r w:rsidR="00EC4FF4" w:rsidRPr="0016093F">
        <w:rPr>
          <w:rFonts w:eastAsiaTheme="minorHAnsi"/>
          <w:iCs/>
          <w:snapToGrid w:val="0"/>
          <w:kern w:val="2"/>
        </w:rPr>
        <w:t>case by case</w:t>
      </w:r>
      <w:proofErr w:type="gramEnd"/>
      <w:r w:rsidR="00EC4FF4" w:rsidRPr="0016093F">
        <w:rPr>
          <w:rFonts w:eastAsiaTheme="minorHAnsi"/>
          <w:iCs/>
          <w:snapToGrid w:val="0"/>
          <w:kern w:val="2"/>
        </w:rPr>
        <w:t xml:space="preserve"> judgement should be made for cyclodextrins regarding the risk/benefit for the patient, due to insufficient information on the effects of cyclode</w:t>
      </w:r>
      <w:r w:rsidR="00F72602">
        <w:rPr>
          <w:rFonts w:eastAsiaTheme="minorHAnsi"/>
          <w:iCs/>
          <w:snapToGrid w:val="0"/>
          <w:kern w:val="2"/>
        </w:rPr>
        <w:t>xt</w:t>
      </w:r>
      <w:r w:rsidR="00EC4FF4" w:rsidRPr="0016093F">
        <w:rPr>
          <w:rFonts w:eastAsiaTheme="minorHAnsi"/>
          <w:iCs/>
          <w:snapToGrid w:val="0"/>
          <w:kern w:val="2"/>
        </w:rPr>
        <w:t>rin in children &lt;</w:t>
      </w:r>
      <w:r w:rsidR="004674CE">
        <w:rPr>
          <w:rFonts w:eastAsiaTheme="minorHAnsi"/>
          <w:iCs/>
          <w:snapToGrid w:val="0"/>
          <w:kern w:val="2"/>
        </w:rPr>
        <w:t> </w:t>
      </w:r>
      <w:r w:rsidR="00EC4FF4" w:rsidRPr="0016093F">
        <w:rPr>
          <w:rFonts w:eastAsiaTheme="minorHAnsi"/>
          <w:iCs/>
          <w:snapToGrid w:val="0"/>
          <w:kern w:val="2"/>
        </w:rPr>
        <w:t>2 years old.</w:t>
      </w:r>
      <w:r w:rsidR="00EC4FF4" w:rsidRPr="0016093F">
        <w:rPr>
          <w:rFonts w:eastAsiaTheme="minorHAnsi"/>
          <w:iCs/>
          <w:snapToGrid w:val="0"/>
          <w:kern w:val="2"/>
          <w:vertAlign w:val="superscript"/>
        </w:rPr>
        <w:footnoteReference w:id="3"/>
      </w:r>
      <w:r w:rsidR="00EC4FF4" w:rsidRPr="0016093F">
        <w:rPr>
          <w:rFonts w:eastAsiaTheme="minorHAnsi"/>
          <w:iCs/>
          <w:snapToGrid w:val="0"/>
          <w:kern w:val="2"/>
        </w:rPr>
        <w:t xml:space="preserve"> </w:t>
      </w:r>
    </w:p>
    <w:p w14:paraId="392FFA79" w14:textId="096DDFDA" w:rsidR="00EC4FF4" w:rsidRPr="0016093F" w:rsidRDefault="00EC4FF4" w:rsidP="00E66882">
      <w:pPr>
        <w:spacing w:before="0" w:line="252" w:lineRule="auto"/>
        <w:rPr>
          <w:rFonts w:eastAsia="Times New Roman"/>
          <w:kern w:val="2"/>
          <w:szCs w:val="24"/>
        </w:rPr>
      </w:pPr>
      <w:r>
        <w:t xml:space="preserve">The </w:t>
      </w:r>
      <w:r w:rsidR="00E66882">
        <w:t>e</w:t>
      </w:r>
      <w:r>
        <w:t>valuator has concluded</w:t>
      </w:r>
      <w:r w:rsidR="00E66882">
        <w:t xml:space="preserve"> </w:t>
      </w:r>
      <w:r w:rsidR="00B75AF3">
        <w:t xml:space="preserve">that </w:t>
      </w:r>
      <w:r w:rsidR="00B75AF3">
        <w:rPr>
          <w:rFonts w:eastAsia="Times New Roman"/>
          <w:kern w:val="2"/>
          <w:szCs w:val="24"/>
        </w:rPr>
        <w:t>t</w:t>
      </w:r>
      <w:r w:rsidRPr="0016093F">
        <w:rPr>
          <w:rFonts w:eastAsia="Times New Roman"/>
          <w:kern w:val="2"/>
          <w:szCs w:val="24"/>
        </w:rPr>
        <w:t>here are nonclinical objections to the proposed use in paediatric patients provided potential renal toxicity in paediatric patients has been adequately assessed by clinical data.</w:t>
      </w:r>
    </w:p>
    <w:p w14:paraId="7D9BE04F" w14:textId="77777777" w:rsidR="008E7846" w:rsidRDefault="008E7846" w:rsidP="008E7846">
      <w:pPr>
        <w:pStyle w:val="Heading3"/>
      </w:pPr>
      <w:bookmarkStart w:id="39" w:name="_Toc102724836"/>
      <w:r>
        <w:t>Clinical</w:t>
      </w:r>
      <w:bookmarkEnd w:id="37"/>
      <w:bookmarkEnd w:id="38"/>
      <w:bookmarkEnd w:id="39"/>
    </w:p>
    <w:p w14:paraId="5FF922D2" w14:textId="137F27FF" w:rsidR="007B6132" w:rsidRDefault="00B75AF3" w:rsidP="00B75AF3">
      <w:bookmarkStart w:id="40" w:name="_Toc314842514"/>
      <w:r>
        <w:t>The</w:t>
      </w:r>
      <w:r w:rsidR="00006FAB" w:rsidRPr="00006FAB">
        <w:t xml:space="preserve"> clinical dossier consisted of</w:t>
      </w:r>
      <w:r>
        <w:t>:</w:t>
      </w:r>
    </w:p>
    <w:p w14:paraId="102E23A7" w14:textId="2CD6CFDB" w:rsidR="00B75AF3" w:rsidRDefault="00B75AF3" w:rsidP="00B75AF3">
      <w:pPr>
        <w:pStyle w:val="ListBullet"/>
      </w:pPr>
      <w:r>
        <w:t>One population pharmacokinetic</w:t>
      </w:r>
      <w:r w:rsidR="004674CE">
        <w:t>s</w:t>
      </w:r>
      <w:r>
        <w:t xml:space="preserve"> study</w:t>
      </w:r>
      <w:r w:rsidR="00F72602">
        <w:t xml:space="preserve">: </w:t>
      </w:r>
      <w:r>
        <w:t>Study CTRA-2021-01055</w:t>
      </w:r>
    </w:p>
    <w:p w14:paraId="2AA7A3D6" w14:textId="27154280" w:rsidR="00B75AF3" w:rsidRDefault="00B75AF3" w:rsidP="00B75AF3">
      <w:pPr>
        <w:pStyle w:val="ListBullet"/>
      </w:pPr>
      <w:r>
        <w:t>Five efficacy and safety studies</w:t>
      </w:r>
      <w:r w:rsidR="00F72602">
        <w:t>:</w:t>
      </w:r>
    </w:p>
    <w:p w14:paraId="12A0E3D3" w14:textId="1326DF55" w:rsidR="00B75AF3" w:rsidRDefault="00B75AF3" w:rsidP="00B75AF3">
      <w:pPr>
        <w:pStyle w:val="ListBullet2"/>
      </w:pPr>
      <w:r>
        <w:t>Study CO-US-540-5776</w:t>
      </w:r>
      <w:r w:rsidR="00F72602">
        <w:t xml:space="preserve"> (ACTT trial)</w:t>
      </w:r>
    </w:p>
    <w:p w14:paraId="3A867BF2" w14:textId="40F803F5" w:rsidR="00B75AF3" w:rsidRDefault="00B75AF3" w:rsidP="00B75AF3">
      <w:pPr>
        <w:pStyle w:val="ListBullet2"/>
      </w:pPr>
      <w:r>
        <w:t>Study GS-US-540-9012</w:t>
      </w:r>
      <w:r w:rsidR="00F72602">
        <w:t xml:space="preserve"> (Pinetree trial)</w:t>
      </w:r>
    </w:p>
    <w:p w14:paraId="5C405965" w14:textId="2A0E658E" w:rsidR="00B75AF3" w:rsidRDefault="004D4E28" w:rsidP="00B75AF3">
      <w:pPr>
        <w:pStyle w:val="ListBullet2"/>
      </w:pPr>
      <w:r>
        <w:t>Study GS-US-540-5774</w:t>
      </w:r>
    </w:p>
    <w:p w14:paraId="055AD4E7" w14:textId="2FB63AAD" w:rsidR="004D4E28" w:rsidRDefault="004D4E28" w:rsidP="00B75AF3">
      <w:pPr>
        <w:pStyle w:val="ListBullet2"/>
      </w:pPr>
      <w:r>
        <w:t>Study GS-US-540-5823</w:t>
      </w:r>
    </w:p>
    <w:p w14:paraId="7CF5DDC7" w14:textId="62E8CC26" w:rsidR="004D4E28" w:rsidRDefault="004D4E28" w:rsidP="00B75AF3">
      <w:pPr>
        <w:pStyle w:val="ListBullet2"/>
      </w:pPr>
      <w:r>
        <w:t>Study PC-540-2030</w:t>
      </w:r>
      <w:r w:rsidR="00F72602">
        <w:t>.</w:t>
      </w:r>
    </w:p>
    <w:p w14:paraId="36B4F7DB" w14:textId="47924208" w:rsidR="004D4E28" w:rsidRDefault="004D4E28" w:rsidP="004D4E28">
      <w:r>
        <w:t>The main study providing efficacy and safety data for the paediatric population &lt; 12 years of age is Study GS-US-540-5823. The clinical evaluator has analysed the pharmacokinetics</w:t>
      </w:r>
      <w:r w:rsidR="00F72602">
        <w:t xml:space="preserve"> (PK)</w:t>
      </w:r>
      <w:r>
        <w:t>, efficacy, and safety results of this study in the three relevant sections of the clinical evaluation report. It is, however, mainly a PK study which has collected some safety and efficacy data in this age cohort.</w:t>
      </w:r>
    </w:p>
    <w:p w14:paraId="57955C82" w14:textId="1953FAD2" w:rsidR="004D4E28" w:rsidRDefault="004D4E28" w:rsidP="004D4E28">
      <w:r>
        <w:t>To reviews of compassionate use, Study IN-US-540-5755 report 1 and 2, have been provided which provide supplemental paediatric data.</w:t>
      </w:r>
    </w:p>
    <w:p w14:paraId="180AB9CD" w14:textId="1E2445C6" w:rsidR="004D4E28" w:rsidRDefault="004D4E28" w:rsidP="004D4E28">
      <w:r>
        <w:t xml:space="preserve">The main study examining the efficacy and safety of </w:t>
      </w:r>
      <w:proofErr w:type="spellStart"/>
      <w:r w:rsidR="000A4816">
        <w:t>remdesivir</w:t>
      </w:r>
      <w:proofErr w:type="spellEnd"/>
      <w:r>
        <w:t xml:space="preserve"> in adults are Study</w:t>
      </w:r>
      <w:r w:rsidR="00F72602">
        <w:t> </w:t>
      </w:r>
      <w:r>
        <w:t>GS</w:t>
      </w:r>
      <w:r w:rsidR="00F72602">
        <w:noBreakHyphen/>
      </w:r>
      <w:r>
        <w:t>US</w:t>
      </w:r>
      <w:r w:rsidR="00F72602">
        <w:noBreakHyphen/>
      </w:r>
      <w:r>
        <w:t>540-9012 (</w:t>
      </w:r>
      <w:r w:rsidR="00F72602">
        <w:t xml:space="preserve">also known as the </w:t>
      </w:r>
      <w:r>
        <w:t>Pinetree trial), which is a Phase III study in outpatient adults with COVID-19.</w:t>
      </w:r>
    </w:p>
    <w:p w14:paraId="6E86A764" w14:textId="4C8B5C19" w:rsidR="004D4E28" w:rsidRDefault="004D4E28" w:rsidP="004D4E28">
      <w:r>
        <w:lastRenderedPageBreak/>
        <w:t>Study GS-US-540-5776 (</w:t>
      </w:r>
      <w:r w:rsidR="00F72602">
        <w:t xml:space="preserve">also known as the </w:t>
      </w:r>
      <w:r>
        <w:t xml:space="preserve">ACTT trial) is the final report of the pivotal study submitted in the initial Australian application to provisionally register </w:t>
      </w:r>
      <w:proofErr w:type="spellStart"/>
      <w:r w:rsidR="000A4816">
        <w:t>remdesivir</w:t>
      </w:r>
      <w:proofErr w:type="spellEnd"/>
      <w:r>
        <w:t>.</w:t>
      </w:r>
      <w:bookmarkStart w:id="41" w:name="_Ref102124230"/>
      <w:r>
        <w:rPr>
          <w:rStyle w:val="FootnoteReference"/>
        </w:rPr>
        <w:footnoteReference w:id="4"/>
      </w:r>
      <w:bookmarkEnd w:id="41"/>
      <w:r>
        <w:t xml:space="preserve"> It provides additional efficacy and safety data in adults but is in hospitalised patients.</w:t>
      </w:r>
    </w:p>
    <w:p w14:paraId="267DBCA3" w14:textId="2C117660" w:rsidR="004D4E28" w:rsidRDefault="004D4E28" w:rsidP="004D4E28">
      <w:r>
        <w:t xml:space="preserve">The population pharmacokinetics report was evaluated by an expert in this area, with their conclusions incorporated </w:t>
      </w:r>
      <w:r w:rsidR="004674CE">
        <w:t>into</w:t>
      </w:r>
      <w:r>
        <w:t xml:space="preserve"> the</w:t>
      </w:r>
      <w:r w:rsidR="00967B99">
        <w:t xml:space="preserve"> TGA’s</w:t>
      </w:r>
      <w:r>
        <w:t xml:space="preserve"> </w:t>
      </w:r>
      <w:r w:rsidR="008A5EAA">
        <w:t xml:space="preserve">clinical evaluation </w:t>
      </w:r>
      <w:r w:rsidR="00967B99">
        <w:t>for this submission.</w:t>
      </w:r>
    </w:p>
    <w:p w14:paraId="24203D32" w14:textId="120A91A3" w:rsidR="008A5EAA" w:rsidRPr="008A5EAA" w:rsidRDefault="008A5EAA" w:rsidP="008A5EAA">
      <w:pPr>
        <w:pStyle w:val="Heading4"/>
      </w:pPr>
      <w:r w:rsidRPr="00AA53F4">
        <w:t>Pharmacology</w:t>
      </w:r>
    </w:p>
    <w:p w14:paraId="03D85DF1" w14:textId="066CABE1" w:rsidR="008A5EAA" w:rsidRPr="008A5EAA" w:rsidRDefault="008A5EAA" w:rsidP="008A5EAA">
      <w:pPr>
        <w:pStyle w:val="Heading5"/>
      </w:pPr>
      <w:r w:rsidRPr="00AA53F4">
        <w:t>Pharmacokinetics</w:t>
      </w:r>
    </w:p>
    <w:p w14:paraId="5E14FED4" w14:textId="6318B8A5" w:rsidR="008A5EAA" w:rsidRDefault="008A5EAA" w:rsidP="003B0033">
      <w:r w:rsidRPr="00831504">
        <w:t xml:space="preserve">Study </w:t>
      </w:r>
      <w:r>
        <w:t>GS</w:t>
      </w:r>
      <w:r w:rsidRPr="00831504">
        <w:t>-US-540-</w:t>
      </w:r>
      <w:r>
        <w:t>5823 was a Phase II/III open arm study in participants from birth to &lt; 18 years of age with COVID</w:t>
      </w:r>
      <w:r w:rsidR="00F72602">
        <w:noBreakHyphen/>
        <w:t>19</w:t>
      </w:r>
      <w:r>
        <w:t xml:space="preserve">. It included eight weight and </w:t>
      </w:r>
      <w:proofErr w:type="gramStart"/>
      <w:r>
        <w:t>age based</w:t>
      </w:r>
      <w:proofErr w:type="gramEnd"/>
      <w:r>
        <w:t xml:space="preserve"> cohorts, of which the sponsor has provided an interim analysis of </w:t>
      </w:r>
      <w:r w:rsidR="004674CE">
        <w:t>C</w:t>
      </w:r>
      <w:r>
        <w:t>ohorts 1 to 4 and 8</w:t>
      </w:r>
      <w:r w:rsidR="00621AC4">
        <w:t xml:space="preserve"> (</w:t>
      </w:r>
      <w:r w:rsidR="00621AC4">
        <w:fldChar w:fldCharType="begin"/>
      </w:r>
      <w:r w:rsidR="00621AC4">
        <w:instrText xml:space="preserve"> REF _Ref102051596 \h </w:instrText>
      </w:r>
      <w:r w:rsidR="003B0033">
        <w:instrText xml:space="preserve"> \* MERGEFORMAT </w:instrText>
      </w:r>
      <w:r w:rsidR="00621AC4">
        <w:fldChar w:fldCharType="separate"/>
      </w:r>
      <w:r w:rsidR="00563969" w:rsidRPr="00564BE5">
        <w:t xml:space="preserve">Table </w:t>
      </w:r>
      <w:r w:rsidR="00563969">
        <w:rPr>
          <w:noProof/>
        </w:rPr>
        <w:t>3</w:t>
      </w:r>
      <w:r w:rsidR="00621AC4">
        <w:fldChar w:fldCharType="end"/>
      </w:r>
      <w:r w:rsidR="00621AC4">
        <w:t>)</w:t>
      </w:r>
      <w:r>
        <w:t>. Cohort 4 represented the lowest age weight cohort, including patients between 3 to 12</w:t>
      </w:r>
      <w:r w:rsidR="004674CE">
        <w:t> </w:t>
      </w:r>
      <w:r>
        <w:t xml:space="preserve">kg and with a mean age of 0.4 years. The primary objective of the study was to analyse the safety and tolerability of </w:t>
      </w:r>
      <w:proofErr w:type="spellStart"/>
      <w:r w:rsidR="000A4816">
        <w:t>remdesivir</w:t>
      </w:r>
      <w:proofErr w:type="spellEnd"/>
      <w:r>
        <w:t xml:space="preserve"> in patients with laboratory confirmed COVID-19.</w:t>
      </w:r>
    </w:p>
    <w:p w14:paraId="6680E9B9" w14:textId="5FB07566" w:rsidR="008A5EAA" w:rsidRDefault="008A5EAA" w:rsidP="003B0033">
      <w:r>
        <w:t xml:space="preserve">The primary PK endpoints measured in this study were concentrations of </w:t>
      </w:r>
      <w:proofErr w:type="spellStart"/>
      <w:r w:rsidR="000A4816">
        <w:t>remdesivir</w:t>
      </w:r>
      <w:proofErr w:type="spellEnd"/>
      <w:r>
        <w:t xml:space="preserve"> and its main metabolites, GS-441524 and GS-704277. The pharmacokinetics endpoints from this study were used to fit a </w:t>
      </w:r>
      <w:r w:rsidR="004674CE">
        <w:t>PK</w:t>
      </w:r>
      <w:r>
        <w:t xml:space="preserve"> model to predict exposure to </w:t>
      </w:r>
      <w:proofErr w:type="spellStart"/>
      <w:r w:rsidR="000A4816">
        <w:t>remdesivir</w:t>
      </w:r>
      <w:proofErr w:type="spellEnd"/>
      <w:r>
        <w:t xml:space="preserve"> and its metabolites across the age and weight range included in the study.</w:t>
      </w:r>
    </w:p>
    <w:p w14:paraId="7A934ED2" w14:textId="0CDF11C1" w:rsidR="008A5EAA" w:rsidRDefault="008A5EAA" w:rsidP="003B0033">
      <w:r>
        <w:t xml:space="preserve">Efficacy was a secondary endpoint in this study and has been reviewed by the </w:t>
      </w:r>
      <w:r w:rsidR="00564BE5">
        <w:t>c</w:t>
      </w:r>
      <w:r>
        <w:t xml:space="preserve">linical </w:t>
      </w:r>
      <w:r w:rsidR="00564BE5">
        <w:t>e</w:t>
      </w:r>
      <w:r>
        <w:t xml:space="preserve">valuator as supportive information </w:t>
      </w:r>
      <w:r w:rsidR="00564BE5">
        <w:t>in clinical evaluation report</w:t>
      </w:r>
      <w:r>
        <w:t>.</w:t>
      </w:r>
    </w:p>
    <w:p w14:paraId="0043CEB8" w14:textId="2D25A02B" w:rsidR="008A5EAA" w:rsidRDefault="008A5EAA" w:rsidP="003B0033">
      <w:r>
        <w:t xml:space="preserve">The </w:t>
      </w:r>
      <w:r w:rsidR="00564BE5">
        <w:t>s</w:t>
      </w:r>
      <w:r>
        <w:t xml:space="preserve">afety outcomes of this study have been reviewed by the </w:t>
      </w:r>
      <w:r w:rsidR="00564BE5">
        <w:t>c</w:t>
      </w:r>
      <w:r>
        <w:t xml:space="preserve">linical </w:t>
      </w:r>
      <w:r w:rsidR="00564BE5">
        <w:t>e</w:t>
      </w:r>
      <w:r>
        <w:t>valuator in the</w:t>
      </w:r>
      <w:r w:rsidR="00967B99">
        <w:t xml:space="preserve"> TGA’s assessment of this submission.</w:t>
      </w:r>
    </w:p>
    <w:p w14:paraId="1AFCEBAC" w14:textId="4ECF4EBB" w:rsidR="008A5EAA" w:rsidRDefault="00564BE5" w:rsidP="00564BE5">
      <w:pPr>
        <w:pStyle w:val="TableTitle"/>
      </w:pPr>
      <w:bookmarkStart w:id="42" w:name="_Ref102051596"/>
      <w:r w:rsidRPr="00564BE5">
        <w:t xml:space="preserve">Table </w:t>
      </w:r>
      <w:fldSimple w:instr=" SEQ Table \* ARABIC ">
        <w:r w:rsidR="00563969">
          <w:rPr>
            <w:noProof/>
          </w:rPr>
          <w:t>3</w:t>
        </w:r>
      </w:fldSimple>
      <w:bookmarkEnd w:id="42"/>
      <w:r>
        <w:t xml:space="preserve">: </w:t>
      </w:r>
      <w:r w:rsidR="006511D5" w:rsidRPr="00564BE5">
        <w:t>Study GS-US-540-5823</w:t>
      </w:r>
      <w:r w:rsidR="006511D5">
        <w:t xml:space="preserve"> </w:t>
      </w:r>
      <w:r w:rsidRPr="00564BE5">
        <w:t>Definition of treatment cohorts</w:t>
      </w:r>
    </w:p>
    <w:p w14:paraId="626B21D4" w14:textId="224019F5" w:rsidR="00564BE5" w:rsidRDefault="006F5060" w:rsidP="00564BE5">
      <w:r w:rsidRPr="006F5060">
        <w:rPr>
          <w:noProof/>
          <w:lang w:val="en-GB" w:eastAsia="en-GB"/>
        </w:rPr>
        <w:drawing>
          <wp:inline distT="0" distB="0" distL="0" distR="0" wp14:anchorId="1030A04D" wp14:editId="6DCEE460">
            <wp:extent cx="5400040" cy="3735705"/>
            <wp:effectExtent l="0" t="0" r="0" b="0"/>
            <wp:docPr id="1" name="Picture 1" descr="Study GS-US-540-5823 Definition of treatment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y GS-US-540-5823 Definition of treatment cohorts"/>
                    <pic:cNvPicPr/>
                  </pic:nvPicPr>
                  <pic:blipFill>
                    <a:blip r:embed="rId14"/>
                    <a:stretch>
                      <a:fillRect/>
                    </a:stretch>
                  </pic:blipFill>
                  <pic:spPr>
                    <a:xfrm>
                      <a:off x="0" y="0"/>
                      <a:ext cx="5400040" cy="3735705"/>
                    </a:xfrm>
                    <a:prstGeom prst="rect">
                      <a:avLst/>
                    </a:prstGeom>
                  </pic:spPr>
                </pic:pic>
              </a:graphicData>
            </a:graphic>
          </wp:inline>
        </w:drawing>
      </w:r>
    </w:p>
    <w:p w14:paraId="6B945C0B" w14:textId="41556E1D" w:rsidR="00621AC4" w:rsidRDefault="0074284B" w:rsidP="00621AC4">
      <w:pPr>
        <w:pStyle w:val="TableDescription"/>
      </w:pPr>
      <w:r>
        <w:lastRenderedPageBreak/>
        <w:t xml:space="preserve">IV = intravenous, RDV = </w:t>
      </w:r>
      <w:proofErr w:type="spellStart"/>
      <w:r>
        <w:t>remdesivir</w:t>
      </w:r>
      <w:proofErr w:type="spellEnd"/>
      <w:r w:rsidR="006F5060">
        <w:t xml:space="preserve"> (GS-5734)</w:t>
      </w:r>
      <w:r w:rsidR="006F5060">
        <w:rPr>
          <w:rStyle w:val="FootnoteReference"/>
        </w:rPr>
        <w:footnoteReference w:id="5"/>
      </w:r>
    </w:p>
    <w:p w14:paraId="454D433A" w14:textId="1553E59D" w:rsidR="0074284B" w:rsidRDefault="0074284B" w:rsidP="003B0033">
      <w:r>
        <w:t>Each cohort enrolled 12 patients except Cohort 8, which had five patients, for a total of 53</w:t>
      </w:r>
      <w:r w:rsidR="00967B99">
        <w:t> </w:t>
      </w:r>
      <w:r>
        <w:t>patients in the full analysis population</w:t>
      </w:r>
      <w:r w:rsidR="00B15A2D">
        <w:t xml:space="preserve"> (</w:t>
      </w:r>
      <w:r w:rsidR="00B15A2D">
        <w:fldChar w:fldCharType="begin"/>
      </w:r>
      <w:r w:rsidR="00B15A2D">
        <w:instrText xml:space="preserve"> REF _Ref102120766 \h </w:instrText>
      </w:r>
      <w:r w:rsidR="003B0033">
        <w:instrText xml:space="preserve"> \* MERGEFORMAT </w:instrText>
      </w:r>
      <w:r w:rsidR="00B15A2D">
        <w:fldChar w:fldCharType="separate"/>
      </w:r>
      <w:r w:rsidR="00563969" w:rsidRPr="00DE37DD">
        <w:t xml:space="preserve">Table </w:t>
      </w:r>
      <w:r w:rsidR="00563969">
        <w:rPr>
          <w:noProof/>
        </w:rPr>
        <w:t>4</w:t>
      </w:r>
      <w:r w:rsidR="00B15A2D">
        <w:fldChar w:fldCharType="end"/>
      </w:r>
      <w:r w:rsidR="00B15A2D">
        <w:t>)</w:t>
      </w:r>
      <w:r>
        <w:t xml:space="preserve">. Patients received </w:t>
      </w:r>
      <w:proofErr w:type="spellStart"/>
      <w:r w:rsidR="000A4816">
        <w:t>remdesivir</w:t>
      </w:r>
      <w:proofErr w:type="spellEnd"/>
      <w:r>
        <w:t xml:space="preserve"> for up to </w:t>
      </w:r>
      <w:r w:rsidR="00A740DA">
        <w:t>ten</w:t>
      </w:r>
      <w:r>
        <w:t xml:space="preserve"> days following enrolment. The Delegate notes that Cohorts 2 to 4 received the dosage regimen proposed by the sponsor for registration</w:t>
      </w:r>
      <w:r w:rsidR="00967B99">
        <w:t>.</w:t>
      </w:r>
    </w:p>
    <w:p w14:paraId="31F2968B" w14:textId="5E1A6854" w:rsidR="0074284B" w:rsidRDefault="00DE37DD" w:rsidP="00DE37DD">
      <w:pPr>
        <w:pStyle w:val="TableTitle"/>
      </w:pPr>
      <w:bookmarkStart w:id="43" w:name="_Ref102120766"/>
      <w:r w:rsidRPr="00DE37DD">
        <w:t xml:space="preserve">Table </w:t>
      </w:r>
      <w:fldSimple w:instr=" SEQ Table \* ARABIC ">
        <w:r w:rsidR="00563969">
          <w:rPr>
            <w:noProof/>
          </w:rPr>
          <w:t>4</w:t>
        </w:r>
      </w:fldSimple>
      <w:bookmarkEnd w:id="43"/>
      <w:r>
        <w:t>:</w:t>
      </w:r>
      <w:r w:rsidR="006511D5">
        <w:t xml:space="preserve"> S</w:t>
      </w:r>
      <w:r w:rsidR="006511D5" w:rsidRPr="007C1461">
        <w:t>tudy GS-US-540-5823</w:t>
      </w:r>
      <w:r w:rsidR="006511D5">
        <w:t xml:space="preserve"> </w:t>
      </w:r>
      <w:r w:rsidRPr="007C1461">
        <w:t>Baseline weight and size of patients in each cohort</w:t>
      </w:r>
    </w:p>
    <w:p w14:paraId="19D90526" w14:textId="3C61CB79" w:rsidR="00621AC4" w:rsidRDefault="006F5060" w:rsidP="00DE37DD">
      <w:r w:rsidRPr="006F5060">
        <w:rPr>
          <w:noProof/>
          <w:lang w:val="en-GB" w:eastAsia="en-GB"/>
        </w:rPr>
        <w:drawing>
          <wp:inline distT="0" distB="0" distL="0" distR="0" wp14:anchorId="0EC7B807" wp14:editId="4DE505C7">
            <wp:extent cx="5263764" cy="5496418"/>
            <wp:effectExtent l="0" t="0" r="0" b="9525"/>
            <wp:docPr id="2" name="Picture 2" descr="Study GS-US-540-5823 Baseline weight and size of patients in each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GS-US-540-5823 Baseline weight and size of patients in each cohort"/>
                    <pic:cNvPicPr/>
                  </pic:nvPicPr>
                  <pic:blipFill>
                    <a:blip r:embed="rId15"/>
                    <a:stretch>
                      <a:fillRect/>
                    </a:stretch>
                  </pic:blipFill>
                  <pic:spPr>
                    <a:xfrm>
                      <a:off x="0" y="0"/>
                      <a:ext cx="5273061" cy="5506126"/>
                    </a:xfrm>
                    <a:prstGeom prst="rect">
                      <a:avLst/>
                    </a:prstGeom>
                  </pic:spPr>
                </pic:pic>
              </a:graphicData>
            </a:graphic>
          </wp:inline>
        </w:drawing>
      </w:r>
    </w:p>
    <w:p w14:paraId="06DBCB26" w14:textId="50F37692" w:rsidR="00DE37DD" w:rsidRDefault="00DE37DD" w:rsidP="00DE37DD">
      <w:pPr>
        <w:pStyle w:val="TableDescription"/>
      </w:pPr>
      <w:r>
        <w:t xml:space="preserve">BMI = body mass index; CDC = </w:t>
      </w:r>
      <w:proofErr w:type="spellStart"/>
      <w:r>
        <w:t>Cente</w:t>
      </w:r>
      <w:r w:rsidR="006511D5">
        <w:t>rs</w:t>
      </w:r>
      <w:proofErr w:type="spellEnd"/>
      <w:r w:rsidR="006511D5">
        <w:t xml:space="preserve"> for Disease Control and Prevention; max = maximum; min = minimum; Q1 = first quartile; Q3 = third quartile; SD = standard deviation; WHO = World Health Organization. </w:t>
      </w:r>
    </w:p>
    <w:p w14:paraId="27189D60" w14:textId="391D0548" w:rsidR="006511D5" w:rsidRDefault="006511D5" w:rsidP="00DE37DD">
      <w:pPr>
        <w:pStyle w:val="TableDescription"/>
      </w:pPr>
      <w:r>
        <w:t>For race and ethnicity, ‘Not permitted’, ‘Missing’ and ‘Other’ were excluded from the percentage calculation.</w:t>
      </w:r>
    </w:p>
    <w:p w14:paraId="29607D64" w14:textId="3FF07B6D" w:rsidR="006511D5" w:rsidRDefault="006511D5" w:rsidP="00DE37DD">
      <w:pPr>
        <w:pStyle w:val="TableDescription"/>
      </w:pPr>
      <w:r>
        <w:t>‘Not permitted’ = local regulators did not allow collection of race/ethnicity information.</w:t>
      </w:r>
    </w:p>
    <w:p w14:paraId="07BBEDA7" w14:textId="37F491B9" w:rsidR="006511D5" w:rsidRDefault="006511D5" w:rsidP="00DE37DD">
      <w:pPr>
        <w:pStyle w:val="TableDescription"/>
      </w:pPr>
      <w:r>
        <w:t>BMI (kg/m</w:t>
      </w:r>
      <w:r w:rsidRPr="006511D5">
        <w:rPr>
          <w:vertAlign w:val="superscript"/>
        </w:rPr>
        <w:t>2</w:t>
      </w:r>
      <w:r>
        <w:t>) = weight (kg)/height (cm2) x 10,000</w:t>
      </w:r>
    </w:p>
    <w:p w14:paraId="3C872B37" w14:textId="11C1CD50" w:rsidR="006511D5" w:rsidRDefault="006511D5" w:rsidP="00DE37DD">
      <w:pPr>
        <w:pStyle w:val="TableDescription"/>
      </w:pPr>
      <w:r>
        <w:t xml:space="preserve">BMI percentile for children &lt; 24 months old was computed using WHO SAS package: </w:t>
      </w:r>
      <w:hyperlink r:id="rId16" w:history="1">
        <w:r w:rsidRPr="007F3457">
          <w:rPr>
            <w:rStyle w:val="Hyperlink"/>
          </w:rPr>
          <w:t>www.who.int/toolkits/child-growth-standards/software</w:t>
        </w:r>
      </w:hyperlink>
    </w:p>
    <w:p w14:paraId="1F289F33" w14:textId="52EE1ED3" w:rsidR="006511D5" w:rsidRDefault="006511D5" w:rsidP="00DE37DD">
      <w:pPr>
        <w:pStyle w:val="TableDescription"/>
      </w:pPr>
      <w:r>
        <w:lastRenderedPageBreak/>
        <w:t xml:space="preserve">BMI percentile for children 24 months or older was computed based on CDC: </w:t>
      </w:r>
      <w:hyperlink r:id="rId17" w:history="1">
        <w:r w:rsidRPr="007F3457">
          <w:rPr>
            <w:rStyle w:val="Hyperlink"/>
          </w:rPr>
          <w:t>www.cdc.gov/nccdphp/dnpao/growthcharts/resources/sas.htm</w:t>
        </w:r>
      </w:hyperlink>
    </w:p>
    <w:p w14:paraId="5A7D282C" w14:textId="2592418A" w:rsidR="00B15A2D" w:rsidRDefault="00B15A2D" w:rsidP="00B15A2D">
      <w:pPr>
        <w:ind w:right="-1180"/>
      </w:pPr>
      <w:r>
        <w:t xml:space="preserve">The mean age and sex composition of each cohort is shown in </w:t>
      </w:r>
      <w:r w:rsidR="009A4811">
        <w:fldChar w:fldCharType="begin"/>
      </w:r>
      <w:r w:rsidR="009A4811">
        <w:instrText xml:space="preserve"> REF _Ref102121618 \h </w:instrText>
      </w:r>
      <w:r w:rsidR="009A4811">
        <w:fldChar w:fldCharType="separate"/>
      </w:r>
      <w:r w:rsidR="00563969" w:rsidRPr="00B15A2D">
        <w:t xml:space="preserve">Table </w:t>
      </w:r>
      <w:r w:rsidR="00563969">
        <w:rPr>
          <w:noProof/>
        </w:rPr>
        <w:t>5</w:t>
      </w:r>
      <w:r w:rsidR="009A4811">
        <w:fldChar w:fldCharType="end"/>
      </w:r>
      <w:r w:rsidR="009A4811">
        <w:t>.</w:t>
      </w:r>
    </w:p>
    <w:p w14:paraId="147C497E" w14:textId="228EC175" w:rsidR="006511D5" w:rsidRDefault="00B15A2D" w:rsidP="00B15A2D">
      <w:pPr>
        <w:pStyle w:val="TableTitle"/>
      </w:pPr>
      <w:bookmarkStart w:id="44" w:name="_Ref102121618"/>
      <w:r w:rsidRPr="00B15A2D">
        <w:t xml:space="preserve">Table </w:t>
      </w:r>
      <w:fldSimple w:instr=" SEQ Table \* ARABIC ">
        <w:r w:rsidR="00563969">
          <w:rPr>
            <w:noProof/>
          </w:rPr>
          <w:t>5</w:t>
        </w:r>
      </w:fldSimple>
      <w:bookmarkEnd w:id="44"/>
      <w:r w:rsidRPr="00B15A2D">
        <w:t>:</w:t>
      </w:r>
      <w:r>
        <w:t xml:space="preserve"> S</w:t>
      </w:r>
      <w:r w:rsidRPr="007C1461">
        <w:t>tudy GS-US-540-5823</w:t>
      </w:r>
      <w:r>
        <w:t xml:space="preserve"> </w:t>
      </w:r>
      <w:r w:rsidRPr="007C1461">
        <w:t>Age and sex of patients enrolled in each cohort</w:t>
      </w:r>
    </w:p>
    <w:p w14:paraId="333F60EB" w14:textId="15B400B2" w:rsidR="00B15A2D" w:rsidRDefault="006F5060" w:rsidP="00B15A2D">
      <w:pPr>
        <w:pStyle w:val="TableTitle"/>
      </w:pPr>
      <w:r w:rsidRPr="006F5060">
        <w:rPr>
          <w:noProof/>
          <w:lang w:val="en-GB" w:eastAsia="en-GB"/>
        </w:rPr>
        <w:drawing>
          <wp:inline distT="0" distB="0" distL="0" distR="0" wp14:anchorId="358B6F34" wp14:editId="4FE40FC0">
            <wp:extent cx="5313410" cy="2417196"/>
            <wp:effectExtent l="0" t="0" r="1905" b="2540"/>
            <wp:docPr id="3" name="Picture 3" descr="Study GS-US-540-5823 Age and sex of patients enrolled in each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y GS-US-540-5823 Age and sex of patients enrolled in each cohort"/>
                    <pic:cNvPicPr/>
                  </pic:nvPicPr>
                  <pic:blipFill>
                    <a:blip r:embed="rId18"/>
                    <a:stretch>
                      <a:fillRect/>
                    </a:stretch>
                  </pic:blipFill>
                  <pic:spPr>
                    <a:xfrm>
                      <a:off x="0" y="0"/>
                      <a:ext cx="5334498" cy="2426790"/>
                    </a:xfrm>
                    <a:prstGeom prst="rect">
                      <a:avLst/>
                    </a:prstGeom>
                  </pic:spPr>
                </pic:pic>
              </a:graphicData>
            </a:graphic>
          </wp:inline>
        </w:drawing>
      </w:r>
    </w:p>
    <w:p w14:paraId="12E3F7FF" w14:textId="7753426F" w:rsidR="009A4811" w:rsidRDefault="009A4811" w:rsidP="009A4811">
      <w:pPr>
        <w:pStyle w:val="TableDescription"/>
      </w:pPr>
      <w:r>
        <w:t>Max = maximum; Min = minimum; N = sample size; Q1 = first quartile; Q3 = third quartile; SD = standard deviation</w:t>
      </w:r>
    </w:p>
    <w:p w14:paraId="69389341" w14:textId="24AA80B4" w:rsidR="009A4811" w:rsidRDefault="009A4811" w:rsidP="009A4811">
      <w:pPr>
        <w:pStyle w:val="TableTitle"/>
      </w:pPr>
      <w:bookmarkStart w:id="45" w:name="_Ref102122156"/>
      <w:r w:rsidRPr="009A4811">
        <w:lastRenderedPageBreak/>
        <w:t xml:space="preserve">Table </w:t>
      </w:r>
      <w:fldSimple w:instr=" SEQ Table \* ARABIC ">
        <w:r w:rsidR="00563969">
          <w:rPr>
            <w:noProof/>
          </w:rPr>
          <w:t>6</w:t>
        </w:r>
      </w:fldSimple>
      <w:bookmarkEnd w:id="45"/>
      <w:r>
        <w:t>: S</w:t>
      </w:r>
      <w:r w:rsidRPr="007C1461">
        <w:t xml:space="preserve">tudy GS-US-540-5823 Clinical status of patients in each cohort at </w:t>
      </w:r>
      <w:r>
        <w:t>B</w:t>
      </w:r>
      <w:r w:rsidRPr="007C1461">
        <w:t>aseline</w:t>
      </w:r>
    </w:p>
    <w:p w14:paraId="06307935" w14:textId="730E91F7" w:rsidR="009A4811" w:rsidRDefault="006F5060" w:rsidP="009A4811">
      <w:r w:rsidRPr="003C6FC4">
        <w:rPr>
          <w:noProof/>
          <w:lang w:val="en-GB" w:eastAsia="en-GB"/>
        </w:rPr>
        <w:drawing>
          <wp:inline distT="0" distB="0" distL="0" distR="0" wp14:anchorId="2C1E43FC" wp14:editId="751D8BB8">
            <wp:extent cx="5303520" cy="3692604"/>
            <wp:effectExtent l="0" t="0" r="0" b="3175"/>
            <wp:docPr id="6" name="Picture 6" descr="Study GS-US-540-5823 Clinical status of patients in each cohort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GS-US-540-5823 Clinical status of patients in each cohort at Baseline"/>
                    <pic:cNvPicPr/>
                  </pic:nvPicPr>
                  <pic:blipFill>
                    <a:blip r:embed="rId19"/>
                    <a:stretch>
                      <a:fillRect/>
                    </a:stretch>
                  </pic:blipFill>
                  <pic:spPr>
                    <a:xfrm>
                      <a:off x="0" y="0"/>
                      <a:ext cx="5316652" cy="3701747"/>
                    </a:xfrm>
                    <a:prstGeom prst="rect">
                      <a:avLst/>
                    </a:prstGeom>
                  </pic:spPr>
                </pic:pic>
              </a:graphicData>
            </a:graphic>
          </wp:inline>
        </w:drawing>
      </w:r>
      <w:r w:rsidRPr="003C6FC4">
        <w:rPr>
          <w:noProof/>
          <w:lang w:val="en-GB" w:eastAsia="en-GB"/>
        </w:rPr>
        <w:drawing>
          <wp:inline distT="0" distB="0" distL="0" distR="0" wp14:anchorId="4690F174" wp14:editId="7580BE59">
            <wp:extent cx="5303520" cy="3264269"/>
            <wp:effectExtent l="0" t="0" r="0" b="0"/>
            <wp:docPr id="7" name="Picture 7" descr="Study GS-US-540-5823 Clinical status of patients in each cohort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GS-US-540-5823 Clinical status of patients in each cohort at Baseline"/>
                    <pic:cNvPicPr/>
                  </pic:nvPicPr>
                  <pic:blipFill>
                    <a:blip r:embed="rId20"/>
                    <a:stretch>
                      <a:fillRect/>
                    </a:stretch>
                  </pic:blipFill>
                  <pic:spPr>
                    <a:xfrm>
                      <a:off x="0" y="0"/>
                      <a:ext cx="5321210" cy="3275157"/>
                    </a:xfrm>
                    <a:prstGeom prst="rect">
                      <a:avLst/>
                    </a:prstGeom>
                  </pic:spPr>
                </pic:pic>
              </a:graphicData>
            </a:graphic>
          </wp:inline>
        </w:drawing>
      </w:r>
    </w:p>
    <w:p w14:paraId="1102AEFD" w14:textId="08BF1352" w:rsidR="00967B99" w:rsidRDefault="00967B99" w:rsidP="00FA2AA4">
      <w:pPr>
        <w:pStyle w:val="TableDescription"/>
      </w:pPr>
      <w:r>
        <w:t xml:space="preserve">ALT = alanine aminotransferase; AST = aspartate aminotransferase; min = minimum; max = maximum; RDV = </w:t>
      </w:r>
      <w:proofErr w:type="spellStart"/>
      <w:r>
        <w:t>remdesivir</w:t>
      </w:r>
      <w:proofErr w:type="spellEnd"/>
      <w:r>
        <w:t xml:space="preserve"> (GS-5734);</w:t>
      </w:r>
      <w:r>
        <w:rPr>
          <w:rStyle w:val="FootnoteReference"/>
        </w:rPr>
        <w:footnoteReference w:id="6"/>
      </w:r>
      <w:r>
        <w:t xml:space="preserve"> SD = standard deviation; Q1 = first quartile; Q3 = third quartile.</w:t>
      </w:r>
    </w:p>
    <w:p w14:paraId="7131D018" w14:textId="7A2AF9DA" w:rsidR="009A4811" w:rsidRDefault="009A4811" w:rsidP="003B0033">
      <w:r>
        <w:t xml:space="preserve">The median duration of hospitalisation prior to the first dose of </w:t>
      </w:r>
      <w:proofErr w:type="spellStart"/>
      <w:r w:rsidR="000A4816">
        <w:t>remdesivir</w:t>
      </w:r>
      <w:proofErr w:type="spellEnd"/>
      <w:r>
        <w:t xml:space="preserve"> was 1</w:t>
      </w:r>
      <w:r w:rsidR="00DE1830">
        <w:t xml:space="preserve"> to </w:t>
      </w:r>
      <w:r>
        <w:t xml:space="preserve">3 days and the median duration of symptoms prior to hospitalisation was </w:t>
      </w:r>
      <w:r w:rsidR="00A740DA">
        <w:t>five</w:t>
      </w:r>
      <w:r>
        <w:t xml:space="preserve"> days</w:t>
      </w:r>
      <w:r w:rsidR="00DE1830">
        <w:t xml:space="preserve"> (</w:t>
      </w:r>
      <w:r w:rsidR="00DE1830">
        <w:fldChar w:fldCharType="begin"/>
      </w:r>
      <w:r w:rsidR="00DE1830">
        <w:instrText xml:space="preserve"> REF _Ref102122156 \h </w:instrText>
      </w:r>
      <w:r w:rsidR="003B0033">
        <w:instrText xml:space="preserve"> \* MERGEFORMAT </w:instrText>
      </w:r>
      <w:r w:rsidR="00DE1830">
        <w:fldChar w:fldCharType="separate"/>
      </w:r>
      <w:r w:rsidR="00563969" w:rsidRPr="009A4811">
        <w:t xml:space="preserve">Table </w:t>
      </w:r>
      <w:r w:rsidR="00563969">
        <w:t>6</w:t>
      </w:r>
      <w:r w:rsidR="00DE1830">
        <w:fldChar w:fldCharType="end"/>
      </w:r>
      <w:r w:rsidR="00DE1830">
        <w:t>).</w:t>
      </w:r>
    </w:p>
    <w:p w14:paraId="0CCA1C66" w14:textId="688FCAFC" w:rsidR="00DE1830" w:rsidRDefault="00DE1830" w:rsidP="003B0033">
      <w:r>
        <w:t xml:space="preserve">Most patients (75.5%) were receiving supplemental oxygen. The lowest weight cohort had the highest rate of invasive ventilation (41.7%) as well as the highest rate of circulatory (33.3%) and respiratory (100%) manifestations of disease. The had a relatively low rate </w:t>
      </w:r>
      <w:r>
        <w:lastRenderedPageBreak/>
        <w:t>(16.7) of COVID related systemic inflammatory response compared to other cohorts (</w:t>
      </w:r>
      <w:r>
        <w:fldChar w:fldCharType="begin"/>
      </w:r>
      <w:r>
        <w:instrText xml:space="preserve"> REF _Ref102122156 \h </w:instrText>
      </w:r>
      <w:r w:rsidR="003B0033">
        <w:instrText xml:space="preserve"> \* MERGEFORMAT </w:instrText>
      </w:r>
      <w:r>
        <w:fldChar w:fldCharType="separate"/>
      </w:r>
      <w:r w:rsidR="00563969" w:rsidRPr="009A4811">
        <w:t xml:space="preserve">Table </w:t>
      </w:r>
      <w:r w:rsidR="00563969">
        <w:t>6</w:t>
      </w:r>
      <w:r>
        <w:fldChar w:fldCharType="end"/>
      </w:r>
      <w:r>
        <w:t>).</w:t>
      </w:r>
    </w:p>
    <w:p w14:paraId="40B02246" w14:textId="653A0EA4" w:rsidR="00DE1830" w:rsidRPr="00831504" w:rsidRDefault="00DE1830" w:rsidP="003B0033">
      <w:r>
        <w:t xml:space="preserve">The PK evaluator has noted that the proposed model was complex as it had to account for broad range of variables, but overall performed relatively well. Bodyweight was the most significant variable affecting exposure to </w:t>
      </w:r>
      <w:proofErr w:type="spellStart"/>
      <w:r w:rsidR="000A4816">
        <w:t>remdesivir</w:t>
      </w:r>
      <w:proofErr w:type="spellEnd"/>
      <w:r>
        <w:t xml:space="preserve"> and its metabolites. However, the median exposure to </w:t>
      </w:r>
      <w:proofErr w:type="spellStart"/>
      <w:r w:rsidR="000A4816">
        <w:t>remdesivir</w:t>
      </w:r>
      <w:proofErr w:type="spellEnd"/>
      <w:r>
        <w:t xml:space="preserve"> and its metabolites was higher in the paediatric patients than in adult patients, being 5 to 6 times higher than median exposure by cohort in 2 of 21</w:t>
      </w:r>
      <w:r w:rsidR="00C2360F">
        <w:t> </w:t>
      </w:r>
      <w:r>
        <w:t xml:space="preserve">subjects in Cohorts 3 and 4. The sponsor has noted that there were no significant differences in the exposures of </w:t>
      </w:r>
      <w:proofErr w:type="spellStart"/>
      <w:r w:rsidR="000A4816">
        <w:t>remdesivir</w:t>
      </w:r>
      <w:proofErr w:type="spellEnd"/>
      <w:r>
        <w:t xml:space="preserve"> or its metabolites between patients with or without the seven most common adverse events.</w:t>
      </w:r>
    </w:p>
    <w:p w14:paraId="709CBD91" w14:textId="1D9B74F1" w:rsidR="00646D53" w:rsidRDefault="00646D53" w:rsidP="007B3DDD">
      <w:pPr>
        <w:pStyle w:val="Heading4"/>
      </w:pPr>
      <w:r w:rsidRPr="00EA7550">
        <w:t xml:space="preserve">Study </w:t>
      </w:r>
      <w:bookmarkStart w:id="46" w:name="_Hlk101465614"/>
      <w:r w:rsidRPr="00EA7550">
        <w:t>GS-US-540-9012</w:t>
      </w:r>
      <w:r w:rsidR="00C60462">
        <w:t xml:space="preserve"> (Pinetree trial)</w:t>
      </w:r>
    </w:p>
    <w:bookmarkEnd w:id="46"/>
    <w:p w14:paraId="48216394" w14:textId="7F508FD0" w:rsidR="00646D53" w:rsidRDefault="00646D53" w:rsidP="003B0033">
      <w:r w:rsidRPr="00646D53">
        <w:t>Study GS-US-540-9012</w:t>
      </w:r>
      <w:r>
        <w:t xml:space="preserve"> (</w:t>
      </w:r>
      <w:r w:rsidRPr="00646D53">
        <w:t>Pinetree trial</w:t>
      </w:r>
      <w:r>
        <w:t xml:space="preserve">) was a Phase III study which was intended to examine the safety and efficacy of three days of </w:t>
      </w:r>
      <w:proofErr w:type="spellStart"/>
      <w:r w:rsidR="000A4816">
        <w:t>remdesivir</w:t>
      </w:r>
      <w:proofErr w:type="spellEnd"/>
      <w:r>
        <w:t xml:space="preserve"> outpatient treatment for COVID-19 in 1230 patients randomised </w:t>
      </w:r>
      <w:r w:rsidR="00C60462">
        <w:t xml:space="preserve">in a </w:t>
      </w:r>
      <w:r>
        <w:t>1:1</w:t>
      </w:r>
      <w:r w:rsidR="00C60462">
        <w:t xml:space="preserve"> ratio</w:t>
      </w:r>
      <w:r>
        <w:t xml:space="preserve"> to </w:t>
      </w:r>
      <w:proofErr w:type="spellStart"/>
      <w:r w:rsidR="000A4816">
        <w:t>remdesivir</w:t>
      </w:r>
      <w:proofErr w:type="spellEnd"/>
      <w:r>
        <w:t xml:space="preserve"> (n = 615) or placebo (n</w:t>
      </w:r>
      <w:r w:rsidR="00C60462">
        <w:t> </w:t>
      </w:r>
      <w:r>
        <w:t>= 615). Study enrolment was terminated early for administrative reasons, which included declining COVID-19 cases in the study sites and the availability of monoclonal therapies as a comparator. It therefore only recruited 584 patients.</w:t>
      </w:r>
    </w:p>
    <w:p w14:paraId="43F60101" w14:textId="21137585" w:rsidR="00646D53" w:rsidRDefault="00646D53" w:rsidP="003B0033">
      <w:r>
        <w:t xml:space="preserve">Included patients were enrolled in two site determined cohorts, either &gt; 18 years of age (all sites) or 12 to 18 years of age and &gt; 40 kg body mass (where approved). However, only 3 patients &lt; 18 years of age were recruited to active, and five to placebo treatment, making a stratified analysis impossible. </w:t>
      </w:r>
    </w:p>
    <w:p w14:paraId="14642014" w14:textId="6021AFE5" w:rsidR="00646D53" w:rsidRDefault="00646D53" w:rsidP="003B0033">
      <w:r>
        <w:t>All patients had at least one pre-existing risk factor for progression to hospitalisation. They had not received nor were expected to receive supplemental oxygen at the time of enrolment and did not require hospitalisation at enrolment.</w:t>
      </w:r>
      <w:r w:rsidR="007B3DDD">
        <w:t xml:space="preserve"> </w:t>
      </w:r>
      <w:r>
        <w:t xml:space="preserve">Patients received three days of </w:t>
      </w:r>
      <w:proofErr w:type="spellStart"/>
      <w:r w:rsidR="000A4816">
        <w:t>remdesivir</w:t>
      </w:r>
      <w:proofErr w:type="spellEnd"/>
      <w:r>
        <w:t xml:space="preserve"> treatment</w:t>
      </w:r>
      <w:r w:rsidR="007B3DDD">
        <w:t xml:space="preserve"> (</w:t>
      </w:r>
      <w:r w:rsidR="007B3DDD">
        <w:fldChar w:fldCharType="begin"/>
      </w:r>
      <w:r w:rsidR="007B3DDD">
        <w:instrText xml:space="preserve"> REF _Ref102122911 \h  \* MERGEFORMAT </w:instrText>
      </w:r>
      <w:r w:rsidR="007B3DDD">
        <w:fldChar w:fldCharType="separate"/>
      </w:r>
      <w:r w:rsidR="00563969" w:rsidRPr="00646D53">
        <w:t xml:space="preserve">Table </w:t>
      </w:r>
      <w:r w:rsidR="00563969">
        <w:rPr>
          <w:noProof/>
        </w:rPr>
        <w:t>7</w:t>
      </w:r>
      <w:r w:rsidR="007B3DDD">
        <w:fldChar w:fldCharType="end"/>
      </w:r>
      <w:r w:rsidR="007B3DDD">
        <w:t>).</w:t>
      </w:r>
    </w:p>
    <w:p w14:paraId="602F531D" w14:textId="62E9FF20" w:rsidR="00646D53" w:rsidRDefault="00646D53" w:rsidP="003B0033">
      <w:r>
        <w:t xml:space="preserve">The primary endpoint was hospitalisation or death by Day 14. All causes of hospitalisations were examined a </w:t>
      </w:r>
      <w:r w:rsidRPr="00FA2AA4">
        <w:rPr>
          <w:i/>
        </w:rPr>
        <w:t>post-hoc</w:t>
      </w:r>
      <w:r>
        <w:t xml:space="preserve"> endpoint.</w:t>
      </w:r>
    </w:p>
    <w:p w14:paraId="7D4325A3" w14:textId="5811B8AE" w:rsidR="009A4811" w:rsidRDefault="00646D53" w:rsidP="00646D53">
      <w:pPr>
        <w:pStyle w:val="TableTitle"/>
      </w:pPr>
      <w:bookmarkStart w:id="47" w:name="_Ref102122911"/>
      <w:r w:rsidRPr="00646D53">
        <w:t xml:space="preserve">Table </w:t>
      </w:r>
      <w:fldSimple w:instr=" SEQ Table \* ARABIC ">
        <w:r w:rsidR="00563969">
          <w:rPr>
            <w:noProof/>
          </w:rPr>
          <w:t>7</w:t>
        </w:r>
      </w:fldSimple>
      <w:bookmarkEnd w:id="47"/>
      <w:r>
        <w:t xml:space="preserve">: Study GS-US-540-9012 </w:t>
      </w:r>
      <w:r w:rsidRPr="00646D53">
        <w:t>Efficacy endpoints</w:t>
      </w:r>
    </w:p>
    <w:p w14:paraId="4D950369" w14:textId="0FA99E20" w:rsidR="00646D53" w:rsidRDefault="006F5060" w:rsidP="00646D53">
      <w:r w:rsidRPr="006F5060">
        <w:rPr>
          <w:noProof/>
          <w:lang w:val="en-GB" w:eastAsia="en-GB"/>
        </w:rPr>
        <w:drawing>
          <wp:inline distT="0" distB="0" distL="0" distR="0" wp14:anchorId="7923EC4A" wp14:editId="4ECD3AF9">
            <wp:extent cx="5371986" cy="1375576"/>
            <wp:effectExtent l="0" t="0" r="635" b="0"/>
            <wp:docPr id="8" name="Picture 8" descr="Study GS-US-540-9012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y GS-US-540-9012 Efficacy endpoints"/>
                    <pic:cNvPicPr/>
                  </pic:nvPicPr>
                  <pic:blipFill>
                    <a:blip r:embed="rId21"/>
                    <a:stretch>
                      <a:fillRect/>
                    </a:stretch>
                  </pic:blipFill>
                  <pic:spPr>
                    <a:xfrm>
                      <a:off x="0" y="0"/>
                      <a:ext cx="5426205" cy="1389460"/>
                    </a:xfrm>
                    <a:prstGeom prst="rect">
                      <a:avLst/>
                    </a:prstGeom>
                  </pic:spPr>
                </pic:pic>
              </a:graphicData>
            </a:graphic>
          </wp:inline>
        </w:drawing>
      </w:r>
    </w:p>
    <w:p w14:paraId="4717194C" w14:textId="50AA2C2D" w:rsidR="00646D53" w:rsidRDefault="00C60462" w:rsidP="00646D53">
      <w:pPr>
        <w:pStyle w:val="TableDescription"/>
      </w:pPr>
      <w:r>
        <w:t xml:space="preserve">CI = confidence intervals </w:t>
      </w:r>
      <w:r w:rsidR="00646D53">
        <w:t xml:space="preserve">COVID-19 = coronavirus disease 2019; IV = intravenous; RDV = </w:t>
      </w:r>
      <w:proofErr w:type="spellStart"/>
      <w:r w:rsidR="00646D53">
        <w:t>remdesivir</w:t>
      </w:r>
      <w:proofErr w:type="spellEnd"/>
      <w:r w:rsidR="00646D53">
        <w:t xml:space="preserve"> (GS</w:t>
      </w:r>
      <w:r>
        <w:noBreakHyphen/>
      </w:r>
      <w:r w:rsidR="00646D53">
        <w:t>5734)</w:t>
      </w:r>
    </w:p>
    <w:p w14:paraId="56582800" w14:textId="2B6D9FE1" w:rsidR="00646D53" w:rsidRDefault="00646D53" w:rsidP="00646D53">
      <w:pPr>
        <w:pStyle w:val="TableDescription"/>
      </w:pPr>
      <w:r>
        <w:t>Proportion of CO</w:t>
      </w:r>
      <w:r w:rsidR="00C60462">
        <w:t>V</w:t>
      </w:r>
      <w:r>
        <w:t>ID-19 related hospitalisation or all cause death by Day 28 from Kaplan-Meier estimate.</w:t>
      </w:r>
    </w:p>
    <w:p w14:paraId="5D5C7EFA" w14:textId="0BCF24E7" w:rsidR="00646D53" w:rsidRDefault="00646D53" w:rsidP="00646D53">
      <w:pPr>
        <w:pStyle w:val="TableDescription"/>
      </w:pPr>
      <w:r>
        <w:t>Hazard ratio, 2 sided 95% confidence interval (CI)</w:t>
      </w:r>
      <w:r w:rsidR="003B0033">
        <w:t xml:space="preserve"> and P value were estimated using the Cox regression with baseline stratification factors as covariates.</w:t>
      </w:r>
    </w:p>
    <w:p w14:paraId="24C75D4E" w14:textId="6D799DE0" w:rsidR="003B0033" w:rsidRDefault="003B0033" w:rsidP="00646D53">
      <w:pPr>
        <w:pStyle w:val="TableDescription"/>
      </w:pPr>
      <w:r>
        <w:t>Hazard ratio was adjusted for baseline stratification factors.</w:t>
      </w:r>
    </w:p>
    <w:p w14:paraId="62A5D3D5" w14:textId="1D8A1B9B" w:rsidR="003B0033" w:rsidRDefault="003B0033" w:rsidP="003B0033">
      <w:r>
        <w:t>No deaths had occurred in either treatment arm by Day 14, meaning that the primary endpoint was driven by the occurrence of hospitalisation.</w:t>
      </w:r>
    </w:p>
    <w:p w14:paraId="5651C3FA" w14:textId="37F75CC3" w:rsidR="006F5060" w:rsidRDefault="006F5060" w:rsidP="006F5060">
      <w:pPr>
        <w:pStyle w:val="TableTitle"/>
      </w:pPr>
      <w:bookmarkStart w:id="48" w:name="_Ref102298357"/>
      <w:r w:rsidRPr="006F5060">
        <w:lastRenderedPageBreak/>
        <w:t xml:space="preserve">Table </w:t>
      </w:r>
      <w:fldSimple w:instr=" SEQ Table \* ARABIC ">
        <w:r w:rsidR="00563969">
          <w:rPr>
            <w:noProof/>
          </w:rPr>
          <w:t>8</w:t>
        </w:r>
      </w:fldSimple>
      <w:bookmarkEnd w:id="48"/>
      <w:r>
        <w:t xml:space="preserve">: </w:t>
      </w:r>
      <w:r w:rsidR="00C60462">
        <w:t xml:space="preserve">Study GS-US-540-9012 </w:t>
      </w:r>
      <w:r w:rsidRPr="006F5060">
        <w:t xml:space="preserve">Proportion of </w:t>
      </w:r>
      <w:r w:rsidR="00C60462">
        <w:t>p</w:t>
      </w:r>
      <w:r w:rsidRPr="006F5060">
        <w:t xml:space="preserve">articipants </w:t>
      </w:r>
      <w:r w:rsidR="00C60462">
        <w:t>p</w:t>
      </w:r>
      <w:r w:rsidRPr="006F5060">
        <w:t xml:space="preserve">rogressing to </w:t>
      </w:r>
      <w:r w:rsidR="00C60462">
        <w:t>r</w:t>
      </w:r>
      <w:r w:rsidRPr="006F5060">
        <w:t xml:space="preserve">equiring </w:t>
      </w:r>
      <w:r w:rsidR="00C60462">
        <w:t>o</w:t>
      </w:r>
      <w:r w:rsidR="00C60462" w:rsidRPr="006F5060">
        <w:t xml:space="preserve">xygen </w:t>
      </w:r>
      <w:r w:rsidR="00C60462">
        <w:t>s</w:t>
      </w:r>
      <w:r w:rsidRPr="006F5060">
        <w:t>upplementation by Day 28</w:t>
      </w:r>
      <w:r>
        <w:t xml:space="preserve"> (full set analysis)</w:t>
      </w:r>
    </w:p>
    <w:p w14:paraId="3CDE1D12" w14:textId="38F1C4BE" w:rsidR="006F5060" w:rsidRDefault="006F5060" w:rsidP="003B0033">
      <w:r w:rsidRPr="006F5060">
        <w:rPr>
          <w:noProof/>
          <w:lang w:val="en-GB" w:eastAsia="en-GB"/>
        </w:rPr>
        <w:drawing>
          <wp:inline distT="0" distB="0" distL="0" distR="0" wp14:anchorId="2E1586DD" wp14:editId="69DC704A">
            <wp:extent cx="5288723" cy="788035"/>
            <wp:effectExtent l="0" t="0" r="7620" b="0"/>
            <wp:docPr id="11" name="Picture 11" descr="Proportion of Participants Progressing to Requiring Oxygen Supplementation by Day 28 (full se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oportion of Participants Progressing to Requiring Oxygen Supplementation by Day 28 (full set analysis)"/>
                    <pic:cNvPicPr/>
                  </pic:nvPicPr>
                  <pic:blipFill rotWithShape="1">
                    <a:blip r:embed="rId22"/>
                    <a:srcRect l="2061"/>
                    <a:stretch/>
                  </pic:blipFill>
                  <pic:spPr bwMode="auto">
                    <a:xfrm>
                      <a:off x="0" y="0"/>
                      <a:ext cx="5302295" cy="790057"/>
                    </a:xfrm>
                    <a:prstGeom prst="rect">
                      <a:avLst/>
                    </a:prstGeom>
                    <a:ln>
                      <a:noFill/>
                    </a:ln>
                    <a:extLst>
                      <a:ext uri="{53640926-AAD7-44D8-BBD7-CCE9431645EC}">
                        <a14:shadowObscured xmlns:a14="http://schemas.microsoft.com/office/drawing/2010/main"/>
                      </a:ext>
                    </a:extLst>
                  </pic:spPr>
                </pic:pic>
              </a:graphicData>
            </a:graphic>
          </wp:inline>
        </w:drawing>
      </w:r>
    </w:p>
    <w:p w14:paraId="0EBC7909" w14:textId="6ED24D13" w:rsidR="003B0033" w:rsidRDefault="003B0033" w:rsidP="003B0033">
      <w:r w:rsidRPr="006F5060">
        <w:t xml:space="preserve">The proportion of patients requiring oxygen supplementation at Day 28 was 0.4% in the </w:t>
      </w:r>
      <w:proofErr w:type="spellStart"/>
      <w:r w:rsidR="000A4816">
        <w:t>remdesivir</w:t>
      </w:r>
      <w:proofErr w:type="spellEnd"/>
      <w:r w:rsidRPr="006F5060">
        <w:t xml:space="preserve"> group and 1.8% in the placebo group and this difference did not reach statistical significance (p = 0.2163)</w:t>
      </w:r>
      <w:r w:rsidR="006F5060" w:rsidRPr="006F5060">
        <w:t xml:space="preserve"> (</w:t>
      </w:r>
      <w:r w:rsidR="006F5060" w:rsidRPr="006F5060">
        <w:fldChar w:fldCharType="begin"/>
      </w:r>
      <w:r w:rsidR="006F5060" w:rsidRPr="006F5060">
        <w:instrText xml:space="preserve"> REF _Ref102298357 \h </w:instrText>
      </w:r>
      <w:r w:rsidR="006F5060">
        <w:instrText xml:space="preserve"> \* MERGEFORMAT </w:instrText>
      </w:r>
      <w:r w:rsidR="006F5060" w:rsidRPr="006F5060">
        <w:fldChar w:fldCharType="separate"/>
      </w:r>
      <w:r w:rsidR="00563969" w:rsidRPr="006F5060">
        <w:t xml:space="preserve">Table </w:t>
      </w:r>
      <w:r w:rsidR="00563969">
        <w:t>8</w:t>
      </w:r>
      <w:r w:rsidR="006F5060" w:rsidRPr="006F5060">
        <w:fldChar w:fldCharType="end"/>
      </w:r>
      <w:r w:rsidR="006F5060" w:rsidRPr="006F5060">
        <w:t>)</w:t>
      </w:r>
      <w:r w:rsidRPr="006F5060">
        <w:t>.</w:t>
      </w:r>
    </w:p>
    <w:p w14:paraId="6DAA9B06" w14:textId="071E42AB" w:rsidR="003B0033" w:rsidRDefault="003B0033" w:rsidP="003B0033">
      <w:pPr>
        <w:pStyle w:val="TableTitle"/>
      </w:pPr>
      <w:bookmarkStart w:id="49" w:name="_Ref102124072"/>
      <w:r w:rsidRPr="003B0033">
        <w:t xml:space="preserve">Table </w:t>
      </w:r>
      <w:fldSimple w:instr=" SEQ Table \* ARABIC ">
        <w:r w:rsidR="00563969">
          <w:rPr>
            <w:noProof/>
          </w:rPr>
          <w:t>9</w:t>
        </w:r>
      </w:fldSimple>
      <w:bookmarkEnd w:id="49"/>
      <w:r w:rsidRPr="003B0033">
        <w:t>:</w:t>
      </w:r>
      <w:r>
        <w:t xml:space="preserve"> Study GS-US-540-9012 </w:t>
      </w:r>
      <w:r w:rsidRPr="003B0033">
        <w:t>Stratified analysis of efficacy endpoints</w:t>
      </w:r>
    </w:p>
    <w:p w14:paraId="4A332C98" w14:textId="66E33D46" w:rsidR="003B0033" w:rsidRDefault="003B0033" w:rsidP="003B0033">
      <w:pPr>
        <w:pStyle w:val="TableTitle"/>
      </w:pPr>
      <w:r w:rsidRPr="00CD5035">
        <w:rPr>
          <w:noProof/>
          <w:lang w:val="en-GB" w:eastAsia="en-GB"/>
        </w:rPr>
        <w:drawing>
          <wp:inline distT="0" distB="0" distL="0" distR="0" wp14:anchorId="1ECF6E48" wp14:editId="49C00742">
            <wp:extent cx="5176300" cy="2408649"/>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lum/>
                      <a:extLst>
                        <a:ext uri="{28A0092B-C50C-407E-A947-70E740481C1C}">
                          <a14:useLocalDpi xmlns:a14="http://schemas.microsoft.com/office/drawing/2010/main" val="0"/>
                        </a:ext>
                      </a:extLst>
                    </a:blip>
                    <a:srcRect/>
                    <a:stretch>
                      <a:fillRect/>
                    </a:stretch>
                  </pic:blipFill>
                  <pic:spPr bwMode="auto">
                    <a:xfrm>
                      <a:off x="0" y="0"/>
                      <a:ext cx="5180665" cy="2410680"/>
                    </a:xfrm>
                    <a:prstGeom prst="rect">
                      <a:avLst/>
                    </a:prstGeom>
                    <a:noFill/>
                    <a:ln>
                      <a:noFill/>
                    </a:ln>
                  </pic:spPr>
                </pic:pic>
              </a:graphicData>
            </a:graphic>
          </wp:inline>
        </w:drawing>
      </w:r>
    </w:p>
    <w:p w14:paraId="2EB83FCD" w14:textId="1EE3D2B9" w:rsidR="003B0033" w:rsidRDefault="003B0033" w:rsidP="003B0033">
      <w:r>
        <w:t xml:space="preserve">A subgroup analysis indicates there were no occurrences of the primary endpoint in the </w:t>
      </w:r>
      <w:proofErr w:type="spellStart"/>
      <w:r w:rsidR="000A4816">
        <w:t>remdesivir</w:t>
      </w:r>
      <w:proofErr w:type="spellEnd"/>
      <w:r>
        <w:t xml:space="preserve"> treatment arm in patients for whom their risk factor was chronic lung disease, cardiovascular </w:t>
      </w:r>
      <w:proofErr w:type="gramStart"/>
      <w:r>
        <w:t>disease</w:t>
      </w:r>
      <w:proofErr w:type="gramEnd"/>
      <w:r>
        <w:t xml:space="preserve"> or current</w:t>
      </w:r>
      <w:r w:rsidR="007B3DDD">
        <w:t xml:space="preserve"> </w:t>
      </w:r>
      <w:r>
        <w:t>cancer</w:t>
      </w:r>
      <w:r w:rsidR="007B3DDD">
        <w:t xml:space="preserve"> (</w:t>
      </w:r>
      <w:r w:rsidR="007B3DDD">
        <w:fldChar w:fldCharType="begin"/>
      </w:r>
      <w:r w:rsidR="007B3DDD">
        <w:instrText xml:space="preserve"> REF _Ref102124072 \h </w:instrText>
      </w:r>
      <w:r w:rsidR="007B3DDD">
        <w:fldChar w:fldCharType="separate"/>
      </w:r>
      <w:r w:rsidR="00563969" w:rsidRPr="003B0033">
        <w:t xml:space="preserve">Table </w:t>
      </w:r>
      <w:r w:rsidR="00563969">
        <w:rPr>
          <w:noProof/>
        </w:rPr>
        <w:t>9</w:t>
      </w:r>
      <w:r w:rsidR="007B3DDD">
        <w:fldChar w:fldCharType="end"/>
      </w:r>
      <w:r w:rsidR="007B3DDD">
        <w:t>)</w:t>
      </w:r>
      <w:r>
        <w:t>.</w:t>
      </w:r>
    </w:p>
    <w:p w14:paraId="2E5599C2" w14:textId="7C5AF98B" w:rsidR="007B3DDD" w:rsidRDefault="007B3DDD" w:rsidP="007B3DDD">
      <w:pPr>
        <w:pStyle w:val="Heading4"/>
      </w:pPr>
      <w:r w:rsidRPr="003111C2">
        <w:t>Study GS-US-540-5774</w:t>
      </w:r>
    </w:p>
    <w:p w14:paraId="24F8758E" w14:textId="40E8BDD8" w:rsidR="007B3DDD" w:rsidRDefault="007B3DDD" w:rsidP="007B3DDD">
      <w:r>
        <w:t>The clinical evaluator has noted that this study had significant methodological flaws that render it not usable for an analysis of efficacy in the proposed indications.</w:t>
      </w:r>
    </w:p>
    <w:p w14:paraId="6AC28666" w14:textId="3E1F2CD2" w:rsidR="007B3DDD" w:rsidRDefault="007B3DDD" w:rsidP="007B3DDD">
      <w:pPr>
        <w:pStyle w:val="Heading4"/>
      </w:pPr>
      <w:r w:rsidRPr="003111C2">
        <w:t>Study GS-US-540-5776 (ACTT</w:t>
      </w:r>
      <w:r w:rsidR="00C60462">
        <w:t xml:space="preserve"> trial</w:t>
      </w:r>
      <w:r w:rsidRPr="003111C2">
        <w:t>)</w:t>
      </w:r>
    </w:p>
    <w:p w14:paraId="43AAF1A3" w14:textId="1D268273" w:rsidR="007B3DDD" w:rsidRDefault="007B3DDD" w:rsidP="007B3DDD">
      <w:r w:rsidRPr="007B3DDD">
        <w:t>Study GS-US-540-5776</w:t>
      </w:r>
      <w:r>
        <w:t xml:space="preserve"> also known as adaptive COVID-19 treatment trial, (ACTT), was an adaptive methodology used to examine prospective COVID-19 treatments. An interim report was submitted in the initial provisional registration dossier for </w:t>
      </w:r>
      <w:r w:rsidR="000A4816">
        <w:t>remdesivir</w:t>
      </w:r>
      <w:r>
        <w:t>;</w:t>
      </w:r>
      <w:r w:rsidRPr="007B3DDD">
        <w:rPr>
          <w:vertAlign w:val="superscript"/>
        </w:rPr>
        <w:fldChar w:fldCharType="begin"/>
      </w:r>
      <w:r w:rsidRPr="007B3DDD">
        <w:rPr>
          <w:vertAlign w:val="superscript"/>
        </w:rPr>
        <w:instrText xml:space="preserve"> NOTEREF _Ref102124230 \h </w:instrText>
      </w:r>
      <w:r>
        <w:rPr>
          <w:vertAlign w:val="superscript"/>
        </w:rPr>
        <w:instrText xml:space="preserve"> \* MERGEFORMAT </w:instrText>
      </w:r>
      <w:r w:rsidRPr="007B3DDD">
        <w:rPr>
          <w:vertAlign w:val="superscript"/>
        </w:rPr>
      </w:r>
      <w:r w:rsidRPr="007B3DDD">
        <w:rPr>
          <w:vertAlign w:val="superscript"/>
        </w:rPr>
        <w:fldChar w:fldCharType="separate"/>
      </w:r>
      <w:r w:rsidR="00563969">
        <w:rPr>
          <w:vertAlign w:val="superscript"/>
        </w:rPr>
        <w:t>4</w:t>
      </w:r>
      <w:r w:rsidRPr="007B3DDD">
        <w:rPr>
          <w:vertAlign w:val="superscript"/>
        </w:rPr>
        <w:fldChar w:fldCharType="end"/>
      </w:r>
      <w:r>
        <w:t xml:space="preserve"> in Australia in 2020, and the final report has been submitted in this application.</w:t>
      </w:r>
    </w:p>
    <w:p w14:paraId="1004DA5A" w14:textId="29F083A4" w:rsidR="007B3DDD" w:rsidRDefault="007B3DDD" w:rsidP="007B3DDD">
      <w:r>
        <w:t>Included patients were stratified by having mild to moderate disease or severe disease, but all were hospitalised. Mild to moderate subjects had oxygen saturation of &gt; 94% and a respiratory rate &lt; 24/minute on room air. Severe disease subjects either required mechanical ventilation, had oxygen saturation &lt; 94% on room or a respiratory rate of &gt; 24/minute on room air.</w:t>
      </w:r>
    </w:p>
    <w:p w14:paraId="253963E5" w14:textId="78B2388C" w:rsidR="007B3DDD" w:rsidRDefault="007B3DDD" w:rsidP="007B3DDD">
      <w:r>
        <w:t xml:space="preserve">The primary endpoint of ACTT was to assess time to recovery of patients receiving </w:t>
      </w:r>
      <w:proofErr w:type="spellStart"/>
      <w:r w:rsidR="000A4816">
        <w:t>remdesivir</w:t>
      </w:r>
      <w:proofErr w:type="spellEnd"/>
      <w:r>
        <w:t xml:space="preserve"> compared to those in the control arm. Time to recovery was defined as the number of days from randomisation required to achieve an improvement in an </w:t>
      </w:r>
      <w:proofErr w:type="gramStart"/>
      <w:r w:rsidR="00A740DA">
        <w:t>eight</w:t>
      </w:r>
      <w:r>
        <w:t xml:space="preserve"> point</w:t>
      </w:r>
      <w:proofErr w:type="gramEnd"/>
      <w:r>
        <w:t xml:space="preserve"> ordinal symptoms scale from 4 to 7 (baseline) to 1 3 (after treatment). The scale used is shown in </w:t>
      </w:r>
      <w:r w:rsidR="00262527">
        <w:fldChar w:fldCharType="begin"/>
      </w:r>
      <w:r w:rsidR="00262527">
        <w:instrText xml:space="preserve"> REF _Ref102125029 \h </w:instrText>
      </w:r>
      <w:r w:rsidR="00262527">
        <w:fldChar w:fldCharType="separate"/>
      </w:r>
      <w:r w:rsidR="00563969" w:rsidRPr="000754CA">
        <w:t xml:space="preserve">Table </w:t>
      </w:r>
      <w:r w:rsidR="00563969">
        <w:rPr>
          <w:noProof/>
        </w:rPr>
        <w:t>10</w:t>
      </w:r>
      <w:r w:rsidR="00262527">
        <w:fldChar w:fldCharType="end"/>
      </w:r>
      <w:r w:rsidR="00891304">
        <w:t xml:space="preserve"> and </w:t>
      </w:r>
      <w:r w:rsidR="00891304">
        <w:fldChar w:fldCharType="begin"/>
      </w:r>
      <w:r w:rsidR="00891304">
        <w:instrText xml:space="preserve"> REF _Ref102125048 \h </w:instrText>
      </w:r>
      <w:r w:rsidR="00891304">
        <w:fldChar w:fldCharType="separate"/>
      </w:r>
      <w:r w:rsidR="00563969" w:rsidRPr="000754CA">
        <w:t xml:space="preserve">Figure </w:t>
      </w:r>
      <w:r w:rsidR="00563969">
        <w:rPr>
          <w:noProof/>
        </w:rPr>
        <w:t>1</w:t>
      </w:r>
      <w:r w:rsidR="00891304">
        <w:fldChar w:fldCharType="end"/>
      </w:r>
      <w:r w:rsidR="00891304">
        <w:t>.</w:t>
      </w:r>
    </w:p>
    <w:p w14:paraId="582A9DC2" w14:textId="104100F4" w:rsidR="000754CA" w:rsidRDefault="000754CA" w:rsidP="00891304">
      <w:pPr>
        <w:pStyle w:val="TableTitle"/>
      </w:pPr>
      <w:bookmarkStart w:id="50" w:name="_Ref102125029"/>
      <w:r w:rsidRPr="000754CA">
        <w:lastRenderedPageBreak/>
        <w:t xml:space="preserve">Table </w:t>
      </w:r>
      <w:fldSimple w:instr=" SEQ Table \* ARABIC ">
        <w:r w:rsidR="00563969">
          <w:rPr>
            <w:noProof/>
          </w:rPr>
          <w:t>10</w:t>
        </w:r>
      </w:fldSimple>
      <w:bookmarkEnd w:id="50"/>
      <w:r>
        <w:t xml:space="preserve">: </w:t>
      </w:r>
      <w:r w:rsidR="00C60462" w:rsidRPr="007B3DDD">
        <w:t>Study GS-US-540-5776</w:t>
      </w:r>
      <w:r w:rsidR="00C60462">
        <w:t xml:space="preserve"> (ACTT trial) </w:t>
      </w:r>
      <w:r w:rsidR="00C60462">
        <w:rPr>
          <w:bCs/>
        </w:rPr>
        <w:t>O</w:t>
      </w:r>
      <w:r w:rsidR="00262527" w:rsidRPr="007C1461">
        <w:rPr>
          <w:bCs/>
        </w:rPr>
        <w:t>rdinal index of clinical severity</w:t>
      </w:r>
    </w:p>
    <w:tbl>
      <w:tblPr>
        <w:tblStyle w:val="TableGrid"/>
        <w:tblW w:w="0" w:type="auto"/>
        <w:tblLook w:val="04A0" w:firstRow="1" w:lastRow="0" w:firstColumn="1" w:lastColumn="0" w:noHBand="0" w:noVBand="1"/>
      </w:tblPr>
      <w:tblGrid>
        <w:gridCol w:w="988"/>
        <w:gridCol w:w="6662"/>
      </w:tblGrid>
      <w:tr w:rsidR="00891304" w:rsidRPr="00891304" w14:paraId="313CA667" w14:textId="77777777" w:rsidTr="00891304">
        <w:tc>
          <w:tcPr>
            <w:tcW w:w="988" w:type="dxa"/>
          </w:tcPr>
          <w:p w14:paraId="4D00ACF8" w14:textId="0CB1798C" w:rsidR="00891304" w:rsidRPr="00891304" w:rsidRDefault="00891304" w:rsidP="00891304">
            <w:pPr>
              <w:keepNext/>
              <w:rPr>
                <w:b/>
                <w:bCs/>
                <w:sz w:val="20"/>
                <w:szCs w:val="20"/>
              </w:rPr>
            </w:pPr>
            <w:r w:rsidRPr="00891304">
              <w:rPr>
                <w:b/>
                <w:bCs/>
                <w:sz w:val="20"/>
                <w:szCs w:val="20"/>
              </w:rPr>
              <w:t>Score</w:t>
            </w:r>
          </w:p>
        </w:tc>
        <w:tc>
          <w:tcPr>
            <w:tcW w:w="6662" w:type="dxa"/>
          </w:tcPr>
          <w:p w14:paraId="2DF87F69" w14:textId="48B6C3D3" w:rsidR="00891304" w:rsidRPr="00891304" w:rsidRDefault="00891304" w:rsidP="00891304">
            <w:pPr>
              <w:keepNext/>
              <w:rPr>
                <w:b/>
                <w:bCs/>
                <w:sz w:val="20"/>
                <w:szCs w:val="20"/>
              </w:rPr>
            </w:pPr>
            <w:r w:rsidRPr="00891304">
              <w:rPr>
                <w:b/>
                <w:bCs/>
                <w:sz w:val="20"/>
                <w:szCs w:val="20"/>
              </w:rPr>
              <w:t>Definitions</w:t>
            </w:r>
          </w:p>
        </w:tc>
      </w:tr>
      <w:tr w:rsidR="007B3DDD" w:rsidRPr="00891304" w14:paraId="35033BF7" w14:textId="77777777" w:rsidTr="00891304">
        <w:tc>
          <w:tcPr>
            <w:tcW w:w="988" w:type="dxa"/>
          </w:tcPr>
          <w:p w14:paraId="34DE925E" w14:textId="7BAE4121" w:rsidR="007B3DDD" w:rsidRPr="00891304" w:rsidRDefault="007B3DDD" w:rsidP="00891304">
            <w:pPr>
              <w:keepNext/>
              <w:rPr>
                <w:sz w:val="20"/>
                <w:szCs w:val="20"/>
              </w:rPr>
            </w:pPr>
            <w:r w:rsidRPr="00891304">
              <w:rPr>
                <w:sz w:val="20"/>
                <w:szCs w:val="20"/>
              </w:rPr>
              <w:t>1</w:t>
            </w:r>
          </w:p>
        </w:tc>
        <w:tc>
          <w:tcPr>
            <w:tcW w:w="6662" w:type="dxa"/>
          </w:tcPr>
          <w:p w14:paraId="59A1F364" w14:textId="049393EC" w:rsidR="007B3DDD" w:rsidRPr="00891304" w:rsidRDefault="007B3DDD" w:rsidP="00891304">
            <w:pPr>
              <w:keepNext/>
              <w:rPr>
                <w:sz w:val="20"/>
                <w:szCs w:val="20"/>
              </w:rPr>
            </w:pPr>
            <w:r w:rsidRPr="00891304">
              <w:rPr>
                <w:sz w:val="20"/>
                <w:szCs w:val="20"/>
              </w:rPr>
              <w:t>Not hospitalised, no limitations</w:t>
            </w:r>
          </w:p>
        </w:tc>
      </w:tr>
      <w:tr w:rsidR="007B3DDD" w:rsidRPr="00891304" w14:paraId="27FC28C7" w14:textId="77777777" w:rsidTr="00891304">
        <w:tc>
          <w:tcPr>
            <w:tcW w:w="988" w:type="dxa"/>
          </w:tcPr>
          <w:p w14:paraId="58203724" w14:textId="651185F7" w:rsidR="007B3DDD" w:rsidRPr="00891304" w:rsidRDefault="007B3DDD" w:rsidP="00891304">
            <w:pPr>
              <w:keepNext/>
              <w:rPr>
                <w:sz w:val="20"/>
                <w:szCs w:val="20"/>
              </w:rPr>
            </w:pPr>
            <w:r w:rsidRPr="00891304">
              <w:rPr>
                <w:sz w:val="20"/>
                <w:szCs w:val="20"/>
              </w:rPr>
              <w:t>2</w:t>
            </w:r>
          </w:p>
        </w:tc>
        <w:tc>
          <w:tcPr>
            <w:tcW w:w="6662" w:type="dxa"/>
          </w:tcPr>
          <w:p w14:paraId="66F033B2" w14:textId="3DE843E2" w:rsidR="007B3DDD" w:rsidRPr="00891304" w:rsidRDefault="007B3DDD" w:rsidP="00891304">
            <w:pPr>
              <w:keepNext/>
              <w:rPr>
                <w:sz w:val="20"/>
                <w:szCs w:val="20"/>
              </w:rPr>
            </w:pPr>
            <w:r w:rsidRPr="00891304">
              <w:rPr>
                <w:sz w:val="20"/>
                <w:szCs w:val="20"/>
              </w:rPr>
              <w:t>Not hospitalised, with limitations</w:t>
            </w:r>
          </w:p>
        </w:tc>
      </w:tr>
      <w:tr w:rsidR="007B3DDD" w:rsidRPr="00891304" w14:paraId="667B50ED" w14:textId="77777777" w:rsidTr="00891304">
        <w:tc>
          <w:tcPr>
            <w:tcW w:w="988" w:type="dxa"/>
          </w:tcPr>
          <w:p w14:paraId="0FB53077" w14:textId="0DF9F203" w:rsidR="007B3DDD" w:rsidRPr="00891304" w:rsidRDefault="007B3DDD" w:rsidP="00891304">
            <w:pPr>
              <w:keepNext/>
              <w:rPr>
                <w:sz w:val="20"/>
                <w:szCs w:val="20"/>
              </w:rPr>
            </w:pPr>
            <w:r w:rsidRPr="00891304">
              <w:rPr>
                <w:sz w:val="20"/>
                <w:szCs w:val="20"/>
              </w:rPr>
              <w:t>3</w:t>
            </w:r>
          </w:p>
        </w:tc>
        <w:tc>
          <w:tcPr>
            <w:tcW w:w="6662" w:type="dxa"/>
          </w:tcPr>
          <w:p w14:paraId="3510F45D" w14:textId="019CF4BC" w:rsidR="007B3DDD" w:rsidRPr="00891304" w:rsidRDefault="007B3DDD" w:rsidP="00891304">
            <w:pPr>
              <w:keepNext/>
              <w:rPr>
                <w:sz w:val="20"/>
                <w:szCs w:val="20"/>
              </w:rPr>
            </w:pPr>
            <w:r w:rsidRPr="00891304">
              <w:rPr>
                <w:sz w:val="20"/>
                <w:szCs w:val="20"/>
              </w:rPr>
              <w:t>Hospitalised</w:t>
            </w:r>
            <w:r w:rsidR="000754CA" w:rsidRPr="00891304">
              <w:rPr>
                <w:sz w:val="20"/>
                <w:szCs w:val="20"/>
              </w:rPr>
              <w:t>, no active medical problems</w:t>
            </w:r>
          </w:p>
        </w:tc>
      </w:tr>
      <w:tr w:rsidR="007B3DDD" w:rsidRPr="00891304" w14:paraId="2FEF6211" w14:textId="77777777" w:rsidTr="00891304">
        <w:tc>
          <w:tcPr>
            <w:tcW w:w="988" w:type="dxa"/>
          </w:tcPr>
          <w:p w14:paraId="23DC7655" w14:textId="48C6289E" w:rsidR="007B3DDD" w:rsidRPr="00891304" w:rsidRDefault="007B3DDD" w:rsidP="00891304">
            <w:pPr>
              <w:keepNext/>
              <w:rPr>
                <w:sz w:val="20"/>
                <w:szCs w:val="20"/>
              </w:rPr>
            </w:pPr>
            <w:r w:rsidRPr="00891304">
              <w:rPr>
                <w:sz w:val="20"/>
                <w:szCs w:val="20"/>
              </w:rPr>
              <w:t>4</w:t>
            </w:r>
          </w:p>
        </w:tc>
        <w:tc>
          <w:tcPr>
            <w:tcW w:w="6662" w:type="dxa"/>
          </w:tcPr>
          <w:p w14:paraId="5BB45360" w14:textId="4DC2CCD0" w:rsidR="007B3DDD" w:rsidRPr="00891304" w:rsidRDefault="000754CA" w:rsidP="00891304">
            <w:pPr>
              <w:keepNext/>
              <w:rPr>
                <w:sz w:val="20"/>
                <w:szCs w:val="20"/>
              </w:rPr>
            </w:pPr>
            <w:r w:rsidRPr="00891304">
              <w:rPr>
                <w:sz w:val="20"/>
                <w:szCs w:val="20"/>
              </w:rPr>
              <w:t>Hospitalised, not on oxygen</w:t>
            </w:r>
          </w:p>
        </w:tc>
      </w:tr>
      <w:tr w:rsidR="007B3DDD" w:rsidRPr="00891304" w14:paraId="470741B7" w14:textId="77777777" w:rsidTr="00891304">
        <w:tc>
          <w:tcPr>
            <w:tcW w:w="988" w:type="dxa"/>
          </w:tcPr>
          <w:p w14:paraId="0D91F800" w14:textId="751112D5" w:rsidR="007B3DDD" w:rsidRPr="00891304" w:rsidRDefault="007B3DDD" w:rsidP="00891304">
            <w:pPr>
              <w:keepNext/>
              <w:rPr>
                <w:sz w:val="20"/>
                <w:szCs w:val="20"/>
              </w:rPr>
            </w:pPr>
            <w:r w:rsidRPr="00891304">
              <w:rPr>
                <w:sz w:val="20"/>
                <w:szCs w:val="20"/>
              </w:rPr>
              <w:t>5</w:t>
            </w:r>
          </w:p>
        </w:tc>
        <w:tc>
          <w:tcPr>
            <w:tcW w:w="6662" w:type="dxa"/>
          </w:tcPr>
          <w:p w14:paraId="33E3D8F7" w14:textId="7553199D" w:rsidR="007B3DDD" w:rsidRPr="00891304" w:rsidRDefault="000754CA" w:rsidP="00891304">
            <w:pPr>
              <w:keepNext/>
              <w:rPr>
                <w:sz w:val="20"/>
                <w:szCs w:val="20"/>
              </w:rPr>
            </w:pPr>
            <w:r w:rsidRPr="00891304">
              <w:rPr>
                <w:sz w:val="20"/>
                <w:szCs w:val="20"/>
              </w:rPr>
              <w:t>Hospitalised, on oxygen</w:t>
            </w:r>
          </w:p>
        </w:tc>
      </w:tr>
      <w:tr w:rsidR="007B3DDD" w:rsidRPr="00891304" w14:paraId="6982F1B7" w14:textId="77777777" w:rsidTr="00891304">
        <w:tc>
          <w:tcPr>
            <w:tcW w:w="988" w:type="dxa"/>
          </w:tcPr>
          <w:p w14:paraId="7C70D5FB" w14:textId="2B0C62A0" w:rsidR="007B3DDD" w:rsidRPr="00891304" w:rsidRDefault="007B3DDD" w:rsidP="00891304">
            <w:pPr>
              <w:keepNext/>
              <w:rPr>
                <w:sz w:val="20"/>
                <w:szCs w:val="20"/>
              </w:rPr>
            </w:pPr>
            <w:r w:rsidRPr="00891304">
              <w:rPr>
                <w:sz w:val="20"/>
                <w:szCs w:val="20"/>
              </w:rPr>
              <w:t>6</w:t>
            </w:r>
          </w:p>
        </w:tc>
        <w:tc>
          <w:tcPr>
            <w:tcW w:w="6662" w:type="dxa"/>
          </w:tcPr>
          <w:p w14:paraId="0FCDE97C" w14:textId="3E1F5A56" w:rsidR="007B3DDD" w:rsidRPr="00891304" w:rsidRDefault="000754CA" w:rsidP="00891304">
            <w:pPr>
              <w:keepNext/>
              <w:rPr>
                <w:sz w:val="20"/>
                <w:szCs w:val="20"/>
              </w:rPr>
            </w:pPr>
            <w:r w:rsidRPr="00891304">
              <w:rPr>
                <w:sz w:val="20"/>
                <w:szCs w:val="20"/>
              </w:rPr>
              <w:t>Hospitalised, on high flow oxygen or non-invasive mechanical ventilation</w:t>
            </w:r>
          </w:p>
        </w:tc>
      </w:tr>
      <w:tr w:rsidR="007B3DDD" w:rsidRPr="00891304" w14:paraId="75701A92" w14:textId="77777777" w:rsidTr="00891304">
        <w:tc>
          <w:tcPr>
            <w:tcW w:w="988" w:type="dxa"/>
          </w:tcPr>
          <w:p w14:paraId="5F7FF81C" w14:textId="153067AC" w:rsidR="007B3DDD" w:rsidRPr="00891304" w:rsidRDefault="007B3DDD" w:rsidP="00891304">
            <w:pPr>
              <w:keepNext/>
              <w:rPr>
                <w:sz w:val="20"/>
                <w:szCs w:val="20"/>
              </w:rPr>
            </w:pPr>
            <w:r w:rsidRPr="00891304">
              <w:rPr>
                <w:sz w:val="20"/>
                <w:szCs w:val="20"/>
              </w:rPr>
              <w:t>7</w:t>
            </w:r>
          </w:p>
        </w:tc>
        <w:tc>
          <w:tcPr>
            <w:tcW w:w="6662" w:type="dxa"/>
          </w:tcPr>
          <w:p w14:paraId="4B5E22F6" w14:textId="710A8659" w:rsidR="007B3DDD" w:rsidRPr="00891304" w:rsidRDefault="000754CA" w:rsidP="00891304">
            <w:pPr>
              <w:keepNext/>
              <w:rPr>
                <w:sz w:val="20"/>
                <w:szCs w:val="20"/>
              </w:rPr>
            </w:pPr>
            <w:r w:rsidRPr="00891304">
              <w:rPr>
                <w:sz w:val="20"/>
                <w:szCs w:val="20"/>
              </w:rPr>
              <w:t>Hospitalised, on mechanical ventilation or ECMO</w:t>
            </w:r>
          </w:p>
        </w:tc>
      </w:tr>
      <w:tr w:rsidR="007B3DDD" w:rsidRPr="00891304" w14:paraId="75C402D9" w14:textId="77777777" w:rsidTr="00891304">
        <w:tc>
          <w:tcPr>
            <w:tcW w:w="988" w:type="dxa"/>
          </w:tcPr>
          <w:p w14:paraId="68B83FC2" w14:textId="7D05F943" w:rsidR="007B3DDD" w:rsidRPr="00891304" w:rsidRDefault="007B3DDD" w:rsidP="00891304">
            <w:pPr>
              <w:keepNext/>
              <w:rPr>
                <w:sz w:val="20"/>
                <w:szCs w:val="20"/>
              </w:rPr>
            </w:pPr>
            <w:r w:rsidRPr="00891304">
              <w:rPr>
                <w:sz w:val="20"/>
                <w:szCs w:val="20"/>
              </w:rPr>
              <w:t>8</w:t>
            </w:r>
          </w:p>
        </w:tc>
        <w:tc>
          <w:tcPr>
            <w:tcW w:w="6662" w:type="dxa"/>
          </w:tcPr>
          <w:p w14:paraId="7F72E4E4" w14:textId="345C6C0F" w:rsidR="007B3DDD" w:rsidRPr="00891304" w:rsidRDefault="000754CA" w:rsidP="00891304">
            <w:pPr>
              <w:keepNext/>
              <w:rPr>
                <w:sz w:val="20"/>
                <w:szCs w:val="20"/>
              </w:rPr>
            </w:pPr>
            <w:r w:rsidRPr="00891304">
              <w:rPr>
                <w:sz w:val="20"/>
                <w:szCs w:val="20"/>
              </w:rPr>
              <w:t>Death</w:t>
            </w:r>
          </w:p>
        </w:tc>
      </w:tr>
    </w:tbl>
    <w:p w14:paraId="4F5FA52C" w14:textId="393AB684" w:rsidR="00687A6A" w:rsidRPr="00D95D25" w:rsidRDefault="000754CA" w:rsidP="00D95D25">
      <w:pPr>
        <w:pStyle w:val="FigureTitle"/>
        <w:rPr>
          <w:bCs/>
        </w:rPr>
      </w:pPr>
      <w:bookmarkStart w:id="51" w:name="_Ref102125048"/>
      <w:r w:rsidRPr="000754CA">
        <w:t xml:space="preserve">Figure </w:t>
      </w:r>
      <w:fldSimple w:instr=" SEQ Figure \* ARABIC ">
        <w:r w:rsidR="00563969">
          <w:rPr>
            <w:noProof/>
          </w:rPr>
          <w:t>1</w:t>
        </w:r>
      </w:fldSimple>
      <w:bookmarkEnd w:id="51"/>
      <w:r w:rsidRPr="000754CA">
        <w:t xml:space="preserve">: </w:t>
      </w:r>
      <w:r w:rsidR="00C60462" w:rsidRPr="007B3DDD">
        <w:t>Study GS-US-540-5776</w:t>
      </w:r>
      <w:r w:rsidR="00C60462">
        <w:t xml:space="preserve"> (ACTT trial) </w:t>
      </w:r>
      <w:r w:rsidR="00262527">
        <w:t>Patient disposition</w:t>
      </w:r>
    </w:p>
    <w:p w14:paraId="4CA7C19D" w14:textId="0AF76162" w:rsidR="000754CA" w:rsidRDefault="000754CA" w:rsidP="000754CA">
      <w:r w:rsidRPr="00B11434">
        <w:rPr>
          <w:noProof/>
          <w:lang w:val="en-GB" w:eastAsia="en-GB"/>
        </w:rPr>
        <w:drawing>
          <wp:inline distT="0" distB="0" distL="0" distR="0" wp14:anchorId="05453436" wp14:editId="167D9DB5">
            <wp:extent cx="5052764" cy="5507107"/>
            <wp:effectExtent l="0" t="0" r="0" b="0"/>
            <wp:docPr id="15" name="Picture 15" descr="Adaptive COVID-19 treatment trial Patient disposition.&#10;1107 patients were assessed for eligibility, 44 were excluded. 25 were ineligible due to owning to meeting exclusion criteria or not meeting inclusion criteria. 19 were eligible, but not enrolled. A total of 1063 participants underwent randomisation. 541 were assigned to receive remdesivir, 522 were assigned to placebo. 531 received  remdesivir and 518 received placebo. Of the 531 participants that received remdesivir, 180 received all 10 dose while 251 received less than 10 doses. 168 recovered, 21 died, 13 missed their dose intermittently, 36 discontinued owing to an adverse event or serve adverse event, 13 withdrew consent, and 100 were still receiving treatment. Of the 522 participants that received placebo, 185 received all 10 doses, 225 received less than 10 doses, 120 recovered, 28 died, 24 missed doses intermittently, 36 discontinued, 15 withdrew and 2 were ineligible for trial after enrolment. 108 were still receiving placebo. &#10;&#10;391 participants completed study throughout Day 29 (including death and recovery), 8 terminated early before Day 29. Of the 8, 2 had adverse event, other than death and 6 withdrew consent 132 were continuing trial, not recovered as of datacut off. &#10;&#10;340 completed study through the placebo arm, 9 terminated early before Day 29. Of the 9, one had adverse event (other than death), 8 withdrew consent. 169 were continuing placebo, not recovered as of datacut off date. &#10;&#10;A total of 538 were included in the analysis from remdesivir arm and 521 were included in the analysis from placebo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daptive COVID-19 treatment trial Patient disposition.&#10;1107 patients were assessed for eligibility, 44 were excluded. 25 were ineligible due to owning to meeting exclusion criteria or not meeting inclusion criteria. 19 were eligible, but not enrolled. A total of 1063 participants underwent randomisation. 541 were assigned to receive remdesivir, 522 were assigned to placebo. 531 received  remdesivir and 518 received placebo. Of the 531 participants that received remdesivir, 180 received all 10 dose while 251 received less than 10 doses. 168 recovered, 21 died, 13 missed their dose intermittently, 36 discontinued owing to an adverse event or serve adverse event, 13 withdrew consent, and 100 were still receiving treatment. Of the 522 participants that received placebo, 185 received all 10 doses, 225 received less than 10 doses, 120 recovered, 28 died, 24 missed doses intermittently, 36 discontinued, 15 withdrew and 2 were ineligible for trial after enrolment. 108 were still receiving placebo. &#10;&#10;391 participants completed study throughout Day 29 (including death and recovery), 8 terminated early before Day 29. Of the 8, 2 had adverse event, other than death and 6 withdrew consent 132 were continuing trial, not recovered as of datacut off. &#10;&#10;340 completed study through the placebo arm, 9 terminated early before Day 29. Of the 9, one had adverse event (other than death), 8 withdrew consent. 169 were continuing placebo, not recovered as of datacut off date. &#10;&#10;A total of 538 were included in the analysis from remdesivir arm and 521 were included in the analysis from placebo arm."/>
                    <pic:cNvPicPr>
                      <a:picLocks noChangeAspect="1" noChangeArrowheads="1"/>
                    </pic:cNvPicPr>
                  </pic:nvPicPr>
                  <pic:blipFill rotWithShape="1">
                    <a:blip r:embed="rId24">
                      <a:extLst>
                        <a:ext uri="{28A0092B-C50C-407E-A947-70E740481C1C}">
                          <a14:useLocalDpi xmlns:a14="http://schemas.microsoft.com/office/drawing/2010/main" val="0"/>
                        </a:ext>
                      </a:extLst>
                    </a:blip>
                    <a:srcRect l="2345" t="1492" r="2137" b="1149"/>
                    <a:stretch/>
                  </pic:blipFill>
                  <pic:spPr bwMode="auto">
                    <a:xfrm>
                      <a:off x="0" y="0"/>
                      <a:ext cx="5057033" cy="551176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78D81B" w14:textId="1124D4C3" w:rsidR="00262527" w:rsidRDefault="00262527" w:rsidP="00262527">
      <w:pPr>
        <w:pStyle w:val="FigureTitle"/>
      </w:pPr>
      <w:bookmarkStart w:id="52" w:name="_Ref102125118"/>
      <w:r w:rsidRPr="00262527">
        <w:lastRenderedPageBreak/>
        <w:t xml:space="preserve">Figure </w:t>
      </w:r>
      <w:fldSimple w:instr=" SEQ Figure \* ARABIC ">
        <w:r w:rsidR="00563969">
          <w:rPr>
            <w:noProof/>
          </w:rPr>
          <w:t>2</w:t>
        </w:r>
      </w:fldSimple>
      <w:bookmarkEnd w:id="52"/>
      <w:r w:rsidRPr="00262527">
        <w:t>:</w:t>
      </w:r>
      <w:r>
        <w:t xml:space="preserve"> </w:t>
      </w:r>
      <w:r w:rsidR="00C60462" w:rsidRPr="007B3DDD">
        <w:t>Study GS-US-540-5776</w:t>
      </w:r>
      <w:r w:rsidR="00C60462">
        <w:t xml:space="preserve"> (ACTT trial) </w:t>
      </w:r>
      <w:r w:rsidRPr="007C1461">
        <w:t>Kaplan-Meier plots of time to recovery</w:t>
      </w:r>
    </w:p>
    <w:p w14:paraId="113E56A0" w14:textId="6746ABF7" w:rsidR="00262527" w:rsidRDefault="00262527" w:rsidP="00262527">
      <w:r w:rsidRPr="0073684F">
        <w:rPr>
          <w:noProof/>
          <w:lang w:val="en-GB" w:eastAsia="en-GB"/>
        </w:rPr>
        <w:drawing>
          <wp:inline distT="0" distB="0" distL="0" distR="0" wp14:anchorId="3A1F8805" wp14:editId="6595CFE8">
            <wp:extent cx="4778333" cy="5820354"/>
            <wp:effectExtent l="0" t="0" r="3810" b="0"/>
            <wp:docPr id="17" name="Picture 17" descr="Adaptive COVID-19 treatment trial Kaplan-Meier plots of time to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daptive COVID-19 treatment trial Kaplan-Meier plots of time to recovery"/>
                    <pic:cNvPicPr>
                      <a:picLocks noChangeAspect="1" noChangeArrowheads="1"/>
                    </pic:cNvPicPr>
                  </pic:nvPicPr>
                  <pic:blipFill rotWithShape="1">
                    <a:blip r:embed="rId25">
                      <a:extLst>
                        <a:ext uri="{28A0092B-C50C-407E-A947-70E740481C1C}">
                          <a14:useLocalDpi xmlns:a14="http://schemas.microsoft.com/office/drawing/2010/main" val="0"/>
                        </a:ext>
                      </a:extLst>
                    </a:blip>
                    <a:srcRect l="1818" t="3407" r="1516" b="2019"/>
                    <a:stretch/>
                  </pic:blipFill>
                  <pic:spPr bwMode="auto">
                    <a:xfrm>
                      <a:off x="0" y="0"/>
                      <a:ext cx="4782112" cy="5824958"/>
                    </a:xfrm>
                    <a:prstGeom prst="rect">
                      <a:avLst/>
                    </a:prstGeom>
                    <a:noFill/>
                    <a:ln>
                      <a:noFill/>
                    </a:ln>
                    <a:extLst>
                      <a:ext uri="{53640926-AAD7-44D8-BBD7-CCE9431645EC}">
                        <a14:shadowObscured xmlns:a14="http://schemas.microsoft.com/office/drawing/2010/main"/>
                      </a:ext>
                    </a:extLst>
                  </pic:spPr>
                </pic:pic>
              </a:graphicData>
            </a:graphic>
          </wp:inline>
        </w:drawing>
      </w:r>
    </w:p>
    <w:p w14:paraId="1D40111A" w14:textId="1C5C559C" w:rsidR="00C60462" w:rsidRDefault="00C60462" w:rsidP="00FA2AA4">
      <w:pPr>
        <w:pStyle w:val="FigureDescription"/>
      </w:pPr>
      <w:r>
        <w:t>CI = confidence interval; HR = hazard ratio</w:t>
      </w:r>
    </w:p>
    <w:p w14:paraId="0C8C3A26" w14:textId="48CC0E70" w:rsidR="00262527" w:rsidRDefault="00262527" w:rsidP="00262527">
      <w:r>
        <w:t xml:space="preserve">There was a statistically significant reduction in medial time to recovery in patients with severe disease receiving </w:t>
      </w:r>
      <w:proofErr w:type="spellStart"/>
      <w:r w:rsidR="000A4816">
        <w:t>remdesivir</w:t>
      </w:r>
      <w:proofErr w:type="spellEnd"/>
      <w:r>
        <w:t xml:space="preserve">, which was </w:t>
      </w:r>
      <w:r w:rsidR="00A740DA">
        <w:t>ten</w:t>
      </w:r>
      <w:r>
        <w:t xml:space="preserve"> days (95%</w:t>
      </w:r>
      <w:r w:rsidR="00C60462">
        <w:t xml:space="preserve"> </w:t>
      </w:r>
      <w:r w:rsidR="00891304">
        <w:t>confidence interval (</w:t>
      </w:r>
      <w:r>
        <w:t>CI</w:t>
      </w:r>
      <w:r w:rsidR="00891304">
        <w:t>)</w:t>
      </w:r>
      <w:r>
        <w:t xml:space="preserve"> 9</w:t>
      </w:r>
      <w:r w:rsidR="00C60462">
        <w:t> </w:t>
      </w:r>
      <w:r w:rsidR="00891304">
        <w:t xml:space="preserve">to </w:t>
      </w:r>
      <w:r>
        <w:t>11), compared to 15 days (95% CI 13</w:t>
      </w:r>
      <w:r w:rsidR="00891304">
        <w:t xml:space="preserve"> to </w:t>
      </w:r>
      <w:r>
        <w:t>18) in placebo patients. No difference in time to recovery was in patients with mild</w:t>
      </w:r>
      <w:r w:rsidR="00891304">
        <w:t xml:space="preserve"> to </w:t>
      </w:r>
      <w:r>
        <w:t>moderate disease</w:t>
      </w:r>
      <w:r w:rsidR="00891304">
        <w:t xml:space="preserve"> (</w:t>
      </w:r>
      <w:r w:rsidR="00891304">
        <w:fldChar w:fldCharType="begin"/>
      </w:r>
      <w:r w:rsidR="00891304">
        <w:instrText xml:space="preserve"> REF _Ref102125118 \h </w:instrText>
      </w:r>
      <w:r w:rsidR="00891304">
        <w:fldChar w:fldCharType="separate"/>
      </w:r>
      <w:r w:rsidR="00563969" w:rsidRPr="00262527">
        <w:t xml:space="preserve">Figure </w:t>
      </w:r>
      <w:r w:rsidR="00563969">
        <w:rPr>
          <w:noProof/>
        </w:rPr>
        <w:t>2</w:t>
      </w:r>
      <w:r w:rsidR="00891304">
        <w:fldChar w:fldCharType="end"/>
      </w:r>
      <w:r w:rsidR="00891304">
        <w:t>)</w:t>
      </w:r>
      <w:r>
        <w:t>.</w:t>
      </w:r>
    </w:p>
    <w:p w14:paraId="7A9F6A8A" w14:textId="1054FEDA" w:rsidR="00262527" w:rsidRDefault="00262527" w:rsidP="00262527">
      <w:r>
        <w:t xml:space="preserve">The </w:t>
      </w:r>
      <w:r w:rsidR="00891304">
        <w:t>c</w:t>
      </w:r>
      <w:r>
        <w:t xml:space="preserve">linical </w:t>
      </w:r>
      <w:r w:rsidR="00891304">
        <w:t>e</w:t>
      </w:r>
      <w:r>
        <w:t>valuator has noted that this trial was conducted before standard</w:t>
      </w:r>
      <w:r w:rsidR="00891304">
        <w:t xml:space="preserve"> </w:t>
      </w:r>
      <w:r>
        <w:t>of</w:t>
      </w:r>
      <w:r w:rsidR="00891304">
        <w:t xml:space="preserve"> </w:t>
      </w:r>
      <w:r>
        <w:t>case included steroids and so the difference in treatment arms may not be as great with a contemporary comparator arm.</w:t>
      </w:r>
    </w:p>
    <w:p w14:paraId="2857A27F" w14:textId="77777777" w:rsidR="00891304" w:rsidRPr="005B3876" w:rsidRDefault="00891304" w:rsidP="00891304">
      <w:pPr>
        <w:pStyle w:val="Heading4"/>
      </w:pPr>
      <w:bookmarkStart w:id="53" w:name="_Hlk101468913"/>
      <w:r>
        <w:t>S</w:t>
      </w:r>
      <w:r w:rsidRPr="005B3876">
        <w:t>tudy GS-US-540-5823</w:t>
      </w:r>
    </w:p>
    <w:bookmarkEnd w:id="53"/>
    <w:p w14:paraId="4501A02D" w14:textId="3A983299" w:rsidR="00891304" w:rsidRDefault="00891304" w:rsidP="00891304">
      <w:r>
        <w:t xml:space="preserve">Study </w:t>
      </w:r>
      <w:r w:rsidRPr="005B3876">
        <w:t>GS-US-540-5823</w:t>
      </w:r>
      <w:r>
        <w:t xml:space="preserve"> investigate </w:t>
      </w:r>
      <w:proofErr w:type="spellStart"/>
      <w:r>
        <w:t>remdesivir</w:t>
      </w:r>
      <w:proofErr w:type="spellEnd"/>
      <w:r>
        <w:t xml:space="preserve"> safety and e</w:t>
      </w:r>
      <w:r w:rsidRPr="005B3876">
        <w:t>fficacy</w:t>
      </w:r>
      <w:r>
        <w:t xml:space="preserve"> in paediatrics population. Efficacy analysis was a secondary objective of this study.</w:t>
      </w:r>
    </w:p>
    <w:p w14:paraId="6A6AC778" w14:textId="7DB08AD2" w:rsidR="00891304" w:rsidRDefault="00891304" w:rsidP="00891304">
      <w:r w:rsidRPr="001D6029">
        <w:t xml:space="preserve">Clinical </w:t>
      </w:r>
      <w:r>
        <w:t>i</w:t>
      </w:r>
      <w:r w:rsidRPr="001D6029">
        <w:t>mprovement</w:t>
      </w:r>
      <w:r>
        <w:t xml:space="preserve"> was assessed by change in a</w:t>
      </w:r>
      <w:r w:rsidR="00743DC6">
        <w:t xml:space="preserve"> </w:t>
      </w:r>
      <w:proofErr w:type="gramStart"/>
      <w:r>
        <w:t>seven point</w:t>
      </w:r>
      <w:proofErr w:type="gramEnd"/>
      <w:r>
        <w:t xml:space="preserve"> ordinal scale from Baseline. Recovery was defined as an improvement from Baseline score of 2 to 5 to one of 6 or 7, or an improvement from Baseline score of 6 to 7 (</w:t>
      </w:r>
      <w:r>
        <w:fldChar w:fldCharType="begin"/>
      </w:r>
      <w:r>
        <w:instrText xml:space="preserve"> REF _Ref102125620 \h </w:instrText>
      </w:r>
      <w:r>
        <w:fldChar w:fldCharType="separate"/>
      </w:r>
      <w:r w:rsidR="00563969">
        <w:t xml:space="preserve">Table </w:t>
      </w:r>
      <w:r w:rsidR="00563969">
        <w:rPr>
          <w:noProof/>
        </w:rPr>
        <w:t>11</w:t>
      </w:r>
      <w:r>
        <w:fldChar w:fldCharType="end"/>
      </w:r>
      <w:r>
        <w:t>).</w:t>
      </w:r>
    </w:p>
    <w:p w14:paraId="327D1FD6" w14:textId="160E1594" w:rsidR="00891304" w:rsidRPr="007C1461" w:rsidRDefault="00891304" w:rsidP="00891304">
      <w:pPr>
        <w:pStyle w:val="TableTitle"/>
      </w:pPr>
      <w:bookmarkStart w:id="54" w:name="_Ref102125620"/>
      <w:r>
        <w:lastRenderedPageBreak/>
        <w:t xml:space="preserve">Table </w:t>
      </w:r>
      <w:fldSimple w:instr=" SEQ Table \* ARABIC ">
        <w:r w:rsidR="00563969">
          <w:rPr>
            <w:noProof/>
          </w:rPr>
          <w:t>11</w:t>
        </w:r>
      </w:fldSimple>
      <w:bookmarkEnd w:id="54"/>
      <w:r>
        <w:t>: S</w:t>
      </w:r>
      <w:r w:rsidRPr="005B3876">
        <w:t>tudy GS-US-540-5823</w:t>
      </w:r>
      <w:r>
        <w:t xml:space="preserve"> Ordinal index of disease severity used to assess clinical response</w:t>
      </w:r>
    </w:p>
    <w:tbl>
      <w:tblPr>
        <w:tblStyle w:val="TableGrid"/>
        <w:tblW w:w="0" w:type="auto"/>
        <w:tblLook w:val="04A0" w:firstRow="1" w:lastRow="0" w:firstColumn="1" w:lastColumn="0" w:noHBand="0" w:noVBand="1"/>
      </w:tblPr>
      <w:tblGrid>
        <w:gridCol w:w="1555"/>
        <w:gridCol w:w="5811"/>
      </w:tblGrid>
      <w:tr w:rsidR="00891304" w:rsidRPr="002D6296" w14:paraId="3E1AFBEE" w14:textId="77777777" w:rsidTr="00891304">
        <w:trPr>
          <w:cantSplit/>
          <w:trHeight w:val="142"/>
        </w:trPr>
        <w:tc>
          <w:tcPr>
            <w:tcW w:w="1555" w:type="dxa"/>
          </w:tcPr>
          <w:p w14:paraId="63C110CD" w14:textId="77777777" w:rsidR="00891304" w:rsidRPr="002D6296" w:rsidRDefault="00891304" w:rsidP="00891304">
            <w:pPr>
              <w:rPr>
                <w:b/>
                <w:bCs/>
                <w:sz w:val="20"/>
                <w:szCs w:val="20"/>
              </w:rPr>
            </w:pPr>
            <w:r w:rsidRPr="002D6296">
              <w:rPr>
                <w:b/>
                <w:bCs/>
                <w:sz w:val="20"/>
                <w:szCs w:val="20"/>
              </w:rPr>
              <w:t>Score</w:t>
            </w:r>
          </w:p>
        </w:tc>
        <w:tc>
          <w:tcPr>
            <w:tcW w:w="5811" w:type="dxa"/>
          </w:tcPr>
          <w:p w14:paraId="00AE69BC" w14:textId="77777777" w:rsidR="00891304" w:rsidRPr="002D6296" w:rsidRDefault="00891304" w:rsidP="00891304">
            <w:pPr>
              <w:rPr>
                <w:b/>
                <w:bCs/>
                <w:sz w:val="20"/>
                <w:szCs w:val="20"/>
              </w:rPr>
            </w:pPr>
            <w:r w:rsidRPr="002D6296">
              <w:rPr>
                <w:b/>
                <w:bCs/>
                <w:sz w:val="20"/>
                <w:szCs w:val="20"/>
              </w:rPr>
              <w:t>Definition</w:t>
            </w:r>
          </w:p>
        </w:tc>
      </w:tr>
      <w:tr w:rsidR="00891304" w:rsidRPr="002D6296" w14:paraId="5C2BD7C1" w14:textId="77777777" w:rsidTr="00891304">
        <w:trPr>
          <w:cantSplit/>
          <w:trHeight w:val="142"/>
        </w:trPr>
        <w:tc>
          <w:tcPr>
            <w:tcW w:w="1555" w:type="dxa"/>
          </w:tcPr>
          <w:p w14:paraId="2C3FC0DD" w14:textId="77777777" w:rsidR="00891304" w:rsidRPr="002D6296" w:rsidRDefault="00891304" w:rsidP="00891304">
            <w:pPr>
              <w:rPr>
                <w:sz w:val="20"/>
                <w:szCs w:val="20"/>
              </w:rPr>
            </w:pPr>
            <w:r w:rsidRPr="002D6296">
              <w:rPr>
                <w:sz w:val="20"/>
                <w:szCs w:val="20"/>
              </w:rPr>
              <w:t>1</w:t>
            </w:r>
          </w:p>
        </w:tc>
        <w:tc>
          <w:tcPr>
            <w:tcW w:w="5811" w:type="dxa"/>
          </w:tcPr>
          <w:p w14:paraId="24D6B6B4" w14:textId="77777777" w:rsidR="00891304" w:rsidRPr="002D6296" w:rsidRDefault="00891304" w:rsidP="00891304">
            <w:pPr>
              <w:rPr>
                <w:sz w:val="20"/>
                <w:szCs w:val="20"/>
              </w:rPr>
            </w:pPr>
            <w:r w:rsidRPr="002D6296">
              <w:rPr>
                <w:sz w:val="20"/>
                <w:szCs w:val="20"/>
              </w:rPr>
              <w:t>Death</w:t>
            </w:r>
          </w:p>
        </w:tc>
      </w:tr>
      <w:tr w:rsidR="00891304" w:rsidRPr="002D6296" w14:paraId="2DC584D0" w14:textId="77777777" w:rsidTr="00891304">
        <w:trPr>
          <w:cantSplit/>
          <w:trHeight w:val="142"/>
        </w:trPr>
        <w:tc>
          <w:tcPr>
            <w:tcW w:w="1555" w:type="dxa"/>
          </w:tcPr>
          <w:p w14:paraId="1900E214" w14:textId="77777777" w:rsidR="00891304" w:rsidRPr="002D6296" w:rsidRDefault="00891304" w:rsidP="00891304">
            <w:pPr>
              <w:rPr>
                <w:sz w:val="20"/>
                <w:szCs w:val="20"/>
              </w:rPr>
            </w:pPr>
            <w:r w:rsidRPr="002D6296">
              <w:rPr>
                <w:sz w:val="20"/>
                <w:szCs w:val="20"/>
              </w:rPr>
              <w:t>2</w:t>
            </w:r>
          </w:p>
        </w:tc>
        <w:tc>
          <w:tcPr>
            <w:tcW w:w="5811" w:type="dxa"/>
          </w:tcPr>
          <w:p w14:paraId="51EDE05F" w14:textId="77777777" w:rsidR="00891304" w:rsidRPr="002D6296" w:rsidRDefault="00891304" w:rsidP="00891304">
            <w:pPr>
              <w:rPr>
                <w:sz w:val="20"/>
                <w:szCs w:val="20"/>
              </w:rPr>
            </w:pPr>
            <w:r w:rsidRPr="002D6296">
              <w:rPr>
                <w:sz w:val="20"/>
                <w:szCs w:val="20"/>
              </w:rPr>
              <w:t>Hospitalised, on invasive ventilation or ECMO</w:t>
            </w:r>
          </w:p>
        </w:tc>
      </w:tr>
      <w:tr w:rsidR="00891304" w:rsidRPr="002D6296" w14:paraId="4035527E" w14:textId="77777777" w:rsidTr="00891304">
        <w:trPr>
          <w:cantSplit/>
          <w:trHeight w:val="142"/>
        </w:trPr>
        <w:tc>
          <w:tcPr>
            <w:tcW w:w="1555" w:type="dxa"/>
          </w:tcPr>
          <w:p w14:paraId="0D84F369" w14:textId="77777777" w:rsidR="00891304" w:rsidRPr="002D6296" w:rsidRDefault="00891304" w:rsidP="00891304">
            <w:pPr>
              <w:rPr>
                <w:sz w:val="20"/>
                <w:szCs w:val="20"/>
              </w:rPr>
            </w:pPr>
            <w:r w:rsidRPr="002D6296">
              <w:rPr>
                <w:sz w:val="20"/>
                <w:szCs w:val="20"/>
              </w:rPr>
              <w:t>3</w:t>
            </w:r>
          </w:p>
        </w:tc>
        <w:tc>
          <w:tcPr>
            <w:tcW w:w="5811" w:type="dxa"/>
          </w:tcPr>
          <w:p w14:paraId="407AC070" w14:textId="77777777" w:rsidR="00891304" w:rsidRPr="002D6296" w:rsidRDefault="00891304" w:rsidP="00891304">
            <w:pPr>
              <w:rPr>
                <w:sz w:val="20"/>
                <w:szCs w:val="20"/>
              </w:rPr>
            </w:pPr>
            <w:r w:rsidRPr="002D6296">
              <w:rPr>
                <w:sz w:val="20"/>
                <w:szCs w:val="20"/>
              </w:rPr>
              <w:t>Hospitalised, non-invasive ventilation or high-flow oxygen</w:t>
            </w:r>
          </w:p>
        </w:tc>
      </w:tr>
      <w:tr w:rsidR="00891304" w:rsidRPr="002D6296" w14:paraId="13AB94D9" w14:textId="77777777" w:rsidTr="00891304">
        <w:trPr>
          <w:cantSplit/>
          <w:trHeight w:val="142"/>
        </w:trPr>
        <w:tc>
          <w:tcPr>
            <w:tcW w:w="1555" w:type="dxa"/>
          </w:tcPr>
          <w:p w14:paraId="58AA8264" w14:textId="77777777" w:rsidR="00891304" w:rsidRPr="002D6296" w:rsidRDefault="00891304" w:rsidP="00891304">
            <w:pPr>
              <w:rPr>
                <w:sz w:val="20"/>
                <w:szCs w:val="20"/>
              </w:rPr>
            </w:pPr>
            <w:r w:rsidRPr="002D6296">
              <w:rPr>
                <w:sz w:val="20"/>
                <w:szCs w:val="20"/>
              </w:rPr>
              <w:t>4</w:t>
            </w:r>
          </w:p>
        </w:tc>
        <w:tc>
          <w:tcPr>
            <w:tcW w:w="5811" w:type="dxa"/>
          </w:tcPr>
          <w:p w14:paraId="20590F45" w14:textId="77777777" w:rsidR="00891304" w:rsidRPr="002D6296" w:rsidRDefault="00891304" w:rsidP="00891304">
            <w:pPr>
              <w:rPr>
                <w:sz w:val="20"/>
                <w:szCs w:val="20"/>
              </w:rPr>
            </w:pPr>
            <w:r w:rsidRPr="002D6296">
              <w:rPr>
                <w:sz w:val="20"/>
                <w:szCs w:val="20"/>
              </w:rPr>
              <w:t>Hospitalised, low flow oxygen</w:t>
            </w:r>
          </w:p>
        </w:tc>
      </w:tr>
      <w:tr w:rsidR="00891304" w:rsidRPr="002D6296" w14:paraId="31E1B660" w14:textId="77777777" w:rsidTr="00891304">
        <w:trPr>
          <w:cantSplit/>
          <w:trHeight w:val="142"/>
        </w:trPr>
        <w:tc>
          <w:tcPr>
            <w:tcW w:w="1555" w:type="dxa"/>
          </w:tcPr>
          <w:p w14:paraId="387A06F3" w14:textId="77777777" w:rsidR="00891304" w:rsidRPr="002D6296" w:rsidRDefault="00891304" w:rsidP="00891304">
            <w:pPr>
              <w:rPr>
                <w:sz w:val="20"/>
                <w:szCs w:val="20"/>
              </w:rPr>
            </w:pPr>
            <w:r w:rsidRPr="002D6296">
              <w:rPr>
                <w:sz w:val="20"/>
                <w:szCs w:val="20"/>
              </w:rPr>
              <w:t>5</w:t>
            </w:r>
          </w:p>
        </w:tc>
        <w:tc>
          <w:tcPr>
            <w:tcW w:w="5811" w:type="dxa"/>
          </w:tcPr>
          <w:p w14:paraId="3C696202" w14:textId="77777777" w:rsidR="00891304" w:rsidRPr="002D6296" w:rsidRDefault="00891304" w:rsidP="00891304">
            <w:pPr>
              <w:rPr>
                <w:sz w:val="20"/>
                <w:szCs w:val="20"/>
              </w:rPr>
            </w:pPr>
            <w:r w:rsidRPr="002D6296">
              <w:rPr>
                <w:sz w:val="20"/>
                <w:szCs w:val="20"/>
              </w:rPr>
              <w:t>Hospitalised, room air but requiring ongoing medical care</w:t>
            </w:r>
          </w:p>
        </w:tc>
      </w:tr>
      <w:tr w:rsidR="00891304" w:rsidRPr="002D6296" w14:paraId="70FFAADA" w14:textId="77777777" w:rsidTr="00891304">
        <w:trPr>
          <w:cantSplit/>
          <w:trHeight w:val="142"/>
        </w:trPr>
        <w:tc>
          <w:tcPr>
            <w:tcW w:w="1555" w:type="dxa"/>
          </w:tcPr>
          <w:p w14:paraId="3B1E5DF0" w14:textId="77777777" w:rsidR="00891304" w:rsidRPr="002D6296" w:rsidRDefault="00891304" w:rsidP="00891304">
            <w:pPr>
              <w:rPr>
                <w:sz w:val="20"/>
                <w:szCs w:val="20"/>
              </w:rPr>
            </w:pPr>
            <w:r w:rsidRPr="002D6296">
              <w:rPr>
                <w:sz w:val="20"/>
                <w:szCs w:val="20"/>
              </w:rPr>
              <w:t>6</w:t>
            </w:r>
          </w:p>
        </w:tc>
        <w:tc>
          <w:tcPr>
            <w:tcW w:w="5811" w:type="dxa"/>
          </w:tcPr>
          <w:p w14:paraId="17068A98" w14:textId="77777777" w:rsidR="00891304" w:rsidRPr="002D6296" w:rsidRDefault="00891304" w:rsidP="00891304">
            <w:pPr>
              <w:rPr>
                <w:sz w:val="20"/>
                <w:szCs w:val="20"/>
              </w:rPr>
            </w:pPr>
            <w:r w:rsidRPr="002D6296">
              <w:rPr>
                <w:sz w:val="20"/>
                <w:szCs w:val="20"/>
              </w:rPr>
              <w:t>Hospitalised, room air and not requiring ongoing medical care</w:t>
            </w:r>
          </w:p>
        </w:tc>
      </w:tr>
      <w:tr w:rsidR="00891304" w:rsidRPr="002D6296" w14:paraId="2BA67146" w14:textId="77777777" w:rsidTr="00891304">
        <w:trPr>
          <w:cantSplit/>
          <w:trHeight w:val="176"/>
        </w:trPr>
        <w:tc>
          <w:tcPr>
            <w:tcW w:w="1555" w:type="dxa"/>
          </w:tcPr>
          <w:p w14:paraId="1B4A71E5" w14:textId="77777777" w:rsidR="00891304" w:rsidRPr="002D6296" w:rsidRDefault="00891304" w:rsidP="00891304">
            <w:pPr>
              <w:rPr>
                <w:sz w:val="20"/>
                <w:szCs w:val="20"/>
              </w:rPr>
            </w:pPr>
            <w:r w:rsidRPr="002D6296">
              <w:rPr>
                <w:sz w:val="20"/>
                <w:szCs w:val="20"/>
              </w:rPr>
              <w:t>7</w:t>
            </w:r>
          </w:p>
        </w:tc>
        <w:tc>
          <w:tcPr>
            <w:tcW w:w="5811" w:type="dxa"/>
          </w:tcPr>
          <w:p w14:paraId="12002C0C" w14:textId="77777777" w:rsidR="00891304" w:rsidRPr="002D6296" w:rsidRDefault="00891304" w:rsidP="00891304">
            <w:pPr>
              <w:rPr>
                <w:sz w:val="20"/>
                <w:szCs w:val="20"/>
              </w:rPr>
            </w:pPr>
            <w:r w:rsidRPr="002D6296">
              <w:rPr>
                <w:sz w:val="20"/>
                <w:szCs w:val="20"/>
              </w:rPr>
              <w:t>Not hospitalised</w:t>
            </w:r>
          </w:p>
        </w:tc>
      </w:tr>
    </w:tbl>
    <w:p w14:paraId="02905E31" w14:textId="2BBD87FA" w:rsidR="00891304" w:rsidRDefault="00891304" w:rsidP="00891304">
      <w:r>
        <w:t>The proportion of subjects who recovered was 83% (44 out of 53 subjects) at the time of last assessment, with at least 75% of patients in each cohort achieving recovery</w:t>
      </w:r>
      <w:r w:rsidR="00AE7CDB">
        <w:t>.</w:t>
      </w:r>
    </w:p>
    <w:p w14:paraId="777A3971" w14:textId="4E385A9C" w:rsidR="00891304" w:rsidRDefault="00891304" w:rsidP="00891304">
      <w:r>
        <w:t xml:space="preserve">For patients discharged alive by Day 30, the median duration of hospitalisation for all cohorts was </w:t>
      </w:r>
      <w:r w:rsidR="00A740DA">
        <w:t>seven</w:t>
      </w:r>
      <w:r>
        <w:t xml:space="preserve"> days (i</w:t>
      </w:r>
      <w:r w:rsidRPr="00891304">
        <w:t>nterquartile range</w:t>
      </w:r>
      <w:r>
        <w:t xml:space="preserve"> of 5 to 12). By Day 10 and Day 30 the proportion of patient discharged was 60.4% and 83% respectively.</w:t>
      </w:r>
    </w:p>
    <w:p w14:paraId="417671F9" w14:textId="47B0FED7" w:rsidR="00262527" w:rsidRDefault="00891304" w:rsidP="00891304">
      <w:r>
        <w:t>The clinical evaluator has noted that there was no comparison of efficacy based on age or weight.</w:t>
      </w:r>
    </w:p>
    <w:p w14:paraId="6C2D5924" w14:textId="42C623EC" w:rsidR="00AE7CDB" w:rsidRDefault="00AE7CDB" w:rsidP="00AE7CDB">
      <w:pPr>
        <w:pStyle w:val="TableTitle"/>
      </w:pPr>
      <w:bookmarkStart w:id="55" w:name="_Ref102125719"/>
      <w:r w:rsidRPr="00AE7CDB">
        <w:t xml:space="preserve">Table </w:t>
      </w:r>
      <w:fldSimple w:instr=" SEQ Table \* ARABIC ">
        <w:r w:rsidR="00563969">
          <w:rPr>
            <w:noProof/>
          </w:rPr>
          <w:t>12</w:t>
        </w:r>
      </w:fldSimple>
      <w:bookmarkEnd w:id="55"/>
      <w:r>
        <w:t xml:space="preserve">: </w:t>
      </w:r>
      <w:r w:rsidRPr="003931B1">
        <w:t>Study GS-US-540-5823</w:t>
      </w:r>
      <w:r>
        <w:t xml:space="preserve"> </w:t>
      </w:r>
      <w:r w:rsidRPr="003931B1">
        <w:t>Baseline disease severity in cohorts</w:t>
      </w:r>
    </w:p>
    <w:p w14:paraId="057040B9" w14:textId="32982A0E" w:rsidR="00891304" w:rsidRDefault="0065688A" w:rsidP="00891304">
      <w:r w:rsidRPr="0065688A">
        <w:rPr>
          <w:noProof/>
          <w:lang w:val="en-GB" w:eastAsia="en-GB"/>
        </w:rPr>
        <w:drawing>
          <wp:inline distT="0" distB="0" distL="0" distR="0" wp14:anchorId="0B2FB1EF" wp14:editId="365E54A9">
            <wp:extent cx="5303520" cy="1469320"/>
            <wp:effectExtent l="0" t="0" r="0" b="0"/>
            <wp:docPr id="16" name="Picture 16" descr="Study GS-US-540-5823 Baseline disease severity in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GS-US-540-5823 Baseline disease severity in cohorts"/>
                    <pic:cNvPicPr/>
                  </pic:nvPicPr>
                  <pic:blipFill>
                    <a:blip r:embed="rId26"/>
                    <a:stretch>
                      <a:fillRect/>
                    </a:stretch>
                  </pic:blipFill>
                  <pic:spPr>
                    <a:xfrm>
                      <a:off x="0" y="0"/>
                      <a:ext cx="5307055" cy="1470299"/>
                    </a:xfrm>
                    <a:prstGeom prst="rect">
                      <a:avLst/>
                    </a:prstGeom>
                  </pic:spPr>
                </pic:pic>
              </a:graphicData>
            </a:graphic>
          </wp:inline>
        </w:drawing>
      </w:r>
    </w:p>
    <w:p w14:paraId="7E5BD19F" w14:textId="4678B326" w:rsidR="00AE7CDB" w:rsidRDefault="00AE7CDB" w:rsidP="00AE7CDB">
      <w:r w:rsidRPr="00AE7CDB">
        <w:t xml:space="preserve">The Delegate notes that the youngest/lowest weight </w:t>
      </w:r>
      <w:r>
        <w:t>C</w:t>
      </w:r>
      <w:r w:rsidRPr="00AE7CDB">
        <w:t xml:space="preserve">ohort 4 were generally more severely ill than the other cohorts at </w:t>
      </w:r>
      <w:r>
        <w:t>B</w:t>
      </w:r>
      <w:r w:rsidRPr="00AE7CDB">
        <w:t>aseline</w:t>
      </w:r>
      <w:r>
        <w:t xml:space="preserve"> (</w:t>
      </w:r>
      <w:r>
        <w:fldChar w:fldCharType="begin"/>
      </w:r>
      <w:r>
        <w:instrText xml:space="preserve"> REF _Ref102125719 \h </w:instrText>
      </w:r>
      <w:r>
        <w:fldChar w:fldCharType="separate"/>
      </w:r>
      <w:r w:rsidR="00563969" w:rsidRPr="00AE7CDB">
        <w:t xml:space="preserve">Table </w:t>
      </w:r>
      <w:r w:rsidR="00563969">
        <w:rPr>
          <w:noProof/>
        </w:rPr>
        <w:t>12</w:t>
      </w:r>
      <w:r>
        <w:fldChar w:fldCharType="end"/>
      </w:r>
      <w:r>
        <w:t>)</w:t>
      </w:r>
      <w:r w:rsidRPr="00AE7CDB">
        <w:t>.</w:t>
      </w:r>
    </w:p>
    <w:p w14:paraId="0EF83C02" w14:textId="63636BCF" w:rsidR="00AE7CDB" w:rsidRPr="003931B1" w:rsidRDefault="00AE7CDB" w:rsidP="00AE7CDB">
      <w:pPr>
        <w:pStyle w:val="TableTitle"/>
      </w:pPr>
      <w:bookmarkStart w:id="56" w:name="_Ref102126026"/>
      <w:r>
        <w:lastRenderedPageBreak/>
        <w:t xml:space="preserve">Table </w:t>
      </w:r>
      <w:fldSimple w:instr=" SEQ Table \* ARABIC ">
        <w:r w:rsidR="00563969">
          <w:rPr>
            <w:noProof/>
          </w:rPr>
          <w:t>13</w:t>
        </w:r>
      </w:fldSimple>
      <w:bookmarkEnd w:id="56"/>
      <w:r>
        <w:t xml:space="preserve">: </w:t>
      </w:r>
      <w:r w:rsidRPr="003931B1">
        <w:t>Study</w:t>
      </w:r>
      <w:r w:rsidRPr="005B3876">
        <w:t xml:space="preserve"> GS-US-540-5823</w:t>
      </w:r>
      <w:r w:rsidR="0065688A">
        <w:t xml:space="preserve"> </w:t>
      </w:r>
      <w:r w:rsidRPr="003931B1">
        <w:t xml:space="preserve">Change </w:t>
      </w:r>
      <w:r w:rsidR="004D2528">
        <w:t>from Baseline</w:t>
      </w:r>
      <w:r w:rsidRPr="003931B1">
        <w:t xml:space="preserve"> at </w:t>
      </w:r>
      <w:r w:rsidR="0065688A">
        <w:t>D</w:t>
      </w:r>
      <w:r w:rsidRPr="003931B1">
        <w:t xml:space="preserve">ay 10 of patients in </w:t>
      </w:r>
      <w:r w:rsidR="00C60462">
        <w:t>C</w:t>
      </w:r>
      <w:r w:rsidRPr="003931B1">
        <w:t>ohorts</w:t>
      </w:r>
      <w:r w:rsidR="00C60462">
        <w:t xml:space="preserve"> 1 to 4 and Cohort 8</w:t>
      </w:r>
      <w:r w:rsidR="0065688A" w:rsidRPr="0065688A">
        <w:rPr>
          <w:noProof/>
          <w:lang w:val="en-GB" w:eastAsia="en-GB"/>
        </w:rPr>
        <w:drawing>
          <wp:inline distT="0" distB="0" distL="0" distR="0" wp14:anchorId="63BC55C8" wp14:editId="0C0FF231">
            <wp:extent cx="5239910" cy="2218828"/>
            <wp:effectExtent l="0" t="0" r="0" b="0"/>
            <wp:docPr id="18" name="Picture 18" descr="Study GS-US-540-5823Change from Baseline at Day 10 of patients in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y GS-US-540-5823Change from Baseline at Day 10 of patients in cohorts"/>
                    <pic:cNvPicPr/>
                  </pic:nvPicPr>
                  <pic:blipFill>
                    <a:blip r:embed="rId27"/>
                    <a:stretch>
                      <a:fillRect/>
                    </a:stretch>
                  </pic:blipFill>
                  <pic:spPr>
                    <a:xfrm>
                      <a:off x="0" y="0"/>
                      <a:ext cx="5247756" cy="2222150"/>
                    </a:xfrm>
                    <a:prstGeom prst="rect">
                      <a:avLst/>
                    </a:prstGeom>
                  </pic:spPr>
                </pic:pic>
              </a:graphicData>
            </a:graphic>
          </wp:inline>
        </w:drawing>
      </w:r>
    </w:p>
    <w:p w14:paraId="57A3F12F" w14:textId="5BF5DC6F" w:rsidR="00AE7CDB" w:rsidRDefault="00AE7CDB" w:rsidP="00AE7CDB">
      <w:r>
        <w:t xml:space="preserve">Of Cohort 4, 4 subjects (33.3%) showed no improvement from Baseline by Day 10 compared to 17% of the overall trial subjects. This suggests to the Delegate that the efficacy of </w:t>
      </w:r>
      <w:proofErr w:type="spellStart"/>
      <w:r w:rsidR="000A4816">
        <w:t>remdesivir</w:t>
      </w:r>
      <w:proofErr w:type="spellEnd"/>
      <w:r>
        <w:t xml:space="preserve"> in treating more severe disease in this very young/low weight group is likely to be less than that observed in the general population (</w:t>
      </w:r>
      <w:r>
        <w:fldChar w:fldCharType="begin"/>
      </w:r>
      <w:r>
        <w:instrText xml:space="preserve"> REF _Ref102126026 \h </w:instrText>
      </w:r>
      <w:r>
        <w:fldChar w:fldCharType="separate"/>
      </w:r>
      <w:r w:rsidR="00563969">
        <w:t xml:space="preserve">Table </w:t>
      </w:r>
      <w:r w:rsidR="00563969">
        <w:rPr>
          <w:noProof/>
        </w:rPr>
        <w:t>13</w:t>
      </w:r>
      <w:r>
        <w:fldChar w:fldCharType="end"/>
      </w:r>
      <w:r>
        <w:t>).</w:t>
      </w:r>
    </w:p>
    <w:p w14:paraId="144BFED4" w14:textId="5ADDED48" w:rsidR="00AE7CDB" w:rsidRDefault="00AE7CDB" w:rsidP="00AE7CDB">
      <w:r>
        <w:t>Negative COVID-19 polymerase chain reaction detections on Days 2 to 10 were reported for 42.1% (8 out of 19) of total participants with nasal oropharyngeal samples, 21.4% (6 out of 28) participants with nasopharyngeal/</w:t>
      </w:r>
      <w:r w:rsidR="00743DC6">
        <w:t>oropharyngeal</w:t>
      </w:r>
      <w:r>
        <w:t xml:space="preserve"> samples or 22.2% (2 out of 9) of participants with endotracheal aspirates.</w:t>
      </w:r>
    </w:p>
    <w:p w14:paraId="73797AAE" w14:textId="3D52CAEC" w:rsidR="00AE7CDB" w:rsidRDefault="00AE7CDB" w:rsidP="00AE7CDB">
      <w:pPr>
        <w:pStyle w:val="Heading4"/>
      </w:pPr>
      <w:r w:rsidRPr="00D93B27">
        <w:t>Study IN-US-540-5755</w:t>
      </w:r>
    </w:p>
    <w:p w14:paraId="16644BB7" w14:textId="5138F530" w:rsidR="00AE7CDB" w:rsidRDefault="00AE7CDB" w:rsidP="00AE7CDB">
      <w:r>
        <w:t xml:space="preserve">This was an open label review of outcomes from 163 cases of compassionate use of </w:t>
      </w:r>
      <w:proofErr w:type="spellStart"/>
      <w:r w:rsidR="000A4816">
        <w:t>remdesivir</w:t>
      </w:r>
      <w:proofErr w:type="spellEnd"/>
      <w:r>
        <w:t xml:space="preserve"> before March 2020. Approximately 80% of these patients survived and nearly half showed clinical improvement. The </w:t>
      </w:r>
      <w:r w:rsidR="00BF0A84">
        <w:t>c</w:t>
      </w:r>
      <w:r>
        <w:t xml:space="preserve">linical </w:t>
      </w:r>
      <w:r w:rsidR="00BF0A84">
        <w:t>e</w:t>
      </w:r>
      <w:r>
        <w:t>valuator has noted that the non</w:t>
      </w:r>
      <w:r w:rsidR="00BF0A84">
        <w:noBreakHyphen/>
      </w:r>
      <w:r>
        <w:t>comparative nature of the study and the uncertain methodology behind the patient selection render this study inconclusive.</w:t>
      </w:r>
    </w:p>
    <w:p w14:paraId="20B9718A" w14:textId="77777777" w:rsidR="00AE7CDB" w:rsidRDefault="00AE7CDB" w:rsidP="00AE7CDB">
      <w:pPr>
        <w:pStyle w:val="Heading4"/>
      </w:pPr>
      <w:bookmarkStart w:id="57" w:name="_Hlk101469134"/>
      <w:r w:rsidRPr="00FC5512">
        <w:t>Study GS-US-540-5755</w:t>
      </w:r>
    </w:p>
    <w:bookmarkEnd w:id="57"/>
    <w:p w14:paraId="05458E9B" w14:textId="146F1D23" w:rsidR="00AE7CDB" w:rsidRDefault="00AE7CDB" w:rsidP="00AE7CDB">
      <w:r>
        <w:t>This was a report of 77 paediatric patients who received compassionate use between March and August 2020.</w:t>
      </w:r>
    </w:p>
    <w:p w14:paraId="587C911F" w14:textId="5899F8DD" w:rsidR="00AE7CDB" w:rsidRDefault="00AE7CDB" w:rsidP="00AE7CDB">
      <w:r>
        <w:t xml:space="preserve">At </w:t>
      </w:r>
      <w:r w:rsidR="00BF0A84">
        <w:t>B</w:t>
      </w:r>
      <w:r>
        <w:t>aseline 50.6% (n</w:t>
      </w:r>
      <w:r w:rsidR="00BF0A84">
        <w:t xml:space="preserve"> </w:t>
      </w:r>
      <w:r>
        <w:t>=</w:t>
      </w:r>
      <w:r w:rsidR="00BF0A84">
        <w:t xml:space="preserve"> </w:t>
      </w:r>
      <w:r>
        <w:t>39) of the patients had invasive oxygen support and 49.4% (n</w:t>
      </w:r>
      <w:r w:rsidR="00BF0A84">
        <w:t xml:space="preserve"> </w:t>
      </w:r>
      <w:r>
        <w:t>=</w:t>
      </w:r>
      <w:r w:rsidR="00BF0A84">
        <w:t> </w:t>
      </w:r>
      <w:r>
        <w:t>38) did not</w:t>
      </w:r>
      <w:r w:rsidR="00BF0A84">
        <w:t xml:space="preserve"> (</w:t>
      </w:r>
      <w:r w:rsidR="00BF0A84">
        <w:fldChar w:fldCharType="begin"/>
      </w:r>
      <w:r w:rsidR="00BF0A84">
        <w:instrText xml:space="preserve"> REF _Ref102126386 \h </w:instrText>
      </w:r>
      <w:r w:rsidR="00BF0A84">
        <w:fldChar w:fldCharType="separate"/>
      </w:r>
      <w:r w:rsidR="00563969" w:rsidRPr="00BF0A84">
        <w:t xml:space="preserve">Table </w:t>
      </w:r>
      <w:r w:rsidR="00563969">
        <w:rPr>
          <w:noProof/>
        </w:rPr>
        <w:t>14</w:t>
      </w:r>
      <w:r w:rsidR="00BF0A84">
        <w:fldChar w:fldCharType="end"/>
      </w:r>
      <w:r w:rsidR="00BF0A84">
        <w:t>)</w:t>
      </w:r>
      <w:r>
        <w:t>.</w:t>
      </w:r>
    </w:p>
    <w:p w14:paraId="1EC6533C" w14:textId="29EBCA3F" w:rsidR="00AE7CDB" w:rsidRDefault="00BF0A84" w:rsidP="00BF0A84">
      <w:pPr>
        <w:pStyle w:val="TableTitle"/>
      </w:pPr>
      <w:bookmarkStart w:id="58" w:name="_Ref102126386"/>
      <w:r w:rsidRPr="00BF0A84">
        <w:lastRenderedPageBreak/>
        <w:t xml:space="preserve">Table </w:t>
      </w:r>
      <w:fldSimple w:instr=" SEQ Table \* ARABIC ">
        <w:r w:rsidR="00563969">
          <w:rPr>
            <w:noProof/>
          </w:rPr>
          <w:t>14</w:t>
        </w:r>
      </w:fldSimple>
      <w:bookmarkEnd w:id="58"/>
      <w:r>
        <w:t xml:space="preserve">: </w:t>
      </w:r>
      <w:r w:rsidRPr="003931B1">
        <w:t>Study GS-US-540-5755</w:t>
      </w:r>
      <w:r>
        <w:t xml:space="preserve"> </w:t>
      </w:r>
      <w:r w:rsidRPr="003931B1">
        <w:t>Baseline characteristics of compassionate use recipients</w:t>
      </w:r>
    </w:p>
    <w:p w14:paraId="5679635F" w14:textId="03C152A3" w:rsidR="00BF0A84" w:rsidRDefault="00BF0A84" w:rsidP="00BF0A84">
      <w:r w:rsidRPr="00FC5512">
        <w:rPr>
          <w:noProof/>
          <w:lang w:val="en-GB" w:eastAsia="en-GB"/>
        </w:rPr>
        <w:drawing>
          <wp:inline distT="0" distB="0" distL="0" distR="0" wp14:anchorId="5A58BED5" wp14:editId="12B957E7">
            <wp:extent cx="5332312" cy="5987332"/>
            <wp:effectExtent l="0" t="0" r="1905" b="0"/>
            <wp:docPr id="22" name="Picture 22" descr="Study GS-US-540-5755 Baseline characteristics of compassionate use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y GS-US-540-5755 Baseline characteristics of compassionate use recipients"/>
                    <pic:cNvPicPr>
                      <a:picLocks noChangeAspect="1" noChangeArrowheads="1"/>
                    </pic:cNvPicPr>
                  </pic:nvPicPr>
                  <pic:blipFill rotWithShape="1">
                    <a:blip r:embed="rId28">
                      <a:extLst>
                        <a:ext uri="{28A0092B-C50C-407E-A947-70E740481C1C}">
                          <a14:useLocalDpi xmlns:a14="http://schemas.microsoft.com/office/drawing/2010/main" val="0"/>
                        </a:ext>
                      </a:extLst>
                    </a:blip>
                    <a:srcRect r="4133"/>
                    <a:stretch/>
                  </pic:blipFill>
                  <pic:spPr bwMode="auto">
                    <a:xfrm>
                      <a:off x="0" y="0"/>
                      <a:ext cx="5341090" cy="5997188"/>
                    </a:xfrm>
                    <a:prstGeom prst="rect">
                      <a:avLst/>
                    </a:prstGeom>
                    <a:noFill/>
                    <a:ln>
                      <a:noFill/>
                    </a:ln>
                    <a:extLst>
                      <a:ext uri="{53640926-AAD7-44D8-BBD7-CCE9431645EC}">
                        <a14:shadowObscured xmlns:a14="http://schemas.microsoft.com/office/drawing/2010/main"/>
                      </a:ext>
                    </a:extLst>
                  </pic:spPr>
                </pic:pic>
              </a:graphicData>
            </a:graphic>
          </wp:inline>
        </w:drawing>
      </w:r>
    </w:p>
    <w:p w14:paraId="3FCF4315" w14:textId="0E72A16F" w:rsidR="00BF0A84" w:rsidRDefault="00BF0A84" w:rsidP="00BF0A84">
      <w:r>
        <w:t xml:space="preserve">Clinical outcomes at Day 28 were assessed on a </w:t>
      </w:r>
      <w:proofErr w:type="gramStart"/>
      <w:r>
        <w:t>six</w:t>
      </w:r>
      <w:r w:rsidR="00591865">
        <w:t xml:space="preserve"> </w:t>
      </w:r>
      <w:r>
        <w:t>point</w:t>
      </w:r>
      <w:proofErr w:type="gramEnd"/>
      <w:r>
        <w:t xml:space="preserve"> ordinal scale</w:t>
      </w:r>
      <w:r w:rsidR="00591865">
        <w:t xml:space="preserve"> (</w:t>
      </w:r>
      <w:r w:rsidR="00591865">
        <w:fldChar w:fldCharType="begin"/>
      </w:r>
      <w:r w:rsidR="00591865">
        <w:instrText xml:space="preserve"> REF _Ref102129363 \h </w:instrText>
      </w:r>
      <w:r w:rsidR="00591865">
        <w:fldChar w:fldCharType="separate"/>
      </w:r>
      <w:r w:rsidR="00563969" w:rsidRPr="00591865">
        <w:t xml:space="preserve">Table </w:t>
      </w:r>
      <w:r w:rsidR="00563969">
        <w:rPr>
          <w:noProof/>
        </w:rPr>
        <w:t>15</w:t>
      </w:r>
      <w:r w:rsidR="00591865">
        <w:fldChar w:fldCharType="end"/>
      </w:r>
      <w:r w:rsidR="00591865">
        <w:t>)</w:t>
      </w:r>
      <w:r>
        <w:t>.</w:t>
      </w:r>
    </w:p>
    <w:p w14:paraId="2A8BEC7E" w14:textId="569E7801" w:rsidR="00BF0A84" w:rsidRDefault="00591865" w:rsidP="00D95D25">
      <w:pPr>
        <w:pStyle w:val="TableTitle"/>
      </w:pPr>
      <w:bookmarkStart w:id="59" w:name="_Ref102129363"/>
      <w:r w:rsidRPr="00591865">
        <w:lastRenderedPageBreak/>
        <w:t xml:space="preserve">Table </w:t>
      </w:r>
      <w:fldSimple w:instr=" SEQ Table \* ARABIC ">
        <w:r w:rsidR="00563969">
          <w:rPr>
            <w:noProof/>
          </w:rPr>
          <w:t>15</w:t>
        </w:r>
      </w:fldSimple>
      <w:bookmarkEnd w:id="59"/>
      <w:r>
        <w:t xml:space="preserve">: </w:t>
      </w:r>
      <w:r w:rsidRPr="00591865">
        <w:t>Study GS-US-540-5755</w:t>
      </w:r>
      <w:r>
        <w:t xml:space="preserve"> </w:t>
      </w:r>
      <w:r w:rsidRPr="00591865">
        <w:t>Six-point ordinal scale used to assess clinical outcomes</w:t>
      </w:r>
    </w:p>
    <w:tbl>
      <w:tblPr>
        <w:tblStyle w:val="TableGrid"/>
        <w:tblW w:w="0" w:type="auto"/>
        <w:tblLook w:val="04A0" w:firstRow="1" w:lastRow="0" w:firstColumn="1" w:lastColumn="0" w:noHBand="0" w:noVBand="1"/>
      </w:tblPr>
      <w:tblGrid>
        <w:gridCol w:w="1555"/>
        <w:gridCol w:w="5811"/>
      </w:tblGrid>
      <w:tr w:rsidR="00591865" w:rsidRPr="002D6296" w14:paraId="63517874" w14:textId="77777777" w:rsidTr="00294D7D">
        <w:trPr>
          <w:cantSplit/>
          <w:trHeight w:val="142"/>
        </w:trPr>
        <w:tc>
          <w:tcPr>
            <w:tcW w:w="1555" w:type="dxa"/>
          </w:tcPr>
          <w:p w14:paraId="5C053B98" w14:textId="77777777" w:rsidR="00591865" w:rsidRPr="002D6296" w:rsidRDefault="00591865" w:rsidP="00D95D25">
            <w:pPr>
              <w:keepNext/>
              <w:rPr>
                <w:b/>
                <w:bCs/>
                <w:sz w:val="20"/>
                <w:szCs w:val="20"/>
              </w:rPr>
            </w:pPr>
            <w:r w:rsidRPr="002D6296">
              <w:rPr>
                <w:b/>
                <w:bCs/>
                <w:sz w:val="20"/>
                <w:szCs w:val="20"/>
              </w:rPr>
              <w:t>Score</w:t>
            </w:r>
          </w:p>
        </w:tc>
        <w:tc>
          <w:tcPr>
            <w:tcW w:w="5811" w:type="dxa"/>
          </w:tcPr>
          <w:p w14:paraId="4FCC1514" w14:textId="77777777" w:rsidR="00591865" w:rsidRPr="002D6296" w:rsidRDefault="00591865" w:rsidP="00D95D25">
            <w:pPr>
              <w:keepNext/>
              <w:rPr>
                <w:b/>
                <w:bCs/>
                <w:sz w:val="20"/>
                <w:szCs w:val="20"/>
              </w:rPr>
            </w:pPr>
            <w:r w:rsidRPr="002D6296">
              <w:rPr>
                <w:b/>
                <w:bCs/>
                <w:sz w:val="20"/>
                <w:szCs w:val="20"/>
              </w:rPr>
              <w:t>Definition</w:t>
            </w:r>
          </w:p>
        </w:tc>
      </w:tr>
      <w:tr w:rsidR="00591865" w:rsidRPr="002D6296" w14:paraId="0DDBD1AC" w14:textId="77777777" w:rsidTr="00294D7D">
        <w:trPr>
          <w:cantSplit/>
          <w:trHeight w:val="142"/>
        </w:trPr>
        <w:tc>
          <w:tcPr>
            <w:tcW w:w="1555" w:type="dxa"/>
          </w:tcPr>
          <w:p w14:paraId="4786F253" w14:textId="77777777" w:rsidR="00591865" w:rsidRPr="002D6296" w:rsidRDefault="00591865" w:rsidP="00D95D25">
            <w:pPr>
              <w:keepNext/>
              <w:rPr>
                <w:sz w:val="20"/>
                <w:szCs w:val="20"/>
              </w:rPr>
            </w:pPr>
            <w:r w:rsidRPr="002D6296">
              <w:rPr>
                <w:sz w:val="20"/>
                <w:szCs w:val="20"/>
              </w:rPr>
              <w:t>1</w:t>
            </w:r>
          </w:p>
        </w:tc>
        <w:tc>
          <w:tcPr>
            <w:tcW w:w="5811" w:type="dxa"/>
          </w:tcPr>
          <w:p w14:paraId="1F0B417B" w14:textId="31F902B3" w:rsidR="00591865" w:rsidRPr="002D6296" w:rsidRDefault="00591865" w:rsidP="00D95D25">
            <w:pPr>
              <w:keepNext/>
              <w:rPr>
                <w:sz w:val="20"/>
                <w:szCs w:val="20"/>
              </w:rPr>
            </w:pPr>
            <w:r>
              <w:rPr>
                <w:sz w:val="20"/>
                <w:szCs w:val="20"/>
              </w:rPr>
              <w:t>Not hospitalised (discharge)</w:t>
            </w:r>
          </w:p>
        </w:tc>
      </w:tr>
      <w:tr w:rsidR="00591865" w:rsidRPr="002D6296" w14:paraId="723C617B" w14:textId="77777777" w:rsidTr="00294D7D">
        <w:trPr>
          <w:cantSplit/>
          <w:trHeight w:val="142"/>
        </w:trPr>
        <w:tc>
          <w:tcPr>
            <w:tcW w:w="1555" w:type="dxa"/>
          </w:tcPr>
          <w:p w14:paraId="4507599F" w14:textId="77777777" w:rsidR="00591865" w:rsidRPr="002D6296" w:rsidRDefault="00591865" w:rsidP="00D95D25">
            <w:pPr>
              <w:keepNext/>
              <w:rPr>
                <w:sz w:val="20"/>
                <w:szCs w:val="20"/>
              </w:rPr>
            </w:pPr>
            <w:r w:rsidRPr="002D6296">
              <w:rPr>
                <w:sz w:val="20"/>
                <w:szCs w:val="20"/>
              </w:rPr>
              <w:t>2</w:t>
            </w:r>
          </w:p>
        </w:tc>
        <w:tc>
          <w:tcPr>
            <w:tcW w:w="5811" w:type="dxa"/>
          </w:tcPr>
          <w:p w14:paraId="4606140F" w14:textId="4DA48AD4" w:rsidR="00591865" w:rsidRPr="002D6296" w:rsidRDefault="00591865" w:rsidP="00D95D25">
            <w:pPr>
              <w:keepNext/>
              <w:rPr>
                <w:sz w:val="20"/>
                <w:szCs w:val="20"/>
              </w:rPr>
            </w:pPr>
            <w:r w:rsidRPr="002D6296">
              <w:rPr>
                <w:sz w:val="20"/>
                <w:szCs w:val="20"/>
              </w:rPr>
              <w:t xml:space="preserve">Hospitalised, </w:t>
            </w:r>
            <w:r>
              <w:rPr>
                <w:sz w:val="20"/>
                <w:szCs w:val="20"/>
              </w:rPr>
              <w:t>not requiring supplement oxygen (room air)</w:t>
            </w:r>
          </w:p>
        </w:tc>
      </w:tr>
      <w:tr w:rsidR="00591865" w:rsidRPr="002D6296" w14:paraId="4EF22924" w14:textId="77777777" w:rsidTr="00294D7D">
        <w:trPr>
          <w:cantSplit/>
          <w:trHeight w:val="142"/>
        </w:trPr>
        <w:tc>
          <w:tcPr>
            <w:tcW w:w="1555" w:type="dxa"/>
          </w:tcPr>
          <w:p w14:paraId="1174AA51" w14:textId="77777777" w:rsidR="00591865" w:rsidRPr="002D6296" w:rsidRDefault="00591865" w:rsidP="00D95D25">
            <w:pPr>
              <w:keepNext/>
              <w:rPr>
                <w:sz w:val="20"/>
                <w:szCs w:val="20"/>
              </w:rPr>
            </w:pPr>
            <w:r w:rsidRPr="002D6296">
              <w:rPr>
                <w:sz w:val="20"/>
                <w:szCs w:val="20"/>
              </w:rPr>
              <w:t>3</w:t>
            </w:r>
          </w:p>
        </w:tc>
        <w:tc>
          <w:tcPr>
            <w:tcW w:w="5811" w:type="dxa"/>
          </w:tcPr>
          <w:p w14:paraId="43B69801" w14:textId="7842E23F" w:rsidR="00591865" w:rsidRPr="002D6296" w:rsidRDefault="00591865" w:rsidP="00D95D25">
            <w:pPr>
              <w:keepNext/>
              <w:rPr>
                <w:sz w:val="20"/>
                <w:szCs w:val="20"/>
              </w:rPr>
            </w:pPr>
            <w:r w:rsidRPr="002D6296">
              <w:rPr>
                <w:sz w:val="20"/>
                <w:szCs w:val="20"/>
              </w:rPr>
              <w:t xml:space="preserve">Hospitalised, </w:t>
            </w:r>
            <w:r>
              <w:rPr>
                <w:sz w:val="20"/>
                <w:szCs w:val="20"/>
              </w:rPr>
              <w:t>requiring supplement (low flow) oxygen</w:t>
            </w:r>
          </w:p>
        </w:tc>
      </w:tr>
      <w:tr w:rsidR="00591865" w:rsidRPr="002D6296" w14:paraId="48C1FBDC" w14:textId="77777777" w:rsidTr="00294D7D">
        <w:trPr>
          <w:cantSplit/>
          <w:trHeight w:val="142"/>
        </w:trPr>
        <w:tc>
          <w:tcPr>
            <w:tcW w:w="1555" w:type="dxa"/>
          </w:tcPr>
          <w:p w14:paraId="3B212E8F" w14:textId="77777777" w:rsidR="00591865" w:rsidRPr="002D6296" w:rsidRDefault="00591865" w:rsidP="00D95D25">
            <w:pPr>
              <w:keepNext/>
              <w:rPr>
                <w:sz w:val="20"/>
                <w:szCs w:val="20"/>
              </w:rPr>
            </w:pPr>
            <w:r w:rsidRPr="002D6296">
              <w:rPr>
                <w:sz w:val="20"/>
                <w:szCs w:val="20"/>
              </w:rPr>
              <w:t>4</w:t>
            </w:r>
          </w:p>
        </w:tc>
        <w:tc>
          <w:tcPr>
            <w:tcW w:w="5811" w:type="dxa"/>
          </w:tcPr>
          <w:p w14:paraId="0303EDAF" w14:textId="236F5666" w:rsidR="00591865" w:rsidRPr="002D6296" w:rsidRDefault="00591865" w:rsidP="00D95D25">
            <w:pPr>
              <w:keepNext/>
              <w:rPr>
                <w:sz w:val="20"/>
                <w:szCs w:val="20"/>
              </w:rPr>
            </w:pPr>
            <w:r w:rsidRPr="002D6296">
              <w:rPr>
                <w:sz w:val="20"/>
                <w:szCs w:val="20"/>
              </w:rPr>
              <w:t xml:space="preserve">Hospitalised, </w:t>
            </w:r>
            <w:r>
              <w:rPr>
                <w:sz w:val="20"/>
                <w:szCs w:val="20"/>
              </w:rPr>
              <w:t>requiring high flow oxygen and/or NIPPV</w:t>
            </w:r>
          </w:p>
        </w:tc>
      </w:tr>
      <w:tr w:rsidR="00591865" w:rsidRPr="002D6296" w14:paraId="32505E93" w14:textId="77777777" w:rsidTr="00294D7D">
        <w:trPr>
          <w:cantSplit/>
          <w:trHeight w:val="142"/>
        </w:trPr>
        <w:tc>
          <w:tcPr>
            <w:tcW w:w="1555" w:type="dxa"/>
          </w:tcPr>
          <w:p w14:paraId="54E803FC" w14:textId="77777777" w:rsidR="00591865" w:rsidRPr="002D6296" w:rsidRDefault="00591865" w:rsidP="00D95D25">
            <w:pPr>
              <w:keepNext/>
              <w:rPr>
                <w:sz w:val="20"/>
                <w:szCs w:val="20"/>
              </w:rPr>
            </w:pPr>
            <w:r w:rsidRPr="002D6296">
              <w:rPr>
                <w:sz w:val="20"/>
                <w:szCs w:val="20"/>
              </w:rPr>
              <w:t>5</w:t>
            </w:r>
          </w:p>
        </w:tc>
        <w:tc>
          <w:tcPr>
            <w:tcW w:w="5811" w:type="dxa"/>
          </w:tcPr>
          <w:p w14:paraId="63EDBBF4" w14:textId="450A5651" w:rsidR="00591865" w:rsidRPr="002D6296" w:rsidRDefault="00591865" w:rsidP="00D95D25">
            <w:pPr>
              <w:keepNext/>
              <w:rPr>
                <w:sz w:val="20"/>
                <w:szCs w:val="20"/>
              </w:rPr>
            </w:pPr>
            <w:r w:rsidRPr="002D6296">
              <w:rPr>
                <w:sz w:val="20"/>
                <w:szCs w:val="20"/>
              </w:rPr>
              <w:t xml:space="preserve">Hospitalised, </w:t>
            </w:r>
            <w:r>
              <w:rPr>
                <w:sz w:val="20"/>
                <w:szCs w:val="20"/>
              </w:rPr>
              <w:t>requiring invasive mechanical ventilation and/or ECMO</w:t>
            </w:r>
          </w:p>
        </w:tc>
      </w:tr>
      <w:tr w:rsidR="00591865" w:rsidRPr="002D6296" w14:paraId="7C4D60CA" w14:textId="77777777" w:rsidTr="00294D7D">
        <w:trPr>
          <w:cantSplit/>
          <w:trHeight w:val="142"/>
        </w:trPr>
        <w:tc>
          <w:tcPr>
            <w:tcW w:w="1555" w:type="dxa"/>
          </w:tcPr>
          <w:p w14:paraId="50490C90" w14:textId="77777777" w:rsidR="00591865" w:rsidRPr="002D6296" w:rsidRDefault="00591865" w:rsidP="00D95D25">
            <w:pPr>
              <w:keepNext/>
              <w:rPr>
                <w:sz w:val="20"/>
                <w:szCs w:val="20"/>
              </w:rPr>
            </w:pPr>
            <w:r w:rsidRPr="002D6296">
              <w:rPr>
                <w:sz w:val="20"/>
                <w:szCs w:val="20"/>
              </w:rPr>
              <w:t>6</w:t>
            </w:r>
          </w:p>
        </w:tc>
        <w:tc>
          <w:tcPr>
            <w:tcW w:w="5811" w:type="dxa"/>
          </w:tcPr>
          <w:p w14:paraId="1D73BE04" w14:textId="19962B91" w:rsidR="00591865" w:rsidRPr="002D6296" w:rsidRDefault="00591865" w:rsidP="00D95D25">
            <w:pPr>
              <w:keepNext/>
              <w:rPr>
                <w:sz w:val="20"/>
                <w:szCs w:val="20"/>
              </w:rPr>
            </w:pPr>
            <w:r>
              <w:rPr>
                <w:sz w:val="20"/>
                <w:szCs w:val="20"/>
              </w:rPr>
              <w:t>Death</w:t>
            </w:r>
          </w:p>
        </w:tc>
      </w:tr>
    </w:tbl>
    <w:p w14:paraId="1CFDFC82" w14:textId="09D0F3FC" w:rsidR="00591865" w:rsidRDefault="00591865" w:rsidP="00591865">
      <w:pPr>
        <w:pStyle w:val="TableDescription"/>
      </w:pPr>
      <w:r>
        <w:t>Recovery was defined as improvement from (1) room air at Baseline to discharge or (2) oxygen support of any kind at Baseline to room air or discharge.</w:t>
      </w:r>
    </w:p>
    <w:p w14:paraId="46E64C9C" w14:textId="269415C2" w:rsidR="00591865" w:rsidRDefault="00743DC6" w:rsidP="00591865">
      <w:r>
        <w:t>Overall,</w:t>
      </w:r>
      <w:r w:rsidR="00591865">
        <w:t xml:space="preserve"> 83.1% of the patients recovered, 72.7% were discharged and 83.1% observed a &gt; </w:t>
      </w:r>
      <w:proofErr w:type="gramStart"/>
      <w:r w:rsidR="00591865">
        <w:t>2 point</w:t>
      </w:r>
      <w:proofErr w:type="gramEnd"/>
      <w:r w:rsidR="00591865">
        <w:t xml:space="preserve"> clinical improvement.</w:t>
      </w:r>
    </w:p>
    <w:p w14:paraId="0C15E713" w14:textId="1DF57B29" w:rsidR="00591865" w:rsidRDefault="00591865" w:rsidP="00591865">
      <w:r>
        <w:t>The Delegate notes that 12 of the patients were &lt; 1 year of age, and approximately half of them were &gt; 12 years of age.</w:t>
      </w:r>
    </w:p>
    <w:p w14:paraId="302CB050" w14:textId="3B9F647F" w:rsidR="00591865" w:rsidRDefault="00591865" w:rsidP="00591865">
      <w:pPr>
        <w:pStyle w:val="Heading4"/>
      </w:pPr>
      <w:r>
        <w:t>Safety</w:t>
      </w:r>
    </w:p>
    <w:p w14:paraId="6CDF3F6A" w14:textId="4150F36D" w:rsidR="00124B19" w:rsidRDefault="00124B19" w:rsidP="00124B19">
      <w:pPr>
        <w:pStyle w:val="Heading5"/>
      </w:pPr>
      <w:r>
        <w:t>Clinical safety in paediatrics</w:t>
      </w:r>
    </w:p>
    <w:p w14:paraId="59977383" w14:textId="595F30B9" w:rsidR="00124B19" w:rsidRPr="00124B19" w:rsidRDefault="00124B19" w:rsidP="00124B19">
      <w:r>
        <w:t xml:space="preserve">Patient exposure in Study GS-US-540-5823 is listed in </w:t>
      </w:r>
      <w:r>
        <w:fldChar w:fldCharType="begin"/>
      </w:r>
      <w:r>
        <w:instrText xml:space="preserve"> REF _Ref102130190 \h </w:instrText>
      </w:r>
      <w:r>
        <w:fldChar w:fldCharType="separate"/>
      </w:r>
      <w:r w:rsidR="00563969" w:rsidRPr="00124B19">
        <w:t xml:space="preserve">Table </w:t>
      </w:r>
      <w:r w:rsidR="00563969">
        <w:rPr>
          <w:noProof/>
        </w:rPr>
        <w:t>16</w:t>
      </w:r>
      <w:r>
        <w:fldChar w:fldCharType="end"/>
      </w:r>
      <w:r>
        <w:t>.</w:t>
      </w:r>
    </w:p>
    <w:p w14:paraId="5AD3E31C" w14:textId="1B9FAFDB" w:rsidR="00124B19" w:rsidRDefault="00124B19" w:rsidP="00124B19">
      <w:pPr>
        <w:pStyle w:val="TableTitle"/>
      </w:pPr>
      <w:bookmarkStart w:id="60" w:name="_Ref102130190"/>
      <w:r w:rsidRPr="00124B19">
        <w:lastRenderedPageBreak/>
        <w:t xml:space="preserve">Table </w:t>
      </w:r>
      <w:fldSimple w:instr=" SEQ Table \* ARABIC ">
        <w:r w:rsidR="00563969">
          <w:rPr>
            <w:noProof/>
          </w:rPr>
          <w:t>16</w:t>
        </w:r>
      </w:fldSimple>
      <w:bookmarkEnd w:id="60"/>
      <w:r>
        <w:t>: Study GS-US-540-5823 Patient exposure</w:t>
      </w:r>
    </w:p>
    <w:p w14:paraId="6EE0343D" w14:textId="790B3820" w:rsidR="00124B19" w:rsidRDefault="0065688A" w:rsidP="0065688A">
      <w:pPr>
        <w:pStyle w:val="TableTitle"/>
      </w:pPr>
      <w:r w:rsidRPr="0065688A">
        <w:rPr>
          <w:noProof/>
          <w:lang w:val="en-GB" w:eastAsia="en-GB"/>
        </w:rPr>
        <w:drawing>
          <wp:inline distT="0" distB="0" distL="0" distR="0" wp14:anchorId="73EE3ED2" wp14:editId="2BC27D22">
            <wp:extent cx="5335326" cy="3935171"/>
            <wp:effectExtent l="0" t="0" r="0" b="8255"/>
            <wp:docPr id="19" name="Picture 19" descr="Study GS-US-540-5823 Patient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y GS-US-540-5823 Patient exposure"/>
                    <pic:cNvPicPr/>
                  </pic:nvPicPr>
                  <pic:blipFill>
                    <a:blip r:embed="rId29"/>
                    <a:stretch>
                      <a:fillRect/>
                    </a:stretch>
                  </pic:blipFill>
                  <pic:spPr>
                    <a:xfrm>
                      <a:off x="0" y="0"/>
                      <a:ext cx="5352550" cy="3947875"/>
                    </a:xfrm>
                    <a:prstGeom prst="rect">
                      <a:avLst/>
                    </a:prstGeom>
                  </pic:spPr>
                </pic:pic>
              </a:graphicData>
            </a:graphic>
          </wp:inline>
        </w:drawing>
      </w:r>
    </w:p>
    <w:p w14:paraId="2B5A2E1B" w14:textId="5EEBF16A" w:rsidR="00124B19" w:rsidRDefault="00124B19" w:rsidP="00124B19">
      <w:pPr>
        <w:pStyle w:val="TableDescription"/>
      </w:pPr>
      <w:r>
        <w:t>Max = maximum; min = minimum; Q1 = first quartile; Q3 = third quartile</w:t>
      </w:r>
    </w:p>
    <w:p w14:paraId="7896ABF5" w14:textId="094469D7" w:rsidR="00124B19" w:rsidRDefault="00124B19" w:rsidP="00124B19">
      <w:r>
        <w:t xml:space="preserve">In this study patients received </w:t>
      </w:r>
      <w:proofErr w:type="spellStart"/>
      <w:r w:rsidR="000A4816">
        <w:t>remdesivir</w:t>
      </w:r>
      <w:proofErr w:type="spellEnd"/>
      <w:r>
        <w:t xml:space="preserve"> for a median duration of </w:t>
      </w:r>
      <w:r w:rsidR="00A740DA">
        <w:t>five</w:t>
      </w:r>
      <w:r>
        <w:t xml:space="preserve"> days (interquartile range, 4 to 8) during the study. Only approximately a quarter of patients reached </w:t>
      </w:r>
      <w:r w:rsidR="00A740DA">
        <w:t>ten</w:t>
      </w:r>
      <w:r>
        <w:t xml:space="preserve"> days of treatment.</w:t>
      </w:r>
    </w:p>
    <w:p w14:paraId="4EDA9C0A" w14:textId="2469EAE4" w:rsidR="00124B19" w:rsidRDefault="00124B19" w:rsidP="0065688A">
      <w:pPr>
        <w:pStyle w:val="TableTitle"/>
      </w:pPr>
      <w:bookmarkStart w:id="61" w:name="_Ref102130683"/>
      <w:r w:rsidRPr="00124B19">
        <w:t xml:space="preserve">Table </w:t>
      </w:r>
      <w:fldSimple w:instr=" SEQ Table \* ARABIC ">
        <w:r w:rsidR="00563969">
          <w:rPr>
            <w:noProof/>
          </w:rPr>
          <w:t>17</w:t>
        </w:r>
      </w:fldSimple>
      <w:bookmarkEnd w:id="61"/>
      <w:r w:rsidRPr="00124B19">
        <w:t>:</w:t>
      </w:r>
      <w:r>
        <w:t xml:space="preserve"> </w:t>
      </w:r>
      <w:r w:rsidRPr="00124B19">
        <w:t>Study GS-US-540-</w:t>
      </w:r>
      <w:r w:rsidR="003F4CAA">
        <w:t xml:space="preserve">5823 </w:t>
      </w:r>
      <w:r w:rsidRPr="00124B19">
        <w:t>Summary of adverse events</w:t>
      </w:r>
    </w:p>
    <w:p w14:paraId="4B2CAA64" w14:textId="621274FF" w:rsidR="0065688A" w:rsidRDefault="0065688A" w:rsidP="00124B19">
      <w:r w:rsidRPr="0065688A">
        <w:rPr>
          <w:noProof/>
          <w:lang w:val="en-GB" w:eastAsia="en-GB"/>
        </w:rPr>
        <w:drawing>
          <wp:inline distT="0" distB="0" distL="0" distR="0" wp14:anchorId="791F487A" wp14:editId="71977CA1">
            <wp:extent cx="5303520" cy="2173932"/>
            <wp:effectExtent l="0" t="0" r="0" b="0"/>
            <wp:docPr id="23" name="Picture 23" descr="Study GS-US-540-5755 Summary of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y GS-US-540-5755 Summary of adverse events"/>
                    <pic:cNvPicPr/>
                  </pic:nvPicPr>
                  <pic:blipFill>
                    <a:blip r:embed="rId30"/>
                    <a:stretch>
                      <a:fillRect/>
                    </a:stretch>
                  </pic:blipFill>
                  <pic:spPr>
                    <a:xfrm>
                      <a:off x="0" y="0"/>
                      <a:ext cx="5327778" cy="2183875"/>
                    </a:xfrm>
                    <a:prstGeom prst="rect">
                      <a:avLst/>
                    </a:prstGeom>
                  </pic:spPr>
                </pic:pic>
              </a:graphicData>
            </a:graphic>
          </wp:inline>
        </w:drawing>
      </w:r>
    </w:p>
    <w:p w14:paraId="26C851BD" w14:textId="6D5E6FA8" w:rsidR="00124B19" w:rsidRDefault="00124B19" w:rsidP="00124B19">
      <w:pPr>
        <w:pStyle w:val="TableDescription"/>
      </w:pPr>
      <w:r>
        <w:t>AE = adverse events; DAIDS = Division of AIDS; MedDRA = Medical Dictionary for Regulatory Activities</w:t>
      </w:r>
    </w:p>
    <w:p w14:paraId="5AEE6748" w14:textId="06F22460" w:rsidR="00124B19" w:rsidRDefault="00124B19" w:rsidP="00124B19">
      <w:pPr>
        <w:pStyle w:val="TableDescription"/>
      </w:pPr>
      <w:r>
        <w:t>Adverse events were coded using MedDRA Version 24.</w:t>
      </w:r>
    </w:p>
    <w:p w14:paraId="40C35AE1" w14:textId="6B2BCC8D" w:rsidR="00124B19" w:rsidRDefault="00124B19" w:rsidP="00124B19">
      <w:pPr>
        <w:pStyle w:val="TableDescription"/>
      </w:pPr>
      <w:r>
        <w:t>Severity grades were defined by the DAIDS Table for Grading the Severity of Adult and Paediatric Adverse Events, Version 2.1, July 2017.</w:t>
      </w:r>
    </w:p>
    <w:p w14:paraId="0A531C4F" w14:textId="155158F1" w:rsidR="00124B19" w:rsidRDefault="00124B19" w:rsidP="00124B19">
      <w:pPr>
        <w:pStyle w:val="TableDescription"/>
      </w:pPr>
      <w:r>
        <w:t>Treatment emergent death refers to deaths that occurred between the first dose date and the last dose date plus 30 days (inclusive).</w:t>
      </w:r>
    </w:p>
    <w:p w14:paraId="6CCDDFA7" w14:textId="6A77E9E2" w:rsidR="00124B19" w:rsidRDefault="00124B19" w:rsidP="00124B19">
      <w:pPr>
        <w:pStyle w:val="TableDescription"/>
      </w:pPr>
      <w:r>
        <w:t>One participant died 32 days after the last dose date and is not counted as a treatment emergent death.</w:t>
      </w:r>
    </w:p>
    <w:p w14:paraId="7AE7A879" w14:textId="03D83E36" w:rsidR="003B7FF6" w:rsidRDefault="003B7FF6" w:rsidP="003B7FF6">
      <w:r>
        <w:lastRenderedPageBreak/>
        <w:t>A total of 71.7% (n = 38) subjects experienced one adverse event, with 28.3% of these being Grade 3 or higher. Overall, 8 participants experienced an adverse event considered related to study drug (</w:t>
      </w:r>
      <w:r>
        <w:fldChar w:fldCharType="begin"/>
      </w:r>
      <w:r>
        <w:instrText xml:space="preserve"> REF _Ref102130683 \h </w:instrText>
      </w:r>
      <w:r>
        <w:fldChar w:fldCharType="separate"/>
      </w:r>
      <w:r w:rsidR="00563969" w:rsidRPr="00124B19">
        <w:t xml:space="preserve">Table </w:t>
      </w:r>
      <w:r w:rsidR="00563969">
        <w:rPr>
          <w:noProof/>
        </w:rPr>
        <w:t>17</w:t>
      </w:r>
      <w:r>
        <w:fldChar w:fldCharType="end"/>
      </w:r>
      <w:r>
        <w:t>).</w:t>
      </w:r>
    </w:p>
    <w:p w14:paraId="24371D46" w14:textId="2D880814" w:rsidR="003B7FF6" w:rsidRDefault="003B7FF6" w:rsidP="003B7FF6">
      <w:r>
        <w:t>Serious adverse events were reported in 11 participants, but none were considered related to study drug (</w:t>
      </w:r>
      <w:r>
        <w:fldChar w:fldCharType="begin"/>
      </w:r>
      <w:r>
        <w:instrText xml:space="preserve"> REF _Ref102130683 \h </w:instrText>
      </w:r>
      <w:r>
        <w:fldChar w:fldCharType="separate"/>
      </w:r>
      <w:r w:rsidR="00563969" w:rsidRPr="00124B19">
        <w:t xml:space="preserve">Table </w:t>
      </w:r>
      <w:r w:rsidR="00563969">
        <w:rPr>
          <w:noProof/>
        </w:rPr>
        <w:t>17</w:t>
      </w:r>
      <w:r>
        <w:fldChar w:fldCharType="end"/>
      </w:r>
      <w:r>
        <w:t>).</w:t>
      </w:r>
    </w:p>
    <w:p w14:paraId="716ACEE2" w14:textId="51E52235" w:rsidR="003B7FF6" w:rsidRDefault="003B7FF6" w:rsidP="003B7FF6">
      <w:r>
        <w:t xml:space="preserve">Three treatment </w:t>
      </w:r>
      <w:r w:rsidR="003F4CAA">
        <w:t xml:space="preserve">emergent </w:t>
      </w:r>
      <w:r>
        <w:t>deaths occurred during the study, all in patients with comorbidities. These are not noted to have been considered related to study drug.</w:t>
      </w:r>
    </w:p>
    <w:p w14:paraId="15546137" w14:textId="428F6CF3" w:rsidR="00124B19" w:rsidRDefault="003B7FF6" w:rsidP="003B7FF6">
      <w:r>
        <w:t xml:space="preserve">Overall, 47 participants (90.4%) had at least one laboratory abnormality, which were Grade 3 or 4 in 42.3% (n = 22) of participants overall. The most common Grade 3 to 4 laboratory abnormalities was decreased haemoglobin (17.6%). In general, </w:t>
      </w:r>
      <w:r w:rsidRPr="003B7FF6">
        <w:t>alanine aminotransferase</w:t>
      </w:r>
      <w:r>
        <w:t xml:space="preserve"> (ALT) increased in subjects during </w:t>
      </w:r>
      <w:proofErr w:type="spellStart"/>
      <w:r w:rsidR="000A4816">
        <w:t>remdesivir</w:t>
      </w:r>
      <w:proofErr w:type="spellEnd"/>
      <w:r>
        <w:t xml:space="preserve"> treatment but returned to </w:t>
      </w:r>
      <w:r w:rsidR="00A740DA">
        <w:t>b</w:t>
      </w:r>
      <w:r>
        <w:t>aseline by Day 30.</w:t>
      </w:r>
    </w:p>
    <w:p w14:paraId="7CE09518" w14:textId="4EC4A35E" w:rsidR="00704895" w:rsidRDefault="00704895" w:rsidP="00704895">
      <w:pPr>
        <w:pStyle w:val="Heading5"/>
      </w:pPr>
      <w:r>
        <w:t>Clinical safety in adults</w:t>
      </w:r>
    </w:p>
    <w:p w14:paraId="538949DD" w14:textId="69A61485" w:rsidR="00704895" w:rsidRDefault="00704895" w:rsidP="00704895">
      <w:r>
        <w:t xml:space="preserve">Safety data for use of </w:t>
      </w:r>
      <w:proofErr w:type="spellStart"/>
      <w:r>
        <w:t>remdesivir</w:t>
      </w:r>
      <w:proofErr w:type="spellEnd"/>
      <w:r>
        <w:t xml:space="preserve"> in adults was investigated in Study GS-US-540-9012. Overall, 56.1% (n = 282) participants had at least one adverse event. The most common of these was nausea (8.2%), diarrhoea (5.6%) and headache (5.4%). Most of these adverse events were Grade 1 or 2.</w:t>
      </w:r>
    </w:p>
    <w:p w14:paraId="3524933B" w14:textId="3128A19B" w:rsidR="00704895" w:rsidRDefault="00704895" w:rsidP="00704895">
      <w:r>
        <w:t xml:space="preserve">There were 13 treatment emergent deaths reported during follow up in </w:t>
      </w:r>
      <w:r w:rsidR="00DB65AB">
        <w:t xml:space="preserve">Study </w:t>
      </w:r>
      <w:r w:rsidR="003F4CAA">
        <w:t>GS-US-540-5774 Part B</w:t>
      </w:r>
      <w:r>
        <w:t>, which the clinical evaluation report has not noted to be considered related to study drug.</w:t>
      </w:r>
      <w:r w:rsidR="009C2A1E">
        <w:t xml:space="preserve"> </w:t>
      </w:r>
      <w:r>
        <w:t xml:space="preserve">Hepatic adverse events were reported in 10.1% of patients, the most common being ALT rise (3.6) and transaminase rise (3.2%). One participant had a Grade 1 hepatitis that was considered related to study treatment. Median ALT and </w:t>
      </w:r>
      <w:r w:rsidR="00743DC6" w:rsidRPr="00743DC6">
        <w:t xml:space="preserve">aspartate aminotransferase </w:t>
      </w:r>
      <w:r>
        <w:t>for the study population rose over treatment to a clinically non-significant extent.</w:t>
      </w:r>
    </w:p>
    <w:p w14:paraId="57310DEE" w14:textId="1E4C43DD" w:rsidR="00704895" w:rsidRDefault="00704895" w:rsidP="00704895">
      <w:r>
        <w:t>No renal adverse events were considered related to study treatment.</w:t>
      </w:r>
    </w:p>
    <w:p w14:paraId="7680B95C" w14:textId="06A5E238" w:rsidR="00704895" w:rsidRPr="00124B19" w:rsidRDefault="00704895" w:rsidP="00704895">
      <w:r>
        <w:t xml:space="preserve">The clinical evaluator has noted that overall safety for </w:t>
      </w:r>
      <w:proofErr w:type="spellStart"/>
      <w:r w:rsidR="000A4816">
        <w:t>remdesivir</w:t>
      </w:r>
      <w:proofErr w:type="spellEnd"/>
      <w:r>
        <w:t xml:space="preserve"> in the submitted adult trials was comparable to data from previous trials.</w:t>
      </w:r>
    </w:p>
    <w:p w14:paraId="77B739CF" w14:textId="77777777" w:rsidR="008E7846" w:rsidRDefault="00386150" w:rsidP="007B6132">
      <w:pPr>
        <w:pStyle w:val="Heading3"/>
        <w:rPr>
          <w:lang w:eastAsia="en-AU"/>
        </w:rPr>
      </w:pPr>
      <w:bookmarkStart w:id="62" w:name="_Toc102724837"/>
      <w:r>
        <w:rPr>
          <w:lang w:eastAsia="en-AU"/>
        </w:rPr>
        <w:t>Risk m</w:t>
      </w:r>
      <w:r w:rsidR="008E7846">
        <w:rPr>
          <w:lang w:eastAsia="en-AU"/>
        </w:rPr>
        <w:t xml:space="preserve">anagement </w:t>
      </w:r>
      <w:r>
        <w:rPr>
          <w:lang w:eastAsia="en-AU"/>
        </w:rPr>
        <w:t>p</w:t>
      </w:r>
      <w:r w:rsidR="008E7846">
        <w:rPr>
          <w:lang w:eastAsia="en-AU"/>
        </w:rPr>
        <w:t>lan</w:t>
      </w:r>
      <w:bookmarkEnd w:id="40"/>
      <w:bookmarkEnd w:id="62"/>
    </w:p>
    <w:p w14:paraId="18E0C235" w14:textId="273EDF82" w:rsidR="00DB65AB" w:rsidRPr="00470230" w:rsidRDefault="00470230" w:rsidP="007D53B6">
      <w:pPr>
        <w:rPr>
          <w:color w:val="FF0000"/>
        </w:rPr>
      </w:pPr>
      <w:r w:rsidRPr="00470230">
        <w:rPr>
          <w:color w:val="FF0000"/>
        </w:rPr>
        <w:t>Pending final RMP r</w:t>
      </w:r>
      <w:r w:rsidR="006917D3">
        <w:rPr>
          <w:color w:val="FF0000"/>
        </w:rPr>
        <w:t>ecommendation/report</w:t>
      </w:r>
    </w:p>
    <w:p w14:paraId="489F915D" w14:textId="05B8D535" w:rsidR="006917D3" w:rsidRDefault="006917D3" w:rsidP="006917D3">
      <w:r w:rsidRPr="006917D3">
        <w:t>The most recently evaluated EU-</w:t>
      </w:r>
      <w:r>
        <w:t>risk management plan (</w:t>
      </w:r>
      <w:r w:rsidRPr="006917D3">
        <w:t>RMP</w:t>
      </w:r>
      <w:r>
        <w:t>)</w:t>
      </w:r>
      <w:r w:rsidRPr="006917D3">
        <w:t xml:space="preserve"> was version 1.0 (24 June 2020; 27 May 2020). No </w:t>
      </w:r>
      <w:r>
        <w:t>Australia specific annex (</w:t>
      </w:r>
      <w:r w:rsidRPr="006917D3">
        <w:t>ASA</w:t>
      </w:r>
      <w:r>
        <w:t>)</w:t>
      </w:r>
      <w:r w:rsidRPr="006917D3">
        <w:t xml:space="preserve"> has been evaluated for </w:t>
      </w:r>
      <w:proofErr w:type="spellStart"/>
      <w:r w:rsidRPr="006917D3">
        <w:t>Veklury</w:t>
      </w:r>
      <w:proofErr w:type="spellEnd"/>
      <w:r w:rsidRPr="006917D3">
        <w:t xml:space="preserve"> thus far. EU RMP v</w:t>
      </w:r>
      <w:r>
        <w:t xml:space="preserve">ersion </w:t>
      </w:r>
      <w:r w:rsidRPr="006917D3">
        <w:t>2.0 and ASA v</w:t>
      </w:r>
      <w:r>
        <w:t xml:space="preserve">ersion </w:t>
      </w:r>
      <w:r w:rsidRPr="006917D3">
        <w:t xml:space="preserve">2.0 were also submitted to the TGA as an RMP update in September 2021. In support of this extension of indication </w:t>
      </w:r>
      <w:r w:rsidR="00DB65AB">
        <w:t xml:space="preserve">the sponsor </w:t>
      </w:r>
      <w:r w:rsidRPr="006917D3">
        <w:t>has submitted EU-RMP version 3.2 (date 22 Jan</w:t>
      </w:r>
      <w:r w:rsidR="00DB65AB">
        <w:t>uary</w:t>
      </w:r>
      <w:r w:rsidRPr="006917D3">
        <w:t xml:space="preserve"> 2022; </w:t>
      </w:r>
      <w:r>
        <w:t>data lock point (</w:t>
      </w:r>
      <w:r w:rsidRPr="006917D3">
        <w:t>DLP</w:t>
      </w:r>
      <w:r>
        <w:t>)</w:t>
      </w:r>
      <w:r w:rsidRPr="006917D3">
        <w:t xml:space="preserve"> 2 Jan 2022) and ASA version 2.0 (date September 2021) and subsequently ASA version 3.0 (date March 2022) following TGA recommendation.</w:t>
      </w:r>
    </w:p>
    <w:p w14:paraId="4B870D3C" w14:textId="2674520E" w:rsidR="007D53B6" w:rsidRDefault="007D53B6" w:rsidP="007D53B6">
      <w:r>
        <w:t xml:space="preserve">The summary of safety concerns and their associated risk monitoring and mitigation strategies are summarised in </w:t>
      </w:r>
      <w:r w:rsidR="00AE454B">
        <w:fldChar w:fldCharType="begin"/>
      </w:r>
      <w:r w:rsidR="00AE454B">
        <w:instrText xml:space="preserve"> REF _Ref102384523 \h </w:instrText>
      </w:r>
      <w:r w:rsidR="00AE454B">
        <w:fldChar w:fldCharType="separate"/>
      </w:r>
      <w:r w:rsidR="00563969" w:rsidRPr="00AE454B">
        <w:t xml:space="preserve">Table </w:t>
      </w:r>
      <w:r w:rsidR="00563969">
        <w:rPr>
          <w:noProof/>
        </w:rPr>
        <w:t>18</w:t>
      </w:r>
      <w:r w:rsidR="00AE454B">
        <w:fldChar w:fldCharType="end"/>
      </w:r>
      <w:r>
        <w:t>.</w:t>
      </w:r>
      <w:r>
        <w:rPr>
          <w:rStyle w:val="FootnoteReference"/>
        </w:rPr>
        <w:footnoteReference w:id="7"/>
      </w:r>
    </w:p>
    <w:p w14:paraId="39D7A25B" w14:textId="7EA81BB0" w:rsidR="00AE454B" w:rsidRDefault="00AE454B" w:rsidP="00AE454B">
      <w:pPr>
        <w:pStyle w:val="TableTitle"/>
      </w:pPr>
      <w:bookmarkStart w:id="63" w:name="_Ref102384523"/>
      <w:r w:rsidRPr="00AE454B">
        <w:lastRenderedPageBreak/>
        <w:t xml:space="preserve">Table </w:t>
      </w:r>
      <w:fldSimple w:instr=" SEQ Table \* ARABIC ">
        <w:r w:rsidR="00563969">
          <w:rPr>
            <w:noProof/>
          </w:rPr>
          <w:t>18</w:t>
        </w:r>
      </w:fldSimple>
      <w:bookmarkEnd w:id="63"/>
      <w:r>
        <w:t>: Summary of safety concerns and their associated risk monitoring and mitigation strategies</w:t>
      </w:r>
    </w:p>
    <w:tbl>
      <w:tblPr>
        <w:tblStyle w:val="TableTGAblue"/>
        <w:tblW w:w="5000" w:type="pct"/>
        <w:tblLook w:val="04A0" w:firstRow="1" w:lastRow="0" w:firstColumn="1" w:lastColumn="0" w:noHBand="0" w:noVBand="1"/>
      </w:tblPr>
      <w:tblGrid>
        <w:gridCol w:w="1612"/>
        <w:gridCol w:w="1594"/>
        <w:gridCol w:w="1212"/>
        <w:gridCol w:w="1432"/>
        <w:gridCol w:w="1212"/>
        <w:gridCol w:w="1432"/>
      </w:tblGrid>
      <w:tr w:rsidR="006917D3" w:rsidRPr="00BF52F4" w14:paraId="6BB7C5CD" w14:textId="77777777" w:rsidTr="006917D3">
        <w:trPr>
          <w:cnfStyle w:val="100000000000" w:firstRow="1" w:lastRow="0" w:firstColumn="0" w:lastColumn="0" w:oddVBand="0" w:evenVBand="0" w:oddHBand="0" w:evenHBand="0" w:firstRowFirstColumn="0" w:firstRowLastColumn="0" w:lastRowFirstColumn="0" w:lastRowLastColumn="0"/>
          <w:trHeight w:val="131"/>
        </w:trPr>
        <w:tc>
          <w:tcPr>
            <w:tcW w:w="1888" w:type="pct"/>
            <w:gridSpan w:val="2"/>
            <w:vMerge w:val="restart"/>
            <w:tcBorders>
              <w:top w:val="single" w:sz="4" w:space="0" w:color="auto"/>
              <w:left w:val="single" w:sz="4" w:space="0" w:color="auto"/>
              <w:bottom w:val="single" w:sz="4" w:space="0" w:color="auto"/>
              <w:right w:val="single" w:sz="4" w:space="0" w:color="auto"/>
            </w:tcBorders>
          </w:tcPr>
          <w:p w14:paraId="2E4F4522" w14:textId="77777777" w:rsidR="006917D3" w:rsidRPr="00BF52F4" w:rsidRDefault="006917D3" w:rsidP="00A740DA">
            <w:pPr>
              <w:pStyle w:val="Tabletext"/>
              <w:rPr>
                <w:b w:val="0"/>
              </w:rPr>
            </w:pPr>
            <w:r w:rsidRPr="00BF52F4">
              <w:t>Summary of safety concerns</w:t>
            </w:r>
          </w:p>
        </w:tc>
        <w:tc>
          <w:tcPr>
            <w:tcW w:w="1556" w:type="pct"/>
            <w:gridSpan w:val="2"/>
            <w:tcBorders>
              <w:top w:val="single" w:sz="4" w:space="0" w:color="auto"/>
              <w:left w:val="single" w:sz="4" w:space="0" w:color="auto"/>
              <w:bottom w:val="single" w:sz="4" w:space="0" w:color="auto"/>
              <w:right w:val="single" w:sz="4" w:space="0" w:color="auto"/>
            </w:tcBorders>
          </w:tcPr>
          <w:p w14:paraId="321C085D" w14:textId="77777777" w:rsidR="006917D3" w:rsidRPr="00BF52F4" w:rsidRDefault="006917D3" w:rsidP="00A740DA">
            <w:pPr>
              <w:pStyle w:val="Tabletext"/>
              <w:rPr>
                <w:b w:val="0"/>
                <w:sz w:val="18"/>
              </w:rPr>
            </w:pPr>
            <w:r w:rsidRPr="00BF52F4">
              <w:rPr>
                <w:sz w:val="18"/>
              </w:rPr>
              <w:t>Pharmacovigilance</w:t>
            </w:r>
          </w:p>
        </w:tc>
        <w:tc>
          <w:tcPr>
            <w:tcW w:w="1556" w:type="pct"/>
            <w:gridSpan w:val="2"/>
            <w:tcBorders>
              <w:top w:val="single" w:sz="4" w:space="0" w:color="auto"/>
              <w:left w:val="single" w:sz="4" w:space="0" w:color="auto"/>
              <w:bottom w:val="single" w:sz="4" w:space="0" w:color="auto"/>
              <w:right w:val="single" w:sz="4" w:space="0" w:color="auto"/>
            </w:tcBorders>
          </w:tcPr>
          <w:p w14:paraId="7879978C" w14:textId="77777777" w:rsidR="006917D3" w:rsidRPr="00BF52F4" w:rsidRDefault="006917D3" w:rsidP="00A740DA">
            <w:pPr>
              <w:pStyle w:val="Tabletext"/>
              <w:rPr>
                <w:b w:val="0"/>
                <w:sz w:val="18"/>
              </w:rPr>
            </w:pPr>
            <w:r w:rsidRPr="00BF52F4">
              <w:rPr>
                <w:sz w:val="18"/>
              </w:rPr>
              <w:t>Risk Minimisation</w:t>
            </w:r>
          </w:p>
        </w:tc>
      </w:tr>
      <w:tr w:rsidR="006917D3" w:rsidRPr="00BF52F4" w14:paraId="47DA6B79" w14:textId="77777777" w:rsidTr="006917D3">
        <w:trPr>
          <w:trHeight w:val="150"/>
        </w:trPr>
        <w:tc>
          <w:tcPr>
            <w:tcW w:w="1888" w:type="pct"/>
            <w:gridSpan w:val="2"/>
            <w:vMerge/>
            <w:tcBorders>
              <w:top w:val="single" w:sz="4" w:space="0" w:color="auto"/>
              <w:left w:val="single" w:sz="4" w:space="0" w:color="auto"/>
              <w:bottom w:val="single" w:sz="4" w:space="0" w:color="auto"/>
              <w:right w:val="single" w:sz="4" w:space="0" w:color="auto"/>
            </w:tcBorders>
          </w:tcPr>
          <w:p w14:paraId="042C31B4" w14:textId="77777777" w:rsidR="006917D3" w:rsidRPr="00BF52F4" w:rsidRDefault="006917D3" w:rsidP="00A740DA">
            <w:pPr>
              <w:pStyle w:val="Tabletext"/>
              <w:rPr>
                <w:b/>
              </w:rPr>
            </w:pPr>
          </w:p>
        </w:tc>
        <w:tc>
          <w:tcPr>
            <w:tcW w:w="713" w:type="pct"/>
            <w:tcBorders>
              <w:top w:val="single" w:sz="4" w:space="0" w:color="auto"/>
              <w:left w:val="single" w:sz="4" w:space="0" w:color="auto"/>
              <w:bottom w:val="single" w:sz="4" w:space="0" w:color="auto"/>
              <w:right w:val="single" w:sz="4" w:space="0" w:color="auto"/>
            </w:tcBorders>
            <w:shd w:val="clear" w:color="auto" w:fill="006DA7"/>
          </w:tcPr>
          <w:p w14:paraId="2E7B6CFB" w14:textId="77777777" w:rsidR="006917D3" w:rsidRPr="006917D3" w:rsidRDefault="006917D3" w:rsidP="00A740DA">
            <w:pPr>
              <w:pStyle w:val="Tabletext"/>
              <w:rPr>
                <w:b/>
                <w:bCs/>
                <w:color w:val="FFFFFF" w:themeColor="background1"/>
                <w:sz w:val="18"/>
                <w:vertAlign w:val="superscript"/>
              </w:rPr>
            </w:pPr>
            <w:r w:rsidRPr="006917D3">
              <w:rPr>
                <w:b/>
                <w:bCs/>
                <w:color w:val="FFFFFF" w:themeColor="background1"/>
                <w:sz w:val="18"/>
              </w:rPr>
              <w:t>Routine</w:t>
            </w:r>
          </w:p>
        </w:tc>
        <w:tc>
          <w:tcPr>
            <w:tcW w:w="842" w:type="pct"/>
            <w:tcBorders>
              <w:top w:val="single" w:sz="4" w:space="0" w:color="auto"/>
              <w:left w:val="single" w:sz="4" w:space="0" w:color="auto"/>
              <w:bottom w:val="single" w:sz="4" w:space="0" w:color="auto"/>
              <w:right w:val="single" w:sz="4" w:space="0" w:color="auto"/>
            </w:tcBorders>
            <w:shd w:val="clear" w:color="auto" w:fill="006DA7"/>
          </w:tcPr>
          <w:p w14:paraId="5010A190" w14:textId="77777777" w:rsidR="006917D3" w:rsidRPr="006917D3" w:rsidRDefault="006917D3" w:rsidP="00A740DA">
            <w:pPr>
              <w:pStyle w:val="Tabletext"/>
              <w:rPr>
                <w:b/>
                <w:bCs/>
                <w:color w:val="FFFFFF" w:themeColor="background1"/>
                <w:sz w:val="18"/>
              </w:rPr>
            </w:pPr>
            <w:r w:rsidRPr="006917D3">
              <w:rPr>
                <w:b/>
                <w:bCs/>
                <w:color w:val="FFFFFF" w:themeColor="background1"/>
                <w:sz w:val="18"/>
              </w:rPr>
              <w:t>Additional</w:t>
            </w:r>
          </w:p>
        </w:tc>
        <w:tc>
          <w:tcPr>
            <w:tcW w:w="713" w:type="pct"/>
            <w:tcBorders>
              <w:top w:val="single" w:sz="4" w:space="0" w:color="auto"/>
              <w:left w:val="single" w:sz="4" w:space="0" w:color="auto"/>
              <w:bottom w:val="single" w:sz="4" w:space="0" w:color="auto"/>
              <w:right w:val="single" w:sz="4" w:space="0" w:color="auto"/>
            </w:tcBorders>
            <w:shd w:val="clear" w:color="auto" w:fill="006DA7"/>
          </w:tcPr>
          <w:p w14:paraId="2912FCFC" w14:textId="77777777" w:rsidR="006917D3" w:rsidRPr="006917D3" w:rsidRDefault="006917D3" w:rsidP="00A740DA">
            <w:pPr>
              <w:pStyle w:val="Tabletext"/>
              <w:rPr>
                <w:b/>
                <w:bCs/>
                <w:color w:val="FFFFFF" w:themeColor="background1"/>
                <w:sz w:val="18"/>
              </w:rPr>
            </w:pPr>
            <w:r w:rsidRPr="006917D3">
              <w:rPr>
                <w:b/>
                <w:bCs/>
                <w:color w:val="FFFFFF" w:themeColor="background1"/>
                <w:sz w:val="18"/>
              </w:rPr>
              <w:t>Routine</w:t>
            </w:r>
          </w:p>
        </w:tc>
        <w:tc>
          <w:tcPr>
            <w:tcW w:w="842" w:type="pct"/>
            <w:tcBorders>
              <w:top w:val="single" w:sz="4" w:space="0" w:color="auto"/>
              <w:left w:val="single" w:sz="4" w:space="0" w:color="auto"/>
              <w:bottom w:val="single" w:sz="4" w:space="0" w:color="auto"/>
              <w:right w:val="single" w:sz="4" w:space="0" w:color="auto"/>
            </w:tcBorders>
            <w:shd w:val="clear" w:color="auto" w:fill="006DA7"/>
          </w:tcPr>
          <w:p w14:paraId="58802A0F" w14:textId="77777777" w:rsidR="006917D3" w:rsidRPr="006917D3" w:rsidRDefault="006917D3" w:rsidP="00A740DA">
            <w:pPr>
              <w:pStyle w:val="Tabletext"/>
              <w:rPr>
                <w:b/>
                <w:bCs/>
                <w:color w:val="FFFFFF" w:themeColor="background1"/>
                <w:sz w:val="18"/>
              </w:rPr>
            </w:pPr>
            <w:r w:rsidRPr="006917D3">
              <w:rPr>
                <w:b/>
                <w:bCs/>
                <w:color w:val="FFFFFF" w:themeColor="background1"/>
                <w:sz w:val="18"/>
              </w:rPr>
              <w:t>Additional</w:t>
            </w:r>
          </w:p>
        </w:tc>
      </w:tr>
      <w:tr w:rsidR="006917D3" w:rsidRPr="00BF52F4" w14:paraId="753F67DD" w14:textId="77777777" w:rsidTr="006917D3">
        <w:trPr>
          <w:trHeight w:val="137"/>
        </w:trPr>
        <w:tc>
          <w:tcPr>
            <w:tcW w:w="949" w:type="pct"/>
            <w:tcBorders>
              <w:top w:val="single" w:sz="4" w:space="0" w:color="auto"/>
            </w:tcBorders>
          </w:tcPr>
          <w:p w14:paraId="2159DB9F" w14:textId="77777777" w:rsidR="006917D3" w:rsidRPr="00BF52F4" w:rsidRDefault="006917D3" w:rsidP="00A740DA">
            <w:pPr>
              <w:pStyle w:val="Tabletext"/>
              <w:rPr>
                <w:b/>
              </w:rPr>
            </w:pPr>
            <w:r w:rsidRPr="00BF52F4">
              <w:rPr>
                <w:b/>
              </w:rPr>
              <w:t>Important identified risks</w:t>
            </w:r>
          </w:p>
        </w:tc>
        <w:tc>
          <w:tcPr>
            <w:tcW w:w="939" w:type="pct"/>
            <w:tcBorders>
              <w:top w:val="single" w:sz="4" w:space="0" w:color="auto"/>
            </w:tcBorders>
          </w:tcPr>
          <w:p w14:paraId="0F4B345D" w14:textId="77777777" w:rsidR="006917D3" w:rsidRPr="00BF52F4" w:rsidRDefault="006917D3" w:rsidP="00A740DA">
            <w:pPr>
              <w:pStyle w:val="Tabletext"/>
            </w:pPr>
            <w:r>
              <w:t>None</w:t>
            </w:r>
          </w:p>
        </w:tc>
        <w:tc>
          <w:tcPr>
            <w:tcW w:w="713" w:type="pct"/>
            <w:tcBorders>
              <w:top w:val="single" w:sz="4" w:space="0" w:color="auto"/>
            </w:tcBorders>
          </w:tcPr>
          <w:p w14:paraId="53247FD8" w14:textId="77777777" w:rsidR="006917D3" w:rsidRPr="003348AD" w:rsidRDefault="006917D3" w:rsidP="00A740DA">
            <w:pPr>
              <w:pStyle w:val="Tabletext"/>
              <w:jc w:val="center"/>
            </w:pPr>
            <w:r w:rsidRPr="003348AD">
              <w:t>–</w:t>
            </w:r>
          </w:p>
        </w:tc>
        <w:tc>
          <w:tcPr>
            <w:tcW w:w="842" w:type="pct"/>
            <w:tcBorders>
              <w:top w:val="single" w:sz="4" w:space="0" w:color="auto"/>
            </w:tcBorders>
          </w:tcPr>
          <w:p w14:paraId="3A4953D1" w14:textId="77777777" w:rsidR="006917D3" w:rsidRPr="008A02BE" w:rsidRDefault="006917D3" w:rsidP="00A740DA">
            <w:pPr>
              <w:pStyle w:val="Tabletext"/>
              <w:jc w:val="center"/>
            </w:pPr>
            <w:r w:rsidRPr="003348AD">
              <w:t>–</w:t>
            </w:r>
          </w:p>
        </w:tc>
        <w:tc>
          <w:tcPr>
            <w:tcW w:w="713" w:type="pct"/>
            <w:tcBorders>
              <w:top w:val="single" w:sz="4" w:space="0" w:color="auto"/>
            </w:tcBorders>
          </w:tcPr>
          <w:p w14:paraId="2A21444E" w14:textId="77777777" w:rsidR="006917D3" w:rsidRPr="003348AD" w:rsidRDefault="006917D3" w:rsidP="00A740DA">
            <w:pPr>
              <w:pStyle w:val="Tabletext"/>
              <w:jc w:val="center"/>
            </w:pPr>
            <w:r w:rsidRPr="003348AD">
              <w:t>–</w:t>
            </w:r>
          </w:p>
        </w:tc>
        <w:tc>
          <w:tcPr>
            <w:tcW w:w="842" w:type="pct"/>
            <w:tcBorders>
              <w:top w:val="single" w:sz="4" w:space="0" w:color="auto"/>
            </w:tcBorders>
          </w:tcPr>
          <w:p w14:paraId="594633D5" w14:textId="54845B3E" w:rsidR="006917D3" w:rsidRPr="003348AD" w:rsidRDefault="006917D3" w:rsidP="00A740DA">
            <w:pPr>
              <w:pStyle w:val="Tabletext"/>
              <w:jc w:val="center"/>
            </w:pPr>
            <w:r w:rsidRPr="003348AD">
              <w:t>–</w:t>
            </w:r>
          </w:p>
        </w:tc>
      </w:tr>
      <w:tr w:rsidR="006917D3" w:rsidRPr="00BF52F4" w14:paraId="0EA53989" w14:textId="77777777" w:rsidTr="006917D3">
        <w:trPr>
          <w:trHeight w:val="159"/>
        </w:trPr>
        <w:tc>
          <w:tcPr>
            <w:tcW w:w="949" w:type="pct"/>
          </w:tcPr>
          <w:p w14:paraId="1C80824C" w14:textId="77777777" w:rsidR="006917D3" w:rsidRPr="00BF52F4" w:rsidRDefault="006917D3" w:rsidP="00A740DA">
            <w:pPr>
              <w:pStyle w:val="Tabletext"/>
              <w:rPr>
                <w:b/>
              </w:rPr>
            </w:pPr>
            <w:r w:rsidRPr="00BF52F4">
              <w:rPr>
                <w:b/>
              </w:rPr>
              <w:t>Important potential risks</w:t>
            </w:r>
          </w:p>
        </w:tc>
        <w:tc>
          <w:tcPr>
            <w:tcW w:w="939" w:type="pct"/>
          </w:tcPr>
          <w:p w14:paraId="09135E93" w14:textId="77777777" w:rsidR="006917D3" w:rsidRPr="00BF52F4" w:rsidRDefault="006917D3" w:rsidP="00A740DA">
            <w:pPr>
              <w:pStyle w:val="Tabletext"/>
            </w:pPr>
            <w:r>
              <w:t>None</w:t>
            </w:r>
          </w:p>
        </w:tc>
        <w:tc>
          <w:tcPr>
            <w:tcW w:w="713" w:type="pct"/>
          </w:tcPr>
          <w:p w14:paraId="471FF363" w14:textId="77777777" w:rsidR="006917D3" w:rsidRPr="003348AD" w:rsidRDefault="006917D3" w:rsidP="00A740DA">
            <w:pPr>
              <w:pStyle w:val="Tabletext"/>
              <w:jc w:val="center"/>
            </w:pPr>
            <w:r w:rsidRPr="003348AD">
              <w:t>–</w:t>
            </w:r>
          </w:p>
        </w:tc>
        <w:tc>
          <w:tcPr>
            <w:tcW w:w="842" w:type="pct"/>
          </w:tcPr>
          <w:p w14:paraId="2FC8E978" w14:textId="77777777" w:rsidR="006917D3" w:rsidRPr="008A02BE" w:rsidRDefault="006917D3" w:rsidP="00A740DA">
            <w:pPr>
              <w:pStyle w:val="Tabletext"/>
              <w:jc w:val="center"/>
            </w:pPr>
            <w:r w:rsidRPr="003348AD">
              <w:t>–</w:t>
            </w:r>
          </w:p>
        </w:tc>
        <w:tc>
          <w:tcPr>
            <w:tcW w:w="713" w:type="pct"/>
          </w:tcPr>
          <w:p w14:paraId="49B16587" w14:textId="77777777" w:rsidR="006917D3" w:rsidRPr="003348AD" w:rsidRDefault="006917D3" w:rsidP="00A740DA">
            <w:pPr>
              <w:pStyle w:val="Tabletext"/>
              <w:jc w:val="center"/>
            </w:pPr>
            <w:r w:rsidRPr="003348AD">
              <w:t>–</w:t>
            </w:r>
          </w:p>
        </w:tc>
        <w:tc>
          <w:tcPr>
            <w:tcW w:w="842" w:type="pct"/>
          </w:tcPr>
          <w:p w14:paraId="3590CA14" w14:textId="77777777" w:rsidR="006917D3" w:rsidRPr="003348AD" w:rsidRDefault="006917D3" w:rsidP="00A740DA">
            <w:pPr>
              <w:pStyle w:val="Tabletext"/>
              <w:jc w:val="center"/>
            </w:pPr>
            <w:r w:rsidRPr="003348AD">
              <w:t>–</w:t>
            </w:r>
          </w:p>
        </w:tc>
      </w:tr>
      <w:tr w:rsidR="006917D3" w:rsidRPr="00BF52F4" w14:paraId="1F81DFE4" w14:textId="77777777" w:rsidTr="006917D3">
        <w:trPr>
          <w:trHeight w:val="178"/>
        </w:trPr>
        <w:tc>
          <w:tcPr>
            <w:tcW w:w="949" w:type="pct"/>
            <w:vMerge w:val="restart"/>
          </w:tcPr>
          <w:p w14:paraId="739CEF32" w14:textId="77777777" w:rsidR="006917D3" w:rsidRPr="00BF52F4" w:rsidRDefault="006917D3" w:rsidP="00A740DA">
            <w:pPr>
              <w:pStyle w:val="Tabletext"/>
              <w:rPr>
                <w:b/>
              </w:rPr>
            </w:pPr>
            <w:r w:rsidRPr="00BF52F4">
              <w:rPr>
                <w:b/>
              </w:rPr>
              <w:t>Missing information</w:t>
            </w:r>
          </w:p>
        </w:tc>
        <w:tc>
          <w:tcPr>
            <w:tcW w:w="939" w:type="pct"/>
          </w:tcPr>
          <w:p w14:paraId="6691345E" w14:textId="77777777" w:rsidR="006917D3" w:rsidRPr="00BF52F4" w:rsidRDefault="006917D3" w:rsidP="00A740DA">
            <w:pPr>
              <w:pStyle w:val="Tabletext"/>
            </w:pPr>
            <w:r>
              <w:t xml:space="preserve">Safety in patients with hepatic impairment </w:t>
            </w:r>
          </w:p>
        </w:tc>
        <w:tc>
          <w:tcPr>
            <w:tcW w:w="713" w:type="pct"/>
          </w:tcPr>
          <w:p w14:paraId="6B92E6DE" w14:textId="77777777" w:rsidR="006917D3" w:rsidRPr="003348AD" w:rsidRDefault="006917D3" w:rsidP="00A740DA">
            <w:pPr>
              <w:pStyle w:val="Tabletext"/>
              <w:jc w:val="center"/>
            </w:pPr>
            <w:r w:rsidRPr="003348AD">
              <w:sym w:font="Wingdings" w:char="F0FC"/>
            </w:r>
          </w:p>
        </w:tc>
        <w:tc>
          <w:tcPr>
            <w:tcW w:w="842" w:type="pct"/>
          </w:tcPr>
          <w:p w14:paraId="7DAFC1FD" w14:textId="77777777" w:rsidR="006917D3" w:rsidRPr="008A02BE" w:rsidRDefault="006917D3" w:rsidP="00A740DA">
            <w:pPr>
              <w:pStyle w:val="Tabletext"/>
              <w:jc w:val="center"/>
            </w:pPr>
            <w:r w:rsidRPr="008A02BE">
              <w:sym w:font="Wingdings" w:char="F0FC"/>
            </w:r>
            <w:r w:rsidRPr="008A02BE">
              <w:rPr>
                <w:rFonts w:asciiTheme="majorHAnsi" w:hAnsiTheme="majorHAnsi"/>
                <w:szCs w:val="20"/>
              </w:rPr>
              <w:t>*</w:t>
            </w:r>
          </w:p>
        </w:tc>
        <w:tc>
          <w:tcPr>
            <w:tcW w:w="713" w:type="pct"/>
          </w:tcPr>
          <w:p w14:paraId="5AB2041D" w14:textId="77777777" w:rsidR="006917D3" w:rsidRPr="003348AD" w:rsidRDefault="006917D3" w:rsidP="00A740DA">
            <w:pPr>
              <w:pStyle w:val="Tabletext"/>
              <w:jc w:val="center"/>
            </w:pPr>
            <w:r w:rsidRPr="003348AD">
              <w:sym w:font="Wingdings" w:char="F0FC"/>
            </w:r>
          </w:p>
        </w:tc>
        <w:tc>
          <w:tcPr>
            <w:tcW w:w="842" w:type="pct"/>
          </w:tcPr>
          <w:p w14:paraId="7A54BA74" w14:textId="77777777" w:rsidR="006917D3" w:rsidRPr="003348AD" w:rsidRDefault="006917D3" w:rsidP="00A740DA">
            <w:pPr>
              <w:pStyle w:val="Tabletext"/>
              <w:jc w:val="center"/>
            </w:pPr>
            <w:r w:rsidRPr="003348AD">
              <w:t>–</w:t>
            </w:r>
          </w:p>
        </w:tc>
      </w:tr>
      <w:tr w:rsidR="006917D3" w:rsidRPr="00BF52F4" w14:paraId="3BBEC921" w14:textId="77777777" w:rsidTr="006917D3">
        <w:trPr>
          <w:trHeight w:val="103"/>
        </w:trPr>
        <w:tc>
          <w:tcPr>
            <w:tcW w:w="949" w:type="pct"/>
            <w:vMerge/>
          </w:tcPr>
          <w:p w14:paraId="5476E918" w14:textId="77777777" w:rsidR="006917D3" w:rsidRPr="00BF52F4" w:rsidRDefault="006917D3" w:rsidP="00A740DA">
            <w:pPr>
              <w:pStyle w:val="Tabletext"/>
            </w:pPr>
          </w:p>
        </w:tc>
        <w:tc>
          <w:tcPr>
            <w:tcW w:w="939" w:type="pct"/>
          </w:tcPr>
          <w:p w14:paraId="70D9318E" w14:textId="77777777" w:rsidR="006917D3" w:rsidRPr="00BF52F4" w:rsidRDefault="006917D3" w:rsidP="00A740DA">
            <w:pPr>
              <w:pStyle w:val="Tabletext"/>
            </w:pPr>
            <w:r>
              <w:t xml:space="preserve">Safety in patients with severe renal impairment </w:t>
            </w:r>
          </w:p>
        </w:tc>
        <w:tc>
          <w:tcPr>
            <w:tcW w:w="713" w:type="pct"/>
          </w:tcPr>
          <w:p w14:paraId="574F0DBE" w14:textId="77777777" w:rsidR="006917D3" w:rsidRPr="003348AD" w:rsidRDefault="006917D3" w:rsidP="00A740DA">
            <w:pPr>
              <w:pStyle w:val="Tabletext"/>
              <w:jc w:val="center"/>
            </w:pPr>
            <w:r w:rsidRPr="003348AD">
              <w:sym w:font="Wingdings" w:char="F0FC"/>
            </w:r>
          </w:p>
        </w:tc>
        <w:tc>
          <w:tcPr>
            <w:tcW w:w="842" w:type="pct"/>
          </w:tcPr>
          <w:p w14:paraId="0ECF274A" w14:textId="77777777" w:rsidR="006917D3" w:rsidRPr="008A02BE" w:rsidRDefault="006917D3" w:rsidP="00A740DA">
            <w:pPr>
              <w:pStyle w:val="Tabletext"/>
              <w:jc w:val="center"/>
            </w:pPr>
            <w:r w:rsidRPr="008A02BE">
              <w:sym w:font="Wingdings" w:char="F0FC"/>
            </w:r>
            <w:r w:rsidRPr="008A02BE">
              <w:rPr>
                <w:rFonts w:asciiTheme="majorHAnsi" w:hAnsiTheme="majorHAnsi"/>
                <w:szCs w:val="20"/>
              </w:rPr>
              <w:t>*</w:t>
            </w:r>
          </w:p>
        </w:tc>
        <w:tc>
          <w:tcPr>
            <w:tcW w:w="713" w:type="pct"/>
          </w:tcPr>
          <w:p w14:paraId="3C22FFA0" w14:textId="77777777" w:rsidR="006917D3" w:rsidRPr="003348AD" w:rsidRDefault="006917D3" w:rsidP="00A740DA">
            <w:pPr>
              <w:pStyle w:val="Tabletext"/>
              <w:jc w:val="center"/>
            </w:pPr>
            <w:r w:rsidRPr="003348AD">
              <w:sym w:font="Wingdings" w:char="F0FC"/>
            </w:r>
          </w:p>
        </w:tc>
        <w:tc>
          <w:tcPr>
            <w:tcW w:w="842" w:type="pct"/>
          </w:tcPr>
          <w:p w14:paraId="25B56A61" w14:textId="77777777" w:rsidR="006917D3" w:rsidRPr="003348AD" w:rsidRDefault="006917D3" w:rsidP="00A740DA">
            <w:pPr>
              <w:pStyle w:val="Tabletext"/>
              <w:jc w:val="center"/>
            </w:pPr>
            <w:r w:rsidRPr="003348AD">
              <w:t>–</w:t>
            </w:r>
          </w:p>
        </w:tc>
      </w:tr>
      <w:tr w:rsidR="006917D3" w:rsidRPr="00BF52F4" w14:paraId="09732FBC" w14:textId="77777777" w:rsidTr="006917D3">
        <w:trPr>
          <w:trHeight w:val="140"/>
        </w:trPr>
        <w:tc>
          <w:tcPr>
            <w:tcW w:w="949" w:type="pct"/>
            <w:vMerge/>
          </w:tcPr>
          <w:p w14:paraId="2136D22E" w14:textId="77777777" w:rsidR="006917D3" w:rsidRPr="00BF52F4" w:rsidRDefault="006917D3" w:rsidP="00A740DA">
            <w:pPr>
              <w:pStyle w:val="Tabletext"/>
            </w:pPr>
          </w:p>
        </w:tc>
        <w:tc>
          <w:tcPr>
            <w:tcW w:w="939" w:type="pct"/>
          </w:tcPr>
          <w:p w14:paraId="4F29E45C" w14:textId="77777777" w:rsidR="006917D3" w:rsidRPr="00BF52F4" w:rsidRDefault="006917D3" w:rsidP="00A740DA">
            <w:pPr>
              <w:pStyle w:val="Tabletext"/>
            </w:pPr>
            <w:r>
              <w:t>Safety in pregnant and lactating women</w:t>
            </w:r>
          </w:p>
        </w:tc>
        <w:tc>
          <w:tcPr>
            <w:tcW w:w="713" w:type="pct"/>
          </w:tcPr>
          <w:p w14:paraId="152A795D" w14:textId="77777777" w:rsidR="006917D3" w:rsidRPr="003348AD" w:rsidRDefault="006917D3" w:rsidP="00A740DA">
            <w:pPr>
              <w:pStyle w:val="Tabletext"/>
              <w:jc w:val="center"/>
            </w:pPr>
            <w:r w:rsidRPr="003348AD">
              <w:sym w:font="Wingdings" w:char="F0FC"/>
            </w:r>
          </w:p>
        </w:tc>
        <w:tc>
          <w:tcPr>
            <w:tcW w:w="842" w:type="pct"/>
          </w:tcPr>
          <w:p w14:paraId="197E9365" w14:textId="77777777" w:rsidR="006917D3" w:rsidRPr="008A02BE" w:rsidRDefault="006917D3" w:rsidP="00A740DA">
            <w:pPr>
              <w:pStyle w:val="Tabletext"/>
              <w:jc w:val="center"/>
            </w:pPr>
            <w:r w:rsidRPr="008A02BE">
              <w:sym w:font="Wingdings" w:char="F0FC"/>
            </w:r>
            <w:r w:rsidRPr="008A02BE">
              <w:rPr>
                <w:rFonts w:asciiTheme="majorHAnsi" w:hAnsiTheme="majorHAnsi"/>
                <w:szCs w:val="20"/>
              </w:rPr>
              <w:t>†</w:t>
            </w:r>
          </w:p>
        </w:tc>
        <w:tc>
          <w:tcPr>
            <w:tcW w:w="713" w:type="pct"/>
          </w:tcPr>
          <w:p w14:paraId="27E93C6B" w14:textId="77777777" w:rsidR="006917D3" w:rsidRPr="003348AD" w:rsidRDefault="006917D3" w:rsidP="00A740DA">
            <w:pPr>
              <w:pStyle w:val="Tabletext"/>
              <w:jc w:val="center"/>
            </w:pPr>
            <w:r w:rsidRPr="003348AD">
              <w:sym w:font="Wingdings" w:char="F0FC"/>
            </w:r>
          </w:p>
        </w:tc>
        <w:tc>
          <w:tcPr>
            <w:tcW w:w="842" w:type="pct"/>
          </w:tcPr>
          <w:p w14:paraId="39BFAD96" w14:textId="77777777" w:rsidR="006917D3" w:rsidRPr="003348AD" w:rsidRDefault="006917D3" w:rsidP="00A740DA">
            <w:pPr>
              <w:pStyle w:val="Tabletext"/>
              <w:jc w:val="center"/>
            </w:pPr>
            <w:r w:rsidRPr="003348AD">
              <w:t>–</w:t>
            </w:r>
          </w:p>
        </w:tc>
      </w:tr>
    </w:tbl>
    <w:p w14:paraId="17C2163D" w14:textId="75C082C8" w:rsidR="006917D3" w:rsidRPr="008A02BE" w:rsidRDefault="006917D3" w:rsidP="006917D3">
      <w:pPr>
        <w:pStyle w:val="TableDescription"/>
      </w:pPr>
      <w:r w:rsidRPr="008A02BE">
        <w:t>*</w:t>
      </w:r>
      <w:r w:rsidR="00DB65AB">
        <w:t xml:space="preserve"> </w:t>
      </w:r>
      <w:r w:rsidRPr="008A02BE">
        <w:t>post authorisation safety</w:t>
      </w:r>
      <w:r>
        <w:t xml:space="preserve">, </w:t>
      </w:r>
      <w:r w:rsidRPr="008A02BE">
        <w:t>efficacy,</w:t>
      </w:r>
      <w:r>
        <w:t xml:space="preserve"> and pharmacokinetic</w:t>
      </w:r>
      <w:r w:rsidRPr="008A02BE">
        <w:t xml:space="preserve"> studies</w:t>
      </w:r>
    </w:p>
    <w:p w14:paraId="0BDBD57D" w14:textId="5C23FF40" w:rsidR="006917D3" w:rsidRDefault="006917D3" w:rsidP="006917D3">
      <w:pPr>
        <w:pStyle w:val="TableDescription"/>
      </w:pPr>
      <w:r w:rsidRPr="008A02BE">
        <w:t>†</w:t>
      </w:r>
      <w:r w:rsidR="00DB65AB">
        <w:t xml:space="preserve"> </w:t>
      </w:r>
      <w:r w:rsidRPr="008A02BE">
        <w:t>pregnancy safety report (informed by follow up questionnaires)</w:t>
      </w:r>
      <w:r w:rsidR="009C2A1E">
        <w:t xml:space="preserve"> and </w:t>
      </w:r>
      <w:r w:rsidR="00DB65AB">
        <w:t>s</w:t>
      </w:r>
      <w:r w:rsidR="009C2A1E" w:rsidRPr="009C2A1E">
        <w:t xml:space="preserve">tudy of the </w:t>
      </w:r>
      <w:r w:rsidR="00DB65AB">
        <w:t>pharmacokinetics</w:t>
      </w:r>
      <w:r w:rsidR="009C2A1E" w:rsidRPr="009C2A1E">
        <w:t xml:space="preserve"> and safety of RDV </w:t>
      </w:r>
      <w:r w:rsidR="00DB65AB">
        <w:t>(</w:t>
      </w:r>
      <w:proofErr w:type="spellStart"/>
      <w:r w:rsidR="00DB65AB">
        <w:t>remdesivir</w:t>
      </w:r>
      <w:proofErr w:type="spellEnd"/>
      <w:r w:rsidR="00DB65AB">
        <w:t xml:space="preserve">) </w:t>
      </w:r>
      <w:r w:rsidR="009C2A1E" w:rsidRPr="009C2A1E">
        <w:t>in pregnant women (</w:t>
      </w:r>
      <w:r w:rsidR="00DB65AB">
        <w:t xml:space="preserve">Study </w:t>
      </w:r>
      <w:r w:rsidR="009C2A1E" w:rsidRPr="009C2A1E">
        <w:t>IMPAACT 2032)</w:t>
      </w:r>
    </w:p>
    <w:p w14:paraId="4BA5ACBF" w14:textId="047168C4" w:rsidR="0040457B" w:rsidRDefault="0040457B" w:rsidP="0040457B">
      <w:r>
        <w:t>The proposed summary of safety concerns is considered acceptable from an RMP perspective. Current nonclinical, clinical and ACM advice have been considered when reaching this decision.</w:t>
      </w:r>
    </w:p>
    <w:p w14:paraId="2DE10BB5" w14:textId="768B8C3E" w:rsidR="0040457B" w:rsidRDefault="0040457B" w:rsidP="0040457B">
      <w:r>
        <w:t>The proposed p</w:t>
      </w:r>
      <w:r w:rsidRPr="0040457B">
        <w:t>harmacovigilance</w:t>
      </w:r>
      <w:r>
        <w:t xml:space="preserve"> activities are considered acceptable. The sponsor confirmed that they partner with the COVID-19 International Drug Pregnancy Registry (COVID-PR). The sponsor commits that when they receive reports from this registry, they will include these reports in the yearly pregnancy report submitted with the </w:t>
      </w:r>
      <w:r w:rsidRPr="0040457B">
        <w:t xml:space="preserve">Periodic Safety Update Report </w:t>
      </w:r>
      <w:r>
        <w:t>(PSUR). In addition, these cases would be summarised in the PSUR period section of Safety in Pregnant and Lactating Women and in the cumulative pregnancy outcomes within the PSUR.</w:t>
      </w:r>
    </w:p>
    <w:p w14:paraId="37A4B0CA" w14:textId="38FB9BEE" w:rsidR="0040457B" w:rsidRDefault="0040457B" w:rsidP="0040457B">
      <w:r>
        <w:t>Routine risk minimisation measures are considered acceptable to address the risks associated with this product.</w:t>
      </w:r>
    </w:p>
    <w:p w14:paraId="59D24100" w14:textId="4B92DE85" w:rsidR="00AE454B" w:rsidRDefault="00AE454B" w:rsidP="00AE454B">
      <w:pPr>
        <w:pStyle w:val="Heading4"/>
      </w:pPr>
      <w:r>
        <w:t>Proposed w</w:t>
      </w:r>
      <w:r w:rsidRPr="00AE454B">
        <w:t>ording for conditions of registration</w:t>
      </w:r>
    </w:p>
    <w:p w14:paraId="4075D832" w14:textId="0F118271" w:rsidR="0040457B" w:rsidRDefault="0040457B" w:rsidP="0040457B">
      <w:r>
        <w:t xml:space="preserve">Any changes to which the sponsor has agreed should be included in a revised RMP and ASA. However, irrespective of </w:t>
      </w:r>
      <w:proofErr w:type="gramStart"/>
      <w:r>
        <w:t>whether or not</w:t>
      </w:r>
      <w:proofErr w:type="gramEnd"/>
      <w:r>
        <w:t xml:space="preserve"> they are included in the currently available </w:t>
      </w:r>
      <w:r>
        <w:lastRenderedPageBreak/>
        <w:t>version of the RMP document, the agreed changes become part of the risk management system.</w:t>
      </w:r>
    </w:p>
    <w:p w14:paraId="03F3B9FA" w14:textId="38A14803" w:rsidR="0040457B" w:rsidRDefault="0040457B" w:rsidP="0040457B">
      <w:pPr>
        <w:ind w:left="720"/>
      </w:pPr>
      <w:r>
        <w:t xml:space="preserve">The </w:t>
      </w:r>
      <w:proofErr w:type="spellStart"/>
      <w:r>
        <w:t>Veklury</w:t>
      </w:r>
      <w:proofErr w:type="spellEnd"/>
      <w:r>
        <w:t xml:space="preserve"> EU-Risk Management Plan (RMP) (version 3.2; date 22 Jan 2022; DLP 02 Jan 2022), with ASA (version 3.0, dated March 2022), included with submission PM-2022-00260-1-2, and any subsequent revisions, will be implemented in Australia.</w:t>
      </w:r>
    </w:p>
    <w:p w14:paraId="38326E0F" w14:textId="746D4E58" w:rsidR="0040457B" w:rsidRDefault="0040457B" w:rsidP="0040457B">
      <w:pPr>
        <w:ind w:left="720"/>
      </w:pPr>
      <w:r>
        <w:t>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or the entire period of provisional registration, whichever is longer.</w:t>
      </w:r>
    </w:p>
    <w:p w14:paraId="01B4FECF" w14:textId="77777777" w:rsidR="0040457B" w:rsidRDefault="0040457B" w:rsidP="0040457B">
      <w:pPr>
        <w:ind w:left="72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79FF802" w14:textId="5218A7D1" w:rsidR="0040457B" w:rsidRDefault="0040457B" w:rsidP="0040457B">
      <w:pPr>
        <w:ind w:left="720"/>
      </w:pPr>
      <w:proofErr w:type="spellStart"/>
      <w:r>
        <w:t>Veklury</w:t>
      </w:r>
      <w:proofErr w:type="spellEnd"/>
      <w:r>
        <w:t xml:space="preserve"> (</w:t>
      </w:r>
      <w:proofErr w:type="spellStart"/>
      <w:r>
        <w:t>remdesivir</w:t>
      </w:r>
      <w:proofErr w:type="spellEnd"/>
      <w:r>
        <w:t xml:space="preserve">) is to be included in the Black Triangle Scheme. The PI and Consumer Medicines Information (CMI) for </w:t>
      </w:r>
      <w:proofErr w:type="spellStart"/>
      <w:r>
        <w:t>Veklury</w:t>
      </w:r>
      <w:proofErr w:type="spellEnd"/>
      <w:r>
        <w:t xml:space="preserve"> must include the black triangle symbol and mandatory accompanying text for the products entire period of provisional registration.</w:t>
      </w:r>
    </w:p>
    <w:p w14:paraId="0D4250E8" w14:textId="77777777" w:rsidR="008E7846" w:rsidRDefault="00AA0ED0" w:rsidP="008E7846">
      <w:pPr>
        <w:pStyle w:val="Heading3"/>
      </w:pPr>
      <w:bookmarkStart w:id="64" w:name="_Toc247691531"/>
      <w:bookmarkStart w:id="65" w:name="_Toc314842515"/>
      <w:bookmarkStart w:id="66" w:name="_Toc102724838"/>
      <w:bookmarkStart w:id="67" w:name="_Toc196046505"/>
      <w:bookmarkStart w:id="68" w:name="_Toc196046949"/>
      <w:r>
        <w:t>Risk-benefit a</w:t>
      </w:r>
      <w:r w:rsidR="008E7846">
        <w:t>nalysis</w:t>
      </w:r>
      <w:bookmarkEnd w:id="64"/>
      <w:bookmarkEnd w:id="65"/>
      <w:bookmarkEnd w:id="66"/>
    </w:p>
    <w:p w14:paraId="44269313" w14:textId="77777777" w:rsidR="00D23139" w:rsidRDefault="007D53B6" w:rsidP="00D23139">
      <w:pPr>
        <w:pStyle w:val="Heading4"/>
      </w:pPr>
      <w:r>
        <w:t>Delegate’s considerations</w:t>
      </w:r>
    </w:p>
    <w:p w14:paraId="184C0FE8" w14:textId="77777777" w:rsidR="00704895" w:rsidRDefault="00704895" w:rsidP="00704895">
      <w:pPr>
        <w:pStyle w:val="Heading5"/>
      </w:pPr>
      <w:r w:rsidRPr="00253DD7">
        <w:t>Regulatory action proposed in the application</w:t>
      </w:r>
    </w:p>
    <w:p w14:paraId="390AFC11" w14:textId="6BF610A1" w:rsidR="00704895" w:rsidRDefault="00704895" w:rsidP="00704895">
      <w:r>
        <w:t>The Delegate note that this is a complex application, both in terms of the data submitted and interpreting how this correlates with the regulatory actions the sponsor has proposed.</w:t>
      </w:r>
    </w:p>
    <w:p w14:paraId="7574E845" w14:textId="61B6F2B1" w:rsidR="00704895" w:rsidRDefault="000A4816" w:rsidP="00704895">
      <w:pPr>
        <w:ind w:left="709" w:hanging="709"/>
      </w:pPr>
      <w:proofErr w:type="spellStart"/>
      <w:r>
        <w:t>remdesivir</w:t>
      </w:r>
      <w:proofErr w:type="spellEnd"/>
      <w:r w:rsidR="00704895">
        <w:t xml:space="preserve"> is currently provisionally registered for the following indication:</w:t>
      </w:r>
    </w:p>
    <w:p w14:paraId="2D801D25" w14:textId="4FE98E1E" w:rsidR="00704895" w:rsidRPr="00954662" w:rsidRDefault="00704895" w:rsidP="009A05E6">
      <w:pPr>
        <w:ind w:left="709"/>
        <w:rPr>
          <w:i/>
          <w:iCs/>
        </w:rPr>
      </w:pPr>
      <w:proofErr w:type="spellStart"/>
      <w:r w:rsidRPr="00954662">
        <w:rPr>
          <w:i/>
          <w:iCs/>
        </w:rPr>
        <w:t>Veklury</w:t>
      </w:r>
      <w:proofErr w:type="spellEnd"/>
      <w:r w:rsidRPr="00954662">
        <w:rPr>
          <w:i/>
          <w:iCs/>
        </w:rPr>
        <w:t xml:space="preserve"> has </w:t>
      </w:r>
      <w:r w:rsidRPr="00954662">
        <w:rPr>
          <w:bCs/>
          <w:i/>
          <w:iCs/>
        </w:rPr>
        <w:t>provisional approval</w:t>
      </w:r>
      <w:r w:rsidRPr="00954662">
        <w:rPr>
          <w:i/>
          <w:iCs/>
        </w:rPr>
        <w:t xml:space="preserve"> for the treatment of Coronavirus Disease 2019 (COVID-19) in adults and adolescents (aged 12 years and older weighing at least 40 kg) with pneumonia, requiring supplemental oxygen</w:t>
      </w:r>
      <w:r w:rsidR="009A05E6">
        <w:rPr>
          <w:i/>
          <w:iCs/>
        </w:rPr>
        <w:t xml:space="preserve"> (see Section 5.1)</w:t>
      </w:r>
      <w:r w:rsidRPr="00954662">
        <w:rPr>
          <w:i/>
          <w:iCs/>
        </w:rPr>
        <w:t>.</w:t>
      </w:r>
    </w:p>
    <w:p w14:paraId="3982F9CD" w14:textId="09067AD6" w:rsidR="00704895" w:rsidRDefault="00704895" w:rsidP="009A05E6">
      <w:pPr>
        <w:ind w:left="720" w:hanging="11"/>
      </w:pPr>
      <w:r w:rsidRPr="00954662">
        <w:rPr>
          <w:i/>
          <w:iCs/>
        </w:rPr>
        <w:t>The decision to approve this medicine has been made based on limited data. Mor</w:t>
      </w:r>
      <w:r w:rsidR="009A05E6">
        <w:rPr>
          <w:i/>
          <w:iCs/>
        </w:rPr>
        <w:t xml:space="preserve">e </w:t>
      </w:r>
      <w:r w:rsidRPr="00954662">
        <w:rPr>
          <w:i/>
          <w:iCs/>
        </w:rPr>
        <w:t>comprehensive evidence is required to be submitted.</w:t>
      </w:r>
    </w:p>
    <w:p w14:paraId="56EE8AB4" w14:textId="637D6A20" w:rsidR="00704895" w:rsidRDefault="009A05E6" w:rsidP="00704895">
      <w:r>
        <w:t>The sponsor has proposed to extend this indication to:</w:t>
      </w:r>
    </w:p>
    <w:p w14:paraId="76F20200" w14:textId="3D9AFFB5" w:rsidR="009A05E6" w:rsidRPr="00FA2AA4" w:rsidRDefault="009A05E6" w:rsidP="00FA2AA4">
      <w:pPr>
        <w:ind w:left="720"/>
        <w:rPr>
          <w:i/>
          <w:iCs/>
        </w:rPr>
      </w:pPr>
      <w:r w:rsidRPr="00FA2AA4">
        <w:rPr>
          <w:i/>
          <w:iCs/>
        </w:rPr>
        <w:t>Adults and paediatric patients (at least 4 weeks of age and weighing at least 3 kg) with pneumonia, requiring supplemental oxygen (low- or high-flow oxygen or other non-invasive ventilation at start of treatment) (see section</w:t>
      </w:r>
      <w:r w:rsidR="003E5309" w:rsidRPr="00FA2AA4">
        <w:rPr>
          <w:i/>
          <w:iCs/>
        </w:rPr>
        <w:t> </w:t>
      </w:r>
      <w:r w:rsidRPr="00FA2AA4">
        <w:rPr>
          <w:i/>
          <w:iCs/>
        </w:rPr>
        <w:t>5.1).</w:t>
      </w:r>
    </w:p>
    <w:p w14:paraId="3D43BACD" w14:textId="7E50A428" w:rsidR="009A05E6" w:rsidRPr="00FA2AA4" w:rsidRDefault="009A05E6" w:rsidP="00FA2AA4">
      <w:pPr>
        <w:ind w:left="720"/>
        <w:rPr>
          <w:i/>
          <w:iCs/>
        </w:rPr>
      </w:pPr>
      <w:r w:rsidRPr="00FA2AA4">
        <w:rPr>
          <w:i/>
          <w:iCs/>
        </w:rPr>
        <w:t>Adults and paediatric patients (weighing at least 40 kg) who do not require supplemental oxygen and who are at increased risk of progressing to severe COVID</w:t>
      </w:r>
      <w:r w:rsidR="003E5309">
        <w:rPr>
          <w:i/>
          <w:iCs/>
        </w:rPr>
        <w:noBreakHyphen/>
      </w:r>
      <w:r w:rsidRPr="00FA2AA4">
        <w:rPr>
          <w:i/>
          <w:iCs/>
        </w:rPr>
        <w:t>19</w:t>
      </w:r>
    </w:p>
    <w:p w14:paraId="24EEA1CC" w14:textId="0EC04375" w:rsidR="009A05E6" w:rsidRDefault="009A05E6" w:rsidP="00704895">
      <w:r>
        <w:t>This proposed new indication includes treatment of three new patient populations.</w:t>
      </w:r>
    </w:p>
    <w:p w14:paraId="14FFADDE" w14:textId="0A642DAA" w:rsidR="009A05E6" w:rsidRDefault="009A05E6" w:rsidP="009A05E6">
      <w:pPr>
        <w:pStyle w:val="Numberbullet0"/>
      </w:pPr>
      <w:r>
        <w:lastRenderedPageBreak/>
        <w:t>Patients with pneumonia requiring supplemental oxygen &gt;</w:t>
      </w:r>
      <w:r w:rsidR="00743DC6">
        <w:t> </w:t>
      </w:r>
      <w:r>
        <w:t>4 weeks of age and weighting at least 3</w:t>
      </w:r>
      <w:r w:rsidR="00743DC6">
        <w:t> </w:t>
      </w:r>
      <w:r>
        <w:t>kg but under 12 years of age. Note that patients &gt;</w:t>
      </w:r>
      <w:r w:rsidR="00743DC6">
        <w:t> </w:t>
      </w:r>
      <w:r>
        <w:t>12 years of age are already in the current indication.</w:t>
      </w:r>
    </w:p>
    <w:p w14:paraId="2FBDD04D" w14:textId="4D91C862" w:rsidR="009A05E6" w:rsidRDefault="009A05E6" w:rsidP="009A05E6">
      <w:pPr>
        <w:pStyle w:val="Numberbullet0"/>
      </w:pPr>
      <w:r>
        <w:t>Paediatric patients who weigh at least 40</w:t>
      </w:r>
      <w:r w:rsidR="00743DC6">
        <w:t> </w:t>
      </w:r>
      <w:r>
        <w:t>kg and do not require supplemental oxygen but are at increased risk of progressing to severe COVID-19</w:t>
      </w:r>
      <w:r w:rsidR="00743DC6">
        <w:t>.</w:t>
      </w:r>
    </w:p>
    <w:p w14:paraId="1FECEBB9" w14:textId="56C13818" w:rsidR="009A05E6" w:rsidRDefault="009A05E6" w:rsidP="009A05E6">
      <w:pPr>
        <w:pStyle w:val="Numberbullet0"/>
      </w:pPr>
      <w:r>
        <w:t>Adult patients (who weigh at least 40</w:t>
      </w:r>
      <w:r w:rsidR="00743DC6">
        <w:t> </w:t>
      </w:r>
      <w:r>
        <w:t>kg) and do not require supplemental oxygen but are at increased risk of progressing to severe COVID-19.</w:t>
      </w:r>
    </w:p>
    <w:p w14:paraId="00E89382" w14:textId="55EB7F40" w:rsidR="009A05E6" w:rsidRDefault="009A05E6" w:rsidP="009A05E6">
      <w:r>
        <w:t xml:space="preserve">The Delegate notes that neither the clinical evaluator nor the toxicology evaluator have expressed unreserved support for the use of </w:t>
      </w:r>
      <w:proofErr w:type="spellStart"/>
      <w:r w:rsidR="000A4816">
        <w:t>remdesivir</w:t>
      </w:r>
      <w:proofErr w:type="spellEnd"/>
      <w:r>
        <w:t xml:space="preserve"> in </w:t>
      </w:r>
      <w:r w:rsidR="003E5309">
        <w:t>P</w:t>
      </w:r>
      <w:r>
        <w:t xml:space="preserve">opulation 1. The clinical evaluator has recommended approving the use of </w:t>
      </w:r>
      <w:proofErr w:type="spellStart"/>
      <w:r w:rsidR="000A4816">
        <w:t>remdesivir</w:t>
      </w:r>
      <w:proofErr w:type="spellEnd"/>
      <w:r>
        <w:t xml:space="preserve"> in </w:t>
      </w:r>
      <w:r w:rsidR="003E5309">
        <w:t>P</w:t>
      </w:r>
      <w:r>
        <w:t xml:space="preserve">opulation 3, with the toxicology evaluator having no expressed concerns with adult use of </w:t>
      </w:r>
      <w:proofErr w:type="spellStart"/>
      <w:r w:rsidR="000A4816">
        <w:t>remdesivir</w:t>
      </w:r>
      <w:proofErr w:type="spellEnd"/>
      <w:r>
        <w:t>.</w:t>
      </w:r>
    </w:p>
    <w:p w14:paraId="1D53A6F6" w14:textId="77777777" w:rsidR="009A05E6" w:rsidRDefault="009A05E6" w:rsidP="009A05E6">
      <w:pPr>
        <w:pStyle w:val="Heading5"/>
      </w:pPr>
      <w:r w:rsidRPr="006C0719">
        <w:t>Legislative context of this application</w:t>
      </w:r>
    </w:p>
    <w:p w14:paraId="2D38E570" w14:textId="6D4D7CA2" w:rsidR="009A05E6" w:rsidRDefault="009A05E6" w:rsidP="009A05E6">
      <w:proofErr w:type="spellStart"/>
      <w:r>
        <w:t>Remd</w:t>
      </w:r>
      <w:r w:rsidR="000A4816">
        <w:t>e</w:t>
      </w:r>
      <w:r>
        <w:t>s</w:t>
      </w:r>
      <w:r w:rsidR="000A4816">
        <w:t>i</w:t>
      </w:r>
      <w:r>
        <w:t>vir</w:t>
      </w:r>
      <w:proofErr w:type="spellEnd"/>
      <w:r>
        <w:t xml:space="preserve"> is currently ‘Provisionally Registered’ by TGA. Provisional registration allows the TGA to consider applications based on ‘preliminary data’, but the criteria for decisions regarding applications to provisionally register a product are set out in Section 25 of the Therapeutic Goods Act, which states (regarding clinical safety and efficacy):</w:t>
      </w:r>
    </w:p>
    <w:p w14:paraId="7AC6CAC2" w14:textId="77777777" w:rsidR="009A05E6" w:rsidRDefault="009A05E6" w:rsidP="00FA2AA4">
      <w:pPr>
        <w:spacing w:before="42"/>
        <w:ind w:left="720"/>
        <w:rPr>
          <w:rFonts w:ascii="Calibri" w:eastAsiaTheme="minorHAnsi" w:hAnsi="Calibri"/>
        </w:rPr>
      </w:pPr>
      <w:r>
        <w:t>1(d) for</w:t>
      </w:r>
      <w:r>
        <w:rPr>
          <w:spacing w:val="-2"/>
        </w:rPr>
        <w:t xml:space="preserve"> </w:t>
      </w:r>
      <w:r>
        <w:t>an</w:t>
      </w:r>
      <w:r>
        <w:rPr>
          <w:spacing w:val="-2"/>
        </w:rPr>
        <w:t xml:space="preserve"> </w:t>
      </w:r>
      <w:r>
        <w:t>application</w:t>
      </w:r>
      <w:r>
        <w:rPr>
          <w:spacing w:val="-4"/>
        </w:rPr>
        <w:t xml:space="preserve"> </w:t>
      </w:r>
      <w:r>
        <w:t>for</w:t>
      </w:r>
      <w:r>
        <w:rPr>
          <w:spacing w:val="-2"/>
        </w:rPr>
        <w:t xml:space="preserve"> </w:t>
      </w:r>
      <w:r>
        <w:t>provisional</w:t>
      </w:r>
      <w:r>
        <w:rPr>
          <w:spacing w:val="-3"/>
        </w:rPr>
        <w:t xml:space="preserve"> </w:t>
      </w:r>
      <w:r>
        <w:t>registration</w:t>
      </w:r>
      <w:r>
        <w:rPr>
          <w:spacing w:val="-2"/>
        </w:rPr>
        <w:t xml:space="preserve"> </w:t>
      </w:r>
      <w:r>
        <w:t>of</w:t>
      </w:r>
      <w:r>
        <w:rPr>
          <w:spacing w:val="-3"/>
        </w:rPr>
        <w:t xml:space="preserve"> </w:t>
      </w:r>
      <w:r>
        <w:t>a</w:t>
      </w:r>
      <w:r>
        <w:rPr>
          <w:spacing w:val="-2"/>
        </w:rPr>
        <w:t xml:space="preserve"> </w:t>
      </w:r>
      <w:r>
        <w:t>medicine:</w:t>
      </w:r>
    </w:p>
    <w:p w14:paraId="375D62D9" w14:textId="41620428" w:rsidR="009A05E6" w:rsidRDefault="009A05E6" w:rsidP="009A05E6">
      <w:pPr>
        <w:pStyle w:val="ListParagraph"/>
        <w:numPr>
          <w:ilvl w:val="3"/>
          <w:numId w:val="39"/>
        </w:numPr>
        <w:autoSpaceDE w:val="0"/>
        <w:autoSpaceDN w:val="0"/>
        <w:spacing w:before="39" w:after="0" w:line="240" w:lineRule="auto"/>
        <w:ind w:left="1418" w:right="836"/>
        <w:contextualSpacing w:val="0"/>
        <w:rPr>
          <w:lang w:val="en-US"/>
        </w:rPr>
      </w:pPr>
      <w:bookmarkStart w:id="69" w:name="_Hlk101468322"/>
      <w:r>
        <w:rPr>
          <w:lang w:val="en-US"/>
        </w:rPr>
        <w:t>whether, based on preliminary clinical data, the safety</w:t>
      </w:r>
      <w:r>
        <w:rPr>
          <w:spacing w:val="1"/>
          <w:lang w:val="en-US"/>
        </w:rPr>
        <w:t xml:space="preserve"> </w:t>
      </w:r>
      <w:r>
        <w:rPr>
          <w:lang w:val="en-US"/>
        </w:rPr>
        <w:t>and efficacy of the medicine for the purposes for which</w:t>
      </w:r>
      <w:r w:rsidR="00FE5A84">
        <w:rPr>
          <w:lang w:val="en-US"/>
        </w:rPr>
        <w:t xml:space="preserve"> </w:t>
      </w:r>
      <w:r>
        <w:rPr>
          <w:lang w:val="en-US"/>
        </w:rPr>
        <w:t>it</w:t>
      </w:r>
      <w:r>
        <w:rPr>
          <w:spacing w:val="-3"/>
          <w:lang w:val="en-US"/>
        </w:rPr>
        <w:t xml:space="preserve"> </w:t>
      </w:r>
      <w:r>
        <w:rPr>
          <w:lang w:val="en-US"/>
        </w:rPr>
        <w:t>is</w:t>
      </w:r>
      <w:r>
        <w:rPr>
          <w:spacing w:val="-3"/>
          <w:lang w:val="en-US"/>
        </w:rPr>
        <w:t xml:space="preserve"> </w:t>
      </w:r>
      <w:r>
        <w:rPr>
          <w:lang w:val="en-US"/>
        </w:rPr>
        <w:t>to</w:t>
      </w:r>
      <w:r>
        <w:rPr>
          <w:spacing w:val="-1"/>
          <w:lang w:val="en-US"/>
        </w:rPr>
        <w:t xml:space="preserve"> </w:t>
      </w:r>
      <w:r>
        <w:rPr>
          <w:lang w:val="en-US"/>
        </w:rPr>
        <w:t>be</w:t>
      </w:r>
      <w:r>
        <w:rPr>
          <w:spacing w:val="-2"/>
          <w:lang w:val="en-US"/>
        </w:rPr>
        <w:t xml:space="preserve"> </w:t>
      </w:r>
      <w:r>
        <w:rPr>
          <w:lang w:val="en-US"/>
        </w:rPr>
        <w:t>used</w:t>
      </w:r>
      <w:r>
        <w:rPr>
          <w:spacing w:val="-4"/>
          <w:lang w:val="en-US"/>
        </w:rPr>
        <w:t xml:space="preserve"> </w:t>
      </w:r>
      <w:r>
        <w:rPr>
          <w:lang w:val="en-US"/>
        </w:rPr>
        <w:t>have</w:t>
      </w:r>
      <w:r>
        <w:rPr>
          <w:spacing w:val="-1"/>
          <w:lang w:val="en-US"/>
        </w:rPr>
        <w:t xml:space="preserve"> </w:t>
      </w:r>
      <w:r>
        <w:rPr>
          <w:lang w:val="en-US"/>
        </w:rPr>
        <w:t>been</w:t>
      </w:r>
      <w:r>
        <w:rPr>
          <w:spacing w:val="-3"/>
          <w:lang w:val="en-US"/>
        </w:rPr>
        <w:t xml:space="preserve"> </w:t>
      </w:r>
      <w:r>
        <w:rPr>
          <w:lang w:val="en-US"/>
        </w:rPr>
        <w:t>satisfactorily</w:t>
      </w:r>
      <w:r>
        <w:rPr>
          <w:spacing w:val="-3"/>
          <w:lang w:val="en-US"/>
        </w:rPr>
        <w:t xml:space="preserve"> </w:t>
      </w:r>
      <w:r>
        <w:rPr>
          <w:lang w:val="en-US"/>
        </w:rPr>
        <w:t>established</w:t>
      </w:r>
      <w:bookmarkEnd w:id="69"/>
      <w:r>
        <w:rPr>
          <w:lang w:val="en-US"/>
        </w:rPr>
        <w:t>;</w:t>
      </w:r>
      <w:r>
        <w:rPr>
          <w:spacing w:val="-3"/>
          <w:lang w:val="en-US"/>
        </w:rPr>
        <w:t xml:space="preserve"> </w:t>
      </w:r>
      <w:r>
        <w:rPr>
          <w:lang w:val="en-US"/>
        </w:rPr>
        <w:t>and</w:t>
      </w:r>
    </w:p>
    <w:p w14:paraId="14A5E7BD" w14:textId="77777777" w:rsidR="009A05E6" w:rsidRDefault="009A05E6" w:rsidP="009A05E6">
      <w:pPr>
        <w:pStyle w:val="ListParagraph"/>
        <w:numPr>
          <w:ilvl w:val="3"/>
          <w:numId w:val="39"/>
        </w:numPr>
        <w:autoSpaceDE w:val="0"/>
        <w:autoSpaceDN w:val="0"/>
        <w:spacing w:before="41" w:after="0" w:line="240" w:lineRule="auto"/>
        <w:ind w:left="1418" w:right="752"/>
        <w:contextualSpacing w:val="0"/>
        <w:jc w:val="both"/>
        <w:rPr>
          <w:lang w:val="en-US"/>
        </w:rPr>
      </w:pPr>
      <w:r>
        <w:rPr>
          <w:lang w:val="en-US"/>
        </w:rPr>
        <w:t>whether the quality of the medicine for the purposes for</w:t>
      </w:r>
      <w:r>
        <w:rPr>
          <w:spacing w:val="1"/>
          <w:lang w:val="en-US"/>
        </w:rPr>
        <w:t xml:space="preserve"> </w:t>
      </w:r>
      <w:r>
        <w:rPr>
          <w:lang w:val="en-US"/>
        </w:rPr>
        <w:t>which it is to be used has been satisfactorily established;</w:t>
      </w:r>
      <w:r>
        <w:rPr>
          <w:spacing w:val="-53"/>
          <w:lang w:val="en-US"/>
        </w:rPr>
        <w:t xml:space="preserve"> </w:t>
      </w:r>
      <w:r>
        <w:rPr>
          <w:lang w:val="en-US"/>
        </w:rPr>
        <w:t>and</w:t>
      </w:r>
    </w:p>
    <w:p w14:paraId="3BB80D62" w14:textId="77777777" w:rsidR="009A05E6" w:rsidRDefault="009A05E6" w:rsidP="009A05E6">
      <w:pPr>
        <w:pStyle w:val="ListParagraph"/>
        <w:numPr>
          <w:ilvl w:val="3"/>
          <w:numId w:val="39"/>
        </w:numPr>
        <w:autoSpaceDE w:val="0"/>
        <w:autoSpaceDN w:val="0"/>
        <w:spacing w:before="40" w:after="0" w:line="240" w:lineRule="auto"/>
        <w:ind w:left="1418"/>
        <w:contextualSpacing w:val="0"/>
        <w:rPr>
          <w:rFonts w:ascii="Calibri" w:hAnsi="Calibri" w:cs="Calibri"/>
          <w:color w:val="1F3864"/>
        </w:rPr>
      </w:pPr>
      <w:r>
        <w:rPr>
          <w:lang w:val="en-US"/>
        </w:rPr>
        <w:t>whether, if the Secretary were to register the medicine,</w:t>
      </w:r>
      <w:r>
        <w:rPr>
          <w:spacing w:val="-52"/>
          <w:lang w:val="en-US"/>
        </w:rPr>
        <w:t xml:space="preserve"> </w:t>
      </w:r>
      <w:r>
        <w:rPr>
          <w:lang w:val="en-US"/>
        </w:rPr>
        <w:t>the Secretary is satisfied with the applicant’s plan to</w:t>
      </w:r>
      <w:r>
        <w:rPr>
          <w:spacing w:val="1"/>
          <w:lang w:val="en-US"/>
        </w:rPr>
        <w:t xml:space="preserve"> </w:t>
      </w:r>
      <w:r>
        <w:rPr>
          <w:lang w:val="en-US"/>
        </w:rPr>
        <w:t>submit comprehensive clinical data on the safety and</w:t>
      </w:r>
      <w:r>
        <w:rPr>
          <w:spacing w:val="1"/>
          <w:lang w:val="en-US"/>
        </w:rPr>
        <w:t xml:space="preserve"> </w:t>
      </w:r>
      <w:r>
        <w:rPr>
          <w:lang w:val="en-US"/>
        </w:rPr>
        <w:t>efficacy of the medicine before the end of the 6 years</w:t>
      </w:r>
      <w:r>
        <w:rPr>
          <w:spacing w:val="1"/>
          <w:lang w:val="en-US"/>
        </w:rPr>
        <w:t xml:space="preserve"> </w:t>
      </w:r>
      <w:r>
        <w:rPr>
          <w:lang w:val="en-US"/>
        </w:rPr>
        <w:t>that would start on the day that registration would</w:t>
      </w:r>
      <w:r>
        <w:rPr>
          <w:spacing w:val="1"/>
          <w:lang w:val="en-US"/>
        </w:rPr>
        <w:t xml:space="preserve"> </w:t>
      </w:r>
      <w:r>
        <w:rPr>
          <w:lang w:val="en-US"/>
        </w:rPr>
        <w:t>commence</w:t>
      </w:r>
    </w:p>
    <w:p w14:paraId="1EE64CA2" w14:textId="77777777" w:rsidR="009A05E6" w:rsidRDefault="009A05E6" w:rsidP="009A05E6">
      <w:r>
        <w:t>The Delegate notes that the pertinent phrase is that the safety and efficacy of the medicine for the purposes for which it is to be used must be ‘satisfactorily established’, although the data is acknowledged to be preliminary.</w:t>
      </w:r>
    </w:p>
    <w:p w14:paraId="0416A923" w14:textId="33284FA6" w:rsidR="009A05E6" w:rsidRDefault="009A05E6" w:rsidP="009A05E6">
      <w:r>
        <w:t>The Delegate notes that this is different from the criteria for the FDA</w:t>
      </w:r>
      <w:r w:rsidR="003E5309">
        <w:t>’s</w:t>
      </w:r>
      <w:r>
        <w:t xml:space="preserve"> </w:t>
      </w:r>
      <w:r w:rsidR="003E5309">
        <w:t>Emergency Use Authorization (</w:t>
      </w:r>
      <w:r>
        <w:t>EUA</w:t>
      </w:r>
      <w:r w:rsidR="003E5309">
        <w:t>)</w:t>
      </w:r>
      <w:r>
        <w:t>, which might otherwise be taken as a comparable international assessment material to this application.</w:t>
      </w:r>
    </w:p>
    <w:p w14:paraId="746365B9" w14:textId="467D8EFE" w:rsidR="009A05E6" w:rsidRPr="009A05E6" w:rsidRDefault="009A05E6" w:rsidP="00163405">
      <w:pPr>
        <w:pStyle w:val="Heading5"/>
      </w:pPr>
      <w:r w:rsidRPr="009A05E6">
        <w:t xml:space="preserve">Use of </w:t>
      </w:r>
      <w:proofErr w:type="spellStart"/>
      <w:r w:rsidR="00A64ADF">
        <w:t>r</w:t>
      </w:r>
      <w:r w:rsidRPr="009A05E6">
        <w:t>emd</w:t>
      </w:r>
      <w:r w:rsidR="000A4816">
        <w:t>e</w:t>
      </w:r>
      <w:r w:rsidRPr="009A05E6">
        <w:t>sivir</w:t>
      </w:r>
      <w:proofErr w:type="spellEnd"/>
      <w:r w:rsidRPr="009A05E6">
        <w:t xml:space="preserve"> in </w:t>
      </w:r>
      <w:r w:rsidR="00A64ADF">
        <w:t>p</w:t>
      </w:r>
      <w:r w:rsidRPr="009A05E6">
        <w:t>atients with pneumonia requiring supplemental oxygen &gt;</w:t>
      </w:r>
      <w:r w:rsidR="003E5309">
        <w:t> </w:t>
      </w:r>
      <w:r w:rsidRPr="009A05E6">
        <w:t>4</w:t>
      </w:r>
      <w:r w:rsidR="003E5309">
        <w:t> </w:t>
      </w:r>
      <w:r w:rsidRPr="009A05E6">
        <w:t xml:space="preserve">weeks of age (but under 12 years of age) and weighting at least 3kg </w:t>
      </w:r>
    </w:p>
    <w:p w14:paraId="137363CF" w14:textId="6CC1455E" w:rsidR="009A05E6" w:rsidRDefault="009A05E6" w:rsidP="009A05E6">
      <w:r>
        <w:t>The Delegate agrees with the clinical evaluator summary that ‘robust efficacy data in paediatric patients with COVID-19 are lacking in this extension of indication application’.</w:t>
      </w:r>
    </w:p>
    <w:p w14:paraId="014825A8" w14:textId="77777777" w:rsidR="009A05E6" w:rsidRDefault="009A05E6" w:rsidP="009A05E6">
      <w:r>
        <w:t>The main deficiencies which the Delegate considers material are:</w:t>
      </w:r>
    </w:p>
    <w:p w14:paraId="765542B1" w14:textId="1502CA44" w:rsidR="009A05E6" w:rsidRDefault="009A05E6" w:rsidP="009A05E6">
      <w:pPr>
        <w:pStyle w:val="ListBullet"/>
      </w:pPr>
      <w:r>
        <w:t>The population of patients &lt; 12 years presented in the studies is too small to estimate population efficacy or safety. In Study GS-US-540-5823, only 41 patients were &lt;</w:t>
      </w:r>
      <w:r w:rsidR="003E5309">
        <w:t> </w:t>
      </w:r>
      <w:r>
        <w:t>12</w:t>
      </w:r>
      <w:r w:rsidR="003E5309">
        <w:t> </w:t>
      </w:r>
      <w:r>
        <w:t xml:space="preserve">years of age and of these only 36 patients in Cohorts 2 to 4 received the proposed dose regimen of </w:t>
      </w:r>
      <w:proofErr w:type="spellStart"/>
      <w:r w:rsidR="000A4816">
        <w:t>remdesivir</w:t>
      </w:r>
      <w:proofErr w:type="spellEnd"/>
      <w:r>
        <w:t>. The second compassionate use report provides data on 36</w:t>
      </w:r>
      <w:r w:rsidR="003E5309">
        <w:t> </w:t>
      </w:r>
      <w:r>
        <w:t>additional patients under 12 years of age.</w:t>
      </w:r>
    </w:p>
    <w:p w14:paraId="6CB1E1B6" w14:textId="74D10DB1" w:rsidR="009A05E6" w:rsidRDefault="009A05E6" w:rsidP="009A05E6">
      <w:pPr>
        <w:pStyle w:val="ListBullet"/>
      </w:pPr>
      <w:r>
        <w:t xml:space="preserve">There is a particular deficiency of patients in the lowest weight groups in which toxicity from </w:t>
      </w:r>
      <w:proofErr w:type="spellStart"/>
      <w:r w:rsidR="000A4816">
        <w:t>remdesivir</w:t>
      </w:r>
      <w:proofErr w:type="spellEnd"/>
      <w:r>
        <w:t xml:space="preserve"> and the excipient </w:t>
      </w:r>
      <w:proofErr w:type="spellStart"/>
      <w:r w:rsidR="003E5309">
        <w:t>s</w:t>
      </w:r>
      <w:r w:rsidR="003E5309" w:rsidRPr="009A05E6">
        <w:t>ulfobutylether</w:t>
      </w:r>
      <w:proofErr w:type="spellEnd"/>
      <w:r w:rsidR="003E5309" w:rsidRPr="009A05E6">
        <w:t>-beta-cyclodextrin</w:t>
      </w:r>
      <w:r w:rsidR="003E5309">
        <w:t xml:space="preserve"> (</w:t>
      </w:r>
      <w:r>
        <w:t>SBECD</w:t>
      </w:r>
      <w:r w:rsidR="003E5309">
        <w:t>)</w:t>
      </w:r>
      <w:r>
        <w:t xml:space="preserve"> is considered most likely to occur. There are only 12 patients in Study GS-US-540-5823 in the &lt; 1 year old cohort, and the second compassionate use report only adds another </w:t>
      </w:r>
      <w:r>
        <w:lastRenderedPageBreak/>
        <w:t xml:space="preserve">12 </w:t>
      </w:r>
      <w:r w:rsidR="003E5309">
        <w:t xml:space="preserve">patients </w:t>
      </w:r>
      <w:r>
        <w:t>to this. The toxicity of SBECD has not been examined in young animals in the preclinical data, and the clinical studies have not monitored for its accumulation.</w:t>
      </w:r>
    </w:p>
    <w:p w14:paraId="7BC2DFAB" w14:textId="49F68340" w:rsidR="009A05E6" w:rsidRDefault="009A05E6" w:rsidP="009A05E6">
      <w:pPr>
        <w:pStyle w:val="ListBullet"/>
      </w:pPr>
      <w:r>
        <w:t xml:space="preserve">The population of 72 patients &lt; 12 years of age and receiving the proposed dose of </w:t>
      </w:r>
      <w:proofErr w:type="spellStart"/>
      <w:r w:rsidR="000A4816">
        <w:t>remdesivir</w:t>
      </w:r>
      <w:proofErr w:type="spellEnd"/>
      <w:r>
        <w:t xml:space="preserve"> is, apart from being a minimal population on which to base a conclusion of efficacy or safety, not analysed against a comparator. It is therefore not possible to test hypothesis that </w:t>
      </w:r>
      <w:proofErr w:type="spellStart"/>
      <w:r w:rsidR="000A4816">
        <w:t>remdesivir</w:t>
      </w:r>
      <w:proofErr w:type="spellEnd"/>
      <w:r>
        <w:t xml:space="preserve"> is comparable to standard of care in either efficacy or safety. The Delegate notes that Study GS-US-540-5823 only included efficacy as a secondary analysis, being primarily designed for pharmacokinetics and safety.</w:t>
      </w:r>
    </w:p>
    <w:p w14:paraId="20B06B74" w14:textId="14585681" w:rsidR="009A05E6" w:rsidRDefault="009A05E6" w:rsidP="009A05E6">
      <w:pPr>
        <w:pStyle w:val="ListBullet"/>
      </w:pPr>
      <w:r>
        <w:t xml:space="preserve">While the recovery rates observed in the non-comparative trials provided are in some cases high, the Delegate notes that this appears that this is most evident in older children. A third of the Cohort 4 children in Study GS-US-540-5823 who were proportionally more unwell than the general population failed to improve on </w:t>
      </w:r>
      <w:proofErr w:type="spellStart"/>
      <w:r w:rsidR="000A4816">
        <w:t>remdesivir</w:t>
      </w:r>
      <w:proofErr w:type="spellEnd"/>
      <w:r>
        <w:t xml:space="preserve"> therapy.</w:t>
      </w:r>
    </w:p>
    <w:p w14:paraId="2B16F49E" w14:textId="39EB4AEC" w:rsidR="009A05E6" w:rsidRDefault="009A05E6" w:rsidP="009A05E6">
      <w:pPr>
        <w:pStyle w:val="ListBullet"/>
      </w:pPr>
      <w:r>
        <w:t>75% of the children in the second compassionate use report recovered but it is difficult to map this population onto the proposed indication as 21.1% of them were on room air at Baseline (that is not requiring supplemental oxygen) and whether the patients had pneumonia is not clear.</w:t>
      </w:r>
    </w:p>
    <w:p w14:paraId="2AB32312" w14:textId="15BCFBA1" w:rsidR="009A05E6" w:rsidRDefault="009A05E6" w:rsidP="009A05E6">
      <w:pPr>
        <w:tabs>
          <w:tab w:val="left" w:pos="1418"/>
        </w:tabs>
        <w:ind w:left="360"/>
      </w:pPr>
      <w:r>
        <w:t xml:space="preserve">The Delegate concludes that there is insufficient data in patients &lt; 12 years of age to satisfactorily demonstrate efficacy and safety, this being a question of the absence of adequate data rather than its ‘preliminary’ nature. This deficiency is most marked in the youngest patients. The Delegate notes that the efficacy and safety of </w:t>
      </w:r>
      <w:proofErr w:type="spellStart"/>
      <w:r w:rsidR="000A4816">
        <w:t>remdesivir</w:t>
      </w:r>
      <w:proofErr w:type="spellEnd"/>
      <w:r>
        <w:t xml:space="preserve"> in children &gt; 12 years old who have pneumonia has been accepted but does not consider this can be extrapolated to the paediatric cohort without an appropriately age</w:t>
      </w:r>
      <w:r>
        <w:noBreakHyphen/>
        <w:t>stratified analysis of outcomes in statistically meaningful numbers.</w:t>
      </w:r>
    </w:p>
    <w:p w14:paraId="60FC28C3" w14:textId="24ABD9F9" w:rsidR="00163405" w:rsidRDefault="00163405" w:rsidP="00163405">
      <w:pPr>
        <w:pStyle w:val="Heading5"/>
      </w:pPr>
      <w:r>
        <w:t xml:space="preserve">Use of </w:t>
      </w:r>
      <w:proofErr w:type="spellStart"/>
      <w:r w:rsidR="000A4816">
        <w:t>remdesivir</w:t>
      </w:r>
      <w:proofErr w:type="spellEnd"/>
      <w:r>
        <w:t xml:space="preserve"> in </w:t>
      </w:r>
      <w:r w:rsidR="00A64ADF">
        <w:t>p</w:t>
      </w:r>
      <w:r>
        <w:t>aediatric patients who weigh at least 40</w:t>
      </w:r>
      <w:r w:rsidR="004D2528">
        <w:t xml:space="preserve"> </w:t>
      </w:r>
      <w:r>
        <w:t>kg and do not require supplemental oxygen but are at increased risk of progressing to severe COVID-19</w:t>
      </w:r>
    </w:p>
    <w:p w14:paraId="44B4B282" w14:textId="28D923FE" w:rsidR="00163405" w:rsidRDefault="00163405" w:rsidP="00163405">
      <w:r>
        <w:t xml:space="preserve">The Delegate notes that, based on 50% weight for age percentiles, a 40 kg child is likely to be about 12 years of age. Therefore, this maps closely to the current </w:t>
      </w:r>
      <w:r w:rsidR="003E5309">
        <w:t xml:space="preserve">US </w:t>
      </w:r>
      <w:r>
        <w:t>FDA indication, that specifies paediatric patients aged over 12 years of age in this indication.</w:t>
      </w:r>
    </w:p>
    <w:p w14:paraId="6330EDC1" w14:textId="4B5F3D66" w:rsidR="00163405" w:rsidRDefault="00163405" w:rsidP="00163405">
      <w:r>
        <w:t xml:space="preserve">This expansion of the indicated population is linked to the same proposed use of </w:t>
      </w:r>
      <w:proofErr w:type="spellStart"/>
      <w:r w:rsidR="000A4816">
        <w:t>remdesivir</w:t>
      </w:r>
      <w:proofErr w:type="spellEnd"/>
      <w:r>
        <w:t xml:space="preserve"> in adults and is mainly supported by Study GS-US-540-9012 (Pinetree trial). The clinical evaluator has noted that the ACTT does not inform the use of </w:t>
      </w:r>
      <w:proofErr w:type="spellStart"/>
      <w:r w:rsidR="000A4816">
        <w:t>remdesivir</w:t>
      </w:r>
      <w:proofErr w:type="spellEnd"/>
      <w:r>
        <w:t xml:space="preserve"> in patients who do not have severe disease or require supplemental oxygen, since all the patients in this study were hospitalised and 85% had severe disease.</w:t>
      </w:r>
    </w:p>
    <w:p w14:paraId="671DFEB8" w14:textId="1CA263EC" w:rsidR="00163405" w:rsidRDefault="00163405" w:rsidP="00163405">
      <w:r>
        <w:t xml:space="preserve">The Delegate notes Pinetree trial does not provide any direct evidence to support for the use of </w:t>
      </w:r>
      <w:proofErr w:type="spellStart"/>
      <w:r w:rsidR="000A4816">
        <w:t>remdesivir</w:t>
      </w:r>
      <w:proofErr w:type="spellEnd"/>
      <w:r>
        <w:t xml:space="preserve"> in paediatric patients in this proposed indication because it only enrolled three patients to active therapy under the age of 18 years of age and five to placebo. This is not a sufficient basis for a stratified paediatric analysis of the efficacy or safety of </w:t>
      </w:r>
      <w:proofErr w:type="spellStart"/>
      <w:r w:rsidR="000A4816">
        <w:t>remdesivir</w:t>
      </w:r>
      <w:proofErr w:type="spellEnd"/>
      <w:r>
        <w:t xml:space="preserve"> in this group.</w:t>
      </w:r>
    </w:p>
    <w:p w14:paraId="04C1D17B" w14:textId="5D930427" w:rsidR="00163405" w:rsidRDefault="00163405" w:rsidP="00163405">
      <w:r>
        <w:t xml:space="preserve">The Delegate notes that efficacy and safety in &gt; 12 years old might be imputed from the adult efficacy data in Pinetree trial depending on the clinical risk benefit balance of exposing patients to </w:t>
      </w:r>
      <w:proofErr w:type="spellStart"/>
      <w:r w:rsidR="000A4816">
        <w:t>remdesivir</w:t>
      </w:r>
      <w:proofErr w:type="spellEnd"/>
      <w:r>
        <w:t xml:space="preserve"> who have a limited risk of hospitalisation with vaccination and contemporary strains.</w:t>
      </w:r>
    </w:p>
    <w:p w14:paraId="7465D277" w14:textId="35E4F370" w:rsidR="009A05E6" w:rsidRDefault="00163405" w:rsidP="00163405">
      <w:r>
        <w:t>The Delegate notes that the current FDA USA indication in this respect proposes use in patients at ‘high risk of progression to severe COVID-19, including hospitalisation and death’ which may be more suitable.</w:t>
      </w:r>
    </w:p>
    <w:p w14:paraId="3E838D45" w14:textId="044A44A4" w:rsidR="00163405" w:rsidRPr="003231F1" w:rsidRDefault="003E5309" w:rsidP="00163405">
      <w:pPr>
        <w:pStyle w:val="Heading5"/>
      </w:pPr>
      <w:r>
        <w:lastRenderedPageBreak/>
        <w:t>U</w:t>
      </w:r>
      <w:r w:rsidR="00163405" w:rsidRPr="003231F1">
        <w:t xml:space="preserve">se of </w:t>
      </w:r>
      <w:proofErr w:type="spellStart"/>
      <w:r w:rsidR="000A4816">
        <w:t>remdesivir</w:t>
      </w:r>
      <w:proofErr w:type="spellEnd"/>
      <w:r w:rsidR="00163405" w:rsidRPr="003231F1">
        <w:t xml:space="preserve"> in </w:t>
      </w:r>
      <w:r w:rsidR="00A64ADF">
        <w:t>a</w:t>
      </w:r>
      <w:r w:rsidR="00163405" w:rsidRPr="003231F1">
        <w:t>dult patients (who weigh at least 40</w:t>
      </w:r>
      <w:r w:rsidR="004D2528">
        <w:t xml:space="preserve"> </w:t>
      </w:r>
      <w:r w:rsidR="00163405" w:rsidRPr="003231F1">
        <w:t>kg) and do not require supplemental oxygen but are at increased risk of progressing to severe COVID-19</w:t>
      </w:r>
    </w:p>
    <w:p w14:paraId="57CF785E" w14:textId="72BCC3F6" w:rsidR="00163405" w:rsidRDefault="00163405" w:rsidP="00163405">
      <w:r>
        <w:t xml:space="preserve">Study </w:t>
      </w:r>
      <w:r w:rsidRPr="00071075">
        <w:t>GS-US-540-9012 (Pinetree</w:t>
      </w:r>
      <w:r>
        <w:t xml:space="preserve"> trial</w:t>
      </w:r>
      <w:r w:rsidRPr="00071075">
        <w:t>)</w:t>
      </w:r>
      <w:r>
        <w:t xml:space="preserve"> provides evidence for a reduction in the rate of hospitalisation but not death at Day 28 in those</w:t>
      </w:r>
      <w:r w:rsidR="003E5309">
        <w:t>:</w:t>
      </w:r>
    </w:p>
    <w:p w14:paraId="4D4981FE" w14:textId="5F762BDB" w:rsidR="00163405" w:rsidRDefault="00163405" w:rsidP="00163405">
      <w:pPr>
        <w:pStyle w:val="ListBullet"/>
      </w:pPr>
      <w:proofErr w:type="spellStart"/>
      <w:r>
        <w:t>were</w:t>
      </w:r>
      <w:proofErr w:type="spellEnd"/>
      <w:r>
        <w:t xml:space="preserve"> not vaccinated (as the study preceded widespread vaccination</w:t>
      </w:r>
      <w:proofErr w:type="gramStart"/>
      <w:r>
        <w:t>);</w:t>
      </w:r>
      <w:proofErr w:type="gramEnd"/>
    </w:p>
    <w:p w14:paraId="180CD0EE" w14:textId="537D6AD7" w:rsidR="00163405" w:rsidRDefault="00163405" w:rsidP="00163405">
      <w:pPr>
        <w:pStyle w:val="ListBullet"/>
      </w:pPr>
      <w:r>
        <w:t xml:space="preserve">had one or more comorbidities for severe </w:t>
      </w:r>
      <w:proofErr w:type="gramStart"/>
      <w:r>
        <w:t>disease;</w:t>
      </w:r>
      <w:proofErr w:type="gramEnd"/>
    </w:p>
    <w:p w14:paraId="3EB80444" w14:textId="7012F9FD" w:rsidR="00163405" w:rsidRDefault="00163405" w:rsidP="00163405">
      <w:pPr>
        <w:pStyle w:val="ListBullet"/>
      </w:pPr>
      <w:r>
        <w:t>were of an average age of 50 (</w:t>
      </w:r>
      <w:r w:rsidR="00743DC6">
        <w:t>i</w:t>
      </w:r>
      <w:r w:rsidR="00743DC6" w:rsidRPr="00743DC6">
        <w:t>nterquartile range</w:t>
      </w:r>
      <w:r>
        <w:t xml:space="preserve"> 40</w:t>
      </w:r>
      <w:r w:rsidR="00743DC6">
        <w:t xml:space="preserve"> to </w:t>
      </w:r>
      <w:r>
        <w:t>61); and</w:t>
      </w:r>
    </w:p>
    <w:p w14:paraId="34887B52" w14:textId="78595CBE" w:rsidR="00163405" w:rsidRDefault="00163405" w:rsidP="00163405">
      <w:pPr>
        <w:pStyle w:val="ListBullet"/>
      </w:pPr>
      <w:r>
        <w:t>did not need hospitalisation or supplemental oxygen at Baseline.</w:t>
      </w:r>
    </w:p>
    <w:p w14:paraId="72EFD1BA" w14:textId="537C7B54" w:rsidR="00163405" w:rsidRDefault="00163405" w:rsidP="00163405">
      <w:r>
        <w:t xml:space="preserve">The clinical evaluator has noted that the ACTT </w:t>
      </w:r>
      <w:r w:rsidR="004D54C1">
        <w:t xml:space="preserve">trial </w:t>
      </w:r>
      <w:r>
        <w:t xml:space="preserve">does not inform the use of </w:t>
      </w:r>
      <w:proofErr w:type="spellStart"/>
      <w:r w:rsidR="000A4816">
        <w:t>remdesivir</w:t>
      </w:r>
      <w:proofErr w:type="spellEnd"/>
      <w:r>
        <w:t xml:space="preserve"> in patients who do not have severe disease or require supplemental oxygen, since all the patients in this study were hospitalised and 85% had severe disease.</w:t>
      </w:r>
    </w:p>
    <w:p w14:paraId="754DBDB6" w14:textId="6EBB38DA" w:rsidR="00163405" w:rsidRDefault="00163405" w:rsidP="00163405">
      <w:r>
        <w:t xml:space="preserve">The treatment consisted of three days of </w:t>
      </w:r>
      <w:proofErr w:type="spellStart"/>
      <w:r w:rsidR="000A4816">
        <w:t>remdesivir</w:t>
      </w:r>
      <w:proofErr w:type="spellEnd"/>
      <w:r>
        <w:t xml:space="preserve"> administered at the proposed &gt;</w:t>
      </w:r>
      <w:r w:rsidR="003E5309">
        <w:t> </w:t>
      </w:r>
      <w:r>
        <w:t>12</w:t>
      </w:r>
      <w:r w:rsidR="003E5309">
        <w:t> </w:t>
      </w:r>
      <w:r>
        <w:t>years old and weighing more than 40</w:t>
      </w:r>
      <w:r w:rsidR="00743DC6">
        <w:t> </w:t>
      </w:r>
      <w:r>
        <w:t>kg dose, that is 200 mg on the first dose followed by 100 mg on subsequent doses.</w:t>
      </w:r>
    </w:p>
    <w:p w14:paraId="4273D3BF" w14:textId="28FC8D24" w:rsidR="00163405" w:rsidRDefault="00163405" w:rsidP="00163405">
      <w:r>
        <w:t>The Delegate notes that no deaths occurred in either treatment arm of this study and so efficacy against the composite endpoint of hospitalisation plus death cannot be sustained, but rather only a reduction in hospitalisation rate at 28 days.</w:t>
      </w:r>
    </w:p>
    <w:p w14:paraId="708F1E20" w14:textId="00406BF2" w:rsidR="00163405" w:rsidRDefault="00163405" w:rsidP="00163405">
      <w:r>
        <w:t xml:space="preserve">The Delegate considers that the efficacy of </w:t>
      </w:r>
      <w:proofErr w:type="spellStart"/>
      <w:r w:rsidR="000A4816">
        <w:t>remdesivir</w:t>
      </w:r>
      <w:proofErr w:type="spellEnd"/>
      <w:r>
        <w:t xml:space="preserve"> in this use has been established but is not certain that the degree of benefit observed in a contemporary vaccinated population is likely to warrant exposing the patient to a potentially toxic medication which requires a supervised environment. This is likely to be a </w:t>
      </w:r>
      <w:proofErr w:type="gramStart"/>
      <w:r>
        <w:t>case by case</w:t>
      </w:r>
      <w:proofErr w:type="gramEnd"/>
      <w:r>
        <w:t xml:space="preserve"> determination based on patient co-morbidities.</w:t>
      </w:r>
    </w:p>
    <w:p w14:paraId="2B5BF032" w14:textId="2F08444B" w:rsidR="00163405" w:rsidRPr="00704895" w:rsidRDefault="00163405" w:rsidP="00163405">
      <w:r>
        <w:t xml:space="preserve">The Delegate notes that the current </w:t>
      </w:r>
      <w:r w:rsidR="004D54C1">
        <w:t xml:space="preserve">US </w:t>
      </w:r>
      <w:r>
        <w:t>FDA indication in this respect proposes use in patients at ‘</w:t>
      </w:r>
      <w:r w:rsidRPr="00FA2AA4">
        <w:rPr>
          <w:i/>
        </w:rPr>
        <w:t>high risk of progression to severe COVID-19, including hospitali</w:t>
      </w:r>
      <w:r w:rsidR="004D54C1" w:rsidRPr="00FA2AA4">
        <w:rPr>
          <w:i/>
        </w:rPr>
        <w:t>z</w:t>
      </w:r>
      <w:r w:rsidRPr="00FA2AA4">
        <w:rPr>
          <w:i/>
        </w:rPr>
        <w:t>ation and death’</w:t>
      </w:r>
      <w:r>
        <w:t xml:space="preserve"> which may be more suitable.</w:t>
      </w:r>
    </w:p>
    <w:p w14:paraId="6B4F0FDE" w14:textId="77777777" w:rsidR="00D23139" w:rsidRDefault="00D23139" w:rsidP="00D23139">
      <w:pPr>
        <w:pStyle w:val="Heading4"/>
      </w:pPr>
      <w:r w:rsidRPr="00D23139">
        <w:t>Proposed action</w:t>
      </w:r>
    </w:p>
    <w:p w14:paraId="108C61B1" w14:textId="77777777" w:rsidR="00163405" w:rsidRDefault="00163405" w:rsidP="00163405">
      <w:r>
        <w:t>The Delegate is currently minded to:</w:t>
      </w:r>
    </w:p>
    <w:p w14:paraId="748C6B9C" w14:textId="58E5D7B2" w:rsidR="00163405" w:rsidRDefault="00163405" w:rsidP="00163405">
      <w:pPr>
        <w:pStyle w:val="Numberbullet0"/>
        <w:numPr>
          <w:ilvl w:val="0"/>
          <w:numId w:val="42"/>
        </w:numPr>
      </w:pPr>
      <w:r>
        <w:t xml:space="preserve">not approve the extension of indications for </w:t>
      </w:r>
      <w:proofErr w:type="spellStart"/>
      <w:r w:rsidR="000A4816">
        <w:t>remdesivir</w:t>
      </w:r>
      <w:proofErr w:type="spellEnd"/>
      <w:r>
        <w:t xml:space="preserve"> to paediatric patients &gt; 3 kg in weight with pneumonia requiring supplemental oxygen.</w:t>
      </w:r>
    </w:p>
    <w:p w14:paraId="4A09353C" w14:textId="3E6DA28F" w:rsidR="00163405" w:rsidRDefault="00163405" w:rsidP="00163405">
      <w:pPr>
        <w:pStyle w:val="Numberbullet0"/>
      </w:pPr>
      <w:r>
        <w:t xml:space="preserve">not approve the extension of indications for </w:t>
      </w:r>
      <w:proofErr w:type="spellStart"/>
      <w:r w:rsidR="000A4816">
        <w:t>remdesivir</w:t>
      </w:r>
      <w:proofErr w:type="spellEnd"/>
      <w:r>
        <w:t xml:space="preserve"> to paediatric patients &gt; 40 kg who do not require supplemental oxygen but are at increased risk of progressing to severe COVID-19.</w:t>
      </w:r>
    </w:p>
    <w:p w14:paraId="5E4C187C" w14:textId="5D840ED3" w:rsidR="00163405" w:rsidRDefault="00163405" w:rsidP="00163405">
      <w:pPr>
        <w:pStyle w:val="Numberbullet0"/>
      </w:pPr>
      <w:r>
        <w:t xml:space="preserve">approve the extension of indications for </w:t>
      </w:r>
      <w:proofErr w:type="spellStart"/>
      <w:r w:rsidR="000A4816">
        <w:t>remdesivir</w:t>
      </w:r>
      <w:proofErr w:type="spellEnd"/>
      <w:r>
        <w:t xml:space="preserve"> to include adult patients who do not require supplemental oxygen but are at increased risk of progressing to severe COVID-19.</w:t>
      </w:r>
    </w:p>
    <w:p w14:paraId="28543726" w14:textId="77777777" w:rsidR="00163405" w:rsidRDefault="00163405" w:rsidP="00163405">
      <w:r>
        <w:t>This will mean approving a new indication that read:</w:t>
      </w:r>
    </w:p>
    <w:p w14:paraId="41D46813" w14:textId="77777777" w:rsidR="00163405" w:rsidRPr="00163405" w:rsidRDefault="00163405" w:rsidP="00163405">
      <w:pPr>
        <w:ind w:left="720"/>
        <w:rPr>
          <w:i/>
          <w:iCs/>
        </w:rPr>
      </w:pPr>
      <w:r w:rsidRPr="00163405">
        <w:rPr>
          <w:i/>
          <w:iCs/>
        </w:rPr>
        <w:t>Adults with pneumonia requiring supplemental oxygen (low or high flow oxygen at start of treatment.</w:t>
      </w:r>
    </w:p>
    <w:p w14:paraId="5ECB5AB3" w14:textId="0CA96E62" w:rsidR="00163405" w:rsidRPr="00163405" w:rsidRDefault="00163405" w:rsidP="00163405">
      <w:pPr>
        <w:ind w:left="720"/>
      </w:pPr>
      <w:r w:rsidRPr="00163405">
        <w:rPr>
          <w:i/>
          <w:iCs/>
        </w:rPr>
        <w:t>Adults who do not require supplemental oxygen and who are at increased risk of progressing to severe COVID-19</w:t>
      </w:r>
    </w:p>
    <w:p w14:paraId="65F25932" w14:textId="77777777" w:rsidR="008E7846" w:rsidRDefault="008E7846" w:rsidP="007D53B6">
      <w:pPr>
        <w:pStyle w:val="Heading4"/>
      </w:pPr>
      <w:r>
        <w:lastRenderedPageBreak/>
        <w:t xml:space="preserve">Advisory Committee </w:t>
      </w:r>
      <w:r w:rsidR="007D53B6">
        <w:t>c</w:t>
      </w:r>
      <w:r>
        <w:t>onsiderations</w:t>
      </w:r>
      <w:r w:rsidR="00456765">
        <w:rPr>
          <w:rStyle w:val="FootnoteReference"/>
        </w:rPr>
        <w:footnoteReference w:id="8"/>
      </w:r>
    </w:p>
    <w:p w14:paraId="1D54C535" w14:textId="77777777" w:rsidR="00744121" w:rsidRDefault="00744121" w:rsidP="00744121">
      <w:pPr>
        <w:rPr>
          <w:bCs/>
        </w:rPr>
      </w:pPr>
      <w:bookmarkStart w:id="70" w:name="_Toc247691532"/>
      <w:bookmarkStart w:id="71" w:name="_Toc314842516"/>
      <w:bookmarkEnd w:id="31"/>
      <w:bookmarkEnd w:id="67"/>
      <w:bookmarkEnd w:id="68"/>
      <w:r w:rsidRPr="00456765">
        <w:rPr>
          <w:bCs/>
        </w:rPr>
        <w:t>The Advisory Committee on Medicines (ACM), having considered the evaluations and the Delegate’s overview, as well as the sponsor’s response to these documents, advised the following</w:t>
      </w:r>
      <w:r>
        <w:rPr>
          <w:bCs/>
        </w:rPr>
        <w:t>.</w:t>
      </w:r>
    </w:p>
    <w:p w14:paraId="581E4743" w14:textId="77777777" w:rsidR="00744121" w:rsidRDefault="00744121" w:rsidP="00744121">
      <w:pPr>
        <w:pStyle w:val="Heading5"/>
      </w:pPr>
      <w:r>
        <w:t>Specific advice to the Delegate</w:t>
      </w:r>
    </w:p>
    <w:p w14:paraId="4C5065C3" w14:textId="77777777" w:rsidR="00163E5E" w:rsidRDefault="00163E5E" w:rsidP="00163E5E">
      <w:r>
        <w:t>The ACM advised the following in response to the Delegate’s specific request for advice:</w:t>
      </w:r>
    </w:p>
    <w:p w14:paraId="435CC900" w14:textId="7AB709AA" w:rsidR="00163E5E" w:rsidRPr="00163E5E" w:rsidRDefault="00163E5E" w:rsidP="00163E5E">
      <w:pPr>
        <w:pStyle w:val="Numberbullet0"/>
        <w:numPr>
          <w:ilvl w:val="0"/>
          <w:numId w:val="43"/>
        </w:numPr>
        <w:rPr>
          <w:b/>
          <w:bCs/>
        </w:rPr>
      </w:pPr>
      <w:r w:rsidRPr="00163E5E">
        <w:rPr>
          <w:b/>
          <w:bCs/>
        </w:rPr>
        <w:t>Whether</w:t>
      </w:r>
      <w:r w:rsidRPr="00163E5E">
        <w:rPr>
          <w:b/>
          <w:bCs/>
          <w:lang w:val="en-US"/>
        </w:rPr>
        <w:t>, based on preliminary clinical data, the safety</w:t>
      </w:r>
      <w:r w:rsidRPr="00163E5E">
        <w:rPr>
          <w:b/>
          <w:bCs/>
          <w:spacing w:val="1"/>
          <w:lang w:val="en-US"/>
        </w:rPr>
        <w:t xml:space="preserve"> </w:t>
      </w:r>
      <w:r w:rsidRPr="00163E5E">
        <w:rPr>
          <w:b/>
          <w:bCs/>
          <w:lang w:val="en-US"/>
        </w:rPr>
        <w:t xml:space="preserve">and efficacy of the medicine for the purposes of treating </w:t>
      </w:r>
      <w:proofErr w:type="spellStart"/>
      <w:r w:rsidRPr="00163E5E">
        <w:rPr>
          <w:b/>
          <w:bCs/>
          <w:lang w:val="en-US"/>
        </w:rPr>
        <w:t>paediatric</w:t>
      </w:r>
      <w:proofErr w:type="spellEnd"/>
      <w:r w:rsidRPr="00163E5E">
        <w:rPr>
          <w:b/>
          <w:bCs/>
          <w:lang w:val="en-US"/>
        </w:rPr>
        <w:t xml:space="preserve"> patients &gt; 3</w:t>
      </w:r>
      <w:r w:rsidR="004D54C1">
        <w:rPr>
          <w:b/>
          <w:bCs/>
          <w:lang w:val="en-US"/>
        </w:rPr>
        <w:t xml:space="preserve"> </w:t>
      </w:r>
      <w:r w:rsidRPr="00163E5E">
        <w:rPr>
          <w:b/>
          <w:bCs/>
          <w:lang w:val="en-US"/>
        </w:rPr>
        <w:t xml:space="preserve">kg in weight with pneumonia requiring supplemental oxygen </w:t>
      </w:r>
      <w:r w:rsidRPr="00163E5E">
        <w:rPr>
          <w:b/>
          <w:bCs/>
        </w:rPr>
        <w:t>has been satisfactorily established?</w:t>
      </w:r>
    </w:p>
    <w:p w14:paraId="5997D2B3" w14:textId="77777777" w:rsidR="00163E5E" w:rsidRDefault="00163E5E" w:rsidP="00163E5E">
      <w:r>
        <w:t xml:space="preserve">The ACM noted that </w:t>
      </w:r>
      <w:proofErr w:type="spellStart"/>
      <w:r>
        <w:t>remdesivir</w:t>
      </w:r>
      <w:proofErr w:type="spellEnd"/>
      <w:r>
        <w:t xml:space="preserve"> appears to be well tolerated in clinical practice and that this has been confirmed by the studies included within the data package. The ACM however highlighted that the primary p</w:t>
      </w:r>
      <w:r w:rsidRPr="009C4B6E">
        <w:t>aediatric</w:t>
      </w:r>
      <w:r>
        <w:t xml:space="preserve"> treatment</w:t>
      </w:r>
      <w:r w:rsidRPr="009C4B6E">
        <w:t xml:space="preserve"> study </w:t>
      </w:r>
      <w:r>
        <w:t xml:space="preserve">was </w:t>
      </w:r>
      <w:r w:rsidRPr="009C4B6E">
        <w:t>not powered for efficacy</w:t>
      </w:r>
      <w:r>
        <w:t>, but rather designed as a pharmacokinetic (PK) study and</w:t>
      </w:r>
      <w:r w:rsidRPr="009C4B6E">
        <w:t xml:space="preserve"> inferred</w:t>
      </w:r>
      <w:r>
        <w:t xml:space="preserve"> efficacy</w:t>
      </w:r>
      <w:r w:rsidRPr="009C4B6E">
        <w:t xml:space="preserve"> from adult data</w:t>
      </w:r>
      <w:r>
        <w:t>. The ACM noted that b</w:t>
      </w:r>
      <w:r w:rsidRPr="00273CB1">
        <w:t xml:space="preserve">ased on available </w:t>
      </w:r>
      <w:r>
        <w:t>PK</w:t>
      </w:r>
      <w:r w:rsidRPr="00273CB1">
        <w:t xml:space="preserve"> data, the exposure of </w:t>
      </w:r>
      <w:proofErr w:type="spellStart"/>
      <w:r w:rsidRPr="00273CB1">
        <w:t>remdesivir</w:t>
      </w:r>
      <w:proofErr w:type="spellEnd"/>
      <w:r w:rsidRPr="00273CB1">
        <w:t xml:space="preserve"> in paediatric</w:t>
      </w:r>
      <w:r>
        <w:t xml:space="preserve"> patients</w:t>
      </w:r>
      <w:r w:rsidRPr="00273CB1">
        <w:t xml:space="preserve"> at the proposed dosing schedules is likely to achieve similar efficacy to adults</w:t>
      </w:r>
      <w:r>
        <w:t xml:space="preserve">. There was considerable inter-patient variability in exposure, but this was consistent with the variation observed in </w:t>
      </w:r>
      <w:proofErr w:type="gramStart"/>
      <w:r>
        <w:t>adults, and</w:t>
      </w:r>
      <w:proofErr w:type="gramEnd"/>
      <w:r>
        <w:t xml:space="preserve"> was mainly seen with the pro-drug reflecting the short </w:t>
      </w:r>
      <w:proofErr w:type="spellStart"/>
      <w:r>
        <w:t>half life</w:t>
      </w:r>
      <w:proofErr w:type="spellEnd"/>
      <w:r>
        <w:t xml:space="preserve"> of the parent compound. </w:t>
      </w:r>
    </w:p>
    <w:p w14:paraId="307B04BB" w14:textId="77777777" w:rsidR="00163E5E" w:rsidRDefault="00163E5E" w:rsidP="00163E5E">
      <w:r>
        <w:t>Considering the use of PK modelling, the ACM agreed that the r</w:t>
      </w:r>
      <w:r w:rsidRPr="009C4B6E">
        <w:t xml:space="preserve">estriction to </w:t>
      </w:r>
      <w:r>
        <w:t>greater than 4 weeks</w:t>
      </w:r>
      <w:r w:rsidRPr="009C4B6E">
        <w:t xml:space="preserve"> </w:t>
      </w:r>
      <w:r>
        <w:t xml:space="preserve">of age is appropriate, particularly </w:t>
      </w:r>
      <w:r w:rsidRPr="009C4B6E">
        <w:t>given</w:t>
      </w:r>
      <w:r>
        <w:t xml:space="preserve"> the</w:t>
      </w:r>
      <w:r w:rsidRPr="009C4B6E">
        <w:t xml:space="preserve"> significant variation in perinatal PK variables and already restricted PK evidence for </w:t>
      </w:r>
      <w:r>
        <w:t xml:space="preserve">the </w:t>
      </w:r>
      <w:r w:rsidRPr="009C4B6E">
        <w:t>neonatal age group</w:t>
      </w:r>
      <w:r>
        <w:t>.</w:t>
      </w:r>
    </w:p>
    <w:p w14:paraId="7A713C64" w14:textId="77777777" w:rsidR="00163E5E" w:rsidRDefault="00163E5E" w:rsidP="00163E5E">
      <w:r>
        <w:t xml:space="preserve">The ACM highlighted the importance of </w:t>
      </w:r>
      <w:r w:rsidRPr="009C4B6E">
        <w:t>consultation with an expert experienced with treating COVID-19 in children</w:t>
      </w:r>
      <w:r>
        <w:t xml:space="preserve"> and the development of clinical guidelines to support the use of </w:t>
      </w:r>
      <w:proofErr w:type="spellStart"/>
      <w:r>
        <w:t>remdesivir</w:t>
      </w:r>
      <w:proofErr w:type="spellEnd"/>
      <w:r>
        <w:t xml:space="preserve"> within the paediatric population.</w:t>
      </w:r>
    </w:p>
    <w:p w14:paraId="6526CCF3" w14:textId="77777777" w:rsidR="00163E5E" w:rsidRDefault="00163E5E" w:rsidP="00163E5E">
      <w:pPr>
        <w:pStyle w:val="Numberbullet0"/>
        <w:numPr>
          <w:ilvl w:val="0"/>
          <w:numId w:val="0"/>
        </w:numPr>
        <w:rPr>
          <w:lang w:val="en-US"/>
        </w:rPr>
      </w:pPr>
      <w:r>
        <w:rPr>
          <w:lang w:val="en-US"/>
        </w:rPr>
        <w:t xml:space="preserve">On balance the ACM was of the view that the risk-benefit is likely to be </w:t>
      </w:r>
      <w:proofErr w:type="spellStart"/>
      <w:r>
        <w:rPr>
          <w:lang w:val="en-US"/>
        </w:rPr>
        <w:t>favourable</w:t>
      </w:r>
      <w:proofErr w:type="spellEnd"/>
      <w:r>
        <w:rPr>
          <w:lang w:val="en-US"/>
        </w:rPr>
        <w:t xml:space="preserve"> in </w:t>
      </w:r>
      <w:proofErr w:type="spellStart"/>
      <w:r>
        <w:rPr>
          <w:lang w:val="en-US"/>
        </w:rPr>
        <w:t>paediatric</w:t>
      </w:r>
      <w:proofErr w:type="spellEnd"/>
      <w:r>
        <w:rPr>
          <w:lang w:val="en-US"/>
        </w:rPr>
        <w:t xml:space="preserve"> patients with established moderate to severe disease, particularly given the lack of approved treatments currently available to this cohort. </w:t>
      </w:r>
    </w:p>
    <w:p w14:paraId="1C91739A" w14:textId="77777777" w:rsidR="00163E5E" w:rsidRDefault="00163E5E" w:rsidP="00163E5E">
      <w:pPr>
        <w:pStyle w:val="Numberbullet0"/>
        <w:numPr>
          <w:ilvl w:val="0"/>
          <w:numId w:val="0"/>
        </w:numPr>
        <w:rPr>
          <w:lang w:eastAsia="ja-JP"/>
        </w:rPr>
      </w:pPr>
      <w:r>
        <w:rPr>
          <w:lang w:val="en-US"/>
        </w:rPr>
        <w:t xml:space="preserve">The ACM was supportive of an indication for </w:t>
      </w:r>
      <w:r w:rsidRPr="0043284D">
        <w:rPr>
          <w:lang w:eastAsia="ja-JP"/>
        </w:rPr>
        <w:t>paediatric patients (at least 4 weeks of age and weighing at least 3</w:t>
      </w:r>
      <w:r>
        <w:rPr>
          <w:lang w:eastAsia="ja-JP"/>
        </w:rPr>
        <w:t xml:space="preserve"> </w:t>
      </w:r>
      <w:r w:rsidRPr="0043284D">
        <w:rPr>
          <w:lang w:eastAsia="ja-JP"/>
        </w:rPr>
        <w:t xml:space="preserve">kg) with </w:t>
      </w:r>
      <w:r w:rsidRPr="00152C19">
        <w:rPr>
          <w:lang w:eastAsia="ja-JP"/>
        </w:rPr>
        <w:t>pneumonia due to SARS-CoV-2, requiring</w:t>
      </w:r>
      <w:r w:rsidRPr="0043284D">
        <w:rPr>
          <w:lang w:eastAsia="ja-JP"/>
        </w:rPr>
        <w:t xml:space="preserve"> supplemental oxygen</w:t>
      </w:r>
      <w:r>
        <w:rPr>
          <w:lang w:eastAsia="ja-JP"/>
        </w:rPr>
        <w:t>.</w:t>
      </w:r>
    </w:p>
    <w:p w14:paraId="130C8EF3" w14:textId="77777777" w:rsidR="00163E5E" w:rsidRDefault="00163E5E" w:rsidP="00163E5E">
      <w:pPr>
        <w:pStyle w:val="Numberbullet0"/>
        <w:numPr>
          <w:ilvl w:val="0"/>
          <w:numId w:val="0"/>
        </w:numPr>
        <w:rPr>
          <w:lang w:val="en-US"/>
        </w:rPr>
      </w:pPr>
      <w:r>
        <w:rPr>
          <w:lang w:eastAsia="ja-JP"/>
        </w:rPr>
        <w:t>The ACM noted that the indication should state pneumonia due to SARS-CoV-2 rather than just pneumonia as this aligns with the provided study data.</w:t>
      </w:r>
    </w:p>
    <w:p w14:paraId="63D4B600" w14:textId="6382ABD4" w:rsidR="00163E5E" w:rsidRPr="00763D50" w:rsidRDefault="00163E5E" w:rsidP="00163E5E">
      <w:pPr>
        <w:pStyle w:val="Numberbullet0"/>
        <w:numPr>
          <w:ilvl w:val="0"/>
          <w:numId w:val="8"/>
        </w:numPr>
        <w:rPr>
          <w:b/>
          <w:bCs/>
        </w:rPr>
      </w:pPr>
      <w:r w:rsidRPr="00763D50">
        <w:rPr>
          <w:b/>
          <w:bCs/>
          <w:lang w:val="en-US"/>
        </w:rPr>
        <w:t>Whether, based on preliminary clinical data, the safety</w:t>
      </w:r>
      <w:r w:rsidRPr="00763D50">
        <w:rPr>
          <w:b/>
          <w:bCs/>
          <w:spacing w:val="1"/>
          <w:lang w:val="en-US"/>
        </w:rPr>
        <w:t xml:space="preserve"> </w:t>
      </w:r>
      <w:r w:rsidRPr="00763D50">
        <w:rPr>
          <w:b/>
          <w:bCs/>
          <w:lang w:val="en-US"/>
        </w:rPr>
        <w:t xml:space="preserve">and efficacy of the medicine for the purposes of treating </w:t>
      </w:r>
      <w:proofErr w:type="spellStart"/>
      <w:r w:rsidRPr="00763D50">
        <w:rPr>
          <w:b/>
          <w:bCs/>
          <w:lang w:val="en-US"/>
        </w:rPr>
        <w:t>paediatric</w:t>
      </w:r>
      <w:proofErr w:type="spellEnd"/>
      <w:r w:rsidRPr="00763D50">
        <w:rPr>
          <w:b/>
          <w:bCs/>
          <w:lang w:val="en-US"/>
        </w:rPr>
        <w:t xml:space="preserve"> patients &gt;</w:t>
      </w:r>
      <w:r w:rsidR="004D2528">
        <w:rPr>
          <w:b/>
          <w:bCs/>
          <w:lang w:val="en-US"/>
        </w:rPr>
        <w:t xml:space="preserve"> </w:t>
      </w:r>
      <w:r w:rsidRPr="00763D50">
        <w:rPr>
          <w:b/>
          <w:bCs/>
          <w:lang w:val="en-US"/>
        </w:rPr>
        <w:t>40</w:t>
      </w:r>
      <w:r w:rsidR="004D2528">
        <w:rPr>
          <w:b/>
          <w:bCs/>
          <w:lang w:val="en-US"/>
        </w:rPr>
        <w:t xml:space="preserve"> </w:t>
      </w:r>
      <w:r w:rsidRPr="00763D50">
        <w:rPr>
          <w:b/>
          <w:bCs/>
          <w:lang w:val="en-US"/>
        </w:rPr>
        <w:t>kg who do not require supplemental oxygen but are at increased risk of progressing to severe COVID-19</w:t>
      </w:r>
      <w:r>
        <w:rPr>
          <w:b/>
          <w:bCs/>
          <w:lang w:val="en-US"/>
        </w:rPr>
        <w:t xml:space="preserve"> </w:t>
      </w:r>
      <w:r w:rsidRPr="00132214">
        <w:rPr>
          <w:b/>
          <w:bCs/>
        </w:rPr>
        <w:t>has been satisfactorily established</w:t>
      </w:r>
      <w:r>
        <w:rPr>
          <w:b/>
          <w:bCs/>
        </w:rPr>
        <w:t>?</w:t>
      </w:r>
    </w:p>
    <w:p w14:paraId="725700E7" w14:textId="77777777" w:rsidR="00163E5E" w:rsidRDefault="00163E5E" w:rsidP="00163E5E">
      <w:pPr>
        <w:rPr>
          <w:lang w:val="en-US"/>
        </w:rPr>
      </w:pPr>
      <w:r>
        <w:rPr>
          <w:lang w:val="en-US"/>
        </w:rPr>
        <w:t xml:space="preserve">The ACM noted that the rate of progression to severe COVID-19 even within high-risk cohorts appears low in the </w:t>
      </w:r>
      <w:proofErr w:type="spellStart"/>
      <w:r>
        <w:rPr>
          <w:lang w:val="en-US"/>
        </w:rPr>
        <w:t>paediatric</w:t>
      </w:r>
      <w:proofErr w:type="spellEnd"/>
      <w:r>
        <w:rPr>
          <w:lang w:val="en-US"/>
        </w:rPr>
        <w:t xml:space="preserve"> population. The ACM however agreed that for those </w:t>
      </w:r>
      <w:proofErr w:type="spellStart"/>
      <w:r>
        <w:rPr>
          <w:lang w:val="en-US"/>
        </w:rPr>
        <w:t>paediatric</w:t>
      </w:r>
      <w:proofErr w:type="spellEnd"/>
      <w:r>
        <w:rPr>
          <w:lang w:val="en-US"/>
        </w:rPr>
        <w:t xml:space="preserve"> patients most susceptible to progression to severe COVID-19 treatment may be beneficial. However, in providing this advice the ACM highlighted that only a small number of </w:t>
      </w:r>
      <w:proofErr w:type="spellStart"/>
      <w:r>
        <w:rPr>
          <w:lang w:val="en-US"/>
        </w:rPr>
        <w:t>paediatric</w:t>
      </w:r>
      <w:proofErr w:type="spellEnd"/>
      <w:r>
        <w:rPr>
          <w:lang w:val="en-US"/>
        </w:rPr>
        <w:t xml:space="preserve"> patients (</w:t>
      </w:r>
      <w:r w:rsidRPr="4BCC0CC0">
        <w:rPr>
          <w:lang w:val="en-US"/>
        </w:rPr>
        <w:t>particularly those aged less than 12 years</w:t>
      </w:r>
      <w:r>
        <w:rPr>
          <w:lang w:val="en-US"/>
        </w:rPr>
        <w:t xml:space="preserve"> and weighing greater than 40 kg) were included within the provided clinical studies for this ‘at risk’ indication.</w:t>
      </w:r>
    </w:p>
    <w:p w14:paraId="0ECA9522" w14:textId="77777777" w:rsidR="00163E5E" w:rsidRDefault="00163E5E" w:rsidP="00163E5E">
      <w:pPr>
        <w:pStyle w:val="Numberbullet0"/>
        <w:numPr>
          <w:ilvl w:val="0"/>
          <w:numId w:val="0"/>
        </w:numPr>
        <w:rPr>
          <w:lang w:val="en-US"/>
        </w:rPr>
      </w:pPr>
      <w:r>
        <w:rPr>
          <w:lang w:val="en-US"/>
        </w:rPr>
        <w:lastRenderedPageBreak/>
        <w:t xml:space="preserve">On balance, the ACM was of the view that the risk-benefit is likely to be </w:t>
      </w:r>
      <w:proofErr w:type="spellStart"/>
      <w:r>
        <w:rPr>
          <w:lang w:val="en-US"/>
        </w:rPr>
        <w:t>favourable</w:t>
      </w:r>
      <w:proofErr w:type="spellEnd"/>
      <w:r>
        <w:rPr>
          <w:lang w:val="en-US"/>
        </w:rPr>
        <w:t xml:space="preserve"> in </w:t>
      </w:r>
      <w:proofErr w:type="spellStart"/>
      <w:r>
        <w:rPr>
          <w:lang w:val="en-US"/>
        </w:rPr>
        <w:t>paediatric</w:t>
      </w:r>
      <w:proofErr w:type="spellEnd"/>
      <w:r>
        <w:rPr>
          <w:lang w:val="en-US"/>
        </w:rPr>
        <w:t xml:space="preserve"> patients at high risk of progressing to severe COVID-19, particularly given the lack of approved treatments currently available to this small cohort. </w:t>
      </w:r>
    </w:p>
    <w:p w14:paraId="0CC7EC88" w14:textId="77777777" w:rsidR="00163E5E" w:rsidRPr="00D31A3C" w:rsidRDefault="00163E5E" w:rsidP="00163E5E">
      <w:r>
        <w:t xml:space="preserve">The ACM again highlighted the importance of </w:t>
      </w:r>
      <w:r w:rsidRPr="009C4B6E">
        <w:t>consultation with an expert experienced with treating COVID-19 in children</w:t>
      </w:r>
      <w:r>
        <w:t xml:space="preserve"> and the development of clinical guidelines to support the use of </w:t>
      </w:r>
      <w:proofErr w:type="spellStart"/>
      <w:r>
        <w:t>remdesivir</w:t>
      </w:r>
      <w:proofErr w:type="spellEnd"/>
      <w:r>
        <w:t xml:space="preserve"> within the paediatric population.</w:t>
      </w:r>
    </w:p>
    <w:p w14:paraId="6CC9D334" w14:textId="2706DA7B" w:rsidR="00163E5E" w:rsidRDefault="00163E5E" w:rsidP="00163E5E">
      <w:pPr>
        <w:pStyle w:val="Numberbullet0"/>
        <w:numPr>
          <w:ilvl w:val="0"/>
          <w:numId w:val="0"/>
        </w:numPr>
        <w:rPr>
          <w:lang w:val="en-US"/>
        </w:rPr>
      </w:pPr>
      <w:r>
        <w:rPr>
          <w:lang w:val="en-US"/>
        </w:rPr>
        <w:t xml:space="preserve">The ACM was supportive of an indication for </w:t>
      </w:r>
      <w:proofErr w:type="spellStart"/>
      <w:r w:rsidRPr="00E900DD">
        <w:rPr>
          <w:lang w:val="en-US"/>
        </w:rPr>
        <w:t>paediatric</w:t>
      </w:r>
      <w:proofErr w:type="spellEnd"/>
      <w:r w:rsidRPr="00E900DD">
        <w:rPr>
          <w:lang w:val="en-US"/>
        </w:rPr>
        <w:t xml:space="preserve"> patients &gt;</w:t>
      </w:r>
      <w:r>
        <w:rPr>
          <w:lang w:val="en-US"/>
        </w:rPr>
        <w:t> </w:t>
      </w:r>
      <w:r w:rsidRPr="00E900DD">
        <w:rPr>
          <w:lang w:val="en-US"/>
        </w:rPr>
        <w:t>40</w:t>
      </w:r>
      <w:r w:rsidR="004D2528">
        <w:rPr>
          <w:lang w:val="en-US"/>
        </w:rPr>
        <w:t xml:space="preserve"> </w:t>
      </w:r>
      <w:r w:rsidRPr="00E900DD">
        <w:rPr>
          <w:lang w:val="en-US"/>
        </w:rPr>
        <w:t xml:space="preserve">kg who do not require </w:t>
      </w:r>
      <w:r w:rsidRPr="00152C19">
        <w:rPr>
          <w:lang w:val="en-US"/>
        </w:rPr>
        <w:t>new supplemental</w:t>
      </w:r>
      <w:r w:rsidRPr="00E900DD">
        <w:rPr>
          <w:lang w:val="en-US"/>
        </w:rPr>
        <w:t xml:space="preserve"> oxygen but are at increased risk of progressing to severe COVID-19.</w:t>
      </w:r>
    </w:p>
    <w:p w14:paraId="15B85BC4" w14:textId="77777777" w:rsidR="00163E5E" w:rsidRDefault="00163E5E" w:rsidP="00163E5E">
      <w:pPr>
        <w:pStyle w:val="Numberbullet0"/>
        <w:numPr>
          <w:ilvl w:val="0"/>
          <w:numId w:val="0"/>
        </w:numPr>
        <w:rPr>
          <w:lang w:val="en-US"/>
        </w:rPr>
      </w:pPr>
      <w:r>
        <w:rPr>
          <w:lang w:val="en-US"/>
        </w:rPr>
        <w:t>The ACM noted that the indication should not exclude those on long term supplemental oxygen for comorbidities and suggested the phrase ‘new supplemental oxygen’ or similar could be included within the indication.</w:t>
      </w:r>
    </w:p>
    <w:p w14:paraId="5CA53B01" w14:textId="77777777" w:rsidR="00163E5E" w:rsidRDefault="00163E5E" w:rsidP="00163E5E">
      <w:pPr>
        <w:pStyle w:val="Numberbullet0"/>
        <w:numPr>
          <w:ilvl w:val="0"/>
          <w:numId w:val="0"/>
        </w:numPr>
        <w:rPr>
          <w:lang w:val="en-US"/>
        </w:rPr>
      </w:pPr>
      <w:r>
        <w:rPr>
          <w:lang w:val="en-US"/>
        </w:rPr>
        <w:t>The ACM further noted that the clinical trial inclusion criteria for high risk of progression patients should be included within the PI, however agreed that these criteria will likely evolve over time.</w:t>
      </w:r>
    </w:p>
    <w:p w14:paraId="49D5762C" w14:textId="77777777" w:rsidR="00163E5E" w:rsidRPr="00763D50" w:rsidRDefault="00163E5E" w:rsidP="00163E5E">
      <w:pPr>
        <w:pStyle w:val="Numberbullet0"/>
        <w:numPr>
          <w:ilvl w:val="0"/>
          <w:numId w:val="8"/>
        </w:numPr>
        <w:rPr>
          <w:b/>
          <w:bCs/>
        </w:rPr>
      </w:pPr>
      <w:r w:rsidRPr="00763D50">
        <w:rPr>
          <w:b/>
          <w:bCs/>
        </w:rPr>
        <w:t>Whether the limitation of indication (2) should be limited to ‘high risk of progression to severe COVID-19’ in either adult or paediatric populations</w:t>
      </w:r>
      <w:r>
        <w:rPr>
          <w:b/>
          <w:bCs/>
        </w:rPr>
        <w:t>?</w:t>
      </w:r>
    </w:p>
    <w:p w14:paraId="1D23438A" w14:textId="77777777" w:rsidR="00163E5E" w:rsidRDefault="00163E5E" w:rsidP="00163E5E">
      <w:pPr>
        <w:pStyle w:val="Numberbullet0"/>
        <w:numPr>
          <w:ilvl w:val="0"/>
          <w:numId w:val="0"/>
        </w:numPr>
      </w:pPr>
      <w:r>
        <w:t>The ACM was supportive of the inclusion of ‘high risk of progression to severe COVID-19’ for both the adult and paediatric population indications. The ACM noted that comorbidities were part of the study inclusion criteria and it is appropriate to reflect this within the indications.</w:t>
      </w:r>
    </w:p>
    <w:p w14:paraId="6CE2B888" w14:textId="77777777" w:rsidR="00163E5E" w:rsidRPr="009E4DD8" w:rsidRDefault="00163E5E" w:rsidP="00163E5E">
      <w:pPr>
        <w:pStyle w:val="Numberbullet0"/>
        <w:numPr>
          <w:ilvl w:val="0"/>
          <w:numId w:val="8"/>
        </w:numPr>
        <w:rPr>
          <w:b/>
          <w:bCs/>
        </w:rPr>
      </w:pPr>
      <w:r w:rsidRPr="009E4DD8">
        <w:rPr>
          <w:b/>
          <w:bCs/>
        </w:rPr>
        <w:t>Other</w:t>
      </w:r>
      <w:r>
        <w:rPr>
          <w:b/>
          <w:bCs/>
        </w:rPr>
        <w:t xml:space="preserve"> advice</w:t>
      </w:r>
    </w:p>
    <w:p w14:paraId="50CE2A79" w14:textId="77777777" w:rsidR="00163E5E" w:rsidRDefault="00163E5E" w:rsidP="00163E5E">
      <w:pPr>
        <w:pStyle w:val="Numberbullet0"/>
        <w:numPr>
          <w:ilvl w:val="0"/>
          <w:numId w:val="0"/>
        </w:numPr>
        <w:rPr>
          <w:lang w:eastAsia="ja-JP"/>
        </w:rPr>
      </w:pPr>
      <w:r>
        <w:t>The ACM was of the view that the indication wording should include ‘supplemental oxygenation’ rather than ‘</w:t>
      </w:r>
      <w:r w:rsidRPr="0043284D">
        <w:rPr>
          <w:lang w:eastAsia="ja-JP"/>
        </w:rPr>
        <w:t>supplemental oxygen (low-or high –flow oxygen or other non-invasive ventilation at start of treatment)</w:t>
      </w:r>
      <w:r>
        <w:rPr>
          <w:lang w:eastAsia="ja-JP"/>
        </w:rPr>
        <w:t xml:space="preserve">’ as this is consistent with the current </w:t>
      </w:r>
      <w:proofErr w:type="spellStart"/>
      <w:r>
        <w:rPr>
          <w:lang w:eastAsia="ja-JP"/>
        </w:rPr>
        <w:t>remdesivir</w:t>
      </w:r>
      <w:proofErr w:type="spellEnd"/>
      <w:r>
        <w:rPr>
          <w:lang w:eastAsia="ja-JP"/>
        </w:rPr>
        <w:t xml:space="preserve"> indication and more in line with the clinical evidence presented.</w:t>
      </w:r>
    </w:p>
    <w:p w14:paraId="2D590CE5" w14:textId="41040621" w:rsidR="00163E5E" w:rsidRPr="00163E5E" w:rsidRDefault="00163E5E" w:rsidP="00163E5E">
      <w:r w:rsidRPr="00505A71">
        <w:rPr>
          <w:rFonts w:cs="Cambria"/>
        </w:rPr>
        <w:t>The ACM emphasised that this therapy is not an alternative or substitute for vaccination. The ACM reiterated its view that vaccination is the preferred and primary option to prevent COVID-19.</w:t>
      </w:r>
    </w:p>
    <w:p w14:paraId="5D19961D" w14:textId="77777777" w:rsidR="00744121" w:rsidRDefault="00744121" w:rsidP="00744121">
      <w:pPr>
        <w:pStyle w:val="Heading5"/>
      </w:pPr>
      <w:r>
        <w:t>Conclusion</w:t>
      </w:r>
    </w:p>
    <w:p w14:paraId="593AB457" w14:textId="77777777" w:rsidR="00163E5E" w:rsidRDefault="00163E5E" w:rsidP="00163E5E">
      <w:r w:rsidRPr="007E73DB">
        <w:t xml:space="preserve">The </w:t>
      </w:r>
      <w:r w:rsidRPr="00C12AE4">
        <w:t xml:space="preserve">ACM considered this product to have an </w:t>
      </w:r>
      <w:r w:rsidRPr="001E4AEE">
        <w:t>overall positive</w:t>
      </w:r>
      <w:r w:rsidRPr="00C12AE4">
        <w:t xml:space="preserve"> benefit-risk profile</w:t>
      </w:r>
      <w:r>
        <w:t xml:space="preserve"> for the provisional indication:</w:t>
      </w:r>
    </w:p>
    <w:p w14:paraId="3C2562F2" w14:textId="77777777" w:rsidR="00163E5E" w:rsidRPr="00D31A3C" w:rsidRDefault="00163E5E" w:rsidP="00163E5E">
      <w:pPr>
        <w:ind w:left="720"/>
        <w:rPr>
          <w:i/>
          <w:iCs/>
          <w:lang w:eastAsia="ja-JP"/>
        </w:rPr>
      </w:pPr>
      <w:r w:rsidRPr="00D31A3C">
        <w:rPr>
          <w:i/>
          <w:iCs/>
          <w:lang w:eastAsia="ja-JP"/>
        </w:rPr>
        <w:t xml:space="preserve">Adults and paediatric patients (at least 4 weeks of age and weighing at least 3 kg) with pneumonia due to </w:t>
      </w:r>
      <w:r>
        <w:rPr>
          <w:i/>
          <w:iCs/>
          <w:lang w:eastAsia="ja-JP"/>
        </w:rPr>
        <w:t>SARS-CoV-2</w:t>
      </w:r>
      <w:r w:rsidRPr="00D31A3C">
        <w:rPr>
          <w:i/>
          <w:iCs/>
          <w:lang w:eastAsia="ja-JP"/>
        </w:rPr>
        <w:t>, requiring supplemental oxygen.</w:t>
      </w:r>
    </w:p>
    <w:p w14:paraId="0151A2A1" w14:textId="6B30CAB5" w:rsidR="00163E5E" w:rsidRDefault="00163E5E" w:rsidP="00163E5E">
      <w:pPr>
        <w:autoSpaceDE w:val="0"/>
        <w:autoSpaceDN w:val="0"/>
        <w:adjustRightInd w:val="0"/>
        <w:spacing w:after="0"/>
        <w:ind w:left="720"/>
        <w:rPr>
          <w:i/>
          <w:iCs/>
          <w:lang w:eastAsia="ja-JP"/>
        </w:rPr>
      </w:pPr>
      <w:r w:rsidRPr="00D31A3C">
        <w:rPr>
          <w:i/>
          <w:iCs/>
          <w:lang w:eastAsia="ja-JP"/>
        </w:rPr>
        <w:t>Adults and paediatrics patients (weighing at least 40 kg) who do not require new supplemental oxygen and who are at increased risk of progressing to severe COVID</w:t>
      </w:r>
      <w:r w:rsidR="004D54C1">
        <w:rPr>
          <w:i/>
          <w:iCs/>
          <w:lang w:eastAsia="ja-JP"/>
        </w:rPr>
        <w:noBreakHyphen/>
      </w:r>
      <w:r w:rsidRPr="00D31A3C">
        <w:rPr>
          <w:i/>
          <w:iCs/>
          <w:lang w:eastAsia="ja-JP"/>
        </w:rPr>
        <w:t>19.</w:t>
      </w:r>
    </w:p>
    <w:p w14:paraId="03FE98DB" w14:textId="27DDEF85" w:rsidR="00163E5E" w:rsidRDefault="00163E5E" w:rsidP="00163E5E">
      <w:pPr>
        <w:ind w:left="720"/>
        <w:rPr>
          <w:rFonts w:cs="Cambria"/>
          <w:i/>
          <w:iCs/>
        </w:rPr>
      </w:pPr>
      <w:r w:rsidRPr="4BCC0CC0">
        <w:rPr>
          <w:rFonts w:cs="Cambria"/>
          <w:i/>
          <w:iCs/>
        </w:rPr>
        <w:t xml:space="preserve">The decision has been made </w:t>
      </w:r>
      <w:proofErr w:type="gramStart"/>
      <w:r w:rsidRPr="4BCC0CC0">
        <w:rPr>
          <w:rFonts w:cs="Cambria"/>
          <w:i/>
          <w:iCs/>
        </w:rPr>
        <w:t>on the basis of</w:t>
      </w:r>
      <w:proofErr w:type="gramEnd"/>
      <w:r w:rsidRPr="4BCC0CC0">
        <w:rPr>
          <w:rFonts w:cs="Cambria"/>
          <w:i/>
          <w:iCs/>
        </w:rPr>
        <w:t xml:space="preserve"> short-term efficacy and safety data. </w:t>
      </w:r>
      <w:r w:rsidRPr="003D3E36">
        <w:rPr>
          <w:i/>
          <w:iCs/>
        </w:rPr>
        <w:t>C</w:t>
      </w:r>
      <w:r w:rsidRPr="4BCC0CC0">
        <w:rPr>
          <w:rFonts w:cs="Cambria"/>
          <w:i/>
          <w:iCs/>
        </w:rPr>
        <w:t>ontinued approval depends on the evidence of longer-term efficacy, safety from ongoing clinical trials and post-market assessment.</w:t>
      </w:r>
    </w:p>
    <w:p w14:paraId="019A0DAD" w14:textId="779E18CB" w:rsidR="00563969" w:rsidRPr="00163E5E" w:rsidRDefault="00563969" w:rsidP="00563969">
      <w:pPr>
        <w:spacing w:before="0" w:after="200" w:line="0" w:lineRule="auto"/>
      </w:pPr>
      <w:r>
        <w:br w:type="page"/>
      </w:r>
    </w:p>
    <w:p w14:paraId="53D35AC0" w14:textId="77777777" w:rsidR="008E7846" w:rsidRPr="002E238E" w:rsidRDefault="008E7846" w:rsidP="008E7846">
      <w:pPr>
        <w:pStyle w:val="Heading3"/>
      </w:pPr>
      <w:bookmarkStart w:id="72" w:name="_Toc102724839"/>
      <w:r>
        <w:lastRenderedPageBreak/>
        <w:t>Outcome</w:t>
      </w:r>
      <w:bookmarkEnd w:id="70"/>
      <w:bookmarkEnd w:id="71"/>
      <w:bookmarkEnd w:id="72"/>
    </w:p>
    <w:p w14:paraId="41F68CA8" w14:textId="507F1EEA" w:rsidR="00EE54B5" w:rsidRDefault="00EE54B5" w:rsidP="00EE54B5">
      <w:bookmarkStart w:id="73" w:name="_Toc247691533"/>
      <w:bookmarkStart w:id="74" w:name="_Toc314842517"/>
      <w:r>
        <w:t xml:space="preserve">Based on a review of quality, </w:t>
      </w:r>
      <w:proofErr w:type="gramStart"/>
      <w:r>
        <w:t>safety</w:t>
      </w:r>
      <w:proofErr w:type="gramEnd"/>
      <w:r>
        <w:t xml:space="preserve"> and efficacy, the TGA approved the registration of </w:t>
      </w:r>
      <w:proofErr w:type="spellStart"/>
      <w:r>
        <w:t>Veklury</w:t>
      </w:r>
      <w:proofErr w:type="spellEnd"/>
      <w:r w:rsidRPr="00250271">
        <w:t xml:space="preserve"> (</w:t>
      </w:r>
      <w:proofErr w:type="spellStart"/>
      <w:r>
        <w:t>remdesivir</w:t>
      </w:r>
      <w:proofErr w:type="spellEnd"/>
      <w:r w:rsidRPr="00250271">
        <w:t xml:space="preserve">) </w:t>
      </w:r>
      <w:r>
        <w:t>100 mg, powder for injection, vial, indicated for the following extension of indications:</w:t>
      </w:r>
    </w:p>
    <w:p w14:paraId="3F98D21A" w14:textId="77777777" w:rsidR="00EE54B5" w:rsidRPr="00EE54B5" w:rsidRDefault="00EE54B5" w:rsidP="00EE54B5">
      <w:pPr>
        <w:rPr>
          <w:i/>
          <w:iCs/>
          <w:u w:val="single"/>
        </w:rPr>
      </w:pPr>
      <w:r w:rsidRPr="00EE54B5">
        <w:rPr>
          <w:i/>
          <w:iCs/>
          <w:u w:val="single"/>
        </w:rPr>
        <w:t>Disease and setting</w:t>
      </w:r>
    </w:p>
    <w:p w14:paraId="5E3D33CA" w14:textId="25BA2211" w:rsidR="00EE54B5" w:rsidRPr="00EE54B5" w:rsidRDefault="00EE54B5" w:rsidP="00EE54B5">
      <w:pPr>
        <w:rPr>
          <w:i/>
          <w:iCs/>
        </w:rPr>
      </w:pPr>
      <w:proofErr w:type="spellStart"/>
      <w:r w:rsidRPr="00EE54B5">
        <w:rPr>
          <w:i/>
          <w:iCs/>
        </w:rPr>
        <w:t>V</w:t>
      </w:r>
      <w:r>
        <w:rPr>
          <w:i/>
          <w:iCs/>
        </w:rPr>
        <w:t>eklury</w:t>
      </w:r>
      <w:proofErr w:type="spellEnd"/>
      <w:r w:rsidRPr="00EE54B5">
        <w:rPr>
          <w:i/>
          <w:iCs/>
        </w:rPr>
        <w:t xml:space="preserve"> has </w:t>
      </w:r>
      <w:r w:rsidRPr="00EE54B5">
        <w:rPr>
          <w:rFonts w:ascii="Cambria-BoldItalic" w:hAnsi="Cambria-BoldItalic" w:cs="Cambria-BoldItalic"/>
          <w:b/>
          <w:bCs/>
          <w:i/>
          <w:iCs/>
        </w:rPr>
        <w:t xml:space="preserve">provisional approval </w:t>
      </w:r>
      <w:r w:rsidRPr="00EE54B5">
        <w:rPr>
          <w:i/>
          <w:iCs/>
        </w:rPr>
        <w:t>for the treatment of coronavirus disease 2019</w:t>
      </w:r>
      <w:r>
        <w:rPr>
          <w:i/>
          <w:iCs/>
        </w:rPr>
        <w:t xml:space="preserve"> </w:t>
      </w:r>
      <w:r w:rsidRPr="00EE54B5">
        <w:rPr>
          <w:i/>
          <w:iCs/>
        </w:rPr>
        <w:t>(COVID-19) in:</w:t>
      </w:r>
    </w:p>
    <w:p w14:paraId="1F157071" w14:textId="1D297164" w:rsidR="00EE54B5" w:rsidRPr="00EE54B5" w:rsidRDefault="00EE54B5" w:rsidP="00EE54B5">
      <w:pPr>
        <w:pStyle w:val="ListBullet"/>
        <w:rPr>
          <w:i/>
          <w:iCs/>
        </w:rPr>
      </w:pPr>
      <w:r w:rsidRPr="00EE54B5">
        <w:rPr>
          <w:i/>
          <w:iCs/>
        </w:rPr>
        <w:t>paediatric patients (at least 4 weeks of age and weighing at least 3 kg) who have pneumonia due to SARS-CoV-2, and who require supplemental oxygen.</w:t>
      </w:r>
    </w:p>
    <w:p w14:paraId="2B721D4C" w14:textId="5D619A0D" w:rsidR="00EE54B5" w:rsidRPr="00EE54B5" w:rsidRDefault="00EE54B5" w:rsidP="00EE54B5">
      <w:pPr>
        <w:pStyle w:val="ListBullet"/>
        <w:rPr>
          <w:i/>
          <w:iCs/>
        </w:rPr>
      </w:pPr>
      <w:r w:rsidRPr="00EE54B5">
        <w:rPr>
          <w:i/>
          <w:iCs/>
        </w:rPr>
        <w:t>adults and paediatric patients (weighing at least 40 kg) who do not require supplemental oxygen and who are at high risk of progressing to severe COVID-19.</w:t>
      </w:r>
    </w:p>
    <w:p w14:paraId="4FD52190" w14:textId="636B5C23" w:rsidR="00EE54B5" w:rsidRPr="00EE54B5" w:rsidRDefault="00EE54B5" w:rsidP="00EE54B5">
      <w:pPr>
        <w:rPr>
          <w:i/>
          <w:iCs/>
        </w:rPr>
      </w:pPr>
      <w:r w:rsidRPr="00EE54B5">
        <w:rPr>
          <w:i/>
          <w:iCs/>
        </w:rPr>
        <w:t>The decision to approve this medicine has been made based on limited data. More</w:t>
      </w:r>
      <w:r>
        <w:rPr>
          <w:i/>
          <w:iCs/>
        </w:rPr>
        <w:t xml:space="preserve"> </w:t>
      </w:r>
      <w:r w:rsidRPr="00EE54B5">
        <w:rPr>
          <w:i/>
          <w:iCs/>
        </w:rPr>
        <w:t xml:space="preserve">comprehensive evidence is required to be submitted. </w:t>
      </w:r>
    </w:p>
    <w:p w14:paraId="7C0A1468" w14:textId="5D318556" w:rsidR="00EE54B5" w:rsidRDefault="00EE54B5" w:rsidP="00EE54B5">
      <w:r>
        <w:t xml:space="preserve">As such, the full indications </w:t>
      </w:r>
      <w:proofErr w:type="gramStart"/>
      <w:r>
        <w:t>at this time</w:t>
      </w:r>
      <w:proofErr w:type="gramEnd"/>
      <w:r>
        <w:t xml:space="preserve"> were:</w:t>
      </w:r>
    </w:p>
    <w:p w14:paraId="0211B1F4" w14:textId="19A76210" w:rsidR="00EE54B5" w:rsidRPr="00EE54B5" w:rsidRDefault="00EE54B5" w:rsidP="00EE54B5">
      <w:pPr>
        <w:rPr>
          <w:i/>
          <w:iCs/>
        </w:rPr>
      </w:pPr>
      <w:proofErr w:type="spellStart"/>
      <w:r w:rsidRPr="00EE54B5">
        <w:rPr>
          <w:i/>
          <w:iCs/>
        </w:rPr>
        <w:t>V</w:t>
      </w:r>
      <w:r>
        <w:rPr>
          <w:i/>
          <w:iCs/>
        </w:rPr>
        <w:t>eklury</w:t>
      </w:r>
      <w:proofErr w:type="spellEnd"/>
      <w:r w:rsidRPr="00EE54B5">
        <w:rPr>
          <w:i/>
          <w:iCs/>
        </w:rPr>
        <w:t xml:space="preserve"> has </w:t>
      </w:r>
      <w:r w:rsidRPr="00EE54B5">
        <w:rPr>
          <w:rFonts w:ascii="Cambria-Bold" w:hAnsi="Cambria-Bold" w:cs="Cambria-Bold"/>
          <w:b/>
          <w:bCs/>
          <w:i/>
          <w:iCs/>
        </w:rPr>
        <w:t xml:space="preserve">provisional approval </w:t>
      </w:r>
      <w:r w:rsidRPr="00EE54B5">
        <w:rPr>
          <w:i/>
          <w:iCs/>
        </w:rPr>
        <w:t>for the treatment of coronavirus disease 2019</w:t>
      </w:r>
      <w:r>
        <w:rPr>
          <w:i/>
          <w:iCs/>
        </w:rPr>
        <w:t xml:space="preserve"> </w:t>
      </w:r>
      <w:r w:rsidRPr="00EE54B5">
        <w:rPr>
          <w:i/>
          <w:iCs/>
        </w:rPr>
        <w:t>(COVID-19) in:</w:t>
      </w:r>
    </w:p>
    <w:p w14:paraId="0C914734" w14:textId="0634CB59" w:rsidR="00EE54B5" w:rsidRPr="00EE54B5" w:rsidRDefault="00EE54B5" w:rsidP="00EE54B5">
      <w:pPr>
        <w:pStyle w:val="ListBullet"/>
        <w:rPr>
          <w:i/>
          <w:iCs/>
        </w:rPr>
      </w:pPr>
      <w:r w:rsidRPr="00EE54B5">
        <w:rPr>
          <w:i/>
          <w:iCs/>
        </w:rPr>
        <w:t>adults and paediatric patients (at least 4 weeks of age and weighing at least 3 kg) who have pneumonia due to SARS-CoV-2, and who require supplemental oxygen.</w:t>
      </w:r>
    </w:p>
    <w:p w14:paraId="78346175" w14:textId="1EC544D3" w:rsidR="00EE54B5" w:rsidRPr="00EE54B5" w:rsidRDefault="00EE54B5" w:rsidP="00EE54B5">
      <w:pPr>
        <w:pStyle w:val="ListBullet"/>
        <w:rPr>
          <w:i/>
          <w:iCs/>
        </w:rPr>
      </w:pPr>
      <w:r w:rsidRPr="00EE54B5">
        <w:rPr>
          <w:i/>
          <w:iCs/>
        </w:rPr>
        <w:t>adults and paediatric patients (weighing at least 40 kg) who do not require supplemental oxygen and who are at high risk of progressing to severe COVID-19.</w:t>
      </w:r>
    </w:p>
    <w:p w14:paraId="3177803B" w14:textId="10EE036F" w:rsidR="00EE54B5" w:rsidRPr="00EE54B5" w:rsidRDefault="00EE54B5" w:rsidP="00EE54B5">
      <w:pPr>
        <w:rPr>
          <w:i/>
          <w:iCs/>
        </w:rPr>
      </w:pPr>
      <w:r w:rsidRPr="00EE54B5">
        <w:rPr>
          <w:i/>
          <w:iCs/>
        </w:rPr>
        <w:t>The decision to approve this medicine has been made based on limited data. More</w:t>
      </w:r>
      <w:r>
        <w:rPr>
          <w:i/>
          <w:iCs/>
        </w:rPr>
        <w:t xml:space="preserve"> </w:t>
      </w:r>
      <w:r w:rsidRPr="00EE54B5">
        <w:rPr>
          <w:i/>
          <w:iCs/>
        </w:rPr>
        <w:t>comprehensive evidence is required to be submitted.</w:t>
      </w:r>
    </w:p>
    <w:p w14:paraId="54BB555F" w14:textId="64466BE8" w:rsidR="00D23139" w:rsidRDefault="00D23139" w:rsidP="00EE54B5">
      <w:pPr>
        <w:pStyle w:val="Heading4"/>
      </w:pPr>
      <w:r w:rsidRPr="00D23139">
        <w:t>Specific conditions of registration applying to these goods</w:t>
      </w:r>
    </w:p>
    <w:p w14:paraId="7CA68BE1" w14:textId="572C64A5" w:rsidR="0014351F" w:rsidRDefault="0014351F" w:rsidP="0014351F">
      <w:pPr>
        <w:pStyle w:val="ListBullet"/>
      </w:pPr>
      <w:proofErr w:type="spellStart"/>
      <w:r>
        <w:t>Veklury</w:t>
      </w:r>
      <w:proofErr w:type="spellEnd"/>
      <w:r>
        <w:t xml:space="preserve"> (</w:t>
      </w:r>
      <w:proofErr w:type="spellStart"/>
      <w:r>
        <w:t>remdesivir</w:t>
      </w:r>
      <w:proofErr w:type="spellEnd"/>
      <w:r>
        <w:t xml:space="preserve">) is to be included in the Black Triangle Scheme. The PI and CMI for </w:t>
      </w:r>
      <w:proofErr w:type="spellStart"/>
      <w:r>
        <w:t>Veklury</w:t>
      </w:r>
      <w:proofErr w:type="spellEnd"/>
      <w:r>
        <w:t xml:space="preserve"> must include the black triangle symbol and mandatory accompanying text for the products entire period of provisional registration.</w:t>
      </w:r>
    </w:p>
    <w:p w14:paraId="26AC44E8" w14:textId="1ADDB4A9" w:rsidR="0014351F" w:rsidRDefault="0014351F" w:rsidP="0014351F">
      <w:pPr>
        <w:pStyle w:val="ListBullet"/>
      </w:pPr>
      <w:r>
        <w:t xml:space="preserve">The </w:t>
      </w:r>
      <w:proofErr w:type="spellStart"/>
      <w:r>
        <w:t>Veklury</w:t>
      </w:r>
      <w:proofErr w:type="spellEnd"/>
      <w:r>
        <w:t xml:space="preserve"> EU- RMP (version 3.2; dated 22 January 2022; DLP 2 January 2022), with ASA (version 3.0, dated March 2022), included with submission PM-2022-00260-1-2, and any subsequent revisions, will be implemented in Australia.</w:t>
      </w:r>
    </w:p>
    <w:p w14:paraId="70D40BC0" w14:textId="16A348CF" w:rsidR="0014351F" w:rsidRDefault="0014351F" w:rsidP="0014351F">
      <w:pPr>
        <w:pStyle w:val="ListBullet"/>
        <w:numPr>
          <w:ilvl w:val="0"/>
          <w:numId w:val="0"/>
        </w:numPr>
        <w:ind w:left="360"/>
      </w:pPr>
      <w:r>
        <w:t>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or the entire period of provisional registration, whichever is longer.</w:t>
      </w:r>
    </w:p>
    <w:p w14:paraId="5D1DFC02" w14:textId="36644C2A" w:rsidR="0014351F" w:rsidRDefault="0014351F" w:rsidP="0014351F">
      <w:pPr>
        <w:pStyle w:val="ListBullet"/>
        <w:numPr>
          <w:ilvl w:val="0"/>
          <w:numId w:val="0"/>
        </w:numPr>
        <w:ind w:left="36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B0BD5E1" w14:textId="609A0631" w:rsidR="0014351F" w:rsidRDefault="0014351F" w:rsidP="0014351F">
      <w:pPr>
        <w:pStyle w:val="ListBullet"/>
      </w:pPr>
      <w:r>
        <w:t>Confirmatory trial data (as identified in the sponsor’s plan to submit comprehensive clinical data on the safety and efficacy of the medicine before the end of the 6 years that would start on the day that registration would commence) must be provided.</w:t>
      </w:r>
    </w:p>
    <w:p w14:paraId="6F82D477" w14:textId="62A5BDFA" w:rsidR="0014351F" w:rsidRDefault="0014351F" w:rsidP="0014351F">
      <w:pPr>
        <w:pStyle w:val="ListBullet"/>
        <w:numPr>
          <w:ilvl w:val="0"/>
          <w:numId w:val="0"/>
        </w:numPr>
        <w:ind w:left="360"/>
      </w:pPr>
      <w:r>
        <w:lastRenderedPageBreak/>
        <w:t xml:space="preserve">Specifically, the sponsor must provide the study reports for studies as specified in part III.2. Additional Pharmacovigilance activities of the </w:t>
      </w:r>
      <w:proofErr w:type="spellStart"/>
      <w:r>
        <w:t>Veklury</w:t>
      </w:r>
      <w:proofErr w:type="spellEnd"/>
      <w:r>
        <w:t xml:space="preserve"> EU-Risk Management Plan (RMP) (Version 1.0, dated 24 June 2020, data lock point 27 May 2020).</w:t>
      </w:r>
    </w:p>
    <w:p w14:paraId="40CAA8E5" w14:textId="0B761CBB" w:rsidR="0014351F" w:rsidRDefault="0014351F" w:rsidP="0014351F">
      <w:pPr>
        <w:pStyle w:val="ListBullet"/>
        <w:numPr>
          <w:ilvl w:val="0"/>
          <w:numId w:val="0"/>
        </w:numPr>
        <w:ind w:left="360"/>
      </w:pPr>
      <w:r>
        <w:t xml:space="preserve">Clinical study reports (CSRs) for the following </w:t>
      </w:r>
      <w:proofErr w:type="spellStart"/>
      <w:r>
        <w:t>remdesivir</w:t>
      </w:r>
      <w:proofErr w:type="spellEnd"/>
      <w:r>
        <w:t xml:space="preserve"> studies/data should be submitted to the TGA, once available:</w:t>
      </w:r>
    </w:p>
    <w:p w14:paraId="23E2D754" w14:textId="77777777" w:rsidR="0014351F" w:rsidRDefault="0014351F" w:rsidP="0014351F">
      <w:pPr>
        <w:pStyle w:val="ListBullet2"/>
      </w:pPr>
      <w:proofErr w:type="spellStart"/>
      <w:r>
        <w:t>Remdesivir</w:t>
      </w:r>
      <w:proofErr w:type="spellEnd"/>
      <w:r>
        <w:t xml:space="preserve"> pregnancy safety reports (yearly submission of annual reports).</w:t>
      </w:r>
    </w:p>
    <w:p w14:paraId="482CFAF9" w14:textId="58121F2F" w:rsidR="0014351F" w:rsidRDefault="0014351F" w:rsidP="0014351F">
      <w:pPr>
        <w:pStyle w:val="ListBullet2"/>
      </w:pPr>
      <w:r>
        <w:t>Phase I study in subjects with hepatic impairment (final CSR expected 31 July 2022).</w:t>
      </w:r>
    </w:p>
    <w:p w14:paraId="4D38DD8B" w14:textId="127D887F" w:rsidR="0014351F" w:rsidRDefault="0014351F" w:rsidP="0014351F">
      <w:pPr>
        <w:pStyle w:val="ListBullet2"/>
      </w:pPr>
      <w:r>
        <w:t xml:space="preserve">Phase I study in subjects with severe renal impairment and subjects with </w:t>
      </w:r>
      <w:proofErr w:type="spellStart"/>
      <w:r>
        <w:t>endstage</w:t>
      </w:r>
      <w:proofErr w:type="spellEnd"/>
      <w:r>
        <w:t xml:space="preserve"> renal disease on dialysis (final CSR expected 31 January 2023).</w:t>
      </w:r>
    </w:p>
    <w:p w14:paraId="50FDC5B5" w14:textId="77777777" w:rsidR="0014351F" w:rsidRDefault="0014351F" w:rsidP="0014351F">
      <w:pPr>
        <w:pStyle w:val="ListBullet"/>
      </w:pPr>
      <w:r>
        <w:t>The following data should be provided to the TGA as a condition of registration:</w:t>
      </w:r>
    </w:p>
    <w:p w14:paraId="572CB9E9" w14:textId="4BC124F6" w:rsidR="0014351F" w:rsidRDefault="0014351F" w:rsidP="0014351F">
      <w:pPr>
        <w:pStyle w:val="ListBullet2"/>
      </w:pPr>
      <w:r>
        <w:t xml:space="preserve">a. The study on the activation potential of </w:t>
      </w:r>
      <w:proofErr w:type="spellStart"/>
      <w:r>
        <w:t>remdesivir</w:t>
      </w:r>
      <w:proofErr w:type="spellEnd"/>
      <w:r>
        <w:t xml:space="preserve"> on </w:t>
      </w:r>
      <w:proofErr w:type="spellStart"/>
      <w:r>
        <w:t>AhR</w:t>
      </w:r>
      <w:proofErr w:type="spellEnd"/>
      <w:r>
        <w:t xml:space="preserve"> and PXR (Study AD-399-2009).</w:t>
      </w:r>
    </w:p>
    <w:p w14:paraId="69E51056" w14:textId="77777777" w:rsidR="0014351F" w:rsidRDefault="0014351F" w:rsidP="0014351F">
      <w:pPr>
        <w:pStyle w:val="ListBullet2"/>
      </w:pPr>
      <w:r>
        <w:t>b. Clinical isolates susceptibility data.</w:t>
      </w:r>
    </w:p>
    <w:p w14:paraId="74EA3059" w14:textId="13B09447" w:rsidR="0014351F" w:rsidRPr="0014351F" w:rsidRDefault="0014351F" w:rsidP="0014351F">
      <w:pPr>
        <w:pStyle w:val="ListBullet2"/>
      </w:pPr>
      <w:r>
        <w:t>c. Study AD-540-2026 on P-</w:t>
      </w:r>
      <w:proofErr w:type="spellStart"/>
      <w:r>
        <w:t>gp</w:t>
      </w:r>
      <w:proofErr w:type="spellEnd"/>
      <w:r>
        <w:t xml:space="preserve"> inhibition by </w:t>
      </w:r>
      <w:proofErr w:type="spellStart"/>
      <w:r>
        <w:t>remdesivir</w:t>
      </w:r>
      <w:proofErr w:type="spellEnd"/>
      <w:r>
        <w:t xml:space="preserve"> metabolites.</w:t>
      </w:r>
    </w:p>
    <w:p w14:paraId="32505B47" w14:textId="77777777" w:rsidR="008E7846" w:rsidRDefault="00A80B5B" w:rsidP="00D23139">
      <w:pPr>
        <w:pStyle w:val="Heading2"/>
      </w:pPr>
      <w:bookmarkStart w:id="75" w:name="_Toc102724840"/>
      <w:r>
        <w:t xml:space="preserve">Attachment 1. </w:t>
      </w:r>
      <w:r w:rsidR="008E7846">
        <w:t xml:space="preserve">Product </w:t>
      </w:r>
      <w:r w:rsidR="00AA0ED0">
        <w:t>I</w:t>
      </w:r>
      <w:r w:rsidR="008E7846">
        <w:t>nformation</w:t>
      </w:r>
      <w:bookmarkEnd w:id="73"/>
      <w:bookmarkEnd w:id="74"/>
      <w:bookmarkEnd w:id="75"/>
    </w:p>
    <w:p w14:paraId="4FCA7E2C" w14:textId="1B7EA2CF" w:rsidR="00C80137" w:rsidRDefault="006136D7" w:rsidP="00C80137">
      <w:pPr>
        <w:rPr>
          <w:color w:val="000000"/>
          <w:lang w:eastAsia="en-AU"/>
        </w:rPr>
      </w:pPr>
      <w:r w:rsidRPr="002B3624">
        <w:t xml:space="preserve">The </w:t>
      </w:r>
      <w:r>
        <w:t>PI</w:t>
      </w:r>
      <w:r w:rsidRPr="002B3624">
        <w:t xml:space="preserve"> for</w:t>
      </w:r>
      <w:r w:rsidR="00163E5E">
        <w:t xml:space="preserve"> </w:t>
      </w:r>
      <w:proofErr w:type="spellStart"/>
      <w:r w:rsidR="00163E5E">
        <w:t>Remdesivir</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1" w:history="1">
        <w:r w:rsidR="007C6B9B" w:rsidRPr="007C6B9B">
          <w:rPr>
            <w:rStyle w:val="Hyperlink"/>
          </w:rPr>
          <w:t>https://www.tga.gov.au/product-information-pi</w:t>
        </w:r>
      </w:hyperlink>
      <w:r w:rsidR="007C6B9B" w:rsidRPr="007C6B9B">
        <w:t>&gt;.</w:t>
      </w:r>
    </w:p>
    <w:p w14:paraId="70E08AC3" w14:textId="2FA71AB1" w:rsidR="00744121" w:rsidRDefault="008E7846" w:rsidP="003D65C2">
      <w:pPr>
        <w:autoSpaceDE w:val="0"/>
        <w:autoSpaceDN w:val="0"/>
        <w:adjustRightInd w:val="0"/>
        <w:spacing w:after="0"/>
      </w:pPr>
      <w:r w:rsidRPr="00C80137">
        <w:rPr>
          <w:b/>
        </w:rPr>
        <w:br w:type="page"/>
      </w:r>
    </w:p>
    <w:p w14:paraId="71385844" w14:textId="77777777" w:rsidR="00C80137" w:rsidRPr="001D043B" w:rsidRDefault="00C80137" w:rsidP="003A7F6C">
      <w:pPr>
        <w:pStyle w:val="TableTitle"/>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A589960" w14:textId="77777777" w:rsidTr="00A05FA4">
        <w:trPr>
          <w:trHeight w:hRule="exact" w:val="704"/>
        </w:trPr>
        <w:tc>
          <w:tcPr>
            <w:tcW w:w="9175" w:type="dxa"/>
          </w:tcPr>
          <w:p w14:paraId="199F2B9B" w14:textId="77777777" w:rsidR="001C32CD" w:rsidRPr="00487162" w:rsidRDefault="001C32CD" w:rsidP="00A05FA4">
            <w:pPr>
              <w:pStyle w:val="TGASignoff"/>
            </w:pPr>
            <w:r w:rsidRPr="00487162">
              <w:lastRenderedPageBreak/>
              <w:t>Therapeutic Goods Administration</w:t>
            </w:r>
          </w:p>
        </w:tc>
      </w:tr>
      <w:tr w:rsidR="001C32CD" w:rsidRPr="004C239D" w14:paraId="627173C9" w14:textId="77777777" w:rsidTr="00A05FA4">
        <w:trPr>
          <w:trHeight w:val="1221"/>
        </w:trPr>
        <w:tc>
          <w:tcPr>
            <w:tcW w:w="9175" w:type="dxa"/>
            <w:tcMar>
              <w:top w:w="28" w:type="dxa"/>
            </w:tcMar>
          </w:tcPr>
          <w:p w14:paraId="0400B6F8" w14:textId="77777777" w:rsidR="001C32CD" w:rsidRPr="00487162" w:rsidRDefault="001C32CD" w:rsidP="00A05FA4">
            <w:pPr>
              <w:pStyle w:val="Address"/>
            </w:pPr>
            <w:r w:rsidRPr="00487162">
              <w:t>PO Box 100 Woden ACT 2606 Australia</w:t>
            </w:r>
          </w:p>
          <w:p w14:paraId="2A77F953" w14:textId="6438AD1F" w:rsidR="001C32CD" w:rsidRPr="00487162" w:rsidRDefault="001C32CD" w:rsidP="00A05FA4">
            <w:pPr>
              <w:pStyle w:val="Address"/>
            </w:pPr>
            <w:r w:rsidRPr="00487162">
              <w:t xml:space="preserve">Email: </w:t>
            </w:r>
            <w:hyperlink r:id="rId36"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57A4A597" w14:textId="6D567ADD" w:rsidR="001C32CD" w:rsidRPr="004C239D" w:rsidRDefault="00801A83" w:rsidP="00A05FA4">
            <w:pPr>
              <w:pStyle w:val="Address"/>
              <w:spacing w:line="260" w:lineRule="atLeast"/>
              <w:rPr>
                <w:b/>
                <w:color w:val="0000FF"/>
                <w:u w:val="single"/>
              </w:rPr>
            </w:pPr>
            <w:hyperlink r:id="rId37" w:history="1">
              <w:r w:rsidR="007C6B9B" w:rsidRPr="007C6B9B">
                <w:rPr>
                  <w:rStyle w:val="Hyperlink"/>
                  <w:b/>
                </w:rPr>
                <w:t>https://www.tga.gov.au</w:t>
              </w:r>
            </w:hyperlink>
          </w:p>
        </w:tc>
      </w:tr>
    </w:tbl>
    <w:p w14:paraId="3573CF5F" w14:textId="77777777"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E5820" w14:textId="77777777" w:rsidR="00B22110" w:rsidRDefault="00B22110" w:rsidP="00C40A36">
      <w:pPr>
        <w:spacing w:after="0"/>
      </w:pPr>
      <w:r>
        <w:separator/>
      </w:r>
    </w:p>
  </w:endnote>
  <w:endnote w:type="continuationSeparator" w:id="0">
    <w:p w14:paraId="0FFA125D" w14:textId="77777777" w:rsidR="00B22110" w:rsidRDefault="00B2211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mbria-BoldItalic">
    <w:altName w:val="Cambria"/>
    <w:panose1 w:val="00000000000000000000"/>
    <w:charset w:val="00"/>
    <w:family w:val="roman"/>
    <w:notTrueType/>
    <w:pitch w:val="default"/>
    <w:sig w:usb0="00000003" w:usb1="00000000" w:usb2="00000000" w:usb3="00000000" w:csb0="00000001" w:csb1="00000000"/>
  </w:font>
  <w:font w:name="Cambria-Bold">
    <w:altName w:val="Cambria"/>
    <w:panose1 w:val="00000000000000000000"/>
    <w:charset w:val="00"/>
    <w:family w:val="roman"/>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A2AA4" w:rsidRPr="00487162" w14:paraId="1539F4D5" w14:textId="77777777" w:rsidTr="00DB750B">
      <w:trPr>
        <w:trHeight w:val="269"/>
      </w:trPr>
      <w:tc>
        <w:tcPr>
          <w:tcW w:w="7371" w:type="dxa"/>
          <w:tcMar>
            <w:top w:w="142" w:type="dxa"/>
            <w:bottom w:w="0" w:type="dxa"/>
          </w:tcMar>
        </w:tcPr>
        <w:p w14:paraId="2442DED5" w14:textId="6AA709A6" w:rsidR="00FA2AA4" w:rsidRPr="00487162" w:rsidRDefault="00FA2AA4" w:rsidP="00460036">
          <w:pPr>
            <w:pStyle w:val="Footer"/>
          </w:pPr>
          <w:proofErr w:type="spellStart"/>
          <w:r w:rsidRPr="00487162">
            <w:t>AusPA</w:t>
          </w:r>
          <w:r>
            <w:t>R</w:t>
          </w:r>
          <w:proofErr w:type="spellEnd"/>
          <w:r>
            <w:t xml:space="preserve"> – </w:t>
          </w:r>
          <w:proofErr w:type="spellStart"/>
          <w:r w:rsidRPr="00792197">
            <w:t>V</w:t>
          </w:r>
          <w:r>
            <w:t>eklury</w:t>
          </w:r>
          <w:proofErr w:type="spellEnd"/>
          <w:r w:rsidRPr="00792197">
            <w:t xml:space="preserve"> - </w:t>
          </w:r>
          <w:proofErr w:type="spellStart"/>
          <w:r w:rsidRPr="00792197">
            <w:t>remdesivir</w:t>
          </w:r>
          <w:proofErr w:type="spellEnd"/>
          <w:r w:rsidRPr="00792197">
            <w:t xml:space="preserve"> - Gilead Sciences Pty Ltd </w:t>
          </w:r>
          <w:r>
            <w:t>PM-2022</w:t>
          </w:r>
          <w:r w:rsidRPr="00487162">
            <w:t>-</w:t>
          </w:r>
          <w:r>
            <w:t>00260</w:t>
          </w:r>
          <w:r w:rsidRPr="00487162">
            <w:t>-</w:t>
          </w:r>
          <w:r>
            <w:t>1</w:t>
          </w:r>
          <w:r w:rsidRPr="00487162">
            <w:t>-</w:t>
          </w:r>
          <w:r>
            <w:t>2</w:t>
          </w:r>
          <w:r>
            <w:br/>
            <w:t>FINAL</w:t>
          </w:r>
          <w:r w:rsidRPr="00487162">
            <w:t xml:space="preserve"> </w:t>
          </w:r>
          <w:r>
            <w:t>6 May 2022</w:t>
          </w:r>
        </w:p>
      </w:tc>
      <w:tc>
        <w:tcPr>
          <w:tcW w:w="1490" w:type="dxa"/>
          <w:tcMar>
            <w:top w:w="142" w:type="dxa"/>
            <w:bottom w:w="0" w:type="dxa"/>
          </w:tcMar>
        </w:tcPr>
        <w:p w14:paraId="346B58C9" w14:textId="13DAD6E4" w:rsidR="00FA2AA4" w:rsidRPr="00487162" w:rsidRDefault="00FA2AA4" w:rsidP="00DB750B">
          <w:pPr>
            <w:pStyle w:val="Footer"/>
            <w:jc w:val="right"/>
          </w:pPr>
          <w:r w:rsidRPr="00487162">
            <w:t xml:space="preserve">Page </w:t>
          </w:r>
          <w:r>
            <w:fldChar w:fldCharType="begin"/>
          </w:r>
          <w:r>
            <w:instrText xml:space="preserve"> PAGE  \* Arabic </w:instrText>
          </w:r>
          <w:r>
            <w:fldChar w:fldCharType="separate"/>
          </w:r>
          <w:r>
            <w:rPr>
              <w:noProof/>
            </w:rPr>
            <w:t>31</w:t>
          </w:r>
          <w:r>
            <w:fldChar w:fldCharType="end"/>
          </w:r>
          <w:r w:rsidRPr="00487162">
            <w:t xml:space="preserve"> of </w:t>
          </w:r>
          <w:fldSimple w:instr=" NUMPAGES  \* Arabic ">
            <w:r>
              <w:rPr>
                <w:noProof/>
              </w:rPr>
              <w:t>32</w:t>
            </w:r>
          </w:fldSimple>
        </w:p>
      </w:tc>
    </w:tr>
  </w:tbl>
  <w:p w14:paraId="6B7252BD" w14:textId="77777777" w:rsidR="00FA2AA4" w:rsidRDefault="00FA2AA4"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A2AA4" w:rsidRPr="00487162" w14:paraId="79499DF9" w14:textId="77777777" w:rsidTr="00E45619">
      <w:trPr>
        <w:trHeight w:val="269"/>
      </w:trPr>
      <w:tc>
        <w:tcPr>
          <w:tcW w:w="4519" w:type="dxa"/>
          <w:tcBorders>
            <w:top w:val="single" w:sz="4" w:space="0" w:color="auto"/>
          </w:tcBorders>
          <w:tcMar>
            <w:top w:w="142" w:type="dxa"/>
            <w:bottom w:w="0" w:type="dxa"/>
          </w:tcMar>
        </w:tcPr>
        <w:p w14:paraId="26A4D4C6" w14:textId="77777777" w:rsidR="00FA2AA4" w:rsidRPr="00487162" w:rsidRDefault="00FA2AA4" w:rsidP="00FE1DEE">
          <w:pPr>
            <w:pStyle w:val="Footer"/>
          </w:pPr>
          <w:r w:rsidRPr="00487162">
            <w:t>Document title, Part #, Section # - Section title</w:t>
          </w:r>
        </w:p>
        <w:p w14:paraId="1C83764A" w14:textId="77777777" w:rsidR="00FA2AA4" w:rsidRPr="00487162" w:rsidRDefault="00FA2AA4" w:rsidP="00FE1DEE">
          <w:pPr>
            <w:pStyle w:val="Footer"/>
          </w:pPr>
          <w:r w:rsidRPr="00487162">
            <w:t>V1.0 October 2010</w:t>
          </w:r>
        </w:p>
      </w:tc>
      <w:tc>
        <w:tcPr>
          <w:tcW w:w="4342" w:type="dxa"/>
          <w:tcBorders>
            <w:top w:val="single" w:sz="4" w:space="0" w:color="auto"/>
          </w:tcBorders>
          <w:tcMar>
            <w:top w:w="142" w:type="dxa"/>
            <w:bottom w:w="0" w:type="dxa"/>
          </w:tcMar>
        </w:tcPr>
        <w:p w14:paraId="7A5DBDDC" w14:textId="77777777" w:rsidR="00FA2AA4" w:rsidRPr="00487162" w:rsidRDefault="00FA2AA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183E5FCE" w14:textId="77777777" w:rsidR="00FA2AA4" w:rsidRDefault="00FA2A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25337" w14:textId="77777777" w:rsidR="00FA2AA4" w:rsidRPr="001C32CD" w:rsidRDefault="00FA2AA4"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A2AA4" w14:paraId="749FD7FE" w14:textId="77777777" w:rsidTr="0010601F">
      <w:trPr>
        <w:trHeight w:val="108"/>
      </w:trPr>
      <w:tc>
        <w:tcPr>
          <w:tcW w:w="8875" w:type="dxa"/>
          <w:gridSpan w:val="2"/>
          <w:tcBorders>
            <w:bottom w:val="single" w:sz="4" w:space="0" w:color="auto"/>
          </w:tcBorders>
          <w:tcMar>
            <w:right w:w="284" w:type="dxa"/>
          </w:tcMar>
        </w:tcPr>
        <w:p w14:paraId="1A4855B9" w14:textId="77777777" w:rsidR="00FA2AA4" w:rsidRDefault="00FA2AA4" w:rsidP="006E08B3">
          <w:pPr>
            <w:pStyle w:val="Heading3"/>
          </w:pPr>
          <w:r>
            <w:t>Copyright</w:t>
          </w:r>
        </w:p>
        <w:p w14:paraId="640D6AC1" w14:textId="77777777" w:rsidR="00FA2AA4" w:rsidRDefault="00FA2AA4" w:rsidP="006E08B3">
          <w:r>
            <w:rPr>
              <w:rFonts w:cs="Arial"/>
            </w:rPr>
            <w:t>©</w:t>
          </w:r>
          <w:r>
            <w:t xml:space="preserve"> Commonwealth of Australia [add year]</w:t>
          </w:r>
        </w:p>
        <w:p w14:paraId="71C55211" w14:textId="77777777" w:rsidR="00FA2AA4" w:rsidRDefault="00FA2AA4" w:rsidP="006E08B3"/>
        <w:p w14:paraId="39EA3BDB" w14:textId="77777777" w:rsidR="00FA2AA4" w:rsidRDefault="00FA2AA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6A0706C4" w14:textId="77777777" w:rsidR="00FA2AA4" w:rsidRDefault="00FA2AA4" w:rsidP="006E08B3"/>
        <w:p w14:paraId="2A9B6E9D" w14:textId="77777777" w:rsidR="00FA2AA4" w:rsidRDefault="00FA2AA4" w:rsidP="006E08B3">
          <w:pPr>
            <w:pStyle w:val="Heading3"/>
          </w:pPr>
          <w:r>
            <w:t>Confidentiality</w:t>
          </w:r>
        </w:p>
        <w:p w14:paraId="27EF359C" w14:textId="77777777" w:rsidR="00FA2AA4" w:rsidRDefault="00FA2AA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EE85A78" w14:textId="77777777" w:rsidR="00FA2AA4" w:rsidRDefault="00FA2AA4" w:rsidP="006E08B3"/>
        <w:p w14:paraId="52E37B4B" w14:textId="77777777" w:rsidR="00FA2AA4" w:rsidRDefault="00FA2AA4" w:rsidP="006E08B3">
          <w:r>
            <w:t>For submission made by individuals, all personal details, other than your name, will be removed from your submission before it is published on the TGA’s Internet site.</w:t>
          </w:r>
        </w:p>
        <w:p w14:paraId="7BFDD3F2" w14:textId="77777777" w:rsidR="00FA2AA4" w:rsidRDefault="00FA2AA4" w:rsidP="006E08B3"/>
        <w:p w14:paraId="53B8D3BD" w14:textId="77777777" w:rsidR="00FA2AA4" w:rsidRDefault="00FA2AA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A2AA4" w14:paraId="3F27C81F" w14:textId="77777777" w:rsidTr="0010601F">
      <w:trPr>
        <w:trHeight w:val="417"/>
      </w:trPr>
      <w:tc>
        <w:tcPr>
          <w:tcW w:w="4519" w:type="dxa"/>
          <w:tcBorders>
            <w:top w:val="single" w:sz="4" w:space="0" w:color="auto"/>
          </w:tcBorders>
          <w:tcMar>
            <w:top w:w="142" w:type="dxa"/>
            <w:bottom w:w="0" w:type="dxa"/>
          </w:tcMar>
        </w:tcPr>
        <w:p w14:paraId="332E1F6A" w14:textId="77777777" w:rsidR="00FA2AA4" w:rsidRDefault="00FA2AA4" w:rsidP="006E08B3">
          <w:r>
            <w:t>Document title, Part #, Section # - Section title</w:t>
          </w:r>
        </w:p>
        <w:p w14:paraId="0B77EDF8" w14:textId="77777777" w:rsidR="00FA2AA4" w:rsidRDefault="00FA2AA4" w:rsidP="006E08B3">
          <w:r>
            <w:t>V1.0 October 2010</w:t>
          </w:r>
        </w:p>
      </w:tc>
      <w:tc>
        <w:tcPr>
          <w:tcW w:w="4356" w:type="dxa"/>
          <w:tcBorders>
            <w:top w:val="single" w:sz="4" w:space="0" w:color="auto"/>
          </w:tcBorders>
          <w:tcMar>
            <w:top w:w="142" w:type="dxa"/>
            <w:bottom w:w="0" w:type="dxa"/>
          </w:tcMar>
        </w:tcPr>
        <w:p w14:paraId="12F0E903" w14:textId="77777777" w:rsidR="00FA2AA4" w:rsidRDefault="00FA2AA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7435114B" w14:textId="77777777" w:rsidR="00FA2AA4" w:rsidRDefault="00FA2A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25E30" w14:textId="77777777" w:rsidR="00B22110" w:rsidRDefault="00B22110" w:rsidP="00C40A36">
      <w:pPr>
        <w:spacing w:after="0"/>
      </w:pPr>
      <w:r>
        <w:separator/>
      </w:r>
    </w:p>
  </w:footnote>
  <w:footnote w:type="continuationSeparator" w:id="0">
    <w:p w14:paraId="0A033811" w14:textId="77777777" w:rsidR="00B22110" w:rsidRDefault="00B22110" w:rsidP="00C40A36">
      <w:pPr>
        <w:spacing w:after="0"/>
      </w:pPr>
      <w:r>
        <w:continuationSeparator/>
      </w:r>
    </w:p>
  </w:footnote>
  <w:footnote w:id="1">
    <w:p w14:paraId="60028280" w14:textId="77777777" w:rsidR="00FA2AA4" w:rsidRDefault="00FA2AA4">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5A38F9E2" w14:textId="68C4A0B2" w:rsidR="00FA2AA4" w:rsidRDefault="00FA2AA4">
      <w:pPr>
        <w:pStyle w:val="FootnoteText"/>
      </w:pPr>
      <w:r>
        <w:rPr>
          <w:rStyle w:val="FootnoteReference"/>
        </w:rPr>
        <w:footnoteRef/>
      </w:r>
      <w:r>
        <w:t xml:space="preserve"> Current COVID-19 treatment with provisional approval is available at </w:t>
      </w:r>
      <w:hyperlink r:id="rId1" w:history="1">
        <w:r w:rsidRPr="00774AD8">
          <w:rPr>
            <w:rStyle w:val="Hyperlink"/>
          </w:rPr>
          <w:t>https://www.tga.gov.au/covid-19/covid-19-treatments</w:t>
        </w:r>
      </w:hyperlink>
      <w:r>
        <w:t xml:space="preserve"> (accessed on 27 April 2022).</w:t>
      </w:r>
    </w:p>
  </w:footnote>
  <w:footnote w:id="3">
    <w:p w14:paraId="00A8C914" w14:textId="77777777" w:rsidR="00FA2AA4" w:rsidRDefault="00FA2AA4" w:rsidP="00EC4FF4">
      <w:pPr>
        <w:pStyle w:val="FootnoteText"/>
      </w:pPr>
      <w:r>
        <w:rPr>
          <w:rStyle w:val="FootnoteReference"/>
        </w:rPr>
        <w:footnoteRef/>
      </w:r>
      <w:r>
        <w:t xml:space="preserve"> </w:t>
      </w:r>
      <w:r w:rsidRPr="00BC6987">
        <w:rPr>
          <w:szCs w:val="22"/>
        </w:rPr>
        <w:t>EMA/CHMP/333892/2013</w:t>
      </w:r>
      <w:r>
        <w:rPr>
          <w:szCs w:val="22"/>
        </w:rPr>
        <w:t xml:space="preserve"> (</w:t>
      </w:r>
      <w:hyperlink r:id="rId2" w:history="1">
        <w:r w:rsidRPr="002152E1">
          <w:rPr>
            <w:rStyle w:val="Hyperlink"/>
            <w:szCs w:val="22"/>
          </w:rPr>
          <w:t>https://www.ema.europa.eu/en/documents/scientific-guideline/questions-answers-cyclodextrins-used-excipients-medicinal-products-human-use_en.pdf</w:t>
        </w:r>
      </w:hyperlink>
      <w:r>
        <w:rPr>
          <w:szCs w:val="22"/>
        </w:rPr>
        <w:t>).</w:t>
      </w:r>
    </w:p>
  </w:footnote>
  <w:footnote w:id="4">
    <w:p w14:paraId="51256321" w14:textId="22BA4313" w:rsidR="00FA2AA4" w:rsidRDefault="00FA2AA4">
      <w:pPr>
        <w:pStyle w:val="FootnoteText"/>
      </w:pPr>
      <w:r>
        <w:rPr>
          <w:rStyle w:val="FootnoteReference"/>
        </w:rPr>
        <w:footnoteRef/>
      </w:r>
      <w:r>
        <w:t xml:space="preserve"> AusPAR for initial application for </w:t>
      </w:r>
      <w:proofErr w:type="spellStart"/>
      <w:r>
        <w:t>Veklury</w:t>
      </w:r>
      <w:proofErr w:type="spellEnd"/>
      <w:r>
        <w:t xml:space="preserve"> - </w:t>
      </w:r>
      <w:proofErr w:type="spellStart"/>
      <w:r>
        <w:t>remdesivir</w:t>
      </w:r>
      <w:proofErr w:type="spellEnd"/>
      <w:r>
        <w:t xml:space="preserve"> – PM-2020-01491-1-2 available at </w:t>
      </w:r>
      <w:r w:rsidRPr="008A5EAA">
        <w:t>https://www.tga.gov.au/auspar/auspar-remdesivir</w:t>
      </w:r>
    </w:p>
  </w:footnote>
  <w:footnote w:id="5">
    <w:p w14:paraId="056E1E0A" w14:textId="69C150B3" w:rsidR="00FA2AA4" w:rsidRDefault="00FA2AA4">
      <w:pPr>
        <w:pStyle w:val="FootnoteText"/>
      </w:pPr>
      <w:r>
        <w:rPr>
          <w:rStyle w:val="FootnoteReference"/>
        </w:rPr>
        <w:footnoteRef/>
      </w:r>
      <w:r>
        <w:t xml:space="preserve"> GS-5734 is the drug development code used by sponsor for </w:t>
      </w:r>
      <w:proofErr w:type="spellStart"/>
      <w:r>
        <w:t>remdesivir</w:t>
      </w:r>
      <w:proofErr w:type="spellEnd"/>
    </w:p>
  </w:footnote>
  <w:footnote w:id="6">
    <w:p w14:paraId="402EF1CE" w14:textId="77777777" w:rsidR="00FA2AA4" w:rsidRDefault="00FA2AA4" w:rsidP="00967B99">
      <w:pPr>
        <w:pStyle w:val="FootnoteText"/>
      </w:pPr>
      <w:r>
        <w:rPr>
          <w:rStyle w:val="FootnoteReference"/>
        </w:rPr>
        <w:footnoteRef/>
      </w:r>
      <w:r>
        <w:t xml:space="preserve"> GS-5734 is the drug development code used by sponsor for </w:t>
      </w:r>
      <w:proofErr w:type="spellStart"/>
      <w:r>
        <w:t>remdesivir</w:t>
      </w:r>
      <w:proofErr w:type="spellEnd"/>
    </w:p>
  </w:footnote>
  <w:footnote w:id="7">
    <w:p w14:paraId="5B556435" w14:textId="77777777" w:rsidR="00FA2AA4" w:rsidRDefault="00FA2AA4"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75F21AD2" w14:textId="77777777" w:rsidR="00FA2AA4" w:rsidRDefault="00FA2AA4" w:rsidP="007D53B6">
      <w:pPr>
        <w:pStyle w:val="FootnoteText"/>
      </w:pPr>
      <w:r w:rsidRPr="007D53B6">
        <w:rPr>
          <w:i/>
        </w:rPr>
        <w:t>Routine pharmacovigilance</w:t>
      </w:r>
      <w:r>
        <w:t xml:space="preserve"> practices involve the following activities:</w:t>
      </w:r>
    </w:p>
    <w:p w14:paraId="63FBD4C3" w14:textId="77777777" w:rsidR="00FA2AA4" w:rsidRDefault="00FA2AA4" w:rsidP="007D53B6">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4F1E1B06" w14:textId="77777777" w:rsidR="00FA2AA4" w:rsidRDefault="00FA2AA4" w:rsidP="007D53B6">
      <w:pPr>
        <w:pStyle w:val="FootnoteText"/>
        <w:numPr>
          <w:ilvl w:val="0"/>
          <w:numId w:val="32"/>
        </w:numPr>
        <w:ind w:left="284" w:hanging="284"/>
      </w:pPr>
      <w:r>
        <w:t xml:space="preserve">Reporting to regulatory </w:t>
      </w:r>
      <w:proofErr w:type="gramStart"/>
      <w:r>
        <w:t>authorities;</w:t>
      </w:r>
      <w:proofErr w:type="gramEnd"/>
    </w:p>
    <w:p w14:paraId="50FF9B62" w14:textId="77777777" w:rsidR="00FA2AA4" w:rsidRDefault="00FA2AA4" w:rsidP="007D53B6">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78F8CF25" w14:textId="77777777" w:rsidR="00FA2AA4" w:rsidRDefault="00FA2AA4" w:rsidP="007D53B6">
      <w:pPr>
        <w:pStyle w:val="FootnoteText"/>
        <w:numPr>
          <w:ilvl w:val="0"/>
          <w:numId w:val="32"/>
        </w:numPr>
        <w:ind w:left="284" w:hanging="284"/>
      </w:pPr>
      <w:r>
        <w:t xml:space="preserve">Submission of </w:t>
      </w:r>
      <w:proofErr w:type="gramStart"/>
      <w:r>
        <w:t>PSURs;</w:t>
      </w:r>
      <w:proofErr w:type="gramEnd"/>
    </w:p>
    <w:p w14:paraId="7C2FC8C1" w14:textId="77777777" w:rsidR="00FA2AA4" w:rsidRDefault="00FA2AA4" w:rsidP="007D53B6">
      <w:pPr>
        <w:pStyle w:val="FootnoteText"/>
        <w:numPr>
          <w:ilvl w:val="0"/>
          <w:numId w:val="32"/>
        </w:numPr>
        <w:ind w:left="284" w:hanging="284"/>
      </w:pPr>
      <w:r>
        <w:t>Meeting other local regulatory agency requirements.</w:t>
      </w:r>
    </w:p>
  </w:footnote>
  <w:footnote w:id="8">
    <w:p w14:paraId="3453A47B" w14:textId="77777777" w:rsidR="00FA2AA4" w:rsidRPr="00456765" w:rsidRDefault="00FA2AA4" w:rsidP="00FB369D">
      <w:pPr>
        <w:pStyle w:val="FootnoteText"/>
        <w:rPr>
          <w:lang w:val="en-US"/>
        </w:rPr>
      </w:pPr>
      <w:r>
        <w:rPr>
          <w:rStyle w:val="FootnoteReference"/>
        </w:rPr>
        <w:footnoteRef/>
      </w:r>
      <w:r>
        <w:t xml:space="preserve"> </w:t>
      </w:r>
      <w:r w:rsidRPr="00FB369D">
        <w:t xml:space="preserve">The ACM provides independent medical and scientific advice to the Minister for Health and the TGA on issues relating to the safety, quality and efficacy of medicines supplied in Australia including issues relating to </w:t>
      </w:r>
      <w:proofErr w:type="gramStart"/>
      <w:r w:rsidRPr="00FB369D">
        <w:t>pre market</w:t>
      </w:r>
      <w:proofErr w:type="gramEnd"/>
      <w:r w:rsidRPr="00FB369D">
        <w:t xml:space="preserve"> and post-market functions for medicines. Further information can be found here: </w:t>
      </w:r>
      <w:hyperlink r:id="rId3" w:history="1">
        <w:r w:rsidRPr="0004151A">
          <w:rPr>
            <w:rStyle w:val="Hyperlink"/>
          </w:rPr>
          <w:t>https://www.tga.gov.au/committee/advisory-committee-medicines-acm</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B7356" w14:textId="77777777" w:rsidR="00FA2AA4" w:rsidRDefault="00FA2AA4"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B6ACC" w14:textId="77777777" w:rsidR="00FA2AA4" w:rsidRDefault="00FA2AA4">
    <w:pPr>
      <w:rPr>
        <w:noProof/>
        <w:lang w:eastAsia="en-AU"/>
      </w:rPr>
    </w:pPr>
    <w:r w:rsidRPr="00347824">
      <w:rPr>
        <w:noProof/>
        <w:lang w:val="en-GB" w:eastAsia="en-GB"/>
      </w:rPr>
      <w:drawing>
        <wp:anchor distT="0" distB="0" distL="114300" distR="114300" simplePos="0" relativeHeight="251659264" behindDoc="1" locked="0" layoutInCell="1" allowOverlap="1" wp14:anchorId="547503F9" wp14:editId="28264A70">
          <wp:simplePos x="0" y="0"/>
          <wp:positionH relativeFrom="column">
            <wp:posOffset>-1089660</wp:posOffset>
          </wp:positionH>
          <wp:positionV relativeFrom="paragraph">
            <wp:posOffset>-585470</wp:posOffset>
          </wp:positionV>
          <wp:extent cx="7572375" cy="10706100"/>
          <wp:effectExtent l="19050" t="0" r="0" b="0"/>
          <wp:wrapNone/>
          <wp:docPr id="1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D5CCC9B" w14:textId="77777777" w:rsidR="00FA2AA4" w:rsidRDefault="00FA2AA4"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8F7E2" w14:textId="77777777" w:rsidR="00FA2AA4" w:rsidRDefault="00FA2A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8B03F" w14:textId="77777777" w:rsidR="00FA2AA4" w:rsidRDefault="00FA2AA4">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0FE37" w14:textId="77777777" w:rsidR="00FA2AA4" w:rsidRDefault="00FA2AA4">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28278" w14:textId="77777777" w:rsidR="00FA2AA4" w:rsidRDefault="00FA2A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FCD36" w14:textId="77777777" w:rsidR="00FA2AA4" w:rsidRDefault="00FA2AA4"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ADF6D" w14:textId="77777777" w:rsidR="00FA2AA4" w:rsidRDefault="00FA2AA4" w:rsidP="006E08B3">
    <w:r>
      <w:t>Therapeutic Goods Administration</w:t>
    </w:r>
  </w:p>
  <w:p w14:paraId="20FA1BE3" w14:textId="77777777" w:rsidR="00FA2AA4" w:rsidRDefault="00FA2AA4"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08CD"/>
    <w:multiLevelType w:val="hybridMultilevel"/>
    <w:tmpl w:val="C0807F9A"/>
    <w:lvl w:ilvl="0" w:tplc="AAA8783E">
      <w:start w:val="1"/>
      <w:numFmt w:val="bullet"/>
      <w:pStyle w:val="Bulletlist"/>
      <w:lvlText w:val=""/>
      <w:lvlJc w:val="left"/>
      <w:pPr>
        <w:ind w:left="720" w:hanging="360"/>
      </w:pPr>
      <w:rPr>
        <w:rFonts w:ascii="Symbol" w:hAnsi="Symbol" w:hint="default"/>
        <w:color w:val="7030A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5B0D3F"/>
    <w:multiLevelType w:val="hybridMultilevel"/>
    <w:tmpl w:val="A54E2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E21B56"/>
    <w:multiLevelType w:val="hybridMultilevel"/>
    <w:tmpl w:val="AD38DED8"/>
    <w:lvl w:ilvl="0" w:tplc="C862F9E8">
      <w:start w:val="1"/>
      <w:numFmt w:val="decimal"/>
      <w:lvlText w:val="(%1)"/>
      <w:lvlJc w:val="left"/>
      <w:pPr>
        <w:ind w:left="1863" w:hanging="371"/>
      </w:pPr>
      <w:rPr>
        <w:rFonts w:ascii="Times New Roman" w:eastAsia="Times New Roman" w:hAnsi="Times New Roman" w:cs="Times New Roman" w:hint="default"/>
        <w:b w:val="0"/>
        <w:bCs w:val="0"/>
        <w:i w:val="0"/>
        <w:iCs w:val="0"/>
        <w:w w:val="100"/>
        <w:sz w:val="22"/>
        <w:szCs w:val="22"/>
        <w:lang w:val="en-US" w:eastAsia="en-US" w:bidi="ar-SA"/>
      </w:rPr>
    </w:lvl>
    <w:lvl w:ilvl="1" w:tplc="C4301210">
      <w:start w:val="1"/>
      <w:numFmt w:val="lowerLetter"/>
      <w:lvlText w:val="(%2)"/>
      <w:lvlJc w:val="left"/>
      <w:pPr>
        <w:ind w:left="2374" w:hanging="358"/>
      </w:pPr>
      <w:rPr>
        <w:rFonts w:ascii="Times New Roman" w:eastAsia="Times New Roman" w:hAnsi="Times New Roman" w:cs="Times New Roman" w:hint="default"/>
        <w:b w:val="0"/>
        <w:bCs w:val="0"/>
        <w:i w:val="0"/>
        <w:iCs w:val="0"/>
        <w:w w:val="100"/>
        <w:sz w:val="22"/>
        <w:szCs w:val="22"/>
        <w:lang w:val="en-US" w:eastAsia="en-US" w:bidi="ar-SA"/>
      </w:rPr>
    </w:lvl>
    <w:lvl w:ilvl="2" w:tplc="3A74D66A">
      <w:numFmt w:val="bullet"/>
      <w:lvlText w:val="•"/>
      <w:lvlJc w:val="left"/>
      <w:pPr>
        <w:ind w:left="3065" w:hanging="358"/>
      </w:pPr>
      <w:rPr>
        <w:lang w:val="en-US" w:eastAsia="en-US" w:bidi="ar-SA"/>
      </w:rPr>
    </w:lvl>
    <w:lvl w:ilvl="3" w:tplc="0C09001B">
      <w:start w:val="1"/>
      <w:numFmt w:val="lowerRoman"/>
      <w:lvlText w:val="%4."/>
      <w:lvlJc w:val="right"/>
      <w:pPr>
        <w:ind w:left="3750" w:hanging="358"/>
      </w:pPr>
      <w:rPr>
        <w:lang w:val="en-US" w:eastAsia="en-US" w:bidi="ar-SA"/>
      </w:rPr>
    </w:lvl>
    <w:lvl w:ilvl="4" w:tplc="EBAA6D70">
      <w:numFmt w:val="bullet"/>
      <w:lvlText w:val="•"/>
      <w:lvlJc w:val="left"/>
      <w:pPr>
        <w:ind w:left="4435" w:hanging="358"/>
      </w:pPr>
      <w:rPr>
        <w:lang w:val="en-US" w:eastAsia="en-US" w:bidi="ar-SA"/>
      </w:rPr>
    </w:lvl>
    <w:lvl w:ilvl="5" w:tplc="FE628460">
      <w:numFmt w:val="bullet"/>
      <w:lvlText w:val="•"/>
      <w:lvlJc w:val="left"/>
      <w:pPr>
        <w:ind w:left="5120" w:hanging="358"/>
      </w:pPr>
      <w:rPr>
        <w:lang w:val="en-US" w:eastAsia="en-US" w:bidi="ar-SA"/>
      </w:rPr>
    </w:lvl>
    <w:lvl w:ilvl="6" w:tplc="E12C01C2">
      <w:numFmt w:val="bullet"/>
      <w:lvlText w:val="•"/>
      <w:lvlJc w:val="left"/>
      <w:pPr>
        <w:ind w:left="5805" w:hanging="358"/>
      </w:pPr>
      <w:rPr>
        <w:lang w:val="en-US" w:eastAsia="en-US" w:bidi="ar-SA"/>
      </w:rPr>
    </w:lvl>
    <w:lvl w:ilvl="7" w:tplc="E9FADE5E">
      <w:numFmt w:val="bullet"/>
      <w:lvlText w:val="•"/>
      <w:lvlJc w:val="left"/>
      <w:pPr>
        <w:ind w:left="6490" w:hanging="358"/>
      </w:pPr>
      <w:rPr>
        <w:lang w:val="en-US" w:eastAsia="en-US" w:bidi="ar-SA"/>
      </w:rPr>
    </w:lvl>
    <w:lvl w:ilvl="8" w:tplc="8146F7EA">
      <w:numFmt w:val="bullet"/>
      <w:lvlText w:val="•"/>
      <w:lvlJc w:val="left"/>
      <w:pPr>
        <w:ind w:left="7176" w:hanging="358"/>
      </w:pPr>
      <w:rPr>
        <w:lang w:val="en-US" w:eastAsia="en-US" w:bidi="ar-SA"/>
      </w:rPr>
    </w:lvl>
  </w:abstractNum>
  <w:abstractNum w:abstractNumId="12"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5197297"/>
    <w:multiLevelType w:val="hybridMultilevel"/>
    <w:tmpl w:val="D49AA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5C5EF7"/>
    <w:multiLevelType w:val="hybridMultilevel"/>
    <w:tmpl w:val="915CDB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2E1248D"/>
    <w:multiLevelType w:val="hybridMultilevel"/>
    <w:tmpl w:val="43163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660BBD"/>
    <w:multiLevelType w:val="hybridMultilevel"/>
    <w:tmpl w:val="E8360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F03F7A"/>
    <w:multiLevelType w:val="hybridMultilevel"/>
    <w:tmpl w:val="DB701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6E5524"/>
    <w:multiLevelType w:val="hybridMultilevel"/>
    <w:tmpl w:val="1B060C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20"/>
  </w:num>
  <w:num w:numId="29">
    <w:abstractNumId w:val="7"/>
  </w:num>
  <w:num w:numId="30">
    <w:abstractNumId w:val="9"/>
  </w:num>
  <w:num w:numId="31">
    <w:abstractNumId w:val="4"/>
  </w:num>
  <w:num w:numId="32">
    <w:abstractNumId w:val="13"/>
  </w:num>
  <w:num w:numId="33">
    <w:abstractNumId w:val="17"/>
  </w:num>
  <w:num w:numId="34">
    <w:abstractNumId w:val="10"/>
  </w:num>
  <w:num w:numId="35">
    <w:abstractNumId w:val="16"/>
  </w:num>
  <w:num w:numId="36">
    <w:abstractNumId w:val="14"/>
  </w:num>
  <w:num w:numId="37">
    <w:abstractNumId w:val="15"/>
  </w:num>
  <w:num w:numId="38">
    <w:abstractNumId w:val="19"/>
  </w:num>
  <w:num w:numId="39">
    <w:abstractNumId w:val="11"/>
    <w:lvlOverride w:ilvl="0">
      <w:startOverride w:val="1"/>
    </w:lvlOverride>
    <w:lvlOverride w:ilvl="1">
      <w:startOverride w:val="1"/>
    </w:lvlOverride>
    <w:lvlOverride w:ilvl="2"/>
    <w:lvlOverride w:ilvl="3">
      <w:startOverride w:val="1"/>
    </w:lvlOverride>
    <w:lvlOverride w:ilvl="4"/>
    <w:lvlOverride w:ilvl="5"/>
    <w:lvlOverride w:ilvl="6"/>
    <w:lvlOverride w:ilvl="7"/>
    <w:lvlOverride w:ilvl="8"/>
  </w:num>
  <w:num w:numId="40">
    <w:abstractNumId w:val="18"/>
  </w:num>
  <w:num w:numId="41">
    <w:abstractNumId w:val="11"/>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4C0"/>
    <w:rsid w:val="00002031"/>
    <w:rsid w:val="00004734"/>
    <w:rsid w:val="00006B22"/>
    <w:rsid w:val="00006FAB"/>
    <w:rsid w:val="0001276A"/>
    <w:rsid w:val="000246AE"/>
    <w:rsid w:val="00025C67"/>
    <w:rsid w:val="00034591"/>
    <w:rsid w:val="00044772"/>
    <w:rsid w:val="00044C32"/>
    <w:rsid w:val="0004541C"/>
    <w:rsid w:val="0005559E"/>
    <w:rsid w:val="000604D6"/>
    <w:rsid w:val="000734D8"/>
    <w:rsid w:val="000754CA"/>
    <w:rsid w:val="00077775"/>
    <w:rsid w:val="00090471"/>
    <w:rsid w:val="00096AA7"/>
    <w:rsid w:val="000A3AED"/>
    <w:rsid w:val="000A4816"/>
    <w:rsid w:val="000B3532"/>
    <w:rsid w:val="000B3A75"/>
    <w:rsid w:val="000C00C2"/>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22C2E"/>
    <w:rsid w:val="00124ACD"/>
    <w:rsid w:val="00124B19"/>
    <w:rsid w:val="00125318"/>
    <w:rsid w:val="001305A2"/>
    <w:rsid w:val="00133238"/>
    <w:rsid w:val="00133A1B"/>
    <w:rsid w:val="0014197B"/>
    <w:rsid w:val="0014351F"/>
    <w:rsid w:val="001447CD"/>
    <w:rsid w:val="001516B1"/>
    <w:rsid w:val="00152C19"/>
    <w:rsid w:val="00154EBB"/>
    <w:rsid w:val="00156316"/>
    <w:rsid w:val="00161181"/>
    <w:rsid w:val="00162D14"/>
    <w:rsid w:val="00163405"/>
    <w:rsid w:val="00163780"/>
    <w:rsid w:val="00163E5E"/>
    <w:rsid w:val="00165389"/>
    <w:rsid w:val="0017693F"/>
    <w:rsid w:val="0018110E"/>
    <w:rsid w:val="00181684"/>
    <w:rsid w:val="0018251F"/>
    <w:rsid w:val="001843C6"/>
    <w:rsid w:val="001850E0"/>
    <w:rsid w:val="001A03AF"/>
    <w:rsid w:val="001A2158"/>
    <w:rsid w:val="001A525F"/>
    <w:rsid w:val="001B09F9"/>
    <w:rsid w:val="001B5C90"/>
    <w:rsid w:val="001B6448"/>
    <w:rsid w:val="001C32CD"/>
    <w:rsid w:val="001D2984"/>
    <w:rsid w:val="001E07CF"/>
    <w:rsid w:val="001E59F1"/>
    <w:rsid w:val="001F2CEE"/>
    <w:rsid w:val="001F49EB"/>
    <w:rsid w:val="001F6CBA"/>
    <w:rsid w:val="00201D4E"/>
    <w:rsid w:val="002076C9"/>
    <w:rsid w:val="00220B8A"/>
    <w:rsid w:val="002257F3"/>
    <w:rsid w:val="00233456"/>
    <w:rsid w:val="002339A5"/>
    <w:rsid w:val="00250271"/>
    <w:rsid w:val="00252FD2"/>
    <w:rsid w:val="00257848"/>
    <w:rsid w:val="002578E8"/>
    <w:rsid w:val="00262527"/>
    <w:rsid w:val="0027084A"/>
    <w:rsid w:val="002771B7"/>
    <w:rsid w:val="00280265"/>
    <w:rsid w:val="00286434"/>
    <w:rsid w:val="00286C59"/>
    <w:rsid w:val="00291957"/>
    <w:rsid w:val="00292C90"/>
    <w:rsid w:val="002942D1"/>
    <w:rsid w:val="00294D7D"/>
    <w:rsid w:val="0029501A"/>
    <w:rsid w:val="002A3721"/>
    <w:rsid w:val="002A38EB"/>
    <w:rsid w:val="002A66C5"/>
    <w:rsid w:val="002B1638"/>
    <w:rsid w:val="002B3624"/>
    <w:rsid w:val="002D0952"/>
    <w:rsid w:val="002E40B3"/>
    <w:rsid w:val="002E4C9A"/>
    <w:rsid w:val="002F11F8"/>
    <w:rsid w:val="002F3F56"/>
    <w:rsid w:val="002F44B5"/>
    <w:rsid w:val="002F5122"/>
    <w:rsid w:val="00311AC0"/>
    <w:rsid w:val="003176FC"/>
    <w:rsid w:val="00324E45"/>
    <w:rsid w:val="0032583B"/>
    <w:rsid w:val="00327883"/>
    <w:rsid w:val="00335504"/>
    <w:rsid w:val="00340C18"/>
    <w:rsid w:val="003442FD"/>
    <w:rsid w:val="00347824"/>
    <w:rsid w:val="00350567"/>
    <w:rsid w:val="003521E8"/>
    <w:rsid w:val="00370CE3"/>
    <w:rsid w:val="003728F3"/>
    <w:rsid w:val="003735BC"/>
    <w:rsid w:val="0037496E"/>
    <w:rsid w:val="00383221"/>
    <w:rsid w:val="00386150"/>
    <w:rsid w:val="003874CE"/>
    <w:rsid w:val="00390900"/>
    <w:rsid w:val="003A7F6C"/>
    <w:rsid w:val="003B0033"/>
    <w:rsid w:val="003B3119"/>
    <w:rsid w:val="003B4D60"/>
    <w:rsid w:val="003B7E39"/>
    <w:rsid w:val="003B7FF6"/>
    <w:rsid w:val="003C58DC"/>
    <w:rsid w:val="003D1E62"/>
    <w:rsid w:val="003D65C2"/>
    <w:rsid w:val="003E0B99"/>
    <w:rsid w:val="003E2486"/>
    <w:rsid w:val="003E3208"/>
    <w:rsid w:val="003E5309"/>
    <w:rsid w:val="003F0B04"/>
    <w:rsid w:val="003F4CAA"/>
    <w:rsid w:val="0040134E"/>
    <w:rsid w:val="0040457B"/>
    <w:rsid w:val="00416142"/>
    <w:rsid w:val="004334C7"/>
    <w:rsid w:val="00440A2D"/>
    <w:rsid w:val="00441C3F"/>
    <w:rsid w:val="00444D1A"/>
    <w:rsid w:val="0045186A"/>
    <w:rsid w:val="004564A7"/>
    <w:rsid w:val="00456765"/>
    <w:rsid w:val="00460036"/>
    <w:rsid w:val="004617BF"/>
    <w:rsid w:val="00463658"/>
    <w:rsid w:val="004637A0"/>
    <w:rsid w:val="004674CE"/>
    <w:rsid w:val="00470230"/>
    <w:rsid w:val="004722CC"/>
    <w:rsid w:val="00490483"/>
    <w:rsid w:val="004936E4"/>
    <w:rsid w:val="00494E60"/>
    <w:rsid w:val="00497487"/>
    <w:rsid w:val="004A2771"/>
    <w:rsid w:val="004A6189"/>
    <w:rsid w:val="004A7390"/>
    <w:rsid w:val="004B7B76"/>
    <w:rsid w:val="004C239D"/>
    <w:rsid w:val="004C2DCA"/>
    <w:rsid w:val="004C4FBE"/>
    <w:rsid w:val="004C61D2"/>
    <w:rsid w:val="004D2528"/>
    <w:rsid w:val="004D4E28"/>
    <w:rsid w:val="004D54C1"/>
    <w:rsid w:val="004F0C4A"/>
    <w:rsid w:val="004F0F38"/>
    <w:rsid w:val="004F47D6"/>
    <w:rsid w:val="00500337"/>
    <w:rsid w:val="00501921"/>
    <w:rsid w:val="00517872"/>
    <w:rsid w:val="005209CA"/>
    <w:rsid w:val="005252B2"/>
    <w:rsid w:val="00530354"/>
    <w:rsid w:val="00535391"/>
    <w:rsid w:val="0053625B"/>
    <w:rsid w:val="005434C6"/>
    <w:rsid w:val="00543B39"/>
    <w:rsid w:val="00546154"/>
    <w:rsid w:val="00550096"/>
    <w:rsid w:val="00555280"/>
    <w:rsid w:val="00556560"/>
    <w:rsid w:val="00557FF9"/>
    <w:rsid w:val="00562327"/>
    <w:rsid w:val="00563969"/>
    <w:rsid w:val="00564BE5"/>
    <w:rsid w:val="005711D5"/>
    <w:rsid w:val="00576378"/>
    <w:rsid w:val="00577130"/>
    <w:rsid w:val="00577945"/>
    <w:rsid w:val="00577E38"/>
    <w:rsid w:val="00585322"/>
    <w:rsid w:val="005857C6"/>
    <w:rsid w:val="00591865"/>
    <w:rsid w:val="00592F6E"/>
    <w:rsid w:val="00593095"/>
    <w:rsid w:val="00593AD1"/>
    <w:rsid w:val="005A68B6"/>
    <w:rsid w:val="005C5570"/>
    <w:rsid w:val="005C5B66"/>
    <w:rsid w:val="005C79A4"/>
    <w:rsid w:val="005D5442"/>
    <w:rsid w:val="00603F32"/>
    <w:rsid w:val="00605AD4"/>
    <w:rsid w:val="006136D7"/>
    <w:rsid w:val="00621AC4"/>
    <w:rsid w:val="00625A6E"/>
    <w:rsid w:val="00632398"/>
    <w:rsid w:val="00640FC3"/>
    <w:rsid w:val="00642020"/>
    <w:rsid w:val="006430EE"/>
    <w:rsid w:val="00646D53"/>
    <w:rsid w:val="006511D5"/>
    <w:rsid w:val="0065337B"/>
    <w:rsid w:val="0065419D"/>
    <w:rsid w:val="0065688A"/>
    <w:rsid w:val="006603BC"/>
    <w:rsid w:val="006604D8"/>
    <w:rsid w:val="00664A5B"/>
    <w:rsid w:val="0066735C"/>
    <w:rsid w:val="006763D2"/>
    <w:rsid w:val="00680C08"/>
    <w:rsid w:val="00687A6A"/>
    <w:rsid w:val="006916A0"/>
    <w:rsid w:val="006917D3"/>
    <w:rsid w:val="006931B1"/>
    <w:rsid w:val="006944AB"/>
    <w:rsid w:val="006A15C0"/>
    <w:rsid w:val="006A58A8"/>
    <w:rsid w:val="006C3E2A"/>
    <w:rsid w:val="006C642F"/>
    <w:rsid w:val="006D03E5"/>
    <w:rsid w:val="006D5D3E"/>
    <w:rsid w:val="006E08B3"/>
    <w:rsid w:val="006E6030"/>
    <w:rsid w:val="006F17AC"/>
    <w:rsid w:val="006F25B8"/>
    <w:rsid w:val="006F5060"/>
    <w:rsid w:val="006F572E"/>
    <w:rsid w:val="007046D6"/>
    <w:rsid w:val="00704895"/>
    <w:rsid w:val="00705DB0"/>
    <w:rsid w:val="00716610"/>
    <w:rsid w:val="00722B57"/>
    <w:rsid w:val="00730F8A"/>
    <w:rsid w:val="00735A8C"/>
    <w:rsid w:val="0074253D"/>
    <w:rsid w:val="0074284B"/>
    <w:rsid w:val="00743DC6"/>
    <w:rsid w:val="00744121"/>
    <w:rsid w:val="0074429B"/>
    <w:rsid w:val="00755C17"/>
    <w:rsid w:val="00757621"/>
    <w:rsid w:val="007615BC"/>
    <w:rsid w:val="00762F05"/>
    <w:rsid w:val="00763C96"/>
    <w:rsid w:val="007652FF"/>
    <w:rsid w:val="00770CAC"/>
    <w:rsid w:val="00770EF1"/>
    <w:rsid w:val="00773EF7"/>
    <w:rsid w:val="00774E1D"/>
    <w:rsid w:val="007765D8"/>
    <w:rsid w:val="0077675A"/>
    <w:rsid w:val="00780355"/>
    <w:rsid w:val="007819FD"/>
    <w:rsid w:val="00785717"/>
    <w:rsid w:val="00785721"/>
    <w:rsid w:val="00793A59"/>
    <w:rsid w:val="007A46F5"/>
    <w:rsid w:val="007A6505"/>
    <w:rsid w:val="007B3DDD"/>
    <w:rsid w:val="007B6132"/>
    <w:rsid w:val="007B6E9F"/>
    <w:rsid w:val="007C1216"/>
    <w:rsid w:val="007C1AF7"/>
    <w:rsid w:val="007C6B9B"/>
    <w:rsid w:val="007D53B6"/>
    <w:rsid w:val="007E303D"/>
    <w:rsid w:val="007F25CC"/>
    <w:rsid w:val="00801A83"/>
    <w:rsid w:val="00805D27"/>
    <w:rsid w:val="00806DCB"/>
    <w:rsid w:val="00821776"/>
    <w:rsid w:val="008321F5"/>
    <w:rsid w:val="00832369"/>
    <w:rsid w:val="00834660"/>
    <w:rsid w:val="00836BC2"/>
    <w:rsid w:val="0085156D"/>
    <w:rsid w:val="00852B28"/>
    <w:rsid w:val="0085641B"/>
    <w:rsid w:val="00857136"/>
    <w:rsid w:val="00875A6B"/>
    <w:rsid w:val="00885B11"/>
    <w:rsid w:val="00886D15"/>
    <w:rsid w:val="00887DD8"/>
    <w:rsid w:val="00891304"/>
    <w:rsid w:val="00891BA9"/>
    <w:rsid w:val="00896018"/>
    <w:rsid w:val="008960DD"/>
    <w:rsid w:val="0089635C"/>
    <w:rsid w:val="008A2B9D"/>
    <w:rsid w:val="008A3D9F"/>
    <w:rsid w:val="008A5E0B"/>
    <w:rsid w:val="008A5EAA"/>
    <w:rsid w:val="008A6D59"/>
    <w:rsid w:val="008B4B03"/>
    <w:rsid w:val="008B596F"/>
    <w:rsid w:val="008C159F"/>
    <w:rsid w:val="008C1623"/>
    <w:rsid w:val="008C1850"/>
    <w:rsid w:val="008C51A9"/>
    <w:rsid w:val="008C5F50"/>
    <w:rsid w:val="008E7846"/>
    <w:rsid w:val="008F02E5"/>
    <w:rsid w:val="008F1CCC"/>
    <w:rsid w:val="008F2967"/>
    <w:rsid w:val="008F6286"/>
    <w:rsid w:val="008F6943"/>
    <w:rsid w:val="00902A21"/>
    <w:rsid w:val="00911361"/>
    <w:rsid w:val="0091523F"/>
    <w:rsid w:val="00920330"/>
    <w:rsid w:val="009219D7"/>
    <w:rsid w:val="00922D53"/>
    <w:rsid w:val="00923B70"/>
    <w:rsid w:val="00924482"/>
    <w:rsid w:val="00930237"/>
    <w:rsid w:val="00937C17"/>
    <w:rsid w:val="00940A89"/>
    <w:rsid w:val="00941F77"/>
    <w:rsid w:val="00946EA5"/>
    <w:rsid w:val="00960520"/>
    <w:rsid w:val="00963C08"/>
    <w:rsid w:val="00967B99"/>
    <w:rsid w:val="009752A5"/>
    <w:rsid w:val="0098585A"/>
    <w:rsid w:val="009A05E6"/>
    <w:rsid w:val="009A4811"/>
    <w:rsid w:val="009A4CED"/>
    <w:rsid w:val="009A690D"/>
    <w:rsid w:val="009B1D12"/>
    <w:rsid w:val="009B416B"/>
    <w:rsid w:val="009C2A1E"/>
    <w:rsid w:val="009C4BD5"/>
    <w:rsid w:val="009D7B77"/>
    <w:rsid w:val="009E0BB0"/>
    <w:rsid w:val="009E3FBB"/>
    <w:rsid w:val="009F7353"/>
    <w:rsid w:val="00A04F85"/>
    <w:rsid w:val="00A05FA4"/>
    <w:rsid w:val="00A102E4"/>
    <w:rsid w:val="00A1219C"/>
    <w:rsid w:val="00A12C42"/>
    <w:rsid w:val="00A14DF7"/>
    <w:rsid w:val="00A22D57"/>
    <w:rsid w:val="00A3246D"/>
    <w:rsid w:val="00A36FA7"/>
    <w:rsid w:val="00A41C97"/>
    <w:rsid w:val="00A44DDB"/>
    <w:rsid w:val="00A475B7"/>
    <w:rsid w:val="00A47AF7"/>
    <w:rsid w:val="00A47C3E"/>
    <w:rsid w:val="00A50226"/>
    <w:rsid w:val="00A60BAD"/>
    <w:rsid w:val="00A64ADF"/>
    <w:rsid w:val="00A740DA"/>
    <w:rsid w:val="00A77F87"/>
    <w:rsid w:val="00A80B5B"/>
    <w:rsid w:val="00A84E36"/>
    <w:rsid w:val="00A964D1"/>
    <w:rsid w:val="00AA0ED0"/>
    <w:rsid w:val="00AC2B40"/>
    <w:rsid w:val="00AC2BB2"/>
    <w:rsid w:val="00AC2C3C"/>
    <w:rsid w:val="00AC512D"/>
    <w:rsid w:val="00AC74E2"/>
    <w:rsid w:val="00AD0083"/>
    <w:rsid w:val="00AD3935"/>
    <w:rsid w:val="00AE454B"/>
    <w:rsid w:val="00AE65EB"/>
    <w:rsid w:val="00AE67A7"/>
    <w:rsid w:val="00AE7CDB"/>
    <w:rsid w:val="00AF1D94"/>
    <w:rsid w:val="00AF60C5"/>
    <w:rsid w:val="00B009C6"/>
    <w:rsid w:val="00B01548"/>
    <w:rsid w:val="00B130C5"/>
    <w:rsid w:val="00B13EBD"/>
    <w:rsid w:val="00B15A2D"/>
    <w:rsid w:val="00B21D29"/>
    <w:rsid w:val="00B22110"/>
    <w:rsid w:val="00B25034"/>
    <w:rsid w:val="00B33588"/>
    <w:rsid w:val="00B33863"/>
    <w:rsid w:val="00B37D17"/>
    <w:rsid w:val="00B40A15"/>
    <w:rsid w:val="00B4175E"/>
    <w:rsid w:val="00B41C85"/>
    <w:rsid w:val="00B452CE"/>
    <w:rsid w:val="00B54C25"/>
    <w:rsid w:val="00B75AF3"/>
    <w:rsid w:val="00B76B91"/>
    <w:rsid w:val="00B77EB1"/>
    <w:rsid w:val="00B811C6"/>
    <w:rsid w:val="00B855B0"/>
    <w:rsid w:val="00B92E08"/>
    <w:rsid w:val="00BA6D19"/>
    <w:rsid w:val="00BC622A"/>
    <w:rsid w:val="00BD1F85"/>
    <w:rsid w:val="00BE0A78"/>
    <w:rsid w:val="00BE79F0"/>
    <w:rsid w:val="00BF046D"/>
    <w:rsid w:val="00BF0A84"/>
    <w:rsid w:val="00BF1190"/>
    <w:rsid w:val="00BF3774"/>
    <w:rsid w:val="00BF5D04"/>
    <w:rsid w:val="00C009AA"/>
    <w:rsid w:val="00C1164D"/>
    <w:rsid w:val="00C16861"/>
    <w:rsid w:val="00C2360F"/>
    <w:rsid w:val="00C346AB"/>
    <w:rsid w:val="00C404A6"/>
    <w:rsid w:val="00C40A36"/>
    <w:rsid w:val="00C44419"/>
    <w:rsid w:val="00C45E7B"/>
    <w:rsid w:val="00C471B1"/>
    <w:rsid w:val="00C474C0"/>
    <w:rsid w:val="00C525A2"/>
    <w:rsid w:val="00C52E24"/>
    <w:rsid w:val="00C60462"/>
    <w:rsid w:val="00C6316B"/>
    <w:rsid w:val="00C634A9"/>
    <w:rsid w:val="00C64586"/>
    <w:rsid w:val="00C66E30"/>
    <w:rsid w:val="00C70A36"/>
    <w:rsid w:val="00C70D53"/>
    <w:rsid w:val="00C73D0B"/>
    <w:rsid w:val="00C74F5C"/>
    <w:rsid w:val="00C75526"/>
    <w:rsid w:val="00C772FF"/>
    <w:rsid w:val="00C80137"/>
    <w:rsid w:val="00C801AF"/>
    <w:rsid w:val="00C80256"/>
    <w:rsid w:val="00C94CD4"/>
    <w:rsid w:val="00C9747E"/>
    <w:rsid w:val="00CB28B1"/>
    <w:rsid w:val="00CB6BC0"/>
    <w:rsid w:val="00CC1B7C"/>
    <w:rsid w:val="00CC727F"/>
    <w:rsid w:val="00CF15C3"/>
    <w:rsid w:val="00CF2B6F"/>
    <w:rsid w:val="00CF2F3E"/>
    <w:rsid w:val="00CF58B6"/>
    <w:rsid w:val="00CF5DAD"/>
    <w:rsid w:val="00D0062D"/>
    <w:rsid w:val="00D017ED"/>
    <w:rsid w:val="00D040D3"/>
    <w:rsid w:val="00D04C65"/>
    <w:rsid w:val="00D153D8"/>
    <w:rsid w:val="00D201D2"/>
    <w:rsid w:val="00D224FE"/>
    <w:rsid w:val="00D23139"/>
    <w:rsid w:val="00D425BB"/>
    <w:rsid w:val="00D442A4"/>
    <w:rsid w:val="00D453FA"/>
    <w:rsid w:val="00D6493E"/>
    <w:rsid w:val="00D7195D"/>
    <w:rsid w:val="00D7301E"/>
    <w:rsid w:val="00D83AE1"/>
    <w:rsid w:val="00D855D4"/>
    <w:rsid w:val="00D902C9"/>
    <w:rsid w:val="00D93466"/>
    <w:rsid w:val="00D95D25"/>
    <w:rsid w:val="00DA1124"/>
    <w:rsid w:val="00DA64CB"/>
    <w:rsid w:val="00DB06B8"/>
    <w:rsid w:val="00DB4AED"/>
    <w:rsid w:val="00DB6124"/>
    <w:rsid w:val="00DB65AB"/>
    <w:rsid w:val="00DB750B"/>
    <w:rsid w:val="00DB75B7"/>
    <w:rsid w:val="00DC0A2F"/>
    <w:rsid w:val="00DC1948"/>
    <w:rsid w:val="00DC3940"/>
    <w:rsid w:val="00DC6E02"/>
    <w:rsid w:val="00DD28CD"/>
    <w:rsid w:val="00DE02AE"/>
    <w:rsid w:val="00DE1830"/>
    <w:rsid w:val="00DE37DD"/>
    <w:rsid w:val="00DE39D1"/>
    <w:rsid w:val="00DF1D7F"/>
    <w:rsid w:val="00DF4BE4"/>
    <w:rsid w:val="00E02382"/>
    <w:rsid w:val="00E02FB4"/>
    <w:rsid w:val="00E13FC7"/>
    <w:rsid w:val="00E17174"/>
    <w:rsid w:val="00E20571"/>
    <w:rsid w:val="00E235F7"/>
    <w:rsid w:val="00E23659"/>
    <w:rsid w:val="00E239D4"/>
    <w:rsid w:val="00E26130"/>
    <w:rsid w:val="00E33D42"/>
    <w:rsid w:val="00E40B22"/>
    <w:rsid w:val="00E44ED1"/>
    <w:rsid w:val="00E45619"/>
    <w:rsid w:val="00E4588F"/>
    <w:rsid w:val="00E46DA3"/>
    <w:rsid w:val="00E5154F"/>
    <w:rsid w:val="00E51BB1"/>
    <w:rsid w:val="00E55CB0"/>
    <w:rsid w:val="00E624A5"/>
    <w:rsid w:val="00E64BA4"/>
    <w:rsid w:val="00E66882"/>
    <w:rsid w:val="00E7344E"/>
    <w:rsid w:val="00E82665"/>
    <w:rsid w:val="00EB0798"/>
    <w:rsid w:val="00EB40AD"/>
    <w:rsid w:val="00EB586E"/>
    <w:rsid w:val="00EB5FC8"/>
    <w:rsid w:val="00EC463D"/>
    <w:rsid w:val="00EC4FF4"/>
    <w:rsid w:val="00EC7A85"/>
    <w:rsid w:val="00ED19F6"/>
    <w:rsid w:val="00ED2922"/>
    <w:rsid w:val="00ED3CAD"/>
    <w:rsid w:val="00ED5A41"/>
    <w:rsid w:val="00EE1DE8"/>
    <w:rsid w:val="00EE27C2"/>
    <w:rsid w:val="00EE27FE"/>
    <w:rsid w:val="00EE54B5"/>
    <w:rsid w:val="00EF4BAD"/>
    <w:rsid w:val="00EF59DC"/>
    <w:rsid w:val="00F033EC"/>
    <w:rsid w:val="00F04E10"/>
    <w:rsid w:val="00F04F68"/>
    <w:rsid w:val="00F12670"/>
    <w:rsid w:val="00F14B27"/>
    <w:rsid w:val="00F3148D"/>
    <w:rsid w:val="00F325C5"/>
    <w:rsid w:val="00F32FE0"/>
    <w:rsid w:val="00F35298"/>
    <w:rsid w:val="00F47333"/>
    <w:rsid w:val="00F47E37"/>
    <w:rsid w:val="00F53C07"/>
    <w:rsid w:val="00F54B65"/>
    <w:rsid w:val="00F6271F"/>
    <w:rsid w:val="00F63DBF"/>
    <w:rsid w:val="00F640B6"/>
    <w:rsid w:val="00F66DF2"/>
    <w:rsid w:val="00F72602"/>
    <w:rsid w:val="00F80E40"/>
    <w:rsid w:val="00F848D9"/>
    <w:rsid w:val="00FA2AA4"/>
    <w:rsid w:val="00FA5069"/>
    <w:rsid w:val="00FA5B82"/>
    <w:rsid w:val="00FA639E"/>
    <w:rsid w:val="00FB369D"/>
    <w:rsid w:val="00FC1FCA"/>
    <w:rsid w:val="00FC25E4"/>
    <w:rsid w:val="00FC4EF7"/>
    <w:rsid w:val="00FD0824"/>
    <w:rsid w:val="00FD119B"/>
    <w:rsid w:val="00FD1EDC"/>
    <w:rsid w:val="00FE1DEE"/>
    <w:rsid w:val="00FE5A84"/>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31E712"/>
  <w15:docId w15:val="{9377C8EB-30EF-4ECB-843B-5AC1CA263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styleId="ListParagraph">
    <w:name w:val="List Paragraph"/>
    <w:basedOn w:val="Normal"/>
    <w:uiPriority w:val="1"/>
    <w:qFormat/>
    <w:rsid w:val="00763C96"/>
    <w:pPr>
      <w:ind w:left="720"/>
      <w:contextualSpacing/>
    </w:pPr>
  </w:style>
  <w:style w:type="character" w:customStyle="1" w:styleId="TabletextChar">
    <w:name w:val="Table text Char"/>
    <w:basedOn w:val="DefaultParagraphFont"/>
    <w:link w:val="Tabletext"/>
    <w:rsid w:val="006917D3"/>
    <w:rPr>
      <w:rFonts w:ascii="Cambria" w:eastAsia="Cambria" w:hAnsi="Cambria" w:cs="Times New Roman"/>
      <w:sz w:val="19"/>
    </w:rPr>
  </w:style>
  <w:style w:type="paragraph" w:customStyle="1" w:styleId="Standard">
    <w:name w:val="Standard"/>
    <w:basedOn w:val="Normal"/>
    <w:link w:val="StandardChar"/>
    <w:qFormat/>
    <w:rsid w:val="006917D3"/>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6917D3"/>
    <w:rPr>
      <w:rFonts w:ascii="Cambria" w:eastAsia="Times New Roman" w:hAnsi="Cambria" w:cs="Times New Roman"/>
      <w:snapToGrid w:val="0"/>
      <w:kern w:val="16"/>
      <w:sz w:val="23"/>
      <w:szCs w:val="24"/>
    </w:rPr>
  </w:style>
  <w:style w:type="paragraph" w:customStyle="1" w:styleId="Bulletlist">
    <w:name w:val="Bullet list"/>
    <w:basedOn w:val="Normal"/>
    <w:link w:val="BulletlistChar"/>
    <w:qFormat/>
    <w:rsid w:val="00DB65AB"/>
    <w:pPr>
      <w:numPr>
        <w:numId w:val="44"/>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DB65AB"/>
    <w:rPr>
      <w:rFonts w:ascii="Cambria" w:eastAsia="Times New Roman" w:hAnsi="Cambria" w:cs="Times New Roman"/>
      <w:snapToGrid w:val="0"/>
      <w:kern w:val="2"/>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8503205">
      <w:bodyDiv w:val="1"/>
      <w:marLeft w:val="0"/>
      <w:marRight w:val="0"/>
      <w:marTop w:val="0"/>
      <w:marBottom w:val="0"/>
      <w:divBdr>
        <w:top w:val="none" w:sz="0" w:space="0" w:color="auto"/>
        <w:left w:val="none" w:sz="0" w:space="0" w:color="auto"/>
        <w:bottom w:val="none" w:sz="0" w:space="0" w:color="auto"/>
        <w:right w:val="none" w:sz="0" w:space="0" w:color="auto"/>
      </w:divBdr>
    </w:div>
    <w:div w:id="1612468041">
      <w:bodyDiv w:val="1"/>
      <w:marLeft w:val="0"/>
      <w:marRight w:val="0"/>
      <w:marTop w:val="0"/>
      <w:marBottom w:val="0"/>
      <w:divBdr>
        <w:top w:val="none" w:sz="0" w:space="0" w:color="auto"/>
        <w:left w:val="none" w:sz="0" w:space="0" w:color="auto"/>
        <w:bottom w:val="none" w:sz="0" w:space="0" w:color="auto"/>
        <w:right w:val="none" w:sz="0" w:space="0" w:color="auto"/>
      </w:divBdr>
    </w:div>
    <w:div w:id="167591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5.xm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cdc.gov/nccdphp/dnpao/growthcharts/resources/sas.htm" TargetMode="External"/><Relationship Id="rId25" Type="http://schemas.openxmlformats.org/officeDocument/2006/relationships/image" Target="media/image11.emf"/><Relationship Id="rId33" Type="http://schemas.openxmlformats.org/officeDocument/2006/relationships/header" Target="head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who.int/toolkits/child-growth-standards/software"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eader" Target="header3.xml"/><Relationship Id="rId37" Type="http://schemas.openxmlformats.org/officeDocument/2006/relationships/hyperlink" Target="https://www.tga.gov.au"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yperlink" Target="mailto:info@tga.gov.au"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committee/advisory-committee-medicines-acm" TargetMode="External"/><Relationship Id="rId2" Type="http://schemas.openxmlformats.org/officeDocument/2006/relationships/hyperlink" Target="https://www.ema.europa.eu/en/documents/scientific-guideline/questions-answers-cyclodextrins-used-excipients-medicinal-products-human-use_en.pdf" TargetMode="External"/><Relationship Id="rId1" Type="http://schemas.openxmlformats.org/officeDocument/2006/relationships/hyperlink" Target="https://www.tga.gov.au/covid-19/covid-19-treatm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5028\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12866-CB61-42CC-A03B-0E9C472FE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66</TotalTime>
  <Pages>35</Pages>
  <Words>9264</Words>
  <Characters>51972</Characters>
  <Application>Microsoft Office Word</Application>
  <DocSecurity>0</DocSecurity>
  <Lines>1404</Lines>
  <Paragraphs>765</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Company>
  <LinksUpToDate>false</LinksUpToDate>
  <CharactersWithSpaces>60471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Remdesivir</dc:title>
  <dc:subject>prescription medicine regulation</dc:subject>
  <dc:creator>Therapeutic Goods Administration</dc:creator>
  <cp:keywords/>
  <cp:lastModifiedBy>KOLARIK-OREILLY, Kristy</cp:lastModifiedBy>
  <cp:revision>9</cp:revision>
  <cp:lastPrinted>2019-08-14T04:30:00Z</cp:lastPrinted>
  <dcterms:created xsi:type="dcterms:W3CDTF">2022-05-05T23:18:00Z</dcterms:created>
  <dcterms:modified xsi:type="dcterms:W3CDTF">2022-05-09T23:50:00Z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de74a9-4f8a-4c74-b507-22417e17d25b_Enabled">
    <vt:lpwstr>true</vt:lpwstr>
  </property>
  <property fmtid="{D5CDD505-2E9C-101B-9397-08002B2CF9AE}" pid="3" name="MSIP_Label_16de74a9-4f8a-4c74-b507-22417e17d25b_SetDate">
    <vt:lpwstr>2022-05-02T06:48:30Z</vt:lpwstr>
  </property>
  <property fmtid="{D5CDD505-2E9C-101B-9397-08002B2CF9AE}" pid="4" name="MSIP_Label_16de74a9-4f8a-4c74-b507-22417e17d25b_Method">
    <vt:lpwstr>Privileged</vt:lpwstr>
  </property>
  <property fmtid="{D5CDD505-2E9C-101B-9397-08002B2CF9AE}" pid="5" name="MSIP_Label_16de74a9-4f8a-4c74-b507-22417e17d25b_Name">
    <vt:lpwstr>16de74a9-4f8a-4c74-b507-22417e17d25b</vt:lpwstr>
  </property>
  <property fmtid="{D5CDD505-2E9C-101B-9397-08002B2CF9AE}" pid="6" name="MSIP_Label_16de74a9-4f8a-4c74-b507-22417e17d25b_SiteId">
    <vt:lpwstr>a5a8bcaa-3292-41e6-b735-5e8b21f4dbfd</vt:lpwstr>
  </property>
  <property fmtid="{D5CDD505-2E9C-101B-9397-08002B2CF9AE}" pid="7" name="MSIP_Label_16de74a9-4f8a-4c74-b507-22417e17d25b_ActionId">
    <vt:lpwstr>83961e62-2895-4d1a-ab46-ea8676c491bf</vt:lpwstr>
  </property>
  <property fmtid="{D5CDD505-2E9C-101B-9397-08002B2CF9AE}" pid="8" name="MSIP_Label_16de74a9-4f8a-4c74-b507-22417e17d25b_ContentBits">
    <vt:lpwstr>0</vt:lpwstr>
  </property>
</Properties>
</file>