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D8A82" w14:textId="679BF670" w:rsidR="00D07F42" w:rsidRPr="00772475" w:rsidRDefault="00270E87" w:rsidP="00D07F42">
      <w:pPr>
        <w:tabs>
          <w:tab w:val="left" w:pos="284"/>
        </w:tabs>
        <w:spacing w:after="480" w:line="240" w:lineRule="auto"/>
        <w:rPr>
          <w:rFonts w:ascii="Times New Roman" w:hAnsi="Times New Roman" w:cs="Times New Roman"/>
          <w:sz w:val="24"/>
          <w:szCs w:val="24"/>
        </w:rPr>
      </w:pPr>
      <w:r w:rsidRPr="00772475">
        <w:rPr>
          <w:rFonts w:ascii="Times New Roman" w:hAnsi="Times New Roman" w:cs="Times New Roman"/>
          <w:noProof/>
          <w:sz w:val="24"/>
          <w:szCs w:val="24"/>
          <w:lang w:eastAsia="en-AU"/>
        </w:rPr>
        <mc:AlternateContent>
          <mc:Choice Requires="wps">
            <w:drawing>
              <wp:inline distT="0" distB="0" distL="0" distR="0" wp14:anchorId="06E47B89" wp14:editId="0663EEBF">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D2CF2" w14:textId="77777777" w:rsidR="007E50B0" w:rsidRPr="00BE2A26" w:rsidRDefault="007E50B0" w:rsidP="00D07F42">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wps:wsp>
                  </a:graphicData>
                </a:graphic>
              </wp:inline>
            </w:drawing>
          </mc:Choice>
          <mc:Fallback>
            <w:pict>
              <v:shapetype w14:anchorId="06E47B89"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" stroked="f">
                <v:textbox inset="0,0,0,0">
                  <w:txbxContent>
                    <w:p w14:paraId="1BDD2CF2" w14:textId="77777777" w:rsidR="007E50B0" w:rsidRPr="00BE2A26" w:rsidRDefault="007E50B0" w:rsidP="00D07F42">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772475">
        <w:rPr>
          <w:rFonts w:ascii="Times New Roman" w:hAnsi="Times New Roman" w:cs="Times New Roman"/>
          <w:sz w:val="24"/>
          <w:szCs w:val="24"/>
        </w:rPr>
        <w:t>This medicinal product is subject to additional monitoring in Australia</w:t>
      </w:r>
      <w:r w:rsidR="000D7D46">
        <w:rPr>
          <w:rFonts w:ascii="Times New Roman" w:hAnsi="Times New Roman" w:cs="Times New Roman"/>
          <w:sz w:val="24"/>
          <w:szCs w:val="24"/>
        </w:rPr>
        <w:t xml:space="preserve"> due to provisional approval</w:t>
      </w:r>
      <w:r w:rsidRPr="00772475">
        <w:rPr>
          <w:rFonts w:ascii="Times New Roman" w:hAnsi="Times New Roman" w:cs="Times New Roman"/>
          <w:sz w:val="24"/>
          <w:szCs w:val="24"/>
        </w:rPr>
        <w:t xml:space="preserve">. This will allow quick identification of new safety information. Healthcare professionals are asked to report any suspected adverse events at </w:t>
      </w:r>
      <w:hyperlink r:id="rId11" w:history="1">
        <w:r w:rsidRPr="00772475">
          <w:rPr>
            <w:rStyle w:val="Hyperlink"/>
            <w:rFonts w:ascii="Times New Roman" w:hAnsi="Times New Roman" w:cs="Times New Roman"/>
            <w:sz w:val="24"/>
            <w:szCs w:val="24"/>
          </w:rPr>
          <w:t>www.tga.gov.au/reporting-problems</w:t>
        </w:r>
      </w:hyperlink>
      <w:r w:rsidRPr="00772475">
        <w:rPr>
          <w:rFonts w:ascii="Times New Roman" w:hAnsi="Times New Roman" w:cs="Times New Roman"/>
          <w:sz w:val="24"/>
          <w:szCs w:val="24"/>
        </w:rPr>
        <w:t>.</w:t>
      </w:r>
    </w:p>
    <w:p w14:paraId="794D8A83" w14:textId="77777777" w:rsidR="00D07F42" w:rsidRPr="003D58E7" w:rsidRDefault="00270E87" w:rsidP="00D07F42">
      <w:pPr>
        <w:pStyle w:val="Heading1"/>
        <w:numPr>
          <w:ilvl w:val="0"/>
          <w:numId w:val="0"/>
        </w:numPr>
        <w:spacing w:after="240"/>
        <w:rPr>
          <w:rFonts w:ascii="Times New Roman" w:eastAsia="SimSun" w:hAnsi="Times New Roman" w:cs="Times New Roman"/>
        </w:rPr>
      </w:pPr>
      <w:r w:rsidRPr="00772475">
        <w:rPr>
          <w:rFonts w:ascii="Times New Roman" w:eastAsia="SimSun" w:hAnsi="Times New Roman" w:cs="Times New Roman"/>
        </w:rPr>
        <w:t>Australian Product Information – VEKLURY</w:t>
      </w:r>
      <w:r w:rsidR="00794CEE">
        <w:rPr>
          <w:rFonts w:ascii="Times New Roman" w:eastAsia="SimSun" w:hAnsi="Times New Roman" w:cs="Times New Roman"/>
          <w:vertAlign w:val="superscript"/>
        </w:rPr>
        <w:t>®</w:t>
      </w:r>
      <w:r w:rsidRPr="00772475">
        <w:rPr>
          <w:rFonts w:ascii="Times New Roman" w:eastAsia="SimSun" w:hAnsi="Times New Roman" w:cs="Times New Roman"/>
        </w:rPr>
        <w:t xml:space="preserve"> (remdesivir) </w:t>
      </w:r>
      <w:r w:rsidR="00641FFE">
        <w:rPr>
          <w:rFonts w:ascii="Times New Roman" w:eastAsia="SimSun" w:hAnsi="Times New Roman" w:cs="Times New Roman"/>
        </w:rPr>
        <w:t xml:space="preserve">POWDER FOR </w:t>
      </w:r>
      <w:r w:rsidRPr="003D58E7">
        <w:rPr>
          <w:rFonts w:ascii="Times New Roman" w:eastAsia="SimSun" w:hAnsi="Times New Roman" w:cs="Times New Roman"/>
        </w:rPr>
        <w:t xml:space="preserve">INJECTION </w:t>
      </w:r>
    </w:p>
    <w:p w14:paraId="794D8A84" w14:textId="77777777" w:rsidR="00D07F42" w:rsidRPr="00B05F17" w:rsidRDefault="00270E87" w:rsidP="00F92515">
      <w:pPr>
        <w:pStyle w:val="Heading1"/>
        <w:numPr>
          <w:ilvl w:val="0"/>
          <w:numId w:val="11"/>
        </w:numPr>
        <w:spacing w:before="0" w:after="120"/>
        <w:rPr>
          <w:rFonts w:ascii="Times New Roman" w:hAnsi="Times New Roman" w:cs="Times New Roman"/>
        </w:rPr>
      </w:pPr>
      <w:r w:rsidRPr="00B05F17">
        <w:rPr>
          <w:rFonts w:ascii="Times New Roman" w:hAnsi="Times New Roman" w:cs="Times New Roman"/>
        </w:rPr>
        <w:t>Name of the medicine</w:t>
      </w:r>
    </w:p>
    <w:p w14:paraId="794D8A85" w14:textId="77777777" w:rsidR="00D07F42" w:rsidRPr="00772475" w:rsidRDefault="00270E87" w:rsidP="00D07F42">
      <w:pPr>
        <w:spacing w:after="0" w:line="240" w:lineRule="auto"/>
        <w:rPr>
          <w:rFonts w:ascii="Times New Roman" w:hAnsi="Times New Roman" w:cs="Times New Roman"/>
          <w:sz w:val="24"/>
          <w:szCs w:val="24"/>
        </w:rPr>
      </w:pPr>
      <w:r>
        <w:rPr>
          <w:rFonts w:ascii="Times New Roman" w:hAnsi="Times New Roman" w:cs="Times New Roman"/>
          <w:sz w:val="24"/>
          <w:szCs w:val="24"/>
        </w:rPr>
        <w:t>Remdesivir.</w:t>
      </w:r>
    </w:p>
    <w:p w14:paraId="794D8A86" w14:textId="77777777" w:rsidR="00D07F42" w:rsidRPr="00772475" w:rsidRDefault="00D07F42" w:rsidP="00D07F42">
      <w:pPr>
        <w:spacing w:after="0" w:line="240" w:lineRule="auto"/>
        <w:rPr>
          <w:rFonts w:ascii="Times New Roman" w:hAnsi="Times New Roman" w:cs="Times New Roman"/>
          <w:sz w:val="24"/>
          <w:szCs w:val="24"/>
        </w:rPr>
      </w:pPr>
    </w:p>
    <w:p w14:paraId="794D8A87" w14:textId="77777777" w:rsidR="00D07F42" w:rsidRPr="00F92515" w:rsidRDefault="00270E87" w:rsidP="00F92515">
      <w:pPr>
        <w:pStyle w:val="Heading1"/>
        <w:numPr>
          <w:ilvl w:val="0"/>
          <w:numId w:val="11"/>
        </w:numPr>
        <w:spacing w:before="0" w:after="120"/>
        <w:rPr>
          <w:rFonts w:ascii="Times New Roman" w:hAnsi="Times New Roman" w:cs="Times New Roman"/>
        </w:rPr>
      </w:pPr>
      <w:r w:rsidRPr="00F92515">
        <w:rPr>
          <w:rFonts w:ascii="Times New Roman" w:hAnsi="Times New Roman" w:cs="Times New Roman"/>
        </w:rPr>
        <w:t>Qualitative and quantitative composition</w:t>
      </w:r>
    </w:p>
    <w:p w14:paraId="794D8A88" w14:textId="77777777" w:rsidR="00D07F42" w:rsidRPr="00772475" w:rsidRDefault="00270E87" w:rsidP="00D07F42">
      <w:pPr>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VEKLURY 100 mg powder for injection</w:t>
      </w:r>
    </w:p>
    <w:p w14:paraId="794D8A89" w14:textId="77777777" w:rsidR="00D07F42" w:rsidRPr="00772475" w:rsidRDefault="00270E87" w:rsidP="003D58E7">
      <w:pPr>
        <w:rPr>
          <w:rFonts w:ascii="Times New Roman" w:hAnsi="Times New Roman" w:cs="Times New Roman"/>
          <w:sz w:val="24"/>
          <w:szCs w:val="24"/>
          <w:u w:val="single"/>
        </w:rPr>
      </w:pPr>
      <w:r w:rsidRPr="00772475">
        <w:rPr>
          <w:rFonts w:ascii="Times New Roman" w:hAnsi="Times New Roman" w:cs="Times New Roman"/>
          <w:sz w:val="24"/>
          <w:szCs w:val="24"/>
        </w:rPr>
        <w:t>Each vial contains 100 mg of remdesivir. After reconstitution, each vial contains 5 mg/mL of remdesivir solution.</w:t>
      </w:r>
    </w:p>
    <w:p w14:paraId="794D8A8A" w14:textId="77777777" w:rsidR="00D07F42" w:rsidRPr="00772475" w:rsidRDefault="00270E87"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For the full list of excipients, see section 6.1.</w:t>
      </w:r>
    </w:p>
    <w:p w14:paraId="794D8A8C" w14:textId="77777777" w:rsidR="00D07F42" w:rsidRPr="00772475" w:rsidRDefault="00D07F42" w:rsidP="00D07F42">
      <w:pPr>
        <w:spacing w:after="0" w:line="240" w:lineRule="auto"/>
        <w:rPr>
          <w:rFonts w:ascii="Times New Roman" w:hAnsi="Times New Roman" w:cs="Times New Roman"/>
          <w:sz w:val="24"/>
          <w:szCs w:val="24"/>
        </w:rPr>
      </w:pPr>
    </w:p>
    <w:p w14:paraId="794D8A8D" w14:textId="77777777" w:rsidR="00D07F42" w:rsidRPr="00772475" w:rsidRDefault="00270E87" w:rsidP="00F92515">
      <w:pPr>
        <w:pStyle w:val="Heading1"/>
        <w:numPr>
          <w:ilvl w:val="0"/>
          <w:numId w:val="11"/>
        </w:numPr>
        <w:spacing w:before="0" w:after="120"/>
        <w:rPr>
          <w:rFonts w:ascii="Times New Roman" w:hAnsi="Times New Roman" w:cs="Times New Roman"/>
        </w:rPr>
      </w:pPr>
      <w:r w:rsidRPr="00772475">
        <w:rPr>
          <w:rFonts w:ascii="Times New Roman" w:hAnsi="Times New Roman" w:cs="Times New Roman"/>
        </w:rPr>
        <w:t>Pharmaceutical form</w:t>
      </w:r>
    </w:p>
    <w:p w14:paraId="794D8A8E" w14:textId="77777777" w:rsidR="00D07F42" w:rsidRPr="00772475" w:rsidRDefault="00270E87" w:rsidP="00D07F42">
      <w:pPr>
        <w:autoSpaceDE w:val="0"/>
        <w:autoSpaceDN w:val="0"/>
        <w:adjustRightInd w:val="0"/>
        <w:spacing w:after="0" w:line="240" w:lineRule="auto"/>
        <w:rPr>
          <w:rFonts w:ascii="Times New Roman" w:hAnsi="Times New Roman" w:cs="Times New Roman"/>
          <w:color w:val="000000"/>
          <w:sz w:val="24"/>
          <w:szCs w:val="24"/>
        </w:rPr>
      </w:pPr>
      <w:r w:rsidRPr="00772475">
        <w:rPr>
          <w:rFonts w:ascii="Times New Roman" w:hAnsi="Times New Roman" w:cs="Times New Roman"/>
          <w:color w:val="000000"/>
          <w:sz w:val="24"/>
          <w:szCs w:val="24"/>
        </w:rPr>
        <w:t xml:space="preserve">VEKLURY (remdesivir) powder for injection, 100 mg, available as a sterile, preservative-free, white to off-white to yellow lyophilized </w:t>
      </w:r>
      <w:r w:rsidRPr="00CE0A55">
        <w:rPr>
          <w:rFonts w:ascii="Times New Roman" w:hAnsi="Times New Roman" w:cs="Times New Roman"/>
          <w:color w:val="000000"/>
          <w:sz w:val="24"/>
          <w:szCs w:val="24"/>
        </w:rPr>
        <w:t xml:space="preserve">powder </w:t>
      </w:r>
      <w:r w:rsidRPr="002967A8">
        <w:rPr>
          <w:rFonts w:ascii="Times New Roman" w:hAnsi="Times New Roman" w:cs="Times New Roman"/>
          <w:color w:val="000000"/>
          <w:sz w:val="24"/>
          <w:szCs w:val="24"/>
        </w:rPr>
        <w:t>that is to be reconstituted with 19 mL of Sterile Water for Injection and further diluted into 0.9% sodium chloride infusion bag prior to administration by intravenous infusion. Following reconstitution, each vial contains 100 mg/20 mL (5 mg/mL) of VEKLURY concentrated solution.</w:t>
      </w:r>
      <w:r w:rsidRPr="00772475">
        <w:rPr>
          <w:rFonts w:ascii="Times New Roman" w:hAnsi="Times New Roman" w:cs="Times New Roman"/>
          <w:color w:val="000000"/>
          <w:sz w:val="24"/>
          <w:szCs w:val="24"/>
        </w:rPr>
        <w:t xml:space="preserve"> </w:t>
      </w:r>
    </w:p>
    <w:p w14:paraId="794D8A8F" w14:textId="77777777" w:rsidR="00D07F42" w:rsidRPr="00772475" w:rsidRDefault="00D07F42" w:rsidP="00D07F42">
      <w:pPr>
        <w:autoSpaceDE w:val="0"/>
        <w:autoSpaceDN w:val="0"/>
        <w:adjustRightInd w:val="0"/>
        <w:spacing w:after="0" w:line="240" w:lineRule="auto"/>
        <w:rPr>
          <w:rFonts w:ascii="Times New Roman" w:hAnsi="Times New Roman" w:cs="Times New Roman"/>
          <w:color w:val="000000"/>
          <w:sz w:val="24"/>
          <w:szCs w:val="24"/>
        </w:rPr>
      </w:pPr>
    </w:p>
    <w:p w14:paraId="794D8A91" w14:textId="77777777" w:rsidR="00D07F42" w:rsidRPr="00772475" w:rsidRDefault="00270E87" w:rsidP="00F92515">
      <w:pPr>
        <w:pStyle w:val="Heading1"/>
        <w:numPr>
          <w:ilvl w:val="0"/>
          <w:numId w:val="11"/>
        </w:numPr>
        <w:spacing w:before="0" w:after="120"/>
        <w:rPr>
          <w:rFonts w:ascii="Times New Roman" w:hAnsi="Times New Roman" w:cs="Times New Roman"/>
        </w:rPr>
      </w:pPr>
      <w:r w:rsidRPr="00772475">
        <w:rPr>
          <w:rFonts w:ascii="Times New Roman" w:hAnsi="Times New Roman" w:cs="Times New Roman"/>
        </w:rPr>
        <w:t>Clinical particulars</w:t>
      </w:r>
    </w:p>
    <w:p w14:paraId="794D8A92" w14:textId="199B0D7F" w:rsidR="00D07F42" w:rsidRPr="00772475" w:rsidRDefault="00270E87" w:rsidP="00F92515">
      <w:pPr>
        <w:pStyle w:val="Heading2"/>
        <w:numPr>
          <w:ilvl w:val="1"/>
          <w:numId w:val="11"/>
        </w:numPr>
        <w:spacing w:before="0" w:after="120"/>
        <w:ind w:left="578" w:hanging="578"/>
        <w:rPr>
          <w:rFonts w:ascii="Times New Roman" w:hAnsi="Times New Roman" w:cs="Times New Roman"/>
        </w:rPr>
      </w:pPr>
      <w:r w:rsidRPr="00772475">
        <w:rPr>
          <w:rFonts w:ascii="Times New Roman" w:hAnsi="Times New Roman" w:cs="Times New Roman"/>
        </w:rPr>
        <w:t>Therapeutic indications</w:t>
      </w:r>
    </w:p>
    <w:p w14:paraId="794D8A93" w14:textId="77777777" w:rsidR="00CF66D1" w:rsidRDefault="00270E87" w:rsidP="00D07F42">
      <w:pPr>
        <w:spacing w:line="240" w:lineRule="auto"/>
        <w:rPr>
          <w:rFonts w:ascii="Times New Roman" w:hAnsi="Times New Roman" w:cs="Times New Roman"/>
          <w:noProof/>
          <w:sz w:val="24"/>
          <w:szCs w:val="24"/>
        </w:rPr>
      </w:pPr>
      <w:r w:rsidRPr="00B05F17">
        <w:rPr>
          <w:rFonts w:ascii="Times New Roman" w:hAnsi="Times New Roman" w:cs="Times New Roman"/>
          <w:noProof/>
          <w:sz w:val="24"/>
          <w:szCs w:val="24"/>
        </w:rPr>
        <w:t xml:space="preserve">VEKLURY </w:t>
      </w:r>
      <w:r w:rsidR="0068093B">
        <w:rPr>
          <w:rFonts w:ascii="Times New Roman" w:hAnsi="Times New Roman" w:cs="Times New Roman"/>
          <w:noProof/>
          <w:sz w:val="24"/>
          <w:szCs w:val="24"/>
        </w:rPr>
        <w:t xml:space="preserve">has </w:t>
      </w:r>
      <w:r w:rsidR="0068093B" w:rsidRPr="00AB3F00">
        <w:rPr>
          <w:rFonts w:ascii="Times New Roman" w:hAnsi="Times New Roman" w:cs="Times New Roman"/>
          <w:b/>
          <w:noProof/>
          <w:sz w:val="24"/>
          <w:szCs w:val="24"/>
        </w:rPr>
        <w:t>provisional approval</w:t>
      </w:r>
      <w:r w:rsidRPr="00B05F17">
        <w:rPr>
          <w:rFonts w:ascii="Times New Roman" w:hAnsi="Times New Roman" w:cs="Times New Roman"/>
          <w:noProof/>
          <w:sz w:val="24"/>
          <w:szCs w:val="24"/>
        </w:rPr>
        <w:t xml:space="preserve"> for the treatment </w:t>
      </w:r>
      <w:r>
        <w:rPr>
          <w:rFonts w:ascii="Times New Roman" w:hAnsi="Times New Roman" w:cs="Times New Roman"/>
          <w:noProof/>
          <w:sz w:val="24"/>
          <w:szCs w:val="24"/>
        </w:rPr>
        <w:t>of c</w:t>
      </w:r>
      <w:r w:rsidR="00FC6D9E" w:rsidRPr="00FC6D9E">
        <w:rPr>
          <w:rFonts w:ascii="Times New Roman" w:hAnsi="Times New Roman" w:cs="Times New Roman"/>
          <w:noProof/>
          <w:sz w:val="24"/>
          <w:szCs w:val="24"/>
        </w:rPr>
        <w:t xml:space="preserve">oronavirus </w:t>
      </w:r>
      <w:r>
        <w:rPr>
          <w:rFonts w:ascii="Times New Roman" w:hAnsi="Times New Roman" w:cs="Times New Roman"/>
          <w:noProof/>
          <w:sz w:val="24"/>
          <w:szCs w:val="24"/>
        </w:rPr>
        <w:t>d</w:t>
      </w:r>
      <w:r w:rsidR="00FC6D9E" w:rsidRPr="00FC6D9E">
        <w:rPr>
          <w:rFonts w:ascii="Times New Roman" w:hAnsi="Times New Roman" w:cs="Times New Roman"/>
          <w:noProof/>
          <w:sz w:val="24"/>
          <w:szCs w:val="24"/>
        </w:rPr>
        <w:t>isease 2019 (COVID-19) in</w:t>
      </w:r>
      <w:r>
        <w:rPr>
          <w:rFonts w:ascii="Times New Roman" w:hAnsi="Times New Roman" w:cs="Times New Roman"/>
          <w:noProof/>
          <w:sz w:val="24"/>
          <w:szCs w:val="24"/>
        </w:rPr>
        <w:t>:</w:t>
      </w:r>
    </w:p>
    <w:p w14:paraId="794D8A94" w14:textId="36EF2347" w:rsidR="00CF66D1" w:rsidRDefault="00270E87" w:rsidP="00CF66D1">
      <w:pPr>
        <w:pStyle w:val="ListParagraph"/>
        <w:numPr>
          <w:ilvl w:val="0"/>
          <w:numId w:val="32"/>
        </w:numPr>
        <w:spacing w:line="240" w:lineRule="auto"/>
        <w:rPr>
          <w:rFonts w:ascii="Times New Roman" w:hAnsi="Times New Roman" w:cs="Times New Roman"/>
          <w:noProof/>
          <w:sz w:val="24"/>
          <w:szCs w:val="24"/>
        </w:rPr>
      </w:pPr>
      <w:r w:rsidRPr="00CF66D1">
        <w:rPr>
          <w:rFonts w:ascii="Times New Roman" w:hAnsi="Times New Roman" w:cs="Times New Roman"/>
          <w:noProof/>
          <w:sz w:val="24"/>
          <w:szCs w:val="24"/>
        </w:rPr>
        <w:t xml:space="preserve">adults </w:t>
      </w:r>
      <w:r w:rsidR="00FC6D9E" w:rsidRPr="00CF66D1">
        <w:rPr>
          <w:rFonts w:ascii="Times New Roman" w:hAnsi="Times New Roman" w:cs="Times New Roman"/>
          <w:noProof/>
          <w:sz w:val="24"/>
          <w:szCs w:val="24"/>
        </w:rPr>
        <w:t xml:space="preserve">and </w:t>
      </w:r>
      <w:r w:rsidR="00BB7508">
        <w:rPr>
          <w:rFonts w:ascii="Times New Roman" w:hAnsi="Times New Roman" w:cs="Times New Roman"/>
          <w:noProof/>
          <w:sz w:val="24"/>
          <w:szCs w:val="24"/>
        </w:rPr>
        <w:t>p</w:t>
      </w:r>
      <w:r w:rsidR="00DA2FB5">
        <w:rPr>
          <w:rFonts w:ascii="Times New Roman" w:hAnsi="Times New Roman" w:cs="Times New Roman"/>
          <w:noProof/>
          <w:sz w:val="24"/>
          <w:szCs w:val="24"/>
        </w:rPr>
        <w:t>a</w:t>
      </w:r>
      <w:r w:rsidR="00BB7508">
        <w:rPr>
          <w:rFonts w:ascii="Times New Roman" w:hAnsi="Times New Roman" w:cs="Times New Roman"/>
          <w:noProof/>
          <w:sz w:val="24"/>
          <w:szCs w:val="24"/>
        </w:rPr>
        <w:t>ediatric patients</w:t>
      </w:r>
      <w:r w:rsidR="00BB7508" w:rsidRPr="00CF66D1">
        <w:rPr>
          <w:rFonts w:ascii="Times New Roman" w:hAnsi="Times New Roman" w:cs="Times New Roman"/>
          <w:noProof/>
          <w:sz w:val="24"/>
          <w:szCs w:val="24"/>
        </w:rPr>
        <w:t xml:space="preserve"> </w:t>
      </w:r>
      <w:r w:rsidR="00FC6D9E" w:rsidRPr="00CF66D1">
        <w:rPr>
          <w:rFonts w:ascii="Times New Roman" w:hAnsi="Times New Roman" w:cs="Times New Roman"/>
          <w:noProof/>
          <w:sz w:val="24"/>
          <w:szCs w:val="24"/>
        </w:rPr>
        <w:t>(</w:t>
      </w:r>
      <w:r w:rsidR="00BB7508">
        <w:rPr>
          <w:rFonts w:ascii="Times New Roman" w:hAnsi="Times New Roman" w:cs="Times New Roman"/>
          <w:noProof/>
          <w:sz w:val="24"/>
          <w:szCs w:val="24"/>
        </w:rPr>
        <w:t>at least 4 weeks of age and</w:t>
      </w:r>
      <w:r w:rsidR="00FC6D9E" w:rsidRPr="00CF66D1">
        <w:rPr>
          <w:rFonts w:ascii="Times New Roman" w:hAnsi="Times New Roman" w:cs="Times New Roman"/>
          <w:noProof/>
          <w:sz w:val="24"/>
          <w:szCs w:val="24"/>
        </w:rPr>
        <w:t xml:space="preserve"> weighing at least </w:t>
      </w:r>
      <w:r w:rsidR="00BB7508">
        <w:rPr>
          <w:rFonts w:ascii="Times New Roman" w:hAnsi="Times New Roman" w:cs="Times New Roman"/>
          <w:noProof/>
          <w:sz w:val="24"/>
          <w:szCs w:val="24"/>
        </w:rPr>
        <w:t>3</w:t>
      </w:r>
      <w:r w:rsidR="00BB7508" w:rsidRPr="00CF66D1">
        <w:rPr>
          <w:rFonts w:ascii="Times New Roman" w:hAnsi="Times New Roman" w:cs="Times New Roman"/>
          <w:noProof/>
          <w:sz w:val="24"/>
          <w:szCs w:val="24"/>
        </w:rPr>
        <w:t xml:space="preserve"> </w:t>
      </w:r>
      <w:r w:rsidR="00FC6D9E" w:rsidRPr="00CF66D1">
        <w:rPr>
          <w:rFonts w:ascii="Times New Roman" w:hAnsi="Times New Roman" w:cs="Times New Roman"/>
          <w:noProof/>
          <w:sz w:val="24"/>
          <w:szCs w:val="24"/>
        </w:rPr>
        <w:t xml:space="preserve">kg) </w:t>
      </w:r>
      <w:r w:rsidR="00432CE3">
        <w:rPr>
          <w:rFonts w:ascii="Times New Roman" w:hAnsi="Times New Roman" w:cs="Times New Roman"/>
          <w:noProof/>
          <w:sz w:val="24"/>
          <w:szCs w:val="24"/>
        </w:rPr>
        <w:t xml:space="preserve">who have </w:t>
      </w:r>
      <w:r w:rsidR="00FC6D9E" w:rsidRPr="00CF66D1">
        <w:rPr>
          <w:rFonts w:ascii="Times New Roman" w:hAnsi="Times New Roman" w:cs="Times New Roman"/>
          <w:noProof/>
          <w:sz w:val="24"/>
          <w:szCs w:val="24"/>
        </w:rPr>
        <w:t>pneumonia</w:t>
      </w:r>
      <w:r w:rsidR="00432CE3">
        <w:rPr>
          <w:rFonts w:ascii="Times New Roman" w:hAnsi="Times New Roman" w:cs="Times New Roman"/>
          <w:noProof/>
          <w:sz w:val="24"/>
          <w:szCs w:val="24"/>
        </w:rPr>
        <w:t xml:space="preserve"> due to SARS-CoV-2</w:t>
      </w:r>
      <w:r w:rsidR="00FC6D9E" w:rsidRPr="00CF66D1">
        <w:rPr>
          <w:rFonts w:ascii="Times New Roman" w:hAnsi="Times New Roman" w:cs="Times New Roman"/>
          <w:noProof/>
          <w:sz w:val="24"/>
          <w:szCs w:val="24"/>
        </w:rPr>
        <w:t xml:space="preserve">, </w:t>
      </w:r>
      <w:r w:rsidR="00432CE3">
        <w:rPr>
          <w:rFonts w:ascii="Times New Roman" w:hAnsi="Times New Roman" w:cs="Times New Roman"/>
          <w:noProof/>
          <w:sz w:val="24"/>
          <w:szCs w:val="24"/>
        </w:rPr>
        <w:t xml:space="preserve">and who </w:t>
      </w:r>
      <w:r w:rsidR="00FC6D9E" w:rsidRPr="00CF66D1">
        <w:rPr>
          <w:rFonts w:ascii="Times New Roman" w:hAnsi="Times New Roman" w:cs="Times New Roman"/>
          <w:noProof/>
          <w:sz w:val="24"/>
          <w:szCs w:val="24"/>
        </w:rPr>
        <w:t>requir</w:t>
      </w:r>
      <w:r w:rsidR="00432CE3">
        <w:rPr>
          <w:rFonts w:ascii="Times New Roman" w:hAnsi="Times New Roman" w:cs="Times New Roman"/>
          <w:noProof/>
          <w:sz w:val="24"/>
          <w:szCs w:val="24"/>
        </w:rPr>
        <w:t>e</w:t>
      </w:r>
      <w:r w:rsidR="00FC6D9E" w:rsidRPr="00CF66D1">
        <w:rPr>
          <w:rFonts w:ascii="Times New Roman" w:hAnsi="Times New Roman" w:cs="Times New Roman"/>
          <w:noProof/>
          <w:sz w:val="24"/>
          <w:szCs w:val="24"/>
        </w:rPr>
        <w:t xml:space="preserve"> supplemental oxygen</w:t>
      </w:r>
      <w:r w:rsidR="00261661" w:rsidRPr="00CF66D1">
        <w:rPr>
          <w:rFonts w:ascii="Times New Roman" w:hAnsi="Times New Roman" w:cs="Times New Roman"/>
          <w:noProof/>
          <w:sz w:val="24"/>
          <w:szCs w:val="24"/>
        </w:rPr>
        <w:t>.</w:t>
      </w:r>
      <w:r w:rsidR="00FC6D9E" w:rsidRPr="00CF66D1">
        <w:rPr>
          <w:rFonts w:ascii="Times New Roman" w:hAnsi="Times New Roman" w:cs="Times New Roman"/>
          <w:noProof/>
          <w:sz w:val="24"/>
          <w:szCs w:val="24"/>
        </w:rPr>
        <w:t xml:space="preserve"> </w:t>
      </w:r>
      <w:r w:rsidR="00D07F42" w:rsidRPr="00CF66D1">
        <w:rPr>
          <w:rFonts w:ascii="Times New Roman" w:hAnsi="Times New Roman" w:cs="Times New Roman"/>
          <w:noProof/>
          <w:sz w:val="24"/>
          <w:szCs w:val="24"/>
        </w:rPr>
        <w:t xml:space="preserve"> </w:t>
      </w:r>
    </w:p>
    <w:p w14:paraId="794D8A95" w14:textId="253C86F1" w:rsidR="00CF66D1" w:rsidRPr="00CF66D1" w:rsidRDefault="00270E87" w:rsidP="00CF66D1">
      <w:pPr>
        <w:pStyle w:val="ListParagraph"/>
        <w:numPr>
          <w:ilvl w:val="0"/>
          <w:numId w:val="32"/>
        </w:numPr>
        <w:rPr>
          <w:rFonts w:ascii="Times New Roman" w:hAnsi="Times New Roman" w:cs="Times New Roman"/>
          <w:noProof/>
          <w:sz w:val="24"/>
          <w:szCs w:val="24"/>
        </w:rPr>
      </w:pPr>
      <w:r w:rsidRPr="00CF66D1">
        <w:rPr>
          <w:rFonts w:ascii="Times New Roman" w:hAnsi="Times New Roman" w:cs="Times New Roman"/>
          <w:noProof/>
          <w:sz w:val="24"/>
          <w:szCs w:val="24"/>
        </w:rPr>
        <w:t xml:space="preserve">adults </w:t>
      </w:r>
      <w:r w:rsidR="00BB7508">
        <w:rPr>
          <w:rFonts w:ascii="Times New Roman" w:hAnsi="Times New Roman" w:cs="Times New Roman"/>
          <w:noProof/>
          <w:sz w:val="24"/>
          <w:szCs w:val="24"/>
        </w:rPr>
        <w:t>and p</w:t>
      </w:r>
      <w:r w:rsidR="00DA2FB5">
        <w:rPr>
          <w:rFonts w:ascii="Times New Roman" w:hAnsi="Times New Roman" w:cs="Times New Roman"/>
          <w:noProof/>
          <w:sz w:val="24"/>
          <w:szCs w:val="24"/>
        </w:rPr>
        <w:t>a</w:t>
      </w:r>
      <w:r w:rsidR="00BB7508">
        <w:rPr>
          <w:rFonts w:ascii="Times New Roman" w:hAnsi="Times New Roman" w:cs="Times New Roman"/>
          <w:noProof/>
          <w:sz w:val="24"/>
          <w:szCs w:val="24"/>
        </w:rPr>
        <w:t xml:space="preserve">ediatric patients (weighing at least </w:t>
      </w:r>
      <w:r w:rsidR="008B1690">
        <w:rPr>
          <w:rFonts w:ascii="Times New Roman" w:hAnsi="Times New Roman" w:cs="Times New Roman"/>
          <w:noProof/>
          <w:sz w:val="24"/>
          <w:szCs w:val="24"/>
        </w:rPr>
        <w:t>4</w:t>
      </w:r>
      <w:r w:rsidR="00BB7508">
        <w:rPr>
          <w:rFonts w:ascii="Times New Roman" w:hAnsi="Times New Roman" w:cs="Times New Roman"/>
          <w:noProof/>
          <w:sz w:val="24"/>
          <w:szCs w:val="24"/>
        </w:rPr>
        <w:t xml:space="preserve">0 kg) </w:t>
      </w:r>
      <w:r w:rsidRPr="00CF66D1">
        <w:rPr>
          <w:rFonts w:ascii="Times New Roman" w:hAnsi="Times New Roman" w:cs="Times New Roman"/>
          <w:noProof/>
          <w:sz w:val="24"/>
          <w:szCs w:val="24"/>
        </w:rPr>
        <w:t xml:space="preserve">who do not require supplemental oxygen and who are at </w:t>
      </w:r>
      <w:r w:rsidR="00365AB4">
        <w:rPr>
          <w:rFonts w:ascii="Times New Roman" w:hAnsi="Times New Roman" w:cs="Times New Roman"/>
          <w:noProof/>
          <w:sz w:val="24"/>
          <w:szCs w:val="24"/>
        </w:rPr>
        <w:t>high</w:t>
      </w:r>
      <w:r w:rsidRPr="00CF66D1">
        <w:rPr>
          <w:rFonts w:ascii="Times New Roman" w:hAnsi="Times New Roman" w:cs="Times New Roman"/>
          <w:noProof/>
          <w:sz w:val="24"/>
          <w:szCs w:val="24"/>
        </w:rPr>
        <w:t xml:space="preserve"> risk of progressing to severe COVID-19</w:t>
      </w:r>
      <w:r w:rsidR="00D37A4D">
        <w:rPr>
          <w:rFonts w:ascii="Times New Roman" w:hAnsi="Times New Roman" w:cs="Times New Roman"/>
          <w:noProof/>
          <w:sz w:val="24"/>
          <w:szCs w:val="24"/>
        </w:rPr>
        <w:t>.</w:t>
      </w:r>
    </w:p>
    <w:p w14:paraId="794D8A96" w14:textId="77777777" w:rsidR="00D07F42" w:rsidRDefault="00270E87" w:rsidP="00D07F42">
      <w:pPr>
        <w:spacing w:line="240" w:lineRule="auto"/>
        <w:rPr>
          <w:rFonts w:ascii="Times New Roman" w:hAnsi="Times New Roman" w:cs="Times New Roman"/>
          <w:noProof/>
          <w:sz w:val="24"/>
          <w:szCs w:val="24"/>
        </w:rPr>
      </w:pPr>
      <w:r w:rsidRPr="008372C5">
        <w:rPr>
          <w:rFonts w:ascii="Times New Roman" w:hAnsi="Times New Roman" w:cs="Times New Roman"/>
          <w:noProof/>
          <w:sz w:val="24"/>
          <w:szCs w:val="24"/>
        </w:rPr>
        <w:t>The decision to approve this medicine has been made based on limited data. More comprehensive evidence is required to be submitted.</w:t>
      </w:r>
    </w:p>
    <w:p w14:paraId="794D8A98" w14:textId="77777777" w:rsidR="00D07F42" w:rsidRPr="00772475" w:rsidRDefault="00270E87" w:rsidP="00F92515">
      <w:pPr>
        <w:pStyle w:val="Heading2"/>
        <w:numPr>
          <w:ilvl w:val="1"/>
          <w:numId w:val="11"/>
        </w:numPr>
        <w:spacing w:before="0" w:after="120"/>
        <w:ind w:left="578" w:hanging="578"/>
        <w:rPr>
          <w:rFonts w:ascii="Times New Roman" w:hAnsi="Times New Roman" w:cs="Times New Roman"/>
        </w:rPr>
      </w:pPr>
      <w:r w:rsidRPr="00772475">
        <w:rPr>
          <w:rFonts w:ascii="Times New Roman" w:hAnsi="Times New Roman" w:cs="Times New Roman"/>
        </w:rPr>
        <w:t xml:space="preserve">Dose and method of administration </w:t>
      </w:r>
    </w:p>
    <w:p w14:paraId="2B216842" w14:textId="03050C89" w:rsidR="00432CE3" w:rsidRDefault="00270E87" w:rsidP="00D07F42">
      <w:pPr>
        <w:spacing w:line="240" w:lineRule="auto"/>
        <w:rPr>
          <w:rFonts w:ascii="Times New Roman" w:hAnsi="Times New Roman" w:cs="Times New Roman"/>
          <w:sz w:val="24"/>
          <w:szCs w:val="24"/>
        </w:rPr>
      </w:pPr>
      <w:r w:rsidRPr="00432CE3">
        <w:rPr>
          <w:rFonts w:ascii="Times New Roman" w:hAnsi="Times New Roman" w:cs="Times New Roman"/>
          <w:sz w:val="24"/>
          <w:szCs w:val="24"/>
        </w:rPr>
        <w:t>VEKLURY may only be administered in settings in which healthcare providers have immediate access to medications to treat a severe infusion or hypersensitivity reaction, such as anaphylaxis, and access to an emergency medical response.</w:t>
      </w:r>
    </w:p>
    <w:p w14:paraId="7305F0ED" w14:textId="138BBB73" w:rsidR="00F66AE9" w:rsidRPr="007E50B0" w:rsidRDefault="00270E87" w:rsidP="006A163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VEKLURY is for single use in one patient only.</w:t>
      </w:r>
    </w:p>
    <w:p w14:paraId="794D8A9D" w14:textId="2B9E4D3D" w:rsidR="006A163B" w:rsidRPr="00416321" w:rsidRDefault="00270E87" w:rsidP="006A163B">
      <w:pPr>
        <w:spacing w:line="240" w:lineRule="auto"/>
        <w:rPr>
          <w:rFonts w:ascii="Times New Roman" w:hAnsi="Times New Roman" w:cs="Times New Roman"/>
          <w:b/>
          <w:bCs/>
          <w:sz w:val="24"/>
          <w:szCs w:val="24"/>
        </w:rPr>
      </w:pPr>
      <w:r w:rsidRPr="00416321">
        <w:rPr>
          <w:rFonts w:ascii="Times New Roman" w:hAnsi="Times New Roman" w:cs="Times New Roman"/>
          <w:b/>
          <w:bCs/>
          <w:sz w:val="24"/>
          <w:szCs w:val="24"/>
        </w:rPr>
        <w:t xml:space="preserve">Testing </w:t>
      </w:r>
      <w:r>
        <w:rPr>
          <w:rFonts w:ascii="Times New Roman" w:hAnsi="Times New Roman" w:cs="Times New Roman"/>
          <w:b/>
          <w:bCs/>
          <w:sz w:val="24"/>
          <w:szCs w:val="24"/>
        </w:rPr>
        <w:t>pr</w:t>
      </w:r>
      <w:r w:rsidRPr="00416321">
        <w:rPr>
          <w:rFonts w:ascii="Times New Roman" w:hAnsi="Times New Roman" w:cs="Times New Roman"/>
          <w:b/>
          <w:bCs/>
          <w:sz w:val="24"/>
          <w:szCs w:val="24"/>
        </w:rPr>
        <w:t xml:space="preserve">ior to and </w:t>
      </w:r>
      <w:r>
        <w:rPr>
          <w:rFonts w:ascii="Times New Roman" w:hAnsi="Times New Roman" w:cs="Times New Roman"/>
          <w:b/>
          <w:bCs/>
          <w:sz w:val="24"/>
          <w:szCs w:val="24"/>
        </w:rPr>
        <w:t>d</w:t>
      </w:r>
      <w:r w:rsidRPr="00416321">
        <w:rPr>
          <w:rFonts w:ascii="Times New Roman" w:hAnsi="Times New Roman" w:cs="Times New Roman"/>
          <w:b/>
          <w:bCs/>
          <w:sz w:val="24"/>
          <w:szCs w:val="24"/>
        </w:rPr>
        <w:t xml:space="preserve">uring </w:t>
      </w:r>
      <w:r>
        <w:rPr>
          <w:rFonts w:ascii="Times New Roman" w:hAnsi="Times New Roman" w:cs="Times New Roman"/>
          <w:b/>
          <w:bCs/>
          <w:sz w:val="24"/>
          <w:szCs w:val="24"/>
        </w:rPr>
        <w:t>u</w:t>
      </w:r>
      <w:r w:rsidRPr="00416321">
        <w:rPr>
          <w:rFonts w:ascii="Times New Roman" w:hAnsi="Times New Roman" w:cs="Times New Roman"/>
          <w:b/>
          <w:bCs/>
          <w:sz w:val="24"/>
          <w:szCs w:val="24"/>
        </w:rPr>
        <w:t xml:space="preserve">se of VEKLURY </w:t>
      </w:r>
    </w:p>
    <w:p w14:paraId="794D8A9E" w14:textId="052D2CDC" w:rsidR="006A163B" w:rsidRDefault="00270E87" w:rsidP="006A163B">
      <w:pPr>
        <w:spacing w:line="240" w:lineRule="auto"/>
        <w:rPr>
          <w:rFonts w:ascii="Times New Roman" w:hAnsi="Times New Roman" w:cs="Times New Roman"/>
          <w:sz w:val="24"/>
          <w:szCs w:val="24"/>
        </w:rPr>
      </w:pPr>
      <w:r>
        <w:rPr>
          <w:rFonts w:ascii="Times New Roman" w:hAnsi="Times New Roman" w:cs="Times New Roman"/>
          <w:sz w:val="24"/>
          <w:szCs w:val="24"/>
        </w:rPr>
        <w:t xml:space="preserve">All patients must have an </w:t>
      </w:r>
      <w:r w:rsidRPr="00FC27A1">
        <w:rPr>
          <w:rFonts w:ascii="Times New Roman" w:hAnsi="Times New Roman" w:cs="Times New Roman"/>
          <w:sz w:val="24"/>
          <w:szCs w:val="24"/>
        </w:rPr>
        <w:t>estimated glomerular filtration rate</w:t>
      </w:r>
      <w:r>
        <w:rPr>
          <w:rFonts w:ascii="Times New Roman" w:hAnsi="Times New Roman" w:cs="Times New Roman"/>
          <w:sz w:val="24"/>
          <w:szCs w:val="24"/>
        </w:rPr>
        <w:t xml:space="preserve"> (eGFR) determined </w:t>
      </w:r>
      <w:r w:rsidR="0072326F">
        <w:rPr>
          <w:rFonts w:ascii="Times New Roman" w:hAnsi="Times New Roman" w:cs="Times New Roman"/>
          <w:sz w:val="24"/>
          <w:szCs w:val="24"/>
        </w:rPr>
        <w:t xml:space="preserve">prior to or when initiating </w:t>
      </w:r>
      <w:r>
        <w:rPr>
          <w:rFonts w:ascii="Times New Roman" w:hAnsi="Times New Roman" w:cs="Times New Roman"/>
          <w:sz w:val="24"/>
          <w:szCs w:val="24"/>
        </w:rPr>
        <w:t>VEKLURY and while receiving VEKLURY as clinically appropriate. VEKLURY is not recommended in patients with eGFR less than 30 mL per minute unless the potential benefit outweighs the potential risk (see section 4.2</w:t>
      </w:r>
      <w:r w:rsidR="003E545B">
        <w:rPr>
          <w:rFonts w:ascii="Times New Roman" w:hAnsi="Times New Roman" w:cs="Times New Roman"/>
          <w:sz w:val="24"/>
          <w:szCs w:val="24"/>
        </w:rPr>
        <w:t xml:space="preserve"> Renal impairment and section 4.4</w:t>
      </w:r>
      <w:r>
        <w:rPr>
          <w:rFonts w:ascii="Times New Roman" w:hAnsi="Times New Roman" w:cs="Times New Roman"/>
          <w:sz w:val="24"/>
          <w:szCs w:val="24"/>
        </w:rPr>
        <w:t xml:space="preserve">). </w:t>
      </w:r>
    </w:p>
    <w:p w14:paraId="794D8A9F" w14:textId="1D87B959" w:rsidR="006A163B" w:rsidRDefault="00270E87" w:rsidP="006A163B">
      <w:pPr>
        <w:spacing w:line="240" w:lineRule="auto"/>
        <w:rPr>
          <w:rFonts w:ascii="Times New Roman" w:hAnsi="Times New Roman" w:cs="Times New Roman"/>
          <w:sz w:val="24"/>
          <w:szCs w:val="24"/>
        </w:rPr>
      </w:pPr>
      <w:r w:rsidRPr="00223735">
        <w:rPr>
          <w:rFonts w:ascii="Times New Roman" w:hAnsi="Times New Roman" w:cs="Times New Roman"/>
          <w:sz w:val="24"/>
          <w:szCs w:val="24"/>
        </w:rPr>
        <w:t xml:space="preserve">Hepatic laboratory testing should be performed in all patients prior to </w:t>
      </w:r>
      <w:r w:rsidR="0072326F">
        <w:rPr>
          <w:rFonts w:ascii="Times New Roman" w:hAnsi="Times New Roman" w:cs="Times New Roman"/>
          <w:sz w:val="24"/>
          <w:szCs w:val="24"/>
        </w:rPr>
        <w:t>or when initiating</w:t>
      </w:r>
      <w:r w:rsidRPr="00223735">
        <w:rPr>
          <w:rFonts w:ascii="Times New Roman" w:hAnsi="Times New Roman" w:cs="Times New Roman"/>
          <w:sz w:val="24"/>
          <w:szCs w:val="24"/>
        </w:rPr>
        <w:t xml:space="preserve"> VEKLURY and while receiving VEKLURY as clinically appropriate</w:t>
      </w:r>
      <w:r>
        <w:rPr>
          <w:rFonts w:ascii="Times New Roman" w:hAnsi="Times New Roman" w:cs="Times New Roman"/>
          <w:sz w:val="24"/>
          <w:szCs w:val="24"/>
        </w:rPr>
        <w:t xml:space="preserve"> (see section 4.</w:t>
      </w:r>
      <w:r w:rsidR="00E13C17">
        <w:rPr>
          <w:rFonts w:ascii="Times New Roman" w:hAnsi="Times New Roman" w:cs="Times New Roman"/>
          <w:sz w:val="24"/>
          <w:szCs w:val="24"/>
        </w:rPr>
        <w:t>4</w:t>
      </w:r>
      <w:r>
        <w:rPr>
          <w:rFonts w:ascii="Times New Roman" w:hAnsi="Times New Roman" w:cs="Times New Roman"/>
          <w:sz w:val="24"/>
          <w:szCs w:val="24"/>
        </w:rPr>
        <w:t xml:space="preserve">). </w:t>
      </w:r>
    </w:p>
    <w:p w14:paraId="794D8AA0" w14:textId="2D871076" w:rsidR="006A163B" w:rsidRDefault="00270E87" w:rsidP="006A163B">
      <w:pPr>
        <w:spacing w:line="240" w:lineRule="auto"/>
        <w:rPr>
          <w:rFonts w:ascii="Times New Roman" w:hAnsi="Times New Roman" w:cs="Times New Roman"/>
          <w:sz w:val="24"/>
          <w:szCs w:val="24"/>
        </w:rPr>
      </w:pPr>
      <w:bookmarkStart w:id="0" w:name="_Hlk99974669"/>
      <w:r w:rsidRPr="00223735">
        <w:rPr>
          <w:rFonts w:ascii="Times New Roman" w:hAnsi="Times New Roman" w:cs="Times New Roman"/>
          <w:sz w:val="24"/>
          <w:szCs w:val="24"/>
        </w:rPr>
        <w:t xml:space="preserve">Prothrombin time should be </w:t>
      </w:r>
      <w:r w:rsidR="00E6090E">
        <w:rPr>
          <w:rFonts w:ascii="Times New Roman" w:hAnsi="Times New Roman" w:cs="Times New Roman"/>
          <w:sz w:val="24"/>
          <w:szCs w:val="24"/>
        </w:rPr>
        <w:t xml:space="preserve">determined prior to and </w:t>
      </w:r>
      <w:r w:rsidRPr="00223735">
        <w:rPr>
          <w:rFonts w:ascii="Times New Roman" w:hAnsi="Times New Roman" w:cs="Times New Roman"/>
          <w:sz w:val="24"/>
          <w:szCs w:val="24"/>
        </w:rPr>
        <w:t>monitored while receiving VEKLURY as clinically appropriate</w:t>
      </w:r>
      <w:r>
        <w:rPr>
          <w:rFonts w:ascii="Times New Roman" w:hAnsi="Times New Roman" w:cs="Times New Roman"/>
          <w:sz w:val="24"/>
          <w:szCs w:val="24"/>
        </w:rPr>
        <w:t xml:space="preserve"> (see section 4.8).</w:t>
      </w:r>
    </w:p>
    <w:bookmarkEnd w:id="0"/>
    <w:p w14:paraId="794D8AA1" w14:textId="77777777" w:rsidR="00B33DEB" w:rsidRPr="00BB7508" w:rsidRDefault="00270E87" w:rsidP="00D07F42">
      <w:pPr>
        <w:spacing w:line="240" w:lineRule="auto"/>
        <w:rPr>
          <w:rFonts w:ascii="Times New Roman" w:hAnsi="Times New Roman" w:cs="Times New Roman"/>
          <w:sz w:val="24"/>
          <w:szCs w:val="24"/>
          <w:u w:val="single"/>
        </w:rPr>
      </w:pPr>
      <w:r w:rsidRPr="00BB7508">
        <w:rPr>
          <w:rFonts w:ascii="Times New Roman" w:hAnsi="Times New Roman" w:cs="Times New Roman"/>
          <w:sz w:val="24"/>
          <w:szCs w:val="24"/>
          <w:u w:val="single"/>
        </w:rPr>
        <w:t>Dose</w:t>
      </w:r>
    </w:p>
    <w:p w14:paraId="794D8AA2" w14:textId="14044EEA" w:rsidR="00D07F42" w:rsidRPr="006B740C" w:rsidRDefault="00270E87" w:rsidP="00BB7508">
      <w:pPr>
        <w:spacing w:line="240" w:lineRule="auto"/>
        <w:rPr>
          <w:rFonts w:ascii="Times New Roman" w:hAnsi="Times New Roman" w:cs="Times New Roman"/>
          <w:sz w:val="24"/>
          <w:szCs w:val="24"/>
        </w:rPr>
      </w:pPr>
      <w:r w:rsidRPr="006B740C">
        <w:rPr>
          <w:rFonts w:ascii="Times New Roman" w:hAnsi="Times New Roman" w:cs="Times New Roman"/>
          <w:sz w:val="24"/>
          <w:szCs w:val="24"/>
        </w:rPr>
        <w:t>The recommended dosage of VEKLURY</w:t>
      </w:r>
      <w:r w:rsidR="006A163B" w:rsidRPr="006B740C">
        <w:rPr>
          <w:rFonts w:ascii="Times New Roman" w:hAnsi="Times New Roman" w:cs="Times New Roman"/>
          <w:sz w:val="24"/>
          <w:szCs w:val="24"/>
        </w:rPr>
        <w:t xml:space="preserve"> for adults and </w:t>
      </w:r>
      <w:proofErr w:type="gramStart"/>
      <w:r w:rsidR="006A163B" w:rsidRPr="006B740C">
        <w:rPr>
          <w:rFonts w:ascii="Times New Roman" w:hAnsi="Times New Roman" w:cs="Times New Roman"/>
          <w:sz w:val="24"/>
          <w:szCs w:val="24"/>
        </w:rPr>
        <w:t>p</w:t>
      </w:r>
      <w:r w:rsidR="00DA2FB5">
        <w:rPr>
          <w:rFonts w:ascii="Times New Roman" w:hAnsi="Times New Roman" w:cs="Times New Roman"/>
          <w:sz w:val="24"/>
          <w:szCs w:val="24"/>
        </w:rPr>
        <w:t>a</w:t>
      </w:r>
      <w:r w:rsidR="006A163B" w:rsidRPr="006B740C">
        <w:rPr>
          <w:rFonts w:ascii="Times New Roman" w:hAnsi="Times New Roman" w:cs="Times New Roman"/>
          <w:sz w:val="24"/>
          <w:szCs w:val="24"/>
        </w:rPr>
        <w:t xml:space="preserve">ediatric </w:t>
      </w:r>
      <w:r w:rsidRPr="006B740C">
        <w:rPr>
          <w:rFonts w:ascii="Times New Roman" w:hAnsi="Times New Roman" w:cs="Times New Roman"/>
          <w:sz w:val="24"/>
          <w:szCs w:val="24"/>
        </w:rPr>
        <w:t xml:space="preserve"> patients</w:t>
      </w:r>
      <w:proofErr w:type="gramEnd"/>
      <w:r w:rsidRPr="006B740C">
        <w:rPr>
          <w:rFonts w:ascii="Times New Roman" w:hAnsi="Times New Roman" w:cs="Times New Roman"/>
          <w:sz w:val="24"/>
          <w:szCs w:val="24"/>
        </w:rPr>
        <w:t xml:space="preserve"> </w:t>
      </w:r>
      <w:r w:rsidR="00BB7508" w:rsidRPr="006B740C">
        <w:rPr>
          <w:rFonts w:ascii="Times New Roman" w:hAnsi="Times New Roman" w:cs="Times New Roman"/>
          <w:sz w:val="24"/>
          <w:szCs w:val="24"/>
        </w:rPr>
        <w:t>(</w:t>
      </w:r>
      <w:r w:rsidRPr="006B740C">
        <w:rPr>
          <w:rFonts w:ascii="Times New Roman" w:hAnsi="Times New Roman" w:cs="Times New Roman"/>
          <w:sz w:val="24"/>
          <w:szCs w:val="24"/>
        </w:rPr>
        <w:t>weighing at least 40 kg</w:t>
      </w:r>
      <w:r w:rsidR="00BB7508" w:rsidRPr="006B740C">
        <w:rPr>
          <w:rFonts w:ascii="Times New Roman" w:hAnsi="Times New Roman" w:cs="Times New Roman"/>
          <w:sz w:val="24"/>
          <w:szCs w:val="24"/>
        </w:rPr>
        <w:t>)</w:t>
      </w:r>
      <w:r w:rsidRPr="006B740C">
        <w:rPr>
          <w:rFonts w:ascii="Times New Roman" w:hAnsi="Times New Roman" w:cs="Times New Roman"/>
          <w:sz w:val="24"/>
          <w:szCs w:val="24"/>
        </w:rPr>
        <w:t xml:space="preserve"> is:</w:t>
      </w:r>
    </w:p>
    <w:p w14:paraId="794D8AA3" w14:textId="555E32B2" w:rsidR="00D07F42" w:rsidRDefault="00270E87" w:rsidP="00F92515">
      <w:pPr>
        <w:pStyle w:val="ListParagraph"/>
        <w:numPr>
          <w:ilvl w:val="0"/>
          <w:numId w:val="10"/>
        </w:numPr>
        <w:spacing w:line="240" w:lineRule="auto"/>
        <w:rPr>
          <w:rFonts w:ascii="Times New Roman" w:hAnsi="Times New Roman" w:cs="Times New Roman"/>
          <w:sz w:val="24"/>
          <w:szCs w:val="24"/>
        </w:rPr>
      </w:pPr>
      <w:r w:rsidRPr="009A7AC6">
        <w:rPr>
          <w:rFonts w:ascii="Times New Roman" w:hAnsi="Times New Roman" w:cs="Times New Roman"/>
          <w:sz w:val="24"/>
          <w:szCs w:val="24"/>
        </w:rPr>
        <w:t xml:space="preserve">Day 1 - a single loading dose of VEKLURY 200 mg </w:t>
      </w:r>
      <w:r>
        <w:rPr>
          <w:rFonts w:ascii="Times New Roman" w:hAnsi="Times New Roman" w:cs="Times New Roman"/>
          <w:sz w:val="24"/>
          <w:szCs w:val="24"/>
        </w:rPr>
        <w:t>given by intravenous</w:t>
      </w:r>
      <w:r w:rsidR="008C10C8">
        <w:rPr>
          <w:rFonts w:ascii="Times New Roman" w:hAnsi="Times New Roman" w:cs="Times New Roman"/>
          <w:sz w:val="24"/>
          <w:szCs w:val="24"/>
        </w:rPr>
        <w:t xml:space="preserve"> (IV)</w:t>
      </w:r>
      <w:r>
        <w:rPr>
          <w:rFonts w:ascii="Times New Roman" w:hAnsi="Times New Roman" w:cs="Times New Roman"/>
          <w:sz w:val="24"/>
          <w:szCs w:val="24"/>
        </w:rPr>
        <w:t xml:space="preserve"> infusion</w:t>
      </w:r>
    </w:p>
    <w:p w14:paraId="794D8AA4" w14:textId="04542760" w:rsidR="00D07F42" w:rsidRDefault="00270E87" w:rsidP="00F92515">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Day 2 onwards - </w:t>
      </w:r>
      <w:r w:rsidRPr="009A7AC6">
        <w:rPr>
          <w:rFonts w:ascii="Times New Roman" w:hAnsi="Times New Roman" w:cs="Times New Roman"/>
          <w:sz w:val="24"/>
          <w:szCs w:val="24"/>
        </w:rPr>
        <w:t xml:space="preserve">100 mg </w:t>
      </w:r>
      <w:r>
        <w:rPr>
          <w:rFonts w:ascii="Times New Roman" w:hAnsi="Times New Roman" w:cs="Times New Roman"/>
          <w:sz w:val="24"/>
          <w:szCs w:val="24"/>
        </w:rPr>
        <w:t>given</w:t>
      </w:r>
      <w:r w:rsidRPr="009A7AC6">
        <w:rPr>
          <w:rFonts w:ascii="Times New Roman" w:hAnsi="Times New Roman" w:cs="Times New Roman"/>
          <w:sz w:val="24"/>
          <w:szCs w:val="24"/>
        </w:rPr>
        <w:t xml:space="preserve"> once</w:t>
      </w:r>
      <w:r w:rsidR="006A163B">
        <w:rPr>
          <w:rFonts w:ascii="Times New Roman" w:hAnsi="Times New Roman" w:cs="Times New Roman"/>
          <w:sz w:val="24"/>
          <w:szCs w:val="24"/>
        </w:rPr>
        <w:t xml:space="preserve"> </w:t>
      </w:r>
      <w:r w:rsidRPr="009A7AC6">
        <w:rPr>
          <w:rFonts w:ascii="Times New Roman" w:hAnsi="Times New Roman" w:cs="Times New Roman"/>
          <w:sz w:val="24"/>
          <w:szCs w:val="24"/>
        </w:rPr>
        <w:t xml:space="preserve">daily </w:t>
      </w:r>
      <w:r>
        <w:rPr>
          <w:rFonts w:ascii="Times New Roman" w:hAnsi="Times New Roman" w:cs="Times New Roman"/>
          <w:sz w:val="24"/>
          <w:szCs w:val="24"/>
        </w:rPr>
        <w:t>by intravenous infusion</w:t>
      </w:r>
      <w:r w:rsidR="008B1690">
        <w:rPr>
          <w:rFonts w:ascii="Times New Roman" w:hAnsi="Times New Roman" w:cs="Times New Roman"/>
          <w:sz w:val="24"/>
          <w:szCs w:val="24"/>
        </w:rPr>
        <w:t>.</w:t>
      </w:r>
    </w:p>
    <w:p w14:paraId="794D8AA5" w14:textId="77777777" w:rsidR="00BB7508" w:rsidRPr="009A7AC6" w:rsidRDefault="00BB7508" w:rsidP="00BB7508">
      <w:pPr>
        <w:pStyle w:val="ListParagraph"/>
        <w:spacing w:line="240" w:lineRule="auto"/>
        <w:rPr>
          <w:rFonts w:ascii="Times New Roman" w:hAnsi="Times New Roman" w:cs="Times New Roman"/>
          <w:sz w:val="24"/>
          <w:szCs w:val="24"/>
        </w:rPr>
      </w:pPr>
    </w:p>
    <w:p w14:paraId="794D8AA6" w14:textId="140B8EE6" w:rsidR="005C1405" w:rsidRDefault="00270E87" w:rsidP="00BB7508">
      <w:pPr>
        <w:rPr>
          <w:rFonts w:ascii="Times New Roman" w:hAnsi="Times New Roman" w:cs="Times New Roman"/>
          <w:sz w:val="24"/>
          <w:szCs w:val="24"/>
          <w:lang w:val="en-GB" w:eastAsia="zh-CN"/>
        </w:rPr>
      </w:pPr>
      <w:r w:rsidRPr="00BB7508">
        <w:rPr>
          <w:rFonts w:ascii="Times New Roman" w:hAnsi="Times New Roman" w:cs="Times New Roman"/>
          <w:sz w:val="24"/>
          <w:szCs w:val="24"/>
          <w:lang w:val="en-GB" w:eastAsia="zh-CN"/>
        </w:rPr>
        <w:t>The recommended dosage of VEKLURY in p</w:t>
      </w:r>
      <w:r w:rsidR="00DA2FB5">
        <w:rPr>
          <w:rFonts w:ascii="Times New Roman" w:hAnsi="Times New Roman" w:cs="Times New Roman"/>
          <w:sz w:val="24"/>
          <w:szCs w:val="24"/>
          <w:lang w:val="en-GB" w:eastAsia="zh-CN"/>
        </w:rPr>
        <w:t>a</w:t>
      </w:r>
      <w:r w:rsidRPr="00BB7508">
        <w:rPr>
          <w:rFonts w:ascii="Times New Roman" w:hAnsi="Times New Roman" w:cs="Times New Roman"/>
          <w:sz w:val="24"/>
          <w:szCs w:val="24"/>
          <w:lang w:val="en-GB" w:eastAsia="zh-CN"/>
        </w:rPr>
        <w:t xml:space="preserve">ediatric patients </w:t>
      </w:r>
      <w:r>
        <w:rPr>
          <w:rFonts w:ascii="Times New Roman" w:hAnsi="Times New Roman" w:cs="Times New Roman"/>
          <w:sz w:val="24"/>
          <w:szCs w:val="24"/>
          <w:lang w:val="en-GB" w:eastAsia="zh-CN"/>
        </w:rPr>
        <w:t xml:space="preserve">at least 4 weeks of age and </w:t>
      </w:r>
      <w:r w:rsidRPr="00BB7508">
        <w:rPr>
          <w:rFonts w:ascii="Times New Roman" w:hAnsi="Times New Roman" w:cs="Times New Roman"/>
          <w:sz w:val="24"/>
          <w:szCs w:val="24"/>
          <w:lang w:val="en-GB" w:eastAsia="zh-CN"/>
        </w:rPr>
        <w:t xml:space="preserve">weighing 3 kg </w:t>
      </w:r>
      <w:r>
        <w:rPr>
          <w:rFonts w:ascii="Times New Roman" w:hAnsi="Times New Roman" w:cs="Times New Roman"/>
          <w:sz w:val="24"/>
          <w:szCs w:val="24"/>
          <w:lang w:val="en-GB" w:eastAsia="zh-CN"/>
        </w:rPr>
        <w:t>to</w:t>
      </w:r>
      <w:r w:rsidRPr="00BB7508">
        <w:rPr>
          <w:rFonts w:ascii="Times New Roman" w:hAnsi="Times New Roman" w:cs="Times New Roman"/>
          <w:sz w:val="24"/>
          <w:szCs w:val="24"/>
          <w:lang w:val="en-GB" w:eastAsia="zh-CN"/>
        </w:rPr>
        <w:t xml:space="preserve"> less than 40 kg is</w:t>
      </w:r>
      <w:r>
        <w:rPr>
          <w:rFonts w:ascii="Times New Roman" w:hAnsi="Times New Roman" w:cs="Times New Roman"/>
          <w:sz w:val="24"/>
          <w:szCs w:val="24"/>
          <w:lang w:val="en-GB" w:eastAsia="zh-CN"/>
        </w:rPr>
        <w:t>:</w:t>
      </w:r>
    </w:p>
    <w:p w14:paraId="794D8AA7" w14:textId="77777777" w:rsidR="005C1405" w:rsidRDefault="00270E87" w:rsidP="005C1405">
      <w:pPr>
        <w:pStyle w:val="ListParagraph"/>
        <w:numPr>
          <w:ilvl w:val="0"/>
          <w:numId w:val="35"/>
        </w:numPr>
        <w:rPr>
          <w:rFonts w:ascii="Times New Roman" w:hAnsi="Times New Roman" w:cs="Times New Roman"/>
          <w:sz w:val="24"/>
          <w:szCs w:val="24"/>
          <w:lang w:val="en-GB" w:eastAsia="zh-CN"/>
        </w:rPr>
      </w:pPr>
      <w:r>
        <w:rPr>
          <w:rFonts w:ascii="Times New Roman" w:hAnsi="Times New Roman" w:cs="Times New Roman"/>
          <w:sz w:val="24"/>
          <w:szCs w:val="24"/>
          <w:lang w:val="en-GB" w:eastAsia="zh-CN"/>
        </w:rPr>
        <w:t xml:space="preserve">Day 1 – </w:t>
      </w:r>
      <w:r w:rsidRPr="009A7AC6">
        <w:rPr>
          <w:rFonts w:ascii="Times New Roman" w:hAnsi="Times New Roman" w:cs="Times New Roman"/>
          <w:sz w:val="24"/>
          <w:szCs w:val="24"/>
        </w:rPr>
        <w:t xml:space="preserve">a single loading dose of VEKLURY </w:t>
      </w:r>
      <w:r w:rsidR="008B1690">
        <w:rPr>
          <w:rFonts w:ascii="Times New Roman" w:hAnsi="Times New Roman" w:cs="Times New Roman"/>
          <w:sz w:val="24"/>
          <w:szCs w:val="24"/>
        </w:rPr>
        <w:t>5 mg/k</w:t>
      </w:r>
      <w:r w:rsidRPr="009A7AC6">
        <w:rPr>
          <w:rFonts w:ascii="Times New Roman" w:hAnsi="Times New Roman" w:cs="Times New Roman"/>
          <w:sz w:val="24"/>
          <w:szCs w:val="24"/>
        </w:rPr>
        <w:t xml:space="preserve">g </w:t>
      </w:r>
      <w:r>
        <w:rPr>
          <w:rFonts w:ascii="Times New Roman" w:hAnsi="Times New Roman" w:cs="Times New Roman"/>
          <w:sz w:val="24"/>
          <w:szCs w:val="24"/>
        </w:rPr>
        <w:t>given by intravenous infusion</w:t>
      </w:r>
    </w:p>
    <w:p w14:paraId="794D8AA9" w14:textId="74A15ADA" w:rsidR="005C1405" w:rsidRPr="00C5137E" w:rsidRDefault="00270E87" w:rsidP="00C5137E">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Day 2 onwards – 2.5</w:t>
      </w:r>
      <w:r w:rsidRPr="009A7AC6">
        <w:rPr>
          <w:rFonts w:ascii="Times New Roman" w:hAnsi="Times New Roman" w:cs="Times New Roman"/>
          <w:sz w:val="24"/>
          <w:szCs w:val="24"/>
        </w:rPr>
        <w:t> mg</w:t>
      </w:r>
      <w:r>
        <w:rPr>
          <w:rFonts w:ascii="Times New Roman" w:hAnsi="Times New Roman" w:cs="Times New Roman"/>
          <w:sz w:val="24"/>
          <w:szCs w:val="24"/>
        </w:rPr>
        <w:t>/kg</w:t>
      </w:r>
      <w:r w:rsidRPr="009A7AC6">
        <w:rPr>
          <w:rFonts w:ascii="Times New Roman" w:hAnsi="Times New Roman" w:cs="Times New Roman"/>
          <w:sz w:val="24"/>
          <w:szCs w:val="24"/>
        </w:rPr>
        <w:t xml:space="preserve"> </w:t>
      </w:r>
      <w:r>
        <w:rPr>
          <w:rFonts w:ascii="Times New Roman" w:hAnsi="Times New Roman" w:cs="Times New Roman"/>
          <w:sz w:val="24"/>
          <w:szCs w:val="24"/>
        </w:rPr>
        <w:t>given</w:t>
      </w:r>
      <w:r w:rsidRPr="009A7AC6">
        <w:rPr>
          <w:rFonts w:ascii="Times New Roman" w:hAnsi="Times New Roman" w:cs="Times New Roman"/>
          <w:sz w:val="24"/>
          <w:szCs w:val="24"/>
        </w:rPr>
        <w:t xml:space="preserve"> once</w:t>
      </w:r>
      <w:r>
        <w:rPr>
          <w:rFonts w:ascii="Times New Roman" w:hAnsi="Times New Roman" w:cs="Times New Roman"/>
          <w:sz w:val="24"/>
          <w:szCs w:val="24"/>
        </w:rPr>
        <w:t xml:space="preserve"> </w:t>
      </w:r>
      <w:r w:rsidRPr="009A7AC6">
        <w:rPr>
          <w:rFonts w:ascii="Times New Roman" w:hAnsi="Times New Roman" w:cs="Times New Roman"/>
          <w:sz w:val="24"/>
          <w:szCs w:val="24"/>
        </w:rPr>
        <w:t xml:space="preserve">daily </w:t>
      </w:r>
      <w:r>
        <w:rPr>
          <w:rFonts w:ascii="Times New Roman" w:hAnsi="Times New Roman" w:cs="Times New Roman"/>
          <w:sz w:val="24"/>
          <w:szCs w:val="24"/>
        </w:rPr>
        <w:t>by intravenous infusion</w:t>
      </w:r>
      <w:r w:rsidR="008B1690">
        <w:rPr>
          <w:rFonts w:ascii="Times New Roman" w:hAnsi="Times New Roman" w:cs="Times New Roman"/>
          <w:sz w:val="24"/>
          <w:szCs w:val="24"/>
        </w:rPr>
        <w:t>.</w:t>
      </w:r>
    </w:p>
    <w:p w14:paraId="794D8AAA" w14:textId="77777777" w:rsidR="00BB7508" w:rsidRDefault="00270E87" w:rsidP="006B740C">
      <w:pPr>
        <w:pStyle w:val="HeadingEmphasis"/>
        <w:rPr>
          <w:i w:val="0"/>
          <w:sz w:val="24"/>
          <w:szCs w:val="24"/>
          <w:u w:val="single"/>
        </w:rPr>
      </w:pPr>
      <w:r w:rsidRPr="005C1405">
        <w:rPr>
          <w:i w:val="0"/>
          <w:sz w:val="24"/>
          <w:szCs w:val="24"/>
          <w:u w:val="single"/>
        </w:rPr>
        <w:t>Treatment duration</w:t>
      </w:r>
    </w:p>
    <w:p w14:paraId="794D8AAB" w14:textId="77777777" w:rsidR="006B740C" w:rsidRDefault="006B740C" w:rsidP="006B740C">
      <w:pPr>
        <w:spacing w:after="0" w:line="240" w:lineRule="auto"/>
        <w:rPr>
          <w:rFonts w:ascii="Times New Roman" w:hAnsi="Times New Roman" w:cs="Times New Roman"/>
          <w:i/>
          <w:iCs/>
          <w:sz w:val="24"/>
          <w:szCs w:val="24"/>
          <w:u w:val="single"/>
          <w:lang w:val="en-GB" w:eastAsia="zh-CN"/>
        </w:rPr>
      </w:pPr>
    </w:p>
    <w:p w14:paraId="794D8AAC" w14:textId="0AEC9E51" w:rsidR="005C1405" w:rsidRPr="006B740C" w:rsidRDefault="00270E87" w:rsidP="00C5137E">
      <w:pPr>
        <w:spacing w:after="120" w:line="240" w:lineRule="auto"/>
        <w:rPr>
          <w:rFonts w:ascii="Times New Roman" w:hAnsi="Times New Roman" w:cs="Times New Roman"/>
          <w:i/>
          <w:iCs/>
          <w:sz w:val="24"/>
          <w:szCs w:val="24"/>
          <w:u w:val="single"/>
          <w:lang w:val="en-GB" w:eastAsia="zh-CN"/>
        </w:rPr>
      </w:pPr>
      <w:r w:rsidRPr="006B740C">
        <w:rPr>
          <w:rFonts w:ascii="Times New Roman" w:hAnsi="Times New Roman" w:cs="Times New Roman"/>
          <w:i/>
          <w:iCs/>
          <w:sz w:val="24"/>
          <w:szCs w:val="24"/>
          <w:u w:val="single"/>
          <w:lang w:val="en-GB" w:eastAsia="zh-CN"/>
        </w:rPr>
        <w:t>Patients with pneumonia requiring supplemental oxygen</w:t>
      </w:r>
      <w:r w:rsidR="006003C5">
        <w:rPr>
          <w:rFonts w:ascii="Times New Roman" w:hAnsi="Times New Roman" w:cs="Times New Roman"/>
          <w:i/>
          <w:iCs/>
          <w:sz w:val="24"/>
          <w:szCs w:val="24"/>
          <w:u w:val="single"/>
          <w:lang w:val="en-GB" w:eastAsia="zh-CN"/>
        </w:rPr>
        <w:t>:</w:t>
      </w:r>
    </w:p>
    <w:p w14:paraId="794D8AAE" w14:textId="77777777" w:rsidR="005C1405" w:rsidRPr="006B740C" w:rsidRDefault="00270E87" w:rsidP="006B740C">
      <w:pPr>
        <w:pStyle w:val="HeadingEmphasis"/>
        <w:numPr>
          <w:ilvl w:val="0"/>
          <w:numId w:val="36"/>
        </w:numPr>
        <w:rPr>
          <w:i w:val="0"/>
          <w:sz w:val="24"/>
          <w:szCs w:val="24"/>
        </w:rPr>
      </w:pPr>
      <w:r w:rsidRPr="006B740C">
        <w:rPr>
          <w:iCs w:val="0"/>
          <w:sz w:val="24"/>
          <w:szCs w:val="24"/>
        </w:rPr>
        <w:t>Adults:</w:t>
      </w:r>
      <w:r>
        <w:rPr>
          <w:i w:val="0"/>
          <w:sz w:val="24"/>
          <w:szCs w:val="24"/>
        </w:rPr>
        <w:t xml:space="preserve"> </w:t>
      </w:r>
      <w:r w:rsidR="00DD1EEA" w:rsidRPr="00287B92">
        <w:rPr>
          <w:i w:val="0"/>
          <w:sz w:val="24"/>
          <w:szCs w:val="24"/>
        </w:rPr>
        <w:t>The total duration of treatment should be at least 5 days and not more than 10 days.</w:t>
      </w:r>
    </w:p>
    <w:p w14:paraId="42C06FCF" w14:textId="37AF390A" w:rsidR="00B630E4" w:rsidRPr="007E50B0" w:rsidRDefault="00270E87" w:rsidP="005C1405">
      <w:pPr>
        <w:pStyle w:val="ListParagraph"/>
        <w:numPr>
          <w:ilvl w:val="0"/>
          <w:numId w:val="36"/>
        </w:numPr>
        <w:rPr>
          <w:rFonts w:ascii="Times New Roman" w:hAnsi="Times New Roman" w:cs="Times New Roman"/>
          <w:sz w:val="24"/>
          <w:szCs w:val="24"/>
          <w:lang w:val="en-GB" w:eastAsia="zh-CN"/>
        </w:rPr>
      </w:pPr>
      <w:r w:rsidRPr="006B740C">
        <w:rPr>
          <w:rFonts w:ascii="Times New Roman" w:hAnsi="Times New Roman" w:cs="Times New Roman"/>
          <w:i/>
          <w:iCs/>
          <w:sz w:val="24"/>
          <w:szCs w:val="24"/>
          <w:lang w:val="en-GB" w:eastAsia="zh-CN"/>
        </w:rPr>
        <w:t>Paediatric patients at least 4 weeks of age and weighing at least 3 kg</w:t>
      </w:r>
      <w:r w:rsidRPr="005C1405">
        <w:rPr>
          <w:rFonts w:ascii="Times New Roman" w:hAnsi="Times New Roman" w:cs="Times New Roman"/>
          <w:sz w:val="24"/>
          <w:szCs w:val="24"/>
          <w:lang w:val="en-GB" w:eastAsia="zh-CN"/>
        </w:rPr>
        <w:t>: The total duration of treatment should not be more than 10 days.</w:t>
      </w:r>
    </w:p>
    <w:p w14:paraId="794D8AB0" w14:textId="4EEACAB3" w:rsidR="005C1405" w:rsidRPr="005C1405" w:rsidRDefault="00270E87" w:rsidP="005C1405">
      <w:pPr>
        <w:rPr>
          <w:rFonts w:ascii="Times New Roman" w:hAnsi="Times New Roman" w:cs="Times New Roman"/>
          <w:i/>
          <w:iCs/>
          <w:sz w:val="24"/>
          <w:szCs w:val="24"/>
          <w:u w:val="single"/>
        </w:rPr>
      </w:pPr>
      <w:r w:rsidRPr="005C1405">
        <w:rPr>
          <w:rFonts w:ascii="Times New Roman" w:hAnsi="Times New Roman" w:cs="Times New Roman"/>
          <w:i/>
          <w:iCs/>
          <w:sz w:val="24"/>
          <w:szCs w:val="24"/>
          <w:u w:val="single"/>
        </w:rPr>
        <w:t xml:space="preserve">Patients who do not require supplemental oxygen and are at </w:t>
      </w:r>
      <w:r w:rsidR="008A62D3">
        <w:rPr>
          <w:rFonts w:ascii="Times New Roman" w:hAnsi="Times New Roman" w:cs="Times New Roman"/>
          <w:i/>
          <w:iCs/>
          <w:sz w:val="24"/>
          <w:szCs w:val="24"/>
          <w:u w:val="single"/>
        </w:rPr>
        <w:t>high</w:t>
      </w:r>
      <w:r w:rsidRPr="005C1405">
        <w:rPr>
          <w:rFonts w:ascii="Times New Roman" w:hAnsi="Times New Roman" w:cs="Times New Roman"/>
          <w:i/>
          <w:iCs/>
          <w:sz w:val="24"/>
          <w:szCs w:val="24"/>
          <w:u w:val="single"/>
        </w:rPr>
        <w:t xml:space="preserve"> risk of progressing to severe COVID-19:</w:t>
      </w:r>
    </w:p>
    <w:p w14:paraId="794D8AB1" w14:textId="36938FC4" w:rsidR="005C1405" w:rsidRPr="006B740C" w:rsidRDefault="00270E87" w:rsidP="006B740C">
      <w:pPr>
        <w:pStyle w:val="ListParagraph"/>
        <w:numPr>
          <w:ilvl w:val="0"/>
          <w:numId w:val="33"/>
        </w:numPr>
        <w:suppressAutoHyphens/>
        <w:spacing w:after="0" w:line="240" w:lineRule="auto"/>
        <w:ind w:left="851" w:hanging="425"/>
        <w:contextualSpacing w:val="0"/>
        <w:rPr>
          <w:rFonts w:ascii="Times New Roman" w:hAnsi="Times New Roman" w:cs="Times New Roman"/>
          <w:sz w:val="24"/>
          <w:szCs w:val="24"/>
        </w:rPr>
      </w:pPr>
      <w:r w:rsidRPr="006B740C">
        <w:rPr>
          <w:rFonts w:ascii="Times New Roman" w:hAnsi="Times New Roman" w:cs="Times New Roman"/>
          <w:i/>
          <w:iCs/>
          <w:sz w:val="24"/>
          <w:szCs w:val="24"/>
        </w:rPr>
        <w:t>Adults and p</w:t>
      </w:r>
      <w:r w:rsidR="001C118E">
        <w:rPr>
          <w:rFonts w:ascii="Times New Roman" w:hAnsi="Times New Roman" w:cs="Times New Roman"/>
          <w:i/>
          <w:iCs/>
          <w:sz w:val="24"/>
          <w:szCs w:val="24"/>
        </w:rPr>
        <w:t>a</w:t>
      </w:r>
      <w:r w:rsidRPr="006B740C">
        <w:rPr>
          <w:rFonts w:ascii="Times New Roman" w:hAnsi="Times New Roman" w:cs="Times New Roman"/>
          <w:i/>
          <w:iCs/>
          <w:sz w:val="24"/>
          <w:szCs w:val="24"/>
        </w:rPr>
        <w:t>ediatric patients (weighing at least 40 kg):</w:t>
      </w:r>
      <w:r w:rsidRPr="006B740C">
        <w:rPr>
          <w:i/>
          <w:iCs/>
          <w:sz w:val="24"/>
          <w:szCs w:val="24"/>
        </w:rPr>
        <w:t xml:space="preserve">  </w:t>
      </w:r>
      <w:r w:rsidRPr="005C1405">
        <w:rPr>
          <w:rFonts w:ascii="Times New Roman" w:hAnsi="Times New Roman" w:cs="Times New Roman"/>
          <w:sz w:val="24"/>
          <w:szCs w:val="24"/>
        </w:rPr>
        <w:t>Treatment should be initiated as soon as possible after diagnosis of COVID-19 and within 7 days after symptom onset.</w:t>
      </w:r>
      <w:r>
        <w:rPr>
          <w:rFonts w:ascii="Times New Roman" w:hAnsi="Times New Roman" w:cs="Times New Roman"/>
          <w:sz w:val="24"/>
          <w:szCs w:val="24"/>
        </w:rPr>
        <w:t xml:space="preserve"> </w:t>
      </w:r>
      <w:r w:rsidRPr="006B740C">
        <w:rPr>
          <w:rFonts w:ascii="Times New Roman" w:hAnsi="Times New Roman" w:cs="Times New Roman"/>
          <w:sz w:val="24"/>
          <w:szCs w:val="24"/>
        </w:rPr>
        <w:t>The total duration of treatment should be 3 days.</w:t>
      </w:r>
    </w:p>
    <w:p w14:paraId="794D8AB3" w14:textId="77777777" w:rsidR="006B740C" w:rsidRPr="00C5137E" w:rsidRDefault="006B740C" w:rsidP="00C5137E">
      <w:pPr>
        <w:spacing w:after="120"/>
        <w:rPr>
          <w:lang w:val="en-GB" w:eastAsia="zh-CN"/>
        </w:rPr>
      </w:pPr>
    </w:p>
    <w:p w14:paraId="4DC46FC5" w14:textId="180DC88B" w:rsidR="00C5137E" w:rsidRDefault="00270E87" w:rsidP="007E50B0">
      <w:pPr>
        <w:spacing w:after="120"/>
        <w:rPr>
          <w:rFonts w:ascii="Times New Roman" w:hAnsi="Times New Roman" w:cs="Times New Roman"/>
          <w:sz w:val="24"/>
          <w:szCs w:val="24"/>
          <w:lang w:val="en-GB" w:eastAsia="zh-CN"/>
        </w:rPr>
      </w:pPr>
      <w:r w:rsidRPr="00D62F69">
        <w:rPr>
          <w:rFonts w:ascii="Times New Roman" w:hAnsi="Times New Roman" w:cs="Times New Roman"/>
          <w:sz w:val="24"/>
          <w:szCs w:val="24"/>
          <w:lang w:val="en-GB" w:eastAsia="zh-CN"/>
        </w:rPr>
        <w:t>VEKLURY is to be administered via IV infusion over 30 to 120 minutes.</w:t>
      </w:r>
    </w:p>
    <w:p w14:paraId="63D335E4" w14:textId="77777777" w:rsidR="00C5137E" w:rsidRDefault="00C5137E">
      <w:pPr>
        <w:rPr>
          <w:rFonts w:ascii="Times New Roman" w:hAnsi="Times New Roman" w:cs="Times New Roman"/>
          <w:sz w:val="24"/>
          <w:szCs w:val="24"/>
          <w:lang w:val="en-GB" w:eastAsia="zh-CN"/>
        </w:rPr>
      </w:pPr>
      <w:r>
        <w:rPr>
          <w:rFonts w:ascii="Times New Roman" w:hAnsi="Times New Roman" w:cs="Times New Roman"/>
          <w:sz w:val="24"/>
          <w:szCs w:val="24"/>
          <w:lang w:val="en-GB" w:eastAsia="zh-CN"/>
        </w:rPr>
        <w:br w:type="page"/>
      </w:r>
    </w:p>
    <w:p w14:paraId="794D8AB5" w14:textId="199E75D5" w:rsidR="00E010DA" w:rsidRPr="00E010DA" w:rsidRDefault="00270E87" w:rsidP="00D07F42">
      <w:pPr>
        <w:spacing w:line="240" w:lineRule="auto"/>
        <w:rPr>
          <w:rFonts w:ascii="Times New Roman" w:hAnsi="Times New Roman" w:cs="Times New Roman"/>
          <w:b/>
          <w:sz w:val="24"/>
          <w:szCs w:val="24"/>
        </w:rPr>
      </w:pPr>
      <w:r w:rsidRPr="00E010DA">
        <w:rPr>
          <w:rFonts w:ascii="Times New Roman" w:hAnsi="Times New Roman" w:cs="Times New Roman"/>
          <w:b/>
          <w:sz w:val="24"/>
          <w:szCs w:val="24"/>
        </w:rPr>
        <w:lastRenderedPageBreak/>
        <w:t xml:space="preserve">VEKLURY </w:t>
      </w:r>
      <w:r w:rsidR="009B4F06" w:rsidRPr="009B4F06">
        <w:rPr>
          <w:rFonts w:ascii="Times New Roman" w:hAnsi="Times New Roman" w:cs="Times New Roman"/>
          <w:b/>
          <w:sz w:val="24"/>
          <w:szCs w:val="24"/>
        </w:rPr>
        <w:t>100 mg powder for injection</w:t>
      </w:r>
    </w:p>
    <w:p w14:paraId="794D8AB6" w14:textId="2B77427A" w:rsidR="00D07F42" w:rsidRPr="00772475" w:rsidRDefault="00270E87" w:rsidP="00D07F42">
      <w:pPr>
        <w:spacing w:line="240" w:lineRule="auto"/>
        <w:outlineLvl w:val="0"/>
        <w:rPr>
          <w:rFonts w:ascii="Times New Roman" w:eastAsia="SimSun" w:hAnsi="Times New Roman" w:cs="Times New Roman"/>
          <w:iCs/>
          <w:sz w:val="24"/>
          <w:szCs w:val="24"/>
          <w:u w:val="single"/>
          <w:lang w:eastAsia="en-GB"/>
        </w:rPr>
      </w:pPr>
      <w:r w:rsidRPr="00772475">
        <w:rPr>
          <w:rFonts w:ascii="Times New Roman" w:eastAsia="SimSun" w:hAnsi="Times New Roman" w:cs="Times New Roman"/>
          <w:iCs/>
          <w:sz w:val="24"/>
          <w:szCs w:val="24"/>
          <w:u w:val="single"/>
          <w:lang w:eastAsia="en-GB"/>
        </w:rPr>
        <w:t xml:space="preserve">Reconstitution </w:t>
      </w:r>
      <w:r w:rsidR="006A163B">
        <w:rPr>
          <w:rFonts w:ascii="Times New Roman" w:eastAsia="SimSun" w:hAnsi="Times New Roman" w:cs="Times New Roman"/>
          <w:iCs/>
          <w:sz w:val="24"/>
          <w:szCs w:val="24"/>
          <w:u w:val="single"/>
          <w:lang w:eastAsia="en-GB"/>
        </w:rPr>
        <w:t>i</w:t>
      </w:r>
      <w:r w:rsidRPr="00772475">
        <w:rPr>
          <w:rFonts w:ascii="Times New Roman" w:eastAsia="SimSun" w:hAnsi="Times New Roman" w:cs="Times New Roman"/>
          <w:iCs/>
          <w:sz w:val="24"/>
          <w:szCs w:val="24"/>
          <w:u w:val="single"/>
          <w:lang w:eastAsia="en-GB"/>
        </w:rPr>
        <w:t>nstructions</w:t>
      </w:r>
    </w:p>
    <w:p w14:paraId="794D8AB7" w14:textId="77777777" w:rsidR="00D07F42" w:rsidRPr="00772475" w:rsidRDefault="00270E87" w:rsidP="00D07F42">
      <w:pPr>
        <w:pStyle w:val="Default"/>
      </w:pPr>
      <w:r w:rsidRPr="00772475">
        <w:t>Remove the required number of single</w:t>
      </w:r>
      <w:r>
        <w:t xml:space="preserve"> dose</w:t>
      </w:r>
      <w:r w:rsidRPr="00772475">
        <w:t xml:space="preserve"> vial(s) from storage. For each vial: </w:t>
      </w:r>
    </w:p>
    <w:p w14:paraId="794D8AB8" w14:textId="77777777" w:rsidR="00D07F42" w:rsidRPr="00772475" w:rsidRDefault="00270E87" w:rsidP="00F92515">
      <w:pPr>
        <w:pStyle w:val="Default"/>
        <w:numPr>
          <w:ilvl w:val="0"/>
          <w:numId w:val="4"/>
        </w:numPr>
        <w:spacing w:after="38"/>
      </w:pPr>
      <w:r w:rsidRPr="00772475">
        <w:t xml:space="preserve">Aseptically reconstitute VEKLURY lyophilized </w:t>
      </w:r>
      <w:r>
        <w:t>powder</w:t>
      </w:r>
      <w:r w:rsidRPr="00772475">
        <w:t xml:space="preserve"> by addition of 19 mL of Sterile Water for Injection using a suitably sized syringe and needle</w:t>
      </w:r>
      <w:r>
        <w:t xml:space="preserve"> per vial</w:t>
      </w:r>
      <w:r w:rsidRPr="00772475">
        <w:t xml:space="preserve">. </w:t>
      </w:r>
    </w:p>
    <w:p w14:paraId="794D8AB9" w14:textId="77777777" w:rsidR="006A163B" w:rsidRDefault="00270E87" w:rsidP="006A163B">
      <w:pPr>
        <w:pStyle w:val="Default"/>
        <w:numPr>
          <w:ilvl w:val="0"/>
          <w:numId w:val="4"/>
        </w:numPr>
        <w:spacing w:after="38"/>
      </w:pPr>
      <w:r>
        <w:t>Only use Sterile Water for Injection to reconstitute VEKLURY lyophilized powder.</w:t>
      </w:r>
    </w:p>
    <w:p w14:paraId="794D8ABA" w14:textId="77777777" w:rsidR="00D07F42" w:rsidRPr="00772475" w:rsidRDefault="00270E87" w:rsidP="00F92515">
      <w:pPr>
        <w:pStyle w:val="Default"/>
        <w:numPr>
          <w:ilvl w:val="0"/>
          <w:numId w:val="4"/>
        </w:numPr>
        <w:spacing w:after="38"/>
      </w:pPr>
      <w:r w:rsidRPr="00772475">
        <w:t xml:space="preserve">Discard the vial if a vacuum does not pull the Sterile Water for Injection into the vial. </w:t>
      </w:r>
    </w:p>
    <w:p w14:paraId="794D8ABB" w14:textId="77777777" w:rsidR="00D07F42" w:rsidRPr="00772475" w:rsidRDefault="00270E87" w:rsidP="00F92515">
      <w:pPr>
        <w:pStyle w:val="Default"/>
        <w:numPr>
          <w:ilvl w:val="0"/>
          <w:numId w:val="4"/>
        </w:numPr>
        <w:spacing w:after="38"/>
      </w:pPr>
      <w:r w:rsidRPr="00772475">
        <w:t xml:space="preserve">Immediately shake the vial for 30 seconds. </w:t>
      </w:r>
    </w:p>
    <w:p w14:paraId="794D8ABC" w14:textId="77777777" w:rsidR="00D07F42" w:rsidRPr="00772475" w:rsidRDefault="00270E87" w:rsidP="00F92515">
      <w:pPr>
        <w:pStyle w:val="Default"/>
        <w:numPr>
          <w:ilvl w:val="0"/>
          <w:numId w:val="4"/>
        </w:numPr>
      </w:pPr>
      <w:r w:rsidRPr="00772475">
        <w:t>Allow the contents of the vial to settle for 2 to 3 minutes. A clear solution should result.</w:t>
      </w:r>
    </w:p>
    <w:p w14:paraId="794D8ABD" w14:textId="77777777" w:rsidR="00D07F42" w:rsidRPr="00772475" w:rsidRDefault="00270E87" w:rsidP="00F92515">
      <w:pPr>
        <w:pStyle w:val="Default"/>
        <w:numPr>
          <w:ilvl w:val="0"/>
          <w:numId w:val="4"/>
        </w:numPr>
        <w:spacing w:after="38"/>
      </w:pPr>
      <w:r w:rsidRPr="00772475">
        <w:t xml:space="preserve">If the contents of the vial are not completely dissolved, shake the vial again for 30 seconds and allow the contents to settle for 2 to 3 minutes. Repeat this procedure as necessary until the contents of the vial are completely dissolved. </w:t>
      </w:r>
    </w:p>
    <w:p w14:paraId="794D8ABE" w14:textId="77777777" w:rsidR="00D07F42" w:rsidRPr="00772475" w:rsidRDefault="00270E87" w:rsidP="00F92515">
      <w:pPr>
        <w:pStyle w:val="Default"/>
        <w:numPr>
          <w:ilvl w:val="0"/>
          <w:numId w:val="4"/>
        </w:numPr>
        <w:spacing w:after="38"/>
      </w:pPr>
      <w:r w:rsidRPr="00772475">
        <w:t xml:space="preserve">Inspect the vial to ensure the container closure is free from defects and the solution is free of particulate matter. </w:t>
      </w:r>
    </w:p>
    <w:p w14:paraId="794D8ABF" w14:textId="77777777" w:rsidR="00D07F42" w:rsidRPr="00772475" w:rsidRDefault="00270E87" w:rsidP="00062A71">
      <w:pPr>
        <w:pStyle w:val="Default"/>
        <w:numPr>
          <w:ilvl w:val="0"/>
          <w:numId w:val="4"/>
        </w:numPr>
        <w:spacing w:after="120"/>
        <w:ind w:left="714" w:hanging="357"/>
      </w:pPr>
      <w:r w:rsidRPr="000D3E89">
        <w:t>Dilute immediately after reconstitution</w:t>
      </w:r>
      <w:r>
        <w:t>.</w:t>
      </w:r>
      <w:r w:rsidRPr="00772475">
        <w:t xml:space="preserve"> </w:t>
      </w:r>
    </w:p>
    <w:p w14:paraId="794D8AC1" w14:textId="193E096E" w:rsidR="00D07F42" w:rsidRPr="00772475" w:rsidRDefault="00270E87" w:rsidP="00D07F42">
      <w:pPr>
        <w:spacing w:line="240" w:lineRule="auto"/>
        <w:outlineLvl w:val="0"/>
        <w:rPr>
          <w:rFonts w:ascii="Times New Roman" w:eastAsia="SimSun" w:hAnsi="Times New Roman" w:cs="Times New Roman"/>
          <w:iCs/>
          <w:sz w:val="24"/>
          <w:szCs w:val="24"/>
          <w:u w:val="single"/>
          <w:lang w:eastAsia="en-GB"/>
        </w:rPr>
      </w:pPr>
      <w:r w:rsidRPr="00772475">
        <w:rPr>
          <w:rFonts w:ascii="Times New Roman" w:eastAsia="SimSun" w:hAnsi="Times New Roman" w:cs="Times New Roman"/>
          <w:iCs/>
          <w:sz w:val="24"/>
          <w:szCs w:val="24"/>
          <w:u w:val="single"/>
          <w:lang w:eastAsia="en-GB"/>
        </w:rPr>
        <w:t xml:space="preserve">Dilution </w:t>
      </w:r>
      <w:r w:rsidR="006A163B">
        <w:rPr>
          <w:rFonts w:ascii="Times New Roman" w:eastAsia="SimSun" w:hAnsi="Times New Roman" w:cs="Times New Roman"/>
          <w:iCs/>
          <w:sz w:val="24"/>
          <w:szCs w:val="24"/>
          <w:u w:val="single"/>
          <w:lang w:eastAsia="en-GB"/>
        </w:rPr>
        <w:t>i</w:t>
      </w:r>
      <w:r w:rsidRPr="00772475">
        <w:rPr>
          <w:rFonts w:ascii="Times New Roman" w:eastAsia="SimSun" w:hAnsi="Times New Roman" w:cs="Times New Roman"/>
          <w:iCs/>
          <w:sz w:val="24"/>
          <w:szCs w:val="24"/>
          <w:u w:val="single"/>
          <w:lang w:eastAsia="en-GB"/>
        </w:rPr>
        <w:t>nstructions</w:t>
      </w:r>
    </w:p>
    <w:p w14:paraId="794D8AC2" w14:textId="106C61B0" w:rsidR="00D07F42" w:rsidRDefault="00270E87" w:rsidP="00D07F42">
      <w:pPr>
        <w:pStyle w:val="Default"/>
      </w:pPr>
      <w:r w:rsidRPr="00772475">
        <w:rPr>
          <w:b/>
          <w:bCs/>
        </w:rPr>
        <w:t xml:space="preserve">Care should be taken during admixture to prevent inadvertent microbial contamination. </w:t>
      </w:r>
      <w:r w:rsidRPr="00772475">
        <w:t xml:space="preserve">As there is no preservative or bacteriostatic agent present in this product, aseptic technique must be used in preparation of the final parenteral solution. It is always recommended to administer IV medication immediately after preparation when possible. </w:t>
      </w:r>
    </w:p>
    <w:p w14:paraId="794D8AC3" w14:textId="77777777" w:rsidR="00D07F42" w:rsidRPr="00772475" w:rsidRDefault="00D07F42" w:rsidP="00D07F42">
      <w:pPr>
        <w:pStyle w:val="Default"/>
      </w:pPr>
    </w:p>
    <w:p w14:paraId="794D8AC4" w14:textId="77777777" w:rsidR="00E2134E" w:rsidRPr="00E2134E" w:rsidRDefault="00270E87" w:rsidP="00E2134E">
      <w:pPr>
        <w:pStyle w:val="HeadingEmphasis"/>
        <w:rPr>
          <w:sz w:val="24"/>
          <w:szCs w:val="24"/>
        </w:rPr>
      </w:pPr>
      <w:r w:rsidRPr="00E2134E">
        <w:rPr>
          <w:sz w:val="24"/>
          <w:szCs w:val="24"/>
        </w:rPr>
        <w:t>Adults and paediatric patients (weighing at least 40 kg)</w:t>
      </w:r>
    </w:p>
    <w:p w14:paraId="794D8AC5" w14:textId="77777777" w:rsidR="00E2134E" w:rsidRDefault="00E2134E" w:rsidP="00B33DEB">
      <w:pPr>
        <w:pStyle w:val="Default"/>
      </w:pPr>
    </w:p>
    <w:p w14:paraId="794D8AC7" w14:textId="77777777" w:rsidR="00D07F42" w:rsidRDefault="00270E87" w:rsidP="00B33DEB">
      <w:pPr>
        <w:pStyle w:val="Default"/>
      </w:pPr>
      <w:r w:rsidRPr="00772475">
        <w:t xml:space="preserve">Using Table 1, </w:t>
      </w:r>
      <w:r>
        <w:t>withdraw and discard</w:t>
      </w:r>
      <w:r w:rsidRPr="00772475">
        <w:t xml:space="preserve"> the </w:t>
      </w:r>
      <w:r>
        <w:t xml:space="preserve">required </w:t>
      </w:r>
      <w:r w:rsidRPr="00772475">
        <w:t xml:space="preserve">volume of 0.9% </w:t>
      </w:r>
      <w:r>
        <w:t xml:space="preserve">sodium chloride </w:t>
      </w:r>
      <w:r w:rsidRPr="00772475">
        <w:t>from the infusion bag</w:t>
      </w:r>
      <w:r w:rsidRPr="005B30B8">
        <w:t xml:space="preserve"> </w:t>
      </w:r>
      <w:r>
        <w:t xml:space="preserve">using an appropriately sized syringe and needle. </w:t>
      </w:r>
    </w:p>
    <w:p w14:paraId="794D8AC8" w14:textId="77777777" w:rsidR="00AB3F00" w:rsidRPr="00772475" w:rsidRDefault="00AB3F00" w:rsidP="00B05F17">
      <w:pPr>
        <w:pStyle w:val="Default"/>
      </w:pPr>
    </w:p>
    <w:p w14:paraId="794D8AC9" w14:textId="31EE58CB" w:rsidR="00D07F42" w:rsidRPr="005F1F5D" w:rsidRDefault="00270E87" w:rsidP="00D07F42">
      <w:pPr>
        <w:pStyle w:val="TableTitle"/>
        <w:rPr>
          <w:rFonts w:ascii="Times New Roman" w:hAnsi="Times New Roman" w:cs="Times New Roman"/>
        </w:rPr>
      </w:pPr>
      <w:r w:rsidRPr="005F1F5D">
        <w:rPr>
          <w:rFonts w:ascii="Times New Roman" w:hAnsi="Times New Roman" w:cs="Times New Roman"/>
        </w:rPr>
        <w:t xml:space="preserve">Table 1:   </w:t>
      </w:r>
      <w:r w:rsidRPr="005F1F5D">
        <w:rPr>
          <w:rFonts w:ascii="Times New Roman" w:hAnsi="Times New Roman" w:cs="Times New Roman"/>
        </w:rPr>
        <w:tab/>
        <w:t xml:space="preserve">Recommended </w:t>
      </w:r>
      <w:r w:rsidR="00E2134E">
        <w:rPr>
          <w:rFonts w:ascii="Times New Roman" w:hAnsi="Times New Roman" w:cs="Times New Roman"/>
        </w:rPr>
        <w:t>d</w:t>
      </w:r>
      <w:r w:rsidRPr="005F1F5D">
        <w:rPr>
          <w:rFonts w:ascii="Times New Roman" w:hAnsi="Times New Roman" w:cs="Times New Roman"/>
        </w:rPr>
        <w:t xml:space="preserve">ilution </w:t>
      </w:r>
      <w:r w:rsidR="00E2134E">
        <w:rPr>
          <w:rFonts w:ascii="Times New Roman" w:hAnsi="Times New Roman" w:cs="Times New Roman"/>
        </w:rPr>
        <w:t>i</w:t>
      </w:r>
      <w:r w:rsidRPr="005F1F5D">
        <w:rPr>
          <w:rFonts w:ascii="Times New Roman" w:hAnsi="Times New Roman" w:cs="Times New Roman"/>
        </w:rPr>
        <w:t xml:space="preserve">nstructions— Reconstituted VEKLURY </w:t>
      </w:r>
      <w:r w:rsidR="00E2134E">
        <w:rPr>
          <w:rFonts w:ascii="Times New Roman" w:hAnsi="Times New Roman" w:cs="Times New Roman"/>
        </w:rPr>
        <w:t>p</w:t>
      </w:r>
      <w:r w:rsidRPr="005F1F5D">
        <w:rPr>
          <w:rFonts w:ascii="Times New Roman" w:hAnsi="Times New Roman" w:cs="Times New Roman"/>
        </w:rPr>
        <w:t xml:space="preserve">owder for </w:t>
      </w:r>
      <w:r w:rsidR="00E2134E">
        <w:rPr>
          <w:rFonts w:ascii="Times New Roman" w:hAnsi="Times New Roman" w:cs="Times New Roman"/>
        </w:rPr>
        <w:t>i</w:t>
      </w:r>
      <w:r w:rsidRPr="005F1F5D">
        <w:rPr>
          <w:rFonts w:ascii="Times New Roman" w:hAnsi="Times New Roman" w:cs="Times New Roman"/>
        </w:rPr>
        <w:t xml:space="preserve">njection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408"/>
        <w:gridCol w:w="2592"/>
        <w:gridCol w:w="2596"/>
        <w:gridCol w:w="2596"/>
      </w:tblGrid>
      <w:tr w:rsidR="0054749D" w14:paraId="794D8ACE" w14:textId="77777777" w:rsidTr="00373301">
        <w:trPr>
          <w:trHeight w:val="1313"/>
        </w:trPr>
        <w:tc>
          <w:tcPr>
            <w:tcW w:w="766"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794D8ACA" w14:textId="77777777" w:rsidR="00D07F42" w:rsidRPr="003656A9" w:rsidRDefault="00270E87" w:rsidP="00373301">
            <w:pPr>
              <w:spacing w:before="60" w:after="60"/>
              <w:rPr>
                <w:b/>
                <w:color w:val="000000"/>
                <w:sz w:val="22"/>
                <w:szCs w:val="22"/>
              </w:rPr>
            </w:pPr>
            <w:r w:rsidRPr="003656A9">
              <w:rPr>
                <w:b/>
                <w:color w:val="000000"/>
                <w:sz w:val="22"/>
                <w:szCs w:val="22"/>
              </w:rPr>
              <w:t>VEKLURY Dose</w:t>
            </w:r>
          </w:p>
        </w:tc>
        <w:tc>
          <w:tcPr>
            <w:tcW w:w="1410"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794D8ACB" w14:textId="77777777" w:rsidR="00D07F42" w:rsidRPr="003656A9" w:rsidRDefault="00270E87" w:rsidP="00373301">
            <w:pPr>
              <w:spacing w:before="60" w:after="60"/>
              <w:jc w:val="center"/>
              <w:rPr>
                <w:b/>
                <w:color w:val="000000"/>
                <w:sz w:val="22"/>
                <w:szCs w:val="22"/>
              </w:rPr>
            </w:pPr>
            <w:r w:rsidRPr="003656A9">
              <w:rPr>
                <w:b/>
                <w:sz w:val="22"/>
                <w:szCs w:val="22"/>
              </w:rPr>
              <w:t>Sodium chloride</w:t>
            </w:r>
            <w:r w:rsidRPr="003656A9">
              <w:rPr>
                <w:b/>
                <w:color w:val="000000"/>
                <w:sz w:val="22"/>
                <w:szCs w:val="22"/>
              </w:rPr>
              <w:t xml:space="preserve"> </w:t>
            </w:r>
            <w:r w:rsidRPr="003656A9">
              <w:rPr>
                <w:b/>
                <w:sz w:val="22"/>
                <w:szCs w:val="22"/>
              </w:rPr>
              <w:t xml:space="preserve">9 mg/mL (0.9%) </w:t>
            </w:r>
            <w:r w:rsidRPr="003656A9">
              <w:rPr>
                <w:b/>
                <w:color w:val="000000"/>
                <w:sz w:val="22"/>
                <w:szCs w:val="22"/>
              </w:rPr>
              <w:t>infusion bag volume to be used</w:t>
            </w:r>
          </w:p>
        </w:tc>
        <w:tc>
          <w:tcPr>
            <w:tcW w:w="1412"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794D8ACC" w14:textId="77777777" w:rsidR="00D07F42" w:rsidRPr="003656A9" w:rsidRDefault="00270E87" w:rsidP="00373301">
            <w:pPr>
              <w:spacing w:before="60" w:after="60"/>
              <w:jc w:val="center"/>
              <w:rPr>
                <w:b/>
                <w:color w:val="000000"/>
                <w:sz w:val="22"/>
                <w:szCs w:val="22"/>
              </w:rPr>
            </w:pPr>
            <w:r w:rsidRPr="003656A9">
              <w:rPr>
                <w:b/>
                <w:color w:val="000000"/>
                <w:sz w:val="22"/>
                <w:szCs w:val="22"/>
              </w:rPr>
              <w:t xml:space="preserve">Volume to be withdrawn and discarded from </w:t>
            </w:r>
            <w:r w:rsidR="00B05F17" w:rsidRPr="003656A9">
              <w:rPr>
                <w:b/>
                <w:sz w:val="22"/>
                <w:szCs w:val="22"/>
              </w:rPr>
              <w:t>9 mg/mL (</w:t>
            </w:r>
            <w:r w:rsidRPr="003656A9">
              <w:rPr>
                <w:b/>
                <w:color w:val="000000"/>
                <w:sz w:val="22"/>
                <w:szCs w:val="22"/>
              </w:rPr>
              <w:t>0.9%</w:t>
            </w:r>
            <w:r w:rsidR="00B05F17" w:rsidRPr="003656A9">
              <w:rPr>
                <w:b/>
                <w:color w:val="000000"/>
                <w:sz w:val="22"/>
                <w:szCs w:val="22"/>
              </w:rPr>
              <w:t>)</w:t>
            </w:r>
            <w:r w:rsidRPr="003656A9">
              <w:rPr>
                <w:b/>
                <w:color w:val="000000"/>
                <w:sz w:val="22"/>
                <w:szCs w:val="22"/>
              </w:rPr>
              <w:t xml:space="preserve"> </w:t>
            </w:r>
            <w:r w:rsidRPr="003656A9">
              <w:rPr>
                <w:b/>
                <w:sz w:val="22"/>
                <w:szCs w:val="22"/>
              </w:rPr>
              <w:t>sodium chloride</w:t>
            </w:r>
            <w:r w:rsidRPr="003656A9">
              <w:rPr>
                <w:b/>
                <w:color w:val="000000"/>
                <w:sz w:val="22"/>
                <w:szCs w:val="22"/>
              </w:rPr>
              <w:t xml:space="preserve"> infusion bag</w:t>
            </w:r>
          </w:p>
        </w:tc>
        <w:tc>
          <w:tcPr>
            <w:tcW w:w="1412"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794D8ACD" w14:textId="77777777" w:rsidR="00D07F42" w:rsidRPr="003656A9" w:rsidRDefault="00270E87" w:rsidP="00373301">
            <w:pPr>
              <w:spacing w:before="60" w:after="60"/>
              <w:jc w:val="center"/>
              <w:rPr>
                <w:b/>
                <w:color w:val="000000"/>
                <w:sz w:val="22"/>
                <w:szCs w:val="22"/>
              </w:rPr>
            </w:pPr>
            <w:r w:rsidRPr="003656A9">
              <w:rPr>
                <w:b/>
                <w:color w:val="000000"/>
                <w:sz w:val="22"/>
                <w:szCs w:val="22"/>
              </w:rPr>
              <w:t xml:space="preserve">Required volume of reconstituted VEKLURY </w:t>
            </w:r>
          </w:p>
        </w:tc>
      </w:tr>
      <w:tr w:rsidR="0054749D" w14:paraId="794D8AD4" w14:textId="77777777" w:rsidTr="00373301">
        <w:trPr>
          <w:trHeight w:val="269"/>
        </w:trPr>
        <w:tc>
          <w:tcPr>
            <w:tcW w:w="766" w:type="pct"/>
            <w:vMerge w:val="restart"/>
            <w:tcBorders>
              <w:top w:val="single" w:sz="12" w:space="0" w:color="auto"/>
              <w:left w:val="nil"/>
              <w:right w:val="single" w:sz="6" w:space="0" w:color="auto"/>
            </w:tcBorders>
            <w:shd w:val="clear" w:color="auto" w:fill="auto"/>
            <w:tcMar>
              <w:left w:w="115" w:type="dxa"/>
              <w:right w:w="115" w:type="dxa"/>
            </w:tcMar>
            <w:vAlign w:val="center"/>
          </w:tcPr>
          <w:p w14:paraId="794D8ACF" w14:textId="77777777" w:rsidR="00D07F42" w:rsidRPr="003656A9" w:rsidRDefault="00270E87" w:rsidP="00373301">
            <w:pPr>
              <w:spacing w:before="60" w:after="60"/>
              <w:contextualSpacing/>
              <w:rPr>
                <w:color w:val="000000"/>
                <w:sz w:val="22"/>
                <w:szCs w:val="22"/>
              </w:rPr>
            </w:pPr>
            <w:r w:rsidRPr="003656A9">
              <w:rPr>
                <w:color w:val="000000"/>
                <w:sz w:val="22"/>
                <w:szCs w:val="22"/>
              </w:rPr>
              <w:t>200 mg</w:t>
            </w:r>
          </w:p>
          <w:p w14:paraId="794D8AD0" w14:textId="77777777" w:rsidR="00D07F42" w:rsidRPr="003656A9" w:rsidRDefault="00270E87" w:rsidP="00373301">
            <w:pPr>
              <w:spacing w:before="60" w:after="60"/>
              <w:contextualSpacing/>
              <w:rPr>
                <w:color w:val="000000"/>
                <w:sz w:val="22"/>
                <w:szCs w:val="22"/>
              </w:rPr>
            </w:pPr>
            <w:r w:rsidRPr="003656A9">
              <w:rPr>
                <w:color w:val="000000"/>
                <w:sz w:val="22"/>
                <w:szCs w:val="22"/>
              </w:rPr>
              <w:t>(2 vials)</w:t>
            </w:r>
          </w:p>
        </w:tc>
        <w:tc>
          <w:tcPr>
            <w:tcW w:w="1410"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AD1" w14:textId="77777777" w:rsidR="00D07F42" w:rsidRPr="003656A9" w:rsidRDefault="00270E87" w:rsidP="00373301">
            <w:pPr>
              <w:spacing w:before="60" w:after="60"/>
              <w:jc w:val="center"/>
              <w:rPr>
                <w:color w:val="000000"/>
                <w:sz w:val="22"/>
                <w:szCs w:val="22"/>
              </w:rPr>
            </w:pPr>
            <w:r w:rsidRPr="003656A9">
              <w:rPr>
                <w:color w:val="000000"/>
                <w:sz w:val="22"/>
                <w:szCs w:val="22"/>
              </w:rPr>
              <w:t>250 mL</w:t>
            </w:r>
          </w:p>
        </w:tc>
        <w:tc>
          <w:tcPr>
            <w:tcW w:w="1412"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AD2" w14:textId="77777777" w:rsidR="00D07F42" w:rsidRPr="003656A9" w:rsidRDefault="00270E87" w:rsidP="00373301">
            <w:pPr>
              <w:spacing w:before="60" w:after="60"/>
              <w:jc w:val="center"/>
              <w:rPr>
                <w:color w:val="000000"/>
                <w:sz w:val="22"/>
                <w:szCs w:val="22"/>
              </w:rPr>
            </w:pPr>
            <w:r w:rsidRPr="003656A9">
              <w:rPr>
                <w:color w:val="000000"/>
                <w:sz w:val="22"/>
                <w:szCs w:val="22"/>
              </w:rPr>
              <w:t>40 mL</w:t>
            </w:r>
          </w:p>
        </w:tc>
        <w:tc>
          <w:tcPr>
            <w:tcW w:w="1412"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794D8AD3" w14:textId="77777777" w:rsidR="00D07F42" w:rsidRPr="003656A9" w:rsidRDefault="00270E87" w:rsidP="00373301">
            <w:pPr>
              <w:spacing w:before="60" w:after="60"/>
              <w:jc w:val="center"/>
              <w:rPr>
                <w:color w:val="000000"/>
                <w:sz w:val="22"/>
                <w:szCs w:val="22"/>
              </w:rPr>
            </w:pPr>
            <w:r w:rsidRPr="003656A9">
              <w:rPr>
                <w:color w:val="000000"/>
                <w:sz w:val="22"/>
                <w:szCs w:val="22"/>
              </w:rPr>
              <w:t xml:space="preserve">40 mL (2 </w:t>
            </w:r>
            <w:r w:rsidRPr="003656A9">
              <w:rPr>
                <w:rFonts w:ascii="Symbol" w:eastAsia="Symbol" w:hAnsi="Symbol" w:cs="Symbol"/>
                <w:color w:val="000000"/>
                <w:sz w:val="22"/>
                <w:szCs w:val="22"/>
              </w:rPr>
              <w:sym w:font="Symbol" w:char="F0B4"/>
            </w:r>
            <w:r w:rsidRPr="003656A9">
              <w:rPr>
                <w:color w:val="000000"/>
                <w:sz w:val="22"/>
                <w:szCs w:val="22"/>
              </w:rPr>
              <w:t xml:space="preserve"> 20 mL)</w:t>
            </w:r>
          </w:p>
        </w:tc>
      </w:tr>
      <w:tr w:rsidR="0054749D" w14:paraId="794D8AD9" w14:textId="77777777" w:rsidTr="00373301">
        <w:trPr>
          <w:trHeight w:val="269"/>
        </w:trPr>
        <w:tc>
          <w:tcPr>
            <w:tcW w:w="766" w:type="pct"/>
            <w:vMerge/>
            <w:tcBorders>
              <w:left w:val="nil"/>
              <w:bottom w:val="single" w:sz="6" w:space="0" w:color="auto"/>
              <w:right w:val="single" w:sz="6" w:space="0" w:color="auto"/>
            </w:tcBorders>
            <w:shd w:val="clear" w:color="auto" w:fill="auto"/>
            <w:tcMar>
              <w:left w:w="115" w:type="dxa"/>
              <w:right w:w="115" w:type="dxa"/>
            </w:tcMar>
            <w:vAlign w:val="center"/>
          </w:tcPr>
          <w:p w14:paraId="794D8AD5" w14:textId="77777777" w:rsidR="00D07F42" w:rsidRPr="003656A9" w:rsidRDefault="00D07F42" w:rsidP="00373301">
            <w:pPr>
              <w:spacing w:before="60" w:after="60"/>
              <w:contextualSpacing/>
              <w:jc w:val="center"/>
              <w:rPr>
                <w:color w:val="000000"/>
                <w:sz w:val="22"/>
                <w:szCs w:val="22"/>
              </w:rPr>
            </w:pPr>
          </w:p>
        </w:tc>
        <w:tc>
          <w:tcPr>
            <w:tcW w:w="141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AD6" w14:textId="77777777" w:rsidR="00D07F42" w:rsidRPr="003656A9" w:rsidRDefault="00270E87" w:rsidP="00373301">
            <w:pPr>
              <w:spacing w:before="60" w:after="60"/>
              <w:jc w:val="center"/>
              <w:rPr>
                <w:color w:val="000000"/>
                <w:sz w:val="22"/>
                <w:szCs w:val="22"/>
              </w:rPr>
            </w:pPr>
            <w:r w:rsidRPr="003656A9">
              <w:rPr>
                <w:color w:val="000000"/>
                <w:sz w:val="22"/>
                <w:szCs w:val="22"/>
              </w:rPr>
              <w:t>100 mL</w:t>
            </w:r>
          </w:p>
        </w:tc>
        <w:tc>
          <w:tcPr>
            <w:tcW w:w="1412"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AD7" w14:textId="77777777" w:rsidR="00D07F42" w:rsidRPr="003656A9" w:rsidRDefault="00270E87" w:rsidP="00373301">
            <w:pPr>
              <w:spacing w:before="60" w:after="60"/>
              <w:jc w:val="center"/>
              <w:rPr>
                <w:color w:val="000000"/>
                <w:sz w:val="22"/>
                <w:szCs w:val="22"/>
              </w:rPr>
            </w:pPr>
            <w:r w:rsidRPr="003656A9">
              <w:rPr>
                <w:color w:val="000000"/>
                <w:sz w:val="22"/>
                <w:szCs w:val="22"/>
              </w:rPr>
              <w:t>40 mL</w:t>
            </w:r>
          </w:p>
        </w:tc>
        <w:tc>
          <w:tcPr>
            <w:tcW w:w="1412"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AD8" w14:textId="77777777" w:rsidR="00D07F42" w:rsidRPr="003656A9" w:rsidRDefault="00270E87" w:rsidP="00373301">
            <w:pPr>
              <w:spacing w:before="60" w:after="60"/>
              <w:jc w:val="center"/>
              <w:rPr>
                <w:color w:val="000000"/>
                <w:sz w:val="22"/>
                <w:szCs w:val="22"/>
              </w:rPr>
            </w:pPr>
            <w:r w:rsidRPr="003656A9">
              <w:rPr>
                <w:color w:val="000000"/>
                <w:sz w:val="22"/>
                <w:szCs w:val="22"/>
              </w:rPr>
              <w:t xml:space="preserve">40 mL (2 </w:t>
            </w:r>
            <w:r w:rsidRPr="003656A9">
              <w:rPr>
                <w:rFonts w:ascii="Symbol" w:eastAsia="Symbol" w:hAnsi="Symbol" w:cs="Symbol"/>
                <w:color w:val="000000"/>
                <w:sz w:val="22"/>
                <w:szCs w:val="22"/>
              </w:rPr>
              <w:sym w:font="Symbol" w:char="F0B4"/>
            </w:r>
            <w:r w:rsidRPr="003656A9">
              <w:rPr>
                <w:color w:val="000000"/>
                <w:sz w:val="22"/>
                <w:szCs w:val="22"/>
              </w:rPr>
              <w:t xml:space="preserve"> 20 mL)</w:t>
            </w:r>
          </w:p>
        </w:tc>
      </w:tr>
      <w:tr w:rsidR="0054749D" w14:paraId="794D8ADF" w14:textId="77777777" w:rsidTr="00373301">
        <w:trPr>
          <w:trHeight w:val="297"/>
        </w:trPr>
        <w:tc>
          <w:tcPr>
            <w:tcW w:w="766" w:type="pct"/>
            <w:vMerge w:val="restart"/>
            <w:tcBorders>
              <w:top w:val="single" w:sz="6" w:space="0" w:color="auto"/>
              <w:left w:val="nil"/>
              <w:right w:val="single" w:sz="6" w:space="0" w:color="auto"/>
            </w:tcBorders>
            <w:shd w:val="clear" w:color="auto" w:fill="auto"/>
            <w:tcMar>
              <w:left w:w="115" w:type="dxa"/>
              <w:right w:w="115" w:type="dxa"/>
            </w:tcMar>
            <w:vAlign w:val="center"/>
          </w:tcPr>
          <w:p w14:paraId="794D8ADA" w14:textId="77777777" w:rsidR="00D07F42" w:rsidRPr="003656A9" w:rsidRDefault="00270E87" w:rsidP="00373301">
            <w:pPr>
              <w:spacing w:before="60" w:after="60"/>
              <w:contextualSpacing/>
              <w:rPr>
                <w:color w:val="000000"/>
                <w:sz w:val="22"/>
                <w:szCs w:val="22"/>
              </w:rPr>
            </w:pPr>
            <w:r w:rsidRPr="003656A9">
              <w:rPr>
                <w:color w:val="000000"/>
                <w:sz w:val="22"/>
                <w:szCs w:val="22"/>
              </w:rPr>
              <w:t>100 mg</w:t>
            </w:r>
          </w:p>
          <w:p w14:paraId="794D8ADB" w14:textId="77777777" w:rsidR="00D07F42" w:rsidRPr="003656A9" w:rsidRDefault="00270E87" w:rsidP="00373301">
            <w:pPr>
              <w:spacing w:before="60" w:after="60"/>
              <w:contextualSpacing/>
              <w:rPr>
                <w:color w:val="000000"/>
                <w:sz w:val="22"/>
                <w:szCs w:val="22"/>
              </w:rPr>
            </w:pPr>
            <w:r w:rsidRPr="003656A9">
              <w:rPr>
                <w:color w:val="000000"/>
                <w:sz w:val="22"/>
                <w:szCs w:val="22"/>
              </w:rPr>
              <w:t>(1 vial)</w:t>
            </w:r>
          </w:p>
        </w:tc>
        <w:tc>
          <w:tcPr>
            <w:tcW w:w="141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ADC" w14:textId="77777777" w:rsidR="00D07F42" w:rsidRPr="003656A9" w:rsidRDefault="00270E87" w:rsidP="00373301">
            <w:pPr>
              <w:spacing w:before="60" w:after="60"/>
              <w:jc w:val="center"/>
              <w:rPr>
                <w:color w:val="000000"/>
                <w:sz w:val="22"/>
                <w:szCs w:val="22"/>
              </w:rPr>
            </w:pPr>
            <w:r w:rsidRPr="003656A9">
              <w:rPr>
                <w:color w:val="000000"/>
                <w:sz w:val="22"/>
                <w:szCs w:val="22"/>
              </w:rPr>
              <w:t>250 mL</w:t>
            </w:r>
          </w:p>
        </w:tc>
        <w:tc>
          <w:tcPr>
            <w:tcW w:w="1412"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ADD" w14:textId="77777777" w:rsidR="00D07F42" w:rsidRPr="003656A9" w:rsidRDefault="00270E87" w:rsidP="00373301">
            <w:pPr>
              <w:spacing w:before="60" w:after="60"/>
              <w:jc w:val="center"/>
              <w:rPr>
                <w:color w:val="000000"/>
                <w:sz w:val="22"/>
                <w:szCs w:val="22"/>
              </w:rPr>
            </w:pPr>
            <w:r w:rsidRPr="003656A9">
              <w:rPr>
                <w:color w:val="000000"/>
                <w:sz w:val="22"/>
                <w:szCs w:val="22"/>
              </w:rPr>
              <w:t>20 mL</w:t>
            </w:r>
          </w:p>
        </w:tc>
        <w:tc>
          <w:tcPr>
            <w:tcW w:w="1412"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ADE" w14:textId="77777777" w:rsidR="00D07F42" w:rsidRPr="003656A9" w:rsidRDefault="00270E87" w:rsidP="00373301">
            <w:pPr>
              <w:spacing w:before="60" w:after="60"/>
              <w:jc w:val="center"/>
              <w:rPr>
                <w:color w:val="000000"/>
                <w:sz w:val="22"/>
                <w:szCs w:val="22"/>
              </w:rPr>
            </w:pPr>
            <w:r w:rsidRPr="003656A9">
              <w:rPr>
                <w:color w:val="000000"/>
                <w:sz w:val="22"/>
                <w:szCs w:val="22"/>
              </w:rPr>
              <w:t>20 mL</w:t>
            </w:r>
          </w:p>
        </w:tc>
      </w:tr>
      <w:tr w:rsidR="0054749D" w14:paraId="794D8AE4" w14:textId="77777777" w:rsidTr="00373301">
        <w:trPr>
          <w:trHeight w:val="297"/>
        </w:trPr>
        <w:tc>
          <w:tcPr>
            <w:tcW w:w="766" w:type="pct"/>
            <w:vMerge/>
            <w:tcBorders>
              <w:left w:val="nil"/>
              <w:bottom w:val="single" w:sz="6" w:space="0" w:color="auto"/>
              <w:right w:val="single" w:sz="6" w:space="0" w:color="auto"/>
            </w:tcBorders>
            <w:shd w:val="clear" w:color="auto" w:fill="auto"/>
            <w:tcMar>
              <w:left w:w="115" w:type="dxa"/>
              <w:right w:w="115" w:type="dxa"/>
            </w:tcMar>
            <w:vAlign w:val="center"/>
          </w:tcPr>
          <w:p w14:paraId="794D8AE0" w14:textId="77777777" w:rsidR="00D07F42" w:rsidRPr="003656A9" w:rsidRDefault="00D07F42" w:rsidP="00373301">
            <w:pPr>
              <w:spacing w:before="60" w:after="60"/>
              <w:rPr>
                <w:color w:val="000000"/>
                <w:sz w:val="22"/>
                <w:szCs w:val="22"/>
              </w:rPr>
            </w:pPr>
          </w:p>
        </w:tc>
        <w:tc>
          <w:tcPr>
            <w:tcW w:w="1410"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794D8AE1" w14:textId="77777777" w:rsidR="00D07F42" w:rsidRPr="003656A9" w:rsidRDefault="00270E87" w:rsidP="00373301">
            <w:pPr>
              <w:spacing w:before="60" w:after="60"/>
              <w:jc w:val="center"/>
              <w:rPr>
                <w:color w:val="000000"/>
                <w:sz w:val="22"/>
                <w:szCs w:val="22"/>
              </w:rPr>
            </w:pPr>
            <w:r w:rsidRPr="003656A9">
              <w:rPr>
                <w:color w:val="000000"/>
                <w:sz w:val="22"/>
                <w:szCs w:val="22"/>
              </w:rPr>
              <w:t>100 mL</w:t>
            </w:r>
          </w:p>
        </w:tc>
        <w:tc>
          <w:tcPr>
            <w:tcW w:w="1412"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794D8AE2" w14:textId="77777777" w:rsidR="00D07F42" w:rsidRPr="003656A9" w:rsidRDefault="00270E87" w:rsidP="00373301">
            <w:pPr>
              <w:spacing w:before="60" w:after="60"/>
              <w:jc w:val="center"/>
              <w:rPr>
                <w:color w:val="000000"/>
                <w:sz w:val="22"/>
                <w:szCs w:val="22"/>
              </w:rPr>
            </w:pPr>
            <w:r w:rsidRPr="003656A9">
              <w:rPr>
                <w:color w:val="000000"/>
                <w:sz w:val="22"/>
                <w:szCs w:val="22"/>
              </w:rPr>
              <w:t>20 mL</w:t>
            </w:r>
          </w:p>
        </w:tc>
        <w:tc>
          <w:tcPr>
            <w:tcW w:w="1412"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794D8AE3" w14:textId="77777777" w:rsidR="00D07F42" w:rsidRPr="003656A9" w:rsidRDefault="00270E87" w:rsidP="00373301">
            <w:pPr>
              <w:spacing w:before="60" w:after="60"/>
              <w:jc w:val="center"/>
              <w:rPr>
                <w:color w:val="000000"/>
                <w:sz w:val="22"/>
                <w:szCs w:val="22"/>
              </w:rPr>
            </w:pPr>
            <w:r w:rsidRPr="003656A9">
              <w:rPr>
                <w:color w:val="000000"/>
                <w:sz w:val="22"/>
                <w:szCs w:val="22"/>
              </w:rPr>
              <w:t>20 mL</w:t>
            </w:r>
          </w:p>
        </w:tc>
      </w:tr>
    </w:tbl>
    <w:p w14:paraId="794D8AE5" w14:textId="77777777" w:rsidR="00D07F42" w:rsidRPr="00772475" w:rsidRDefault="00270E87" w:rsidP="00D07F42">
      <w:pPr>
        <w:pStyle w:val="ListParagraph"/>
        <w:ind w:left="144"/>
        <w:rPr>
          <w:rFonts w:ascii="Times New Roman" w:hAnsi="Times New Roman" w:cs="Times New Roman"/>
          <w:sz w:val="24"/>
          <w:szCs w:val="24"/>
        </w:rPr>
      </w:pPr>
      <w:r>
        <w:rPr>
          <w:rFonts w:ascii="Times New Roman" w:hAnsi="Times New Roman" w:cs="Times New Roman"/>
          <w:sz w:val="24"/>
          <w:szCs w:val="24"/>
        </w:rPr>
        <w:t xml:space="preserve">NOTE: </w:t>
      </w:r>
      <w:r w:rsidRPr="00B05F17">
        <w:rPr>
          <w:rFonts w:ascii="Times New Roman" w:hAnsi="Times New Roman" w:cs="Times New Roman"/>
          <w:sz w:val="24"/>
          <w:szCs w:val="24"/>
        </w:rPr>
        <w:t xml:space="preserve">100 mL should be reserved for patients with severe fluid restriction, </w:t>
      </w:r>
      <w:proofErr w:type="gramStart"/>
      <w:r w:rsidRPr="00B05F17">
        <w:rPr>
          <w:rFonts w:ascii="Times New Roman" w:hAnsi="Times New Roman" w:cs="Times New Roman"/>
          <w:sz w:val="24"/>
          <w:szCs w:val="24"/>
        </w:rPr>
        <w:t>e.g.</w:t>
      </w:r>
      <w:proofErr w:type="gramEnd"/>
      <w:r w:rsidRPr="00B05F17">
        <w:rPr>
          <w:rFonts w:ascii="Times New Roman" w:hAnsi="Times New Roman" w:cs="Times New Roman"/>
          <w:sz w:val="24"/>
          <w:szCs w:val="24"/>
        </w:rPr>
        <w:t xml:space="preserve"> with ARDS or renal failure.</w:t>
      </w:r>
    </w:p>
    <w:p w14:paraId="794D8AE6" w14:textId="77777777" w:rsidR="00C853F0" w:rsidRDefault="00270E87" w:rsidP="00F92515">
      <w:pPr>
        <w:pStyle w:val="Default"/>
        <w:numPr>
          <w:ilvl w:val="0"/>
          <w:numId w:val="5"/>
        </w:numPr>
        <w:spacing w:after="38"/>
      </w:pPr>
      <w:r w:rsidRPr="00772475">
        <w:t xml:space="preserve">Withdraw </w:t>
      </w:r>
      <w:r w:rsidR="00B05F17" w:rsidRPr="000D3E89">
        <w:t>and discard</w:t>
      </w:r>
      <w:r w:rsidR="00B05F17" w:rsidRPr="00772475">
        <w:t xml:space="preserve"> </w:t>
      </w:r>
      <w:r w:rsidRPr="00772475">
        <w:t xml:space="preserve">the required volume of </w:t>
      </w:r>
      <w:r w:rsidR="00B05F17" w:rsidRPr="000D3E89">
        <w:t>sodium chloride 9</w:t>
      </w:r>
      <w:r w:rsidR="00B05F17">
        <w:t> </w:t>
      </w:r>
      <w:r w:rsidR="00B05F17" w:rsidRPr="000D3E89">
        <w:t>mg/ml from the bag using an appropriately sized syringe and needle per Table </w:t>
      </w:r>
      <w:r w:rsidR="00B05F17">
        <w:t>1</w:t>
      </w:r>
      <w:r w:rsidR="00D42968">
        <w:t>.</w:t>
      </w:r>
    </w:p>
    <w:p w14:paraId="794D8AE7" w14:textId="77777777" w:rsidR="00D07F42" w:rsidRPr="00772475" w:rsidRDefault="00270E87" w:rsidP="00F92515">
      <w:pPr>
        <w:pStyle w:val="Default"/>
        <w:numPr>
          <w:ilvl w:val="0"/>
          <w:numId w:val="5"/>
        </w:numPr>
        <w:spacing w:after="38"/>
      </w:pPr>
      <w:r w:rsidRPr="000D3E89">
        <w:lastRenderedPageBreak/>
        <w:t xml:space="preserve">Withdraw the required volume of reconstituted </w:t>
      </w:r>
      <w:r>
        <w:t>VEKLURY</w:t>
      </w:r>
      <w:r w:rsidRPr="000D3E89">
        <w:t xml:space="preserve"> powder for </w:t>
      </w:r>
      <w:r>
        <w:t>injection</w:t>
      </w:r>
      <w:r w:rsidRPr="000D3E89">
        <w:t xml:space="preserve"> using an appropriately sized syringe per Table </w:t>
      </w:r>
      <w:r>
        <w:t>1</w:t>
      </w:r>
      <w:r w:rsidRPr="000D3E89">
        <w:t xml:space="preserve">. Discard any unused portion remaining in the </w:t>
      </w:r>
      <w:r>
        <w:t>VEKLURY</w:t>
      </w:r>
      <w:r w:rsidRPr="000D3E89">
        <w:t xml:space="preserve"> vial</w:t>
      </w:r>
      <w:r>
        <w:t>.</w:t>
      </w:r>
    </w:p>
    <w:p w14:paraId="794D8AE8" w14:textId="6A84D8F8" w:rsidR="00D07F42" w:rsidRPr="00772475" w:rsidRDefault="00270E87" w:rsidP="00F92515">
      <w:pPr>
        <w:pStyle w:val="Default"/>
        <w:numPr>
          <w:ilvl w:val="0"/>
          <w:numId w:val="5"/>
        </w:numPr>
        <w:spacing w:after="38"/>
      </w:pPr>
      <w:r w:rsidRPr="00772475">
        <w:t xml:space="preserve">Transfer the required volume of reconstituted VEKLURY </w:t>
      </w:r>
      <w:r w:rsidR="00C853F0">
        <w:t xml:space="preserve">powder </w:t>
      </w:r>
      <w:r w:rsidRPr="00772475">
        <w:t>for injection to the selected infusion bag.</w:t>
      </w:r>
    </w:p>
    <w:p w14:paraId="794D8AE9" w14:textId="4345DEE5" w:rsidR="00D07F42" w:rsidRPr="00772475" w:rsidRDefault="00270E87" w:rsidP="00F92515">
      <w:pPr>
        <w:pStyle w:val="Default"/>
        <w:numPr>
          <w:ilvl w:val="0"/>
          <w:numId w:val="5"/>
        </w:numPr>
        <w:spacing w:after="38"/>
      </w:pPr>
      <w:r w:rsidRPr="00772475">
        <w:t>Gently invert the bag 20 times to mix the solution in the bag. Do not shake.</w:t>
      </w:r>
    </w:p>
    <w:p w14:paraId="794D8AEA" w14:textId="381AC1D7" w:rsidR="00D07F42" w:rsidRDefault="00270E87" w:rsidP="00F92515">
      <w:pPr>
        <w:pStyle w:val="Default"/>
        <w:numPr>
          <w:ilvl w:val="0"/>
          <w:numId w:val="5"/>
        </w:numPr>
      </w:pPr>
      <w:r w:rsidRPr="00772475">
        <w:t>The prepared infusion solution is stable for</w:t>
      </w:r>
      <w:r w:rsidR="000A5EC6">
        <w:t xml:space="preserve"> </w:t>
      </w:r>
      <w:r w:rsidR="00663CA2">
        <w:t>up to 24</w:t>
      </w:r>
      <w:r w:rsidRPr="00772475">
        <w:t xml:space="preserve"> hours at room temperature (20 °C to 25 °C) or </w:t>
      </w:r>
      <w:r w:rsidR="00663CA2">
        <w:t>48</w:t>
      </w:r>
      <w:r w:rsidR="00663CA2" w:rsidRPr="00772475">
        <w:t xml:space="preserve"> </w:t>
      </w:r>
      <w:r w:rsidRPr="00772475">
        <w:t xml:space="preserve">hours in the refrigerator at </w:t>
      </w:r>
      <w:r w:rsidR="00663CA2">
        <w:t>(</w:t>
      </w:r>
      <w:r w:rsidRPr="00772475">
        <w:t>2 °C to 8 °C</w:t>
      </w:r>
      <w:r w:rsidR="00663CA2">
        <w:t>)</w:t>
      </w:r>
      <w:r w:rsidRPr="00772475">
        <w:t xml:space="preserve">. </w:t>
      </w:r>
    </w:p>
    <w:p w14:paraId="794D8AEB" w14:textId="77777777" w:rsidR="00C853F0" w:rsidRDefault="00C853F0" w:rsidP="00B61041">
      <w:pPr>
        <w:pStyle w:val="Default"/>
        <w:ind w:left="720"/>
      </w:pPr>
    </w:p>
    <w:p w14:paraId="794D8AEC" w14:textId="77777777" w:rsidR="00E2134E" w:rsidRPr="00E2134E" w:rsidRDefault="00270E87" w:rsidP="00E2134E">
      <w:pPr>
        <w:rPr>
          <w:rFonts w:ascii="Times New Roman" w:hAnsi="Times New Roman" w:cs="Times New Roman"/>
          <w:i/>
          <w:iCs/>
          <w:sz w:val="24"/>
          <w:szCs w:val="24"/>
        </w:rPr>
      </w:pPr>
      <w:r w:rsidRPr="00E2134E">
        <w:rPr>
          <w:rFonts w:ascii="Times New Roman" w:hAnsi="Times New Roman" w:cs="Times New Roman"/>
          <w:i/>
          <w:iCs/>
          <w:sz w:val="24"/>
          <w:szCs w:val="24"/>
        </w:rPr>
        <w:t>Paediatric patients (at least 4 weeks of age and weighing 3 kg to less than 40 kg)</w:t>
      </w:r>
    </w:p>
    <w:p w14:paraId="794D8AED" w14:textId="77777777" w:rsidR="00E2134E" w:rsidRPr="00E2134E" w:rsidRDefault="00270E87" w:rsidP="0049342B">
      <w:pPr>
        <w:pStyle w:val="Bullet"/>
        <w:numPr>
          <w:ilvl w:val="0"/>
          <w:numId w:val="38"/>
        </w:numPr>
        <w:rPr>
          <w:sz w:val="24"/>
          <w:szCs w:val="24"/>
        </w:rPr>
      </w:pPr>
      <w:r w:rsidRPr="00E2134E">
        <w:rPr>
          <w:sz w:val="24"/>
          <w:szCs w:val="24"/>
        </w:rPr>
        <w:t xml:space="preserve">Further dilute the 100 mg/20 mL (5 mg/mL) remdesivir concentrate to a fixed concentration of 1.25 mg/mL using 0.9% sodium chloride. </w:t>
      </w:r>
    </w:p>
    <w:p w14:paraId="794D8AEE" w14:textId="77777777" w:rsidR="00E2134E" w:rsidRPr="00E2134E" w:rsidRDefault="00270E87" w:rsidP="0049342B">
      <w:pPr>
        <w:pStyle w:val="Bullet"/>
        <w:numPr>
          <w:ilvl w:val="0"/>
          <w:numId w:val="37"/>
        </w:numPr>
        <w:rPr>
          <w:sz w:val="24"/>
          <w:szCs w:val="24"/>
        </w:rPr>
      </w:pPr>
      <w:r w:rsidRPr="00E2134E">
        <w:rPr>
          <w:sz w:val="24"/>
          <w:szCs w:val="24"/>
        </w:rPr>
        <w:t>The total required infusion volume of the 1.25 mg/mL remdesivir solution for infusion is calculated from the paediatric weight-based dosing regimens of 5 mg/kg for the Loading Dose and 2.5 mg/kg for each Maintenance Dose.</w:t>
      </w:r>
    </w:p>
    <w:p w14:paraId="794D8AEF" w14:textId="4C8F6C91" w:rsidR="00E2134E" w:rsidRPr="00E2134E" w:rsidRDefault="00270E87" w:rsidP="0049342B">
      <w:pPr>
        <w:pStyle w:val="Bullet"/>
        <w:numPr>
          <w:ilvl w:val="0"/>
          <w:numId w:val="37"/>
        </w:numPr>
        <w:rPr>
          <w:sz w:val="24"/>
          <w:szCs w:val="24"/>
        </w:rPr>
      </w:pPr>
      <w:r w:rsidRPr="00E2134E">
        <w:rPr>
          <w:sz w:val="24"/>
          <w:szCs w:val="24"/>
        </w:rPr>
        <w:t>Small 0.9% sodium chloride infusion bags (e.g., 25, 50, or 100 mL) or an appropriately sized syringe should be used for paediatric dosing. The recommended dose is administered via IV infusion in a total volume dependent on the dose to yield the target remdesivir concentration of 1.25 mg/</w:t>
      </w:r>
      <w:proofErr w:type="spellStart"/>
      <w:r w:rsidRPr="00E2134E">
        <w:rPr>
          <w:sz w:val="24"/>
          <w:szCs w:val="24"/>
        </w:rPr>
        <w:t>mL.</w:t>
      </w:r>
      <w:proofErr w:type="spellEnd"/>
    </w:p>
    <w:p w14:paraId="794D8AF0" w14:textId="0584A3E0" w:rsidR="00E2134E" w:rsidRPr="00E2134E" w:rsidRDefault="00270E87" w:rsidP="0049342B">
      <w:pPr>
        <w:pStyle w:val="Bullet"/>
        <w:numPr>
          <w:ilvl w:val="0"/>
          <w:numId w:val="37"/>
        </w:numPr>
        <w:rPr>
          <w:sz w:val="24"/>
          <w:szCs w:val="24"/>
        </w:rPr>
      </w:pPr>
      <w:r w:rsidRPr="00E2134E">
        <w:rPr>
          <w:sz w:val="24"/>
          <w:szCs w:val="24"/>
        </w:rPr>
        <w:t>A syringe may be used for delivering volumes &lt;50 </w:t>
      </w:r>
      <w:proofErr w:type="spellStart"/>
      <w:r w:rsidRPr="00E2134E">
        <w:rPr>
          <w:sz w:val="24"/>
          <w:szCs w:val="24"/>
        </w:rPr>
        <w:t>mL.</w:t>
      </w:r>
      <w:proofErr w:type="spellEnd"/>
    </w:p>
    <w:p w14:paraId="794D8AF2" w14:textId="77777777" w:rsidR="00E2134E" w:rsidRPr="00772475" w:rsidRDefault="00E2134E" w:rsidP="00B61041">
      <w:pPr>
        <w:pStyle w:val="Default"/>
        <w:ind w:left="720"/>
      </w:pPr>
    </w:p>
    <w:p w14:paraId="794D8AF3" w14:textId="77777777" w:rsidR="00D07F42" w:rsidRPr="00E010DA" w:rsidRDefault="00270E87" w:rsidP="00D07F42">
      <w:pPr>
        <w:spacing w:line="240" w:lineRule="auto"/>
        <w:outlineLvl w:val="0"/>
        <w:rPr>
          <w:rFonts w:ascii="Times New Roman" w:eastAsia="SimSun" w:hAnsi="Times New Roman" w:cs="Times New Roman"/>
          <w:iCs/>
          <w:sz w:val="24"/>
          <w:szCs w:val="24"/>
          <w:lang w:eastAsia="en-GB"/>
        </w:rPr>
      </w:pPr>
      <w:r w:rsidRPr="00E010DA">
        <w:rPr>
          <w:rFonts w:ascii="Times New Roman" w:eastAsia="SimSun" w:hAnsi="Times New Roman" w:cs="Times New Roman"/>
          <w:iCs/>
          <w:sz w:val="24"/>
          <w:szCs w:val="24"/>
          <w:lang w:eastAsia="en-GB"/>
        </w:rPr>
        <w:t>After infusion is complete, flush with at least 30 mL of sodium chloride 9 mg/ml.</w:t>
      </w:r>
    </w:p>
    <w:p w14:paraId="794D8AF4" w14:textId="3544C640" w:rsidR="00D07F42" w:rsidRPr="00772475" w:rsidRDefault="00270E87" w:rsidP="00D07F42">
      <w:pPr>
        <w:pStyle w:val="Default"/>
        <w:rPr>
          <w:u w:val="single"/>
        </w:rPr>
      </w:pPr>
      <w:r w:rsidRPr="00772475">
        <w:rPr>
          <w:u w:val="single"/>
        </w:rPr>
        <w:t>Administration Instructions</w:t>
      </w:r>
    </w:p>
    <w:p w14:paraId="794D8AF5" w14:textId="77777777" w:rsidR="00D07F42" w:rsidRPr="00772475" w:rsidRDefault="00D07F42" w:rsidP="00D07F42">
      <w:pPr>
        <w:pStyle w:val="Default"/>
        <w:rPr>
          <w:u w:val="single"/>
        </w:rPr>
      </w:pPr>
    </w:p>
    <w:p w14:paraId="794D8AF6" w14:textId="77777777" w:rsidR="00B61041" w:rsidRPr="00B61041" w:rsidRDefault="00270E87" w:rsidP="00B61041">
      <w:pPr>
        <w:spacing w:line="240" w:lineRule="auto"/>
        <w:outlineLvl w:val="0"/>
        <w:rPr>
          <w:rFonts w:ascii="Times New Roman" w:hAnsi="Times New Roman" w:cs="Times New Roman"/>
          <w:sz w:val="24"/>
          <w:szCs w:val="24"/>
        </w:rPr>
      </w:pPr>
      <w:r w:rsidRPr="00B61041">
        <w:rPr>
          <w:rFonts w:ascii="Times New Roman" w:hAnsi="Times New Roman" w:cs="Times New Roman"/>
          <w:sz w:val="24"/>
          <w:szCs w:val="24"/>
        </w:rPr>
        <w:t>For intravenous use.</w:t>
      </w:r>
    </w:p>
    <w:p w14:paraId="794D8AF7" w14:textId="77777777" w:rsidR="00B61041" w:rsidRPr="00B61041" w:rsidRDefault="00270E87" w:rsidP="00B61041">
      <w:pPr>
        <w:spacing w:line="240" w:lineRule="auto"/>
        <w:outlineLvl w:val="0"/>
        <w:rPr>
          <w:rFonts w:ascii="Times New Roman" w:hAnsi="Times New Roman" w:cs="Times New Roman"/>
          <w:sz w:val="24"/>
          <w:szCs w:val="24"/>
        </w:rPr>
      </w:pPr>
      <w:r>
        <w:rPr>
          <w:rFonts w:ascii="Times New Roman" w:hAnsi="Times New Roman" w:cs="Times New Roman"/>
          <w:sz w:val="24"/>
          <w:szCs w:val="24"/>
        </w:rPr>
        <w:t>VEKLURY</w:t>
      </w:r>
      <w:r w:rsidRPr="00B61041">
        <w:rPr>
          <w:rFonts w:ascii="Times New Roman" w:hAnsi="Times New Roman" w:cs="Times New Roman"/>
          <w:sz w:val="24"/>
          <w:szCs w:val="24"/>
        </w:rPr>
        <w:t xml:space="preserve"> is for administration by intravenous infusion after reconstitution and further dilution.</w:t>
      </w:r>
    </w:p>
    <w:p w14:paraId="794D8AF8" w14:textId="77777777" w:rsidR="00E010DA" w:rsidRDefault="00270E87" w:rsidP="00D07F42">
      <w:pPr>
        <w:pStyle w:val="Default"/>
      </w:pPr>
      <w:r w:rsidRPr="00B61041">
        <w:t>It must not be given as an intramuscular (IM) injection</w:t>
      </w:r>
      <w:r>
        <w:t>.</w:t>
      </w:r>
    </w:p>
    <w:p w14:paraId="794D8AF9" w14:textId="77777777" w:rsidR="00E010DA" w:rsidRDefault="00E010DA" w:rsidP="00D07F42">
      <w:pPr>
        <w:pStyle w:val="Default"/>
      </w:pPr>
    </w:p>
    <w:p w14:paraId="794D8AFA" w14:textId="2A765B58" w:rsidR="00D07F42" w:rsidRDefault="00270E87" w:rsidP="00D07F42">
      <w:pPr>
        <w:pStyle w:val="Default"/>
      </w:pPr>
      <w:r w:rsidRPr="00772475">
        <w:t xml:space="preserve">Administer the </w:t>
      </w:r>
      <w:r>
        <w:t>diluted</w:t>
      </w:r>
      <w:r w:rsidRPr="00772475">
        <w:t xml:space="preserve"> solution with the infusion rate described in Table </w:t>
      </w:r>
      <w:r w:rsidR="0049342B">
        <w:t>2 and Table 3</w:t>
      </w:r>
      <w:r w:rsidRPr="00772475">
        <w:t>.</w:t>
      </w:r>
    </w:p>
    <w:p w14:paraId="794D8AFB" w14:textId="77777777" w:rsidR="00AB3F00" w:rsidRPr="00AB75F6" w:rsidRDefault="00AB3F00" w:rsidP="00D07F42">
      <w:pPr>
        <w:pStyle w:val="Default"/>
      </w:pPr>
    </w:p>
    <w:p w14:paraId="794D8AFC" w14:textId="362043DC" w:rsidR="00D07F42" w:rsidRPr="00AB75F6" w:rsidRDefault="00270E87" w:rsidP="00D07F42">
      <w:pPr>
        <w:pStyle w:val="TableTitle"/>
        <w:rPr>
          <w:rFonts w:ascii="Times New Roman" w:hAnsi="Times New Roman" w:cs="Times New Roman"/>
          <w:sz w:val="22"/>
          <w:szCs w:val="22"/>
        </w:rPr>
      </w:pPr>
      <w:r w:rsidRPr="00AB75F6">
        <w:rPr>
          <w:rFonts w:ascii="Times New Roman" w:hAnsi="Times New Roman" w:cs="Times New Roman"/>
        </w:rPr>
        <w:t xml:space="preserve">Table </w:t>
      </w:r>
      <w:r w:rsidR="0049342B">
        <w:rPr>
          <w:rFonts w:ascii="Times New Roman" w:hAnsi="Times New Roman" w:cs="Times New Roman"/>
        </w:rPr>
        <w:t>2</w:t>
      </w:r>
      <w:r w:rsidRPr="00AB75F6">
        <w:rPr>
          <w:rFonts w:ascii="Times New Roman" w:hAnsi="Times New Roman" w:cs="Times New Roman"/>
        </w:rPr>
        <w:t xml:space="preserve">:  </w:t>
      </w:r>
      <w:r w:rsidRPr="00AB75F6">
        <w:rPr>
          <w:rFonts w:ascii="Times New Roman" w:hAnsi="Times New Roman" w:cs="Times New Roman"/>
        </w:rPr>
        <w:tab/>
        <w:t xml:space="preserve">Recommended </w:t>
      </w:r>
      <w:r w:rsidR="00E2134E">
        <w:rPr>
          <w:rFonts w:ascii="Times New Roman" w:hAnsi="Times New Roman" w:cs="Times New Roman"/>
        </w:rPr>
        <w:t>r</w:t>
      </w:r>
      <w:r w:rsidRPr="00AB75F6">
        <w:rPr>
          <w:rFonts w:ascii="Times New Roman" w:hAnsi="Times New Roman" w:cs="Times New Roman"/>
        </w:rPr>
        <w:t xml:space="preserve">ate of </w:t>
      </w:r>
      <w:r w:rsidR="00E2134E">
        <w:rPr>
          <w:rFonts w:ascii="Times New Roman" w:hAnsi="Times New Roman" w:cs="Times New Roman"/>
        </w:rPr>
        <w:t>i</w:t>
      </w:r>
      <w:r w:rsidRPr="00AB75F6">
        <w:rPr>
          <w:rFonts w:ascii="Times New Roman" w:hAnsi="Times New Roman" w:cs="Times New Roman"/>
        </w:rPr>
        <w:t xml:space="preserve">nfusion – </w:t>
      </w:r>
      <w:r w:rsidR="00E2134E">
        <w:rPr>
          <w:rFonts w:ascii="Times New Roman" w:hAnsi="Times New Roman" w:cs="Times New Roman"/>
        </w:rPr>
        <w:t>d</w:t>
      </w:r>
      <w:r w:rsidRPr="00AB75F6">
        <w:rPr>
          <w:rFonts w:ascii="Times New Roman" w:hAnsi="Times New Roman" w:cs="Times New Roman"/>
        </w:rPr>
        <w:t xml:space="preserve">iluted VEKLURY </w:t>
      </w:r>
      <w:r w:rsidR="00E2134E">
        <w:rPr>
          <w:rFonts w:ascii="Times New Roman" w:hAnsi="Times New Roman" w:cs="Times New Roman"/>
        </w:rPr>
        <w:t>p</w:t>
      </w:r>
      <w:r w:rsidRPr="00AB75F6">
        <w:rPr>
          <w:rFonts w:ascii="Times New Roman" w:hAnsi="Times New Roman" w:cs="Times New Roman"/>
        </w:rPr>
        <w:t xml:space="preserve">owder for </w:t>
      </w:r>
      <w:r w:rsidR="00E2134E">
        <w:rPr>
          <w:rFonts w:ascii="Times New Roman" w:hAnsi="Times New Roman" w:cs="Times New Roman"/>
        </w:rPr>
        <w:t>i</w:t>
      </w:r>
      <w:r w:rsidRPr="00AB75F6">
        <w:rPr>
          <w:rFonts w:ascii="Times New Roman" w:hAnsi="Times New Roman" w:cs="Times New Roman"/>
        </w:rPr>
        <w:t xml:space="preserve">njection in </w:t>
      </w:r>
      <w:r w:rsidR="00E2134E">
        <w:rPr>
          <w:rFonts w:ascii="Times New Roman" w:hAnsi="Times New Roman" w:cs="Times New Roman"/>
        </w:rPr>
        <w:t>a</w:t>
      </w:r>
      <w:r w:rsidRPr="00AB75F6">
        <w:rPr>
          <w:rFonts w:ascii="Times New Roman" w:hAnsi="Times New Roman" w:cs="Times New Roman"/>
        </w:rPr>
        <w:t xml:space="preserve">dults and </w:t>
      </w:r>
      <w:r w:rsidR="00E2134E">
        <w:rPr>
          <w:rFonts w:ascii="Times New Roman" w:hAnsi="Times New Roman" w:cs="Times New Roman"/>
        </w:rPr>
        <w:t>p</w:t>
      </w:r>
      <w:r w:rsidRPr="00AB75F6">
        <w:rPr>
          <w:rFonts w:ascii="Times New Roman" w:hAnsi="Times New Roman" w:cs="Times New Roman"/>
        </w:rPr>
        <w:t xml:space="preserve">aediatric </w:t>
      </w:r>
      <w:r w:rsidR="00E2134E">
        <w:rPr>
          <w:rFonts w:ascii="Times New Roman" w:hAnsi="Times New Roman" w:cs="Times New Roman"/>
        </w:rPr>
        <w:t>p</w:t>
      </w:r>
      <w:r w:rsidRPr="00AB75F6">
        <w:rPr>
          <w:rFonts w:ascii="Times New Roman" w:hAnsi="Times New Roman" w:cs="Times New Roman"/>
        </w:rPr>
        <w:t xml:space="preserve">atients </w:t>
      </w:r>
      <w:r w:rsidR="00DA2FB5">
        <w:rPr>
          <w:rFonts w:ascii="Times New Roman" w:hAnsi="Times New Roman" w:cs="Times New Roman"/>
        </w:rPr>
        <w:t>(</w:t>
      </w:r>
      <w:r w:rsidR="00E2134E">
        <w:rPr>
          <w:rFonts w:ascii="Times New Roman" w:hAnsi="Times New Roman" w:cs="Times New Roman"/>
          <w:sz w:val="22"/>
          <w:szCs w:val="22"/>
        </w:rPr>
        <w:t>w</w:t>
      </w:r>
      <w:r w:rsidRPr="00AB75F6">
        <w:rPr>
          <w:rFonts w:ascii="Times New Roman" w:hAnsi="Times New Roman" w:cs="Times New Roman"/>
          <w:sz w:val="22"/>
          <w:szCs w:val="22"/>
        </w:rPr>
        <w:t xml:space="preserve">eighing at </w:t>
      </w:r>
      <w:r w:rsidR="00E2134E">
        <w:rPr>
          <w:rFonts w:ascii="Times New Roman" w:hAnsi="Times New Roman" w:cs="Times New Roman"/>
          <w:sz w:val="22"/>
          <w:szCs w:val="22"/>
        </w:rPr>
        <w:t>l</w:t>
      </w:r>
      <w:r w:rsidRPr="00AB75F6">
        <w:rPr>
          <w:rFonts w:ascii="Times New Roman" w:hAnsi="Times New Roman" w:cs="Times New Roman"/>
          <w:sz w:val="22"/>
          <w:szCs w:val="22"/>
        </w:rPr>
        <w:t>east 40 kg</w:t>
      </w:r>
      <w:r w:rsidR="00DA2FB5">
        <w:rPr>
          <w:rFonts w:ascii="Times New Roman" w:hAnsi="Times New Roman" w:cs="Times New Roman"/>
          <w:sz w:val="22"/>
          <w:szCs w:val="22"/>
        </w:rPr>
        <w:t>)</w:t>
      </w:r>
      <w:r w:rsidRPr="00AB75F6">
        <w:rPr>
          <w:rFonts w:ascii="Times New Roman" w:hAnsi="Times New Roman" w:cs="Times New Roman"/>
          <w:sz w:val="22"/>
          <w:szCs w:val="22"/>
        </w:rPr>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232"/>
        <w:gridCol w:w="2984"/>
        <w:gridCol w:w="2976"/>
      </w:tblGrid>
      <w:tr w:rsidR="0054749D" w14:paraId="794D8B00" w14:textId="77777777" w:rsidTr="00373301">
        <w:tc>
          <w:tcPr>
            <w:tcW w:w="1758"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794D8AFD" w14:textId="77777777" w:rsidR="00D07F42" w:rsidRPr="00AB75F6" w:rsidRDefault="00270E87" w:rsidP="00373301">
            <w:pPr>
              <w:spacing w:before="60" w:after="60"/>
              <w:rPr>
                <w:b/>
                <w:color w:val="000000"/>
                <w:sz w:val="22"/>
                <w:szCs w:val="22"/>
              </w:rPr>
            </w:pPr>
            <w:r w:rsidRPr="00AB75F6">
              <w:rPr>
                <w:b/>
                <w:color w:val="000000"/>
                <w:sz w:val="22"/>
                <w:szCs w:val="22"/>
              </w:rPr>
              <w:t>Infusion Bag Volume</w:t>
            </w:r>
          </w:p>
        </w:tc>
        <w:tc>
          <w:tcPr>
            <w:tcW w:w="1623"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794D8AFE" w14:textId="77777777" w:rsidR="00D07F42" w:rsidRPr="00AB75F6" w:rsidRDefault="00270E87" w:rsidP="00373301">
            <w:pPr>
              <w:spacing w:before="60" w:after="60"/>
              <w:jc w:val="center"/>
              <w:rPr>
                <w:b/>
                <w:color w:val="000000"/>
                <w:sz w:val="22"/>
                <w:szCs w:val="22"/>
              </w:rPr>
            </w:pPr>
            <w:r w:rsidRPr="00AB75F6">
              <w:rPr>
                <w:b/>
                <w:color w:val="000000"/>
                <w:sz w:val="22"/>
                <w:szCs w:val="22"/>
              </w:rPr>
              <w:t>Infusion Time</w:t>
            </w:r>
          </w:p>
        </w:tc>
        <w:tc>
          <w:tcPr>
            <w:tcW w:w="1619"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794D8AFF" w14:textId="77777777" w:rsidR="00D07F42" w:rsidRPr="00AB75F6" w:rsidRDefault="00270E87" w:rsidP="00373301">
            <w:pPr>
              <w:spacing w:before="60" w:after="60"/>
              <w:jc w:val="center"/>
              <w:rPr>
                <w:b/>
                <w:color w:val="000000"/>
                <w:sz w:val="22"/>
                <w:szCs w:val="22"/>
              </w:rPr>
            </w:pPr>
            <w:r w:rsidRPr="00AB75F6">
              <w:rPr>
                <w:b/>
                <w:color w:val="000000"/>
                <w:sz w:val="22"/>
                <w:szCs w:val="22"/>
              </w:rPr>
              <w:t>Rate of Infusion</w:t>
            </w:r>
          </w:p>
        </w:tc>
      </w:tr>
      <w:tr w:rsidR="0054749D" w14:paraId="794D8B04" w14:textId="77777777" w:rsidTr="00373301">
        <w:trPr>
          <w:trHeight w:val="89"/>
        </w:trPr>
        <w:tc>
          <w:tcPr>
            <w:tcW w:w="1758" w:type="pct"/>
            <w:vMerge w:val="restart"/>
            <w:tcBorders>
              <w:top w:val="single" w:sz="12" w:space="0" w:color="auto"/>
              <w:left w:val="nil"/>
              <w:right w:val="single" w:sz="6" w:space="0" w:color="auto"/>
            </w:tcBorders>
            <w:shd w:val="clear" w:color="auto" w:fill="auto"/>
            <w:tcMar>
              <w:left w:w="115" w:type="dxa"/>
              <w:right w:w="115" w:type="dxa"/>
            </w:tcMar>
            <w:vAlign w:val="center"/>
          </w:tcPr>
          <w:p w14:paraId="794D8B01" w14:textId="77777777" w:rsidR="00D07F42" w:rsidRPr="00AB75F6" w:rsidRDefault="00270E87" w:rsidP="00373301">
            <w:pPr>
              <w:spacing w:before="60" w:after="60"/>
              <w:contextualSpacing/>
              <w:rPr>
                <w:color w:val="000000"/>
                <w:sz w:val="22"/>
                <w:szCs w:val="22"/>
              </w:rPr>
            </w:pPr>
            <w:r w:rsidRPr="00AB75F6">
              <w:rPr>
                <w:color w:val="000000"/>
                <w:sz w:val="22"/>
                <w:szCs w:val="22"/>
              </w:rPr>
              <w:t>250 mL</w:t>
            </w:r>
          </w:p>
        </w:tc>
        <w:tc>
          <w:tcPr>
            <w:tcW w:w="1623"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02"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30 min</w:t>
            </w:r>
          </w:p>
        </w:tc>
        <w:tc>
          <w:tcPr>
            <w:tcW w:w="1619"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794D8B03"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8.33 mL/min</w:t>
            </w:r>
          </w:p>
        </w:tc>
      </w:tr>
      <w:tr w:rsidR="0054749D" w14:paraId="794D8B08" w14:textId="77777777" w:rsidTr="00373301">
        <w:trPr>
          <w:trHeight w:val="179"/>
        </w:trPr>
        <w:tc>
          <w:tcPr>
            <w:tcW w:w="1758" w:type="pct"/>
            <w:vMerge/>
            <w:tcBorders>
              <w:left w:val="nil"/>
              <w:right w:val="single" w:sz="6" w:space="0" w:color="auto"/>
            </w:tcBorders>
            <w:shd w:val="clear" w:color="auto" w:fill="auto"/>
            <w:tcMar>
              <w:left w:w="115" w:type="dxa"/>
              <w:right w:w="115" w:type="dxa"/>
            </w:tcMar>
            <w:vAlign w:val="center"/>
          </w:tcPr>
          <w:p w14:paraId="794D8B05"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06"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60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07"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4.17 mL/min</w:t>
            </w:r>
          </w:p>
        </w:tc>
      </w:tr>
      <w:tr w:rsidR="0054749D" w14:paraId="794D8B0C" w14:textId="77777777" w:rsidTr="00373301">
        <w:trPr>
          <w:trHeight w:val="54"/>
        </w:trPr>
        <w:tc>
          <w:tcPr>
            <w:tcW w:w="1758" w:type="pct"/>
            <w:vMerge/>
            <w:tcBorders>
              <w:left w:val="nil"/>
              <w:bottom w:val="single" w:sz="6" w:space="0" w:color="auto"/>
              <w:right w:val="single" w:sz="6" w:space="0" w:color="auto"/>
            </w:tcBorders>
            <w:shd w:val="clear" w:color="auto" w:fill="auto"/>
            <w:tcMar>
              <w:left w:w="115" w:type="dxa"/>
              <w:right w:w="115" w:type="dxa"/>
            </w:tcMar>
            <w:vAlign w:val="center"/>
          </w:tcPr>
          <w:p w14:paraId="794D8B09"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0A"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120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0B"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2.08 mL/min</w:t>
            </w:r>
          </w:p>
        </w:tc>
      </w:tr>
      <w:tr w:rsidR="0054749D" w14:paraId="794D8B10" w14:textId="77777777" w:rsidTr="00373301">
        <w:trPr>
          <w:trHeight w:val="89"/>
        </w:trPr>
        <w:tc>
          <w:tcPr>
            <w:tcW w:w="1758" w:type="pct"/>
            <w:vMerge w:val="restart"/>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794D8B0D" w14:textId="77777777" w:rsidR="00D07F42" w:rsidRPr="00AB75F6" w:rsidRDefault="00270E87" w:rsidP="00373301">
            <w:pPr>
              <w:spacing w:before="60" w:after="60"/>
              <w:contextualSpacing/>
              <w:rPr>
                <w:color w:val="000000"/>
                <w:sz w:val="22"/>
                <w:szCs w:val="22"/>
              </w:rPr>
            </w:pPr>
            <w:r w:rsidRPr="00AB75F6">
              <w:rPr>
                <w:color w:val="000000"/>
                <w:sz w:val="22"/>
                <w:szCs w:val="22"/>
              </w:rPr>
              <w:t>100 mL</w:t>
            </w: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0E"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30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0F"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3.33 mL/min</w:t>
            </w:r>
          </w:p>
        </w:tc>
      </w:tr>
      <w:tr w:rsidR="0054749D" w14:paraId="794D8B14" w14:textId="77777777" w:rsidTr="00373301">
        <w:trPr>
          <w:trHeight w:val="54"/>
        </w:trPr>
        <w:tc>
          <w:tcPr>
            <w:tcW w:w="1758" w:type="pct"/>
            <w:vMerge/>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794D8B11"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12"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60 min</w:t>
            </w:r>
          </w:p>
        </w:tc>
        <w:tc>
          <w:tcPr>
            <w:tcW w:w="1619"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13"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1.67 mL/min</w:t>
            </w:r>
          </w:p>
        </w:tc>
      </w:tr>
      <w:tr w:rsidR="0054749D" w14:paraId="794D8B18" w14:textId="77777777" w:rsidTr="00373301">
        <w:trPr>
          <w:trHeight w:val="54"/>
        </w:trPr>
        <w:tc>
          <w:tcPr>
            <w:tcW w:w="1758" w:type="pct"/>
            <w:vMerge/>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794D8B15" w14:textId="77777777" w:rsidR="00D07F42" w:rsidRPr="00AB75F6" w:rsidRDefault="00D07F42" w:rsidP="00373301">
            <w:pPr>
              <w:spacing w:before="60" w:after="60"/>
              <w:contextualSpacing/>
              <w:jc w:val="center"/>
              <w:rPr>
                <w:color w:val="000000"/>
                <w:sz w:val="22"/>
                <w:szCs w:val="22"/>
              </w:rPr>
            </w:pPr>
          </w:p>
        </w:tc>
        <w:tc>
          <w:tcPr>
            <w:tcW w:w="1623"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794D8B16"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120 min</w:t>
            </w:r>
          </w:p>
        </w:tc>
        <w:tc>
          <w:tcPr>
            <w:tcW w:w="1619"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794D8B17" w14:textId="77777777" w:rsidR="00D07F42" w:rsidRPr="00AB75F6" w:rsidRDefault="00270E87" w:rsidP="00373301">
            <w:pPr>
              <w:spacing w:before="60" w:after="60"/>
              <w:contextualSpacing/>
              <w:jc w:val="center"/>
              <w:rPr>
                <w:color w:val="000000"/>
                <w:sz w:val="22"/>
                <w:szCs w:val="22"/>
              </w:rPr>
            </w:pPr>
            <w:r w:rsidRPr="00AB75F6">
              <w:rPr>
                <w:color w:val="000000"/>
                <w:sz w:val="22"/>
                <w:szCs w:val="22"/>
              </w:rPr>
              <w:t>0.83 mL/min</w:t>
            </w:r>
          </w:p>
        </w:tc>
      </w:tr>
    </w:tbl>
    <w:p w14:paraId="794D8B1A" w14:textId="19CA5F2A" w:rsidR="00361FF8" w:rsidRPr="00361FF8" w:rsidRDefault="00270E87" w:rsidP="00361FF8">
      <w:pPr>
        <w:pStyle w:val="TableTitle"/>
        <w:rPr>
          <w:rFonts w:ascii="Times New Roman" w:hAnsi="Times New Roman" w:cs="Times New Roman"/>
        </w:rPr>
      </w:pPr>
      <w:r w:rsidRPr="00361FF8">
        <w:rPr>
          <w:rFonts w:ascii="Times New Roman" w:hAnsi="Times New Roman" w:cs="Times New Roman"/>
        </w:rPr>
        <w:lastRenderedPageBreak/>
        <w:t>Table </w:t>
      </w:r>
      <w:r w:rsidR="0049342B">
        <w:rPr>
          <w:rFonts w:ascii="Times New Roman" w:hAnsi="Times New Roman" w:cs="Times New Roman"/>
        </w:rPr>
        <w:t>3</w:t>
      </w:r>
      <w:r w:rsidRPr="00361FF8">
        <w:rPr>
          <w:rFonts w:ascii="Times New Roman" w:hAnsi="Times New Roman" w:cs="Times New Roman"/>
        </w:rPr>
        <w:t>:</w:t>
      </w:r>
      <w:r w:rsidRPr="00361FF8">
        <w:rPr>
          <w:rFonts w:ascii="Times New Roman" w:hAnsi="Times New Roman" w:cs="Times New Roman"/>
        </w:rPr>
        <w:tab/>
        <w:t>Recommended rate of infusion –</w:t>
      </w:r>
      <w:r w:rsidR="0049342B">
        <w:rPr>
          <w:rFonts w:ascii="Times New Roman" w:hAnsi="Times New Roman" w:cs="Times New Roman"/>
        </w:rPr>
        <w:t xml:space="preserve"> </w:t>
      </w:r>
      <w:r w:rsidRPr="00361FF8">
        <w:rPr>
          <w:rFonts w:ascii="Times New Roman" w:hAnsi="Times New Roman" w:cs="Times New Roman"/>
        </w:rPr>
        <w:t xml:space="preserve">diluted </w:t>
      </w:r>
      <w:r>
        <w:rPr>
          <w:rFonts w:ascii="Times New Roman" w:hAnsi="Times New Roman" w:cs="Times New Roman"/>
        </w:rPr>
        <w:t>VEKLURY</w:t>
      </w:r>
      <w:r w:rsidRPr="00361FF8">
        <w:rPr>
          <w:rFonts w:ascii="Times New Roman" w:hAnsi="Times New Roman" w:cs="Times New Roman"/>
        </w:rPr>
        <w:t xml:space="preserve"> powder for infusion in paediatric patients at least 4 weeks of age and weighing 3 kg to less than 40</w:t>
      </w:r>
      <w:r w:rsidR="0049342B">
        <w:rPr>
          <w:rFonts w:ascii="Times New Roman" w:hAnsi="Times New Roman" w:cs="Times New Roman"/>
        </w:rPr>
        <w:t> </w:t>
      </w:r>
      <w:r w:rsidRPr="00361FF8">
        <w:rPr>
          <w:rFonts w:ascii="Times New Roman" w:hAnsi="Times New Roman" w:cs="Times New Roman"/>
        </w:rPr>
        <w:t>kg</w:t>
      </w:r>
    </w:p>
    <w:tbl>
      <w:tblPr>
        <w:tblW w:w="5000" w:type="pct"/>
        <w:tblBorders>
          <w:top w:val="single" w:sz="4" w:space="0" w:color="auto"/>
          <w:bottom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062"/>
        <w:gridCol w:w="3065"/>
        <w:gridCol w:w="3065"/>
      </w:tblGrid>
      <w:tr w:rsidR="0054749D" w14:paraId="794D8B1E" w14:textId="77777777" w:rsidTr="00361FF8">
        <w:trPr>
          <w:cantSplit/>
          <w:tblHeader/>
        </w:trPr>
        <w:tc>
          <w:tcPr>
            <w:tcW w:w="1666"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794D8B1B" w14:textId="1A389986" w:rsidR="00361FF8" w:rsidRPr="003656A9" w:rsidRDefault="00270E87" w:rsidP="00361FF8">
            <w:pPr>
              <w:pStyle w:val="TableHeaderleft"/>
              <w:rPr>
                <w:sz w:val="22"/>
                <w:szCs w:val="22"/>
              </w:rPr>
            </w:pPr>
            <w:r w:rsidRPr="003656A9">
              <w:rPr>
                <w:sz w:val="22"/>
                <w:szCs w:val="22"/>
              </w:rPr>
              <w:t>Infusion Bag Volume</w:t>
            </w:r>
          </w:p>
        </w:tc>
        <w:tc>
          <w:tcPr>
            <w:tcW w:w="1667"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794D8B1C" w14:textId="77777777" w:rsidR="00361FF8" w:rsidRPr="003656A9" w:rsidRDefault="00270E87" w:rsidP="00361FF8">
            <w:pPr>
              <w:pStyle w:val="TableHeaderCenter"/>
              <w:rPr>
                <w:sz w:val="22"/>
                <w:szCs w:val="22"/>
              </w:rPr>
            </w:pPr>
            <w:r w:rsidRPr="003656A9">
              <w:rPr>
                <w:sz w:val="22"/>
                <w:szCs w:val="22"/>
              </w:rPr>
              <w:t>Infusion Time</w:t>
            </w:r>
          </w:p>
        </w:tc>
        <w:tc>
          <w:tcPr>
            <w:tcW w:w="1667"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794D8B1D" w14:textId="77777777" w:rsidR="00361FF8" w:rsidRPr="003656A9" w:rsidRDefault="00270E87" w:rsidP="00361FF8">
            <w:pPr>
              <w:pStyle w:val="TableHeaderCenter"/>
              <w:rPr>
                <w:sz w:val="22"/>
                <w:szCs w:val="22"/>
              </w:rPr>
            </w:pPr>
            <w:r w:rsidRPr="003656A9">
              <w:rPr>
                <w:sz w:val="22"/>
                <w:szCs w:val="22"/>
              </w:rPr>
              <w:t xml:space="preserve">Rate of </w:t>
            </w:r>
            <w:proofErr w:type="spellStart"/>
            <w:r w:rsidRPr="003656A9">
              <w:rPr>
                <w:sz w:val="22"/>
                <w:szCs w:val="22"/>
              </w:rPr>
              <w:t>Infusion</w:t>
            </w:r>
            <w:r w:rsidRPr="003656A9">
              <w:rPr>
                <w:sz w:val="22"/>
                <w:szCs w:val="22"/>
                <w:vertAlign w:val="superscript"/>
              </w:rPr>
              <w:t>a</w:t>
            </w:r>
            <w:proofErr w:type="spellEnd"/>
          </w:p>
        </w:tc>
      </w:tr>
      <w:tr w:rsidR="0054749D" w14:paraId="794D8B22" w14:textId="77777777" w:rsidTr="00361FF8">
        <w:trPr>
          <w:cantSplit/>
        </w:trPr>
        <w:tc>
          <w:tcPr>
            <w:tcW w:w="1666" w:type="pct"/>
            <w:vMerge w:val="restart"/>
            <w:tcBorders>
              <w:top w:val="single" w:sz="12" w:space="0" w:color="auto"/>
              <w:left w:val="nil"/>
              <w:right w:val="single" w:sz="6" w:space="0" w:color="auto"/>
            </w:tcBorders>
            <w:shd w:val="clear" w:color="auto" w:fill="auto"/>
            <w:tcMar>
              <w:left w:w="115" w:type="dxa"/>
              <w:right w:w="115" w:type="dxa"/>
            </w:tcMar>
            <w:vAlign w:val="center"/>
          </w:tcPr>
          <w:p w14:paraId="794D8B1F" w14:textId="77777777" w:rsidR="00361FF8" w:rsidRPr="003656A9" w:rsidRDefault="00270E87" w:rsidP="00361FF8">
            <w:pPr>
              <w:pStyle w:val="TableCellLeft"/>
              <w:rPr>
                <w:sz w:val="22"/>
                <w:szCs w:val="22"/>
              </w:rPr>
            </w:pPr>
            <w:r w:rsidRPr="003656A9">
              <w:rPr>
                <w:sz w:val="22"/>
                <w:szCs w:val="22"/>
              </w:rPr>
              <w:t>100 mL</w:t>
            </w:r>
          </w:p>
        </w:tc>
        <w:tc>
          <w:tcPr>
            <w:tcW w:w="1667"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20" w14:textId="77777777" w:rsidR="00361FF8" w:rsidRPr="003656A9" w:rsidRDefault="00270E87" w:rsidP="00361FF8">
            <w:pPr>
              <w:pStyle w:val="TableCellCenter"/>
              <w:rPr>
                <w:sz w:val="22"/>
                <w:szCs w:val="22"/>
              </w:rPr>
            </w:pPr>
            <w:r w:rsidRPr="003656A9">
              <w:rPr>
                <w:sz w:val="22"/>
                <w:szCs w:val="22"/>
              </w:rPr>
              <w:t>30 min</w:t>
            </w:r>
          </w:p>
        </w:tc>
        <w:tc>
          <w:tcPr>
            <w:tcW w:w="1667"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794D8B21" w14:textId="77777777" w:rsidR="00361FF8" w:rsidRPr="003656A9" w:rsidRDefault="00270E87" w:rsidP="00361FF8">
            <w:pPr>
              <w:pStyle w:val="TableCellCenter"/>
              <w:rPr>
                <w:sz w:val="22"/>
                <w:szCs w:val="22"/>
              </w:rPr>
            </w:pPr>
            <w:r w:rsidRPr="003656A9">
              <w:rPr>
                <w:sz w:val="22"/>
                <w:szCs w:val="22"/>
              </w:rPr>
              <w:t>3.33 mL/min</w:t>
            </w:r>
          </w:p>
        </w:tc>
      </w:tr>
      <w:tr w:rsidR="0054749D" w14:paraId="794D8B26" w14:textId="77777777" w:rsidTr="00361FF8">
        <w:trPr>
          <w:cantSplit/>
        </w:trPr>
        <w:tc>
          <w:tcPr>
            <w:tcW w:w="1666" w:type="pct"/>
            <w:vMerge/>
            <w:tcBorders>
              <w:left w:val="nil"/>
              <w:right w:val="single" w:sz="6" w:space="0" w:color="auto"/>
            </w:tcBorders>
            <w:shd w:val="clear" w:color="auto" w:fill="auto"/>
            <w:tcMar>
              <w:left w:w="115" w:type="dxa"/>
              <w:right w:w="115" w:type="dxa"/>
            </w:tcMar>
            <w:vAlign w:val="center"/>
          </w:tcPr>
          <w:p w14:paraId="794D8B23" w14:textId="77777777" w:rsidR="00361FF8" w:rsidRPr="00182994" w:rsidRDefault="00361FF8" w:rsidP="00361FF8">
            <w:pPr>
              <w:pStyle w:val="NormalCentred"/>
              <w:keepNext/>
              <w:spacing w:before="60" w:after="60"/>
              <w:rPr>
                <w:color w:val="000000"/>
                <w:lang w:val="sv-SE"/>
              </w:rPr>
            </w:pP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24" w14:textId="77777777" w:rsidR="00361FF8" w:rsidRPr="003656A9" w:rsidRDefault="00270E87" w:rsidP="00361FF8">
            <w:pPr>
              <w:pStyle w:val="TableCellCenter"/>
              <w:rPr>
                <w:sz w:val="22"/>
                <w:szCs w:val="22"/>
              </w:rPr>
            </w:pPr>
            <w:r w:rsidRPr="003656A9">
              <w:rPr>
                <w:sz w:val="22"/>
                <w:szCs w:val="22"/>
              </w:rPr>
              <w:t>60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25" w14:textId="77777777" w:rsidR="00361FF8" w:rsidRPr="003656A9" w:rsidRDefault="00270E87" w:rsidP="00361FF8">
            <w:pPr>
              <w:pStyle w:val="TableCellCenter"/>
              <w:rPr>
                <w:sz w:val="22"/>
                <w:szCs w:val="22"/>
              </w:rPr>
            </w:pPr>
            <w:r w:rsidRPr="003656A9">
              <w:rPr>
                <w:sz w:val="22"/>
                <w:szCs w:val="22"/>
              </w:rPr>
              <w:t>1.67 mL/min</w:t>
            </w:r>
          </w:p>
        </w:tc>
      </w:tr>
      <w:tr w:rsidR="0054749D" w14:paraId="794D8B2A" w14:textId="77777777" w:rsidTr="00361FF8">
        <w:trPr>
          <w:cantSplit/>
        </w:trPr>
        <w:tc>
          <w:tcPr>
            <w:tcW w:w="1666" w:type="pct"/>
            <w:vMerge/>
            <w:tcBorders>
              <w:left w:val="nil"/>
              <w:bottom w:val="single" w:sz="6" w:space="0" w:color="auto"/>
              <w:right w:val="single" w:sz="6" w:space="0" w:color="auto"/>
            </w:tcBorders>
            <w:shd w:val="clear" w:color="auto" w:fill="auto"/>
            <w:tcMar>
              <w:left w:w="115" w:type="dxa"/>
              <w:right w:w="115" w:type="dxa"/>
            </w:tcMar>
            <w:vAlign w:val="center"/>
          </w:tcPr>
          <w:p w14:paraId="794D8B27" w14:textId="77777777" w:rsidR="00361FF8" w:rsidRPr="00182994" w:rsidRDefault="00361FF8" w:rsidP="00361FF8">
            <w:pPr>
              <w:pStyle w:val="NormalCentred"/>
              <w:keepNext/>
              <w:spacing w:before="60" w:after="60"/>
              <w:rPr>
                <w:color w:val="000000"/>
                <w:lang w:val="sv-SE"/>
              </w:rPr>
            </w:pP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28" w14:textId="77777777" w:rsidR="00361FF8" w:rsidRPr="003656A9" w:rsidRDefault="00270E87" w:rsidP="00361FF8">
            <w:pPr>
              <w:pStyle w:val="TableCellCenter"/>
              <w:rPr>
                <w:sz w:val="22"/>
                <w:szCs w:val="22"/>
              </w:rPr>
            </w:pPr>
            <w:r w:rsidRPr="003656A9">
              <w:rPr>
                <w:sz w:val="22"/>
                <w:szCs w:val="22"/>
              </w:rPr>
              <w:t>120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29" w14:textId="77777777" w:rsidR="00361FF8" w:rsidRPr="003656A9" w:rsidRDefault="00270E87" w:rsidP="00361FF8">
            <w:pPr>
              <w:pStyle w:val="TableCellCenter"/>
              <w:rPr>
                <w:sz w:val="22"/>
                <w:szCs w:val="22"/>
              </w:rPr>
            </w:pPr>
            <w:r w:rsidRPr="003656A9">
              <w:rPr>
                <w:sz w:val="22"/>
                <w:szCs w:val="22"/>
              </w:rPr>
              <w:t>0.83 mL/min</w:t>
            </w:r>
          </w:p>
        </w:tc>
      </w:tr>
      <w:tr w:rsidR="0054749D" w14:paraId="794D8B2E" w14:textId="77777777" w:rsidTr="00361FF8">
        <w:trPr>
          <w:cantSplit/>
        </w:trPr>
        <w:tc>
          <w:tcPr>
            <w:tcW w:w="1666" w:type="pct"/>
            <w:vMerge w:val="restart"/>
            <w:tcBorders>
              <w:top w:val="single" w:sz="6" w:space="0" w:color="auto"/>
              <w:left w:val="nil"/>
              <w:right w:val="single" w:sz="6" w:space="0" w:color="auto"/>
            </w:tcBorders>
            <w:shd w:val="clear" w:color="auto" w:fill="auto"/>
            <w:tcMar>
              <w:left w:w="115" w:type="dxa"/>
              <w:right w:w="115" w:type="dxa"/>
            </w:tcMar>
            <w:vAlign w:val="center"/>
          </w:tcPr>
          <w:p w14:paraId="794D8B2B" w14:textId="77777777" w:rsidR="00361FF8" w:rsidRPr="003656A9" w:rsidRDefault="00270E87" w:rsidP="00361FF8">
            <w:pPr>
              <w:pStyle w:val="TableCellLeft"/>
              <w:rPr>
                <w:sz w:val="22"/>
                <w:szCs w:val="22"/>
              </w:rPr>
            </w:pPr>
            <w:r w:rsidRPr="003656A9">
              <w:rPr>
                <w:sz w:val="22"/>
                <w:szCs w:val="22"/>
              </w:rPr>
              <w:t>50 mL</w:t>
            </w: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2C" w14:textId="77777777" w:rsidR="00361FF8" w:rsidRPr="003656A9" w:rsidRDefault="00270E87" w:rsidP="00361FF8">
            <w:pPr>
              <w:pStyle w:val="TableCellCenter"/>
              <w:rPr>
                <w:sz w:val="22"/>
                <w:szCs w:val="22"/>
              </w:rPr>
            </w:pPr>
            <w:r w:rsidRPr="003656A9">
              <w:rPr>
                <w:sz w:val="22"/>
                <w:szCs w:val="22"/>
              </w:rPr>
              <w:t>30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2D" w14:textId="77777777" w:rsidR="00361FF8" w:rsidRPr="003656A9" w:rsidRDefault="00270E87" w:rsidP="00361FF8">
            <w:pPr>
              <w:pStyle w:val="TableCellCenter"/>
              <w:rPr>
                <w:sz w:val="22"/>
                <w:szCs w:val="22"/>
              </w:rPr>
            </w:pPr>
            <w:r w:rsidRPr="003656A9">
              <w:rPr>
                <w:sz w:val="22"/>
                <w:szCs w:val="22"/>
              </w:rPr>
              <w:t>1.67 mL/min</w:t>
            </w:r>
          </w:p>
        </w:tc>
      </w:tr>
      <w:tr w:rsidR="0054749D" w14:paraId="794D8B32" w14:textId="77777777" w:rsidTr="00361FF8">
        <w:trPr>
          <w:cantSplit/>
        </w:trPr>
        <w:tc>
          <w:tcPr>
            <w:tcW w:w="1666" w:type="pct"/>
            <w:vMerge/>
            <w:tcBorders>
              <w:left w:val="nil"/>
              <w:right w:val="single" w:sz="6" w:space="0" w:color="auto"/>
            </w:tcBorders>
            <w:shd w:val="clear" w:color="auto" w:fill="auto"/>
            <w:tcMar>
              <w:left w:w="115" w:type="dxa"/>
              <w:right w:w="115" w:type="dxa"/>
            </w:tcMar>
            <w:vAlign w:val="center"/>
          </w:tcPr>
          <w:p w14:paraId="794D8B2F" w14:textId="77777777" w:rsidR="00361FF8" w:rsidRPr="00182994" w:rsidRDefault="00361FF8" w:rsidP="00361FF8">
            <w:pPr>
              <w:pStyle w:val="NormalCentred"/>
              <w:keepNext/>
              <w:spacing w:before="60" w:after="60"/>
              <w:rPr>
                <w:color w:val="000000"/>
                <w:lang w:val="sv-SE"/>
              </w:rPr>
            </w:pP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30" w14:textId="77777777" w:rsidR="00361FF8" w:rsidRPr="003656A9" w:rsidRDefault="00270E87" w:rsidP="00361FF8">
            <w:pPr>
              <w:pStyle w:val="TableCellCenter"/>
              <w:rPr>
                <w:sz w:val="22"/>
                <w:szCs w:val="22"/>
              </w:rPr>
            </w:pPr>
            <w:r w:rsidRPr="003656A9">
              <w:rPr>
                <w:sz w:val="22"/>
                <w:szCs w:val="22"/>
              </w:rPr>
              <w:t>60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31" w14:textId="77777777" w:rsidR="00361FF8" w:rsidRPr="003656A9" w:rsidRDefault="00270E87" w:rsidP="00361FF8">
            <w:pPr>
              <w:pStyle w:val="TableCellCenter"/>
              <w:rPr>
                <w:sz w:val="22"/>
                <w:szCs w:val="22"/>
              </w:rPr>
            </w:pPr>
            <w:r w:rsidRPr="003656A9">
              <w:rPr>
                <w:sz w:val="22"/>
                <w:szCs w:val="22"/>
              </w:rPr>
              <w:t>0.83 mL/min</w:t>
            </w:r>
          </w:p>
        </w:tc>
      </w:tr>
      <w:tr w:rsidR="0054749D" w14:paraId="794D8B36" w14:textId="77777777" w:rsidTr="00361FF8">
        <w:trPr>
          <w:cantSplit/>
        </w:trPr>
        <w:tc>
          <w:tcPr>
            <w:tcW w:w="1666" w:type="pct"/>
            <w:vMerge/>
            <w:tcBorders>
              <w:left w:val="nil"/>
              <w:bottom w:val="single" w:sz="6" w:space="0" w:color="auto"/>
              <w:right w:val="single" w:sz="6" w:space="0" w:color="auto"/>
            </w:tcBorders>
            <w:shd w:val="clear" w:color="auto" w:fill="auto"/>
            <w:tcMar>
              <w:left w:w="115" w:type="dxa"/>
              <w:right w:w="115" w:type="dxa"/>
            </w:tcMar>
            <w:vAlign w:val="center"/>
          </w:tcPr>
          <w:p w14:paraId="794D8B33" w14:textId="77777777" w:rsidR="00361FF8" w:rsidRPr="00182994" w:rsidRDefault="00361FF8" w:rsidP="00361FF8">
            <w:pPr>
              <w:pStyle w:val="NormalCentred"/>
              <w:spacing w:before="60" w:after="60"/>
              <w:rPr>
                <w:color w:val="000000"/>
                <w:lang w:val="sv-SE"/>
              </w:rPr>
            </w:pP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34" w14:textId="77777777" w:rsidR="00361FF8" w:rsidRPr="003656A9" w:rsidRDefault="00270E87" w:rsidP="00361FF8">
            <w:pPr>
              <w:pStyle w:val="TableCellCenter"/>
              <w:rPr>
                <w:sz w:val="22"/>
                <w:szCs w:val="22"/>
              </w:rPr>
            </w:pPr>
            <w:r w:rsidRPr="003656A9">
              <w:rPr>
                <w:sz w:val="22"/>
                <w:szCs w:val="22"/>
              </w:rPr>
              <w:t>120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35" w14:textId="77777777" w:rsidR="00361FF8" w:rsidRPr="003656A9" w:rsidRDefault="00270E87" w:rsidP="00361FF8">
            <w:pPr>
              <w:pStyle w:val="TableCellCenter"/>
              <w:rPr>
                <w:sz w:val="22"/>
                <w:szCs w:val="22"/>
              </w:rPr>
            </w:pPr>
            <w:r w:rsidRPr="003656A9">
              <w:rPr>
                <w:sz w:val="22"/>
                <w:szCs w:val="22"/>
              </w:rPr>
              <w:t>0.42 mL/min</w:t>
            </w:r>
          </w:p>
        </w:tc>
      </w:tr>
      <w:tr w:rsidR="0054749D" w14:paraId="794D8B3A" w14:textId="77777777" w:rsidTr="00361FF8">
        <w:trPr>
          <w:cantSplit/>
        </w:trPr>
        <w:tc>
          <w:tcPr>
            <w:tcW w:w="1666" w:type="pct"/>
            <w:vMerge w:val="restart"/>
            <w:tcBorders>
              <w:top w:val="single" w:sz="6" w:space="0" w:color="auto"/>
              <w:left w:val="nil"/>
              <w:right w:val="single" w:sz="6" w:space="0" w:color="auto"/>
            </w:tcBorders>
            <w:shd w:val="clear" w:color="auto" w:fill="auto"/>
            <w:tcMar>
              <w:left w:w="115" w:type="dxa"/>
              <w:right w:w="115" w:type="dxa"/>
            </w:tcMar>
            <w:vAlign w:val="center"/>
          </w:tcPr>
          <w:p w14:paraId="794D8B37" w14:textId="77777777" w:rsidR="00361FF8" w:rsidRPr="003656A9" w:rsidRDefault="00270E87" w:rsidP="00361FF8">
            <w:pPr>
              <w:pStyle w:val="TableCellLeft"/>
              <w:rPr>
                <w:sz w:val="22"/>
                <w:szCs w:val="22"/>
              </w:rPr>
            </w:pPr>
            <w:r w:rsidRPr="003656A9">
              <w:rPr>
                <w:sz w:val="22"/>
                <w:szCs w:val="22"/>
              </w:rPr>
              <w:t>25 mL</w:t>
            </w: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38" w14:textId="77777777" w:rsidR="00361FF8" w:rsidRPr="003656A9" w:rsidRDefault="00270E87" w:rsidP="00361FF8">
            <w:pPr>
              <w:pStyle w:val="TableCellCenter"/>
              <w:rPr>
                <w:sz w:val="22"/>
                <w:szCs w:val="22"/>
              </w:rPr>
            </w:pPr>
            <w:r w:rsidRPr="003656A9">
              <w:rPr>
                <w:sz w:val="22"/>
                <w:szCs w:val="22"/>
              </w:rPr>
              <w:t>30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39" w14:textId="77777777" w:rsidR="00361FF8" w:rsidRPr="003656A9" w:rsidRDefault="00270E87" w:rsidP="00361FF8">
            <w:pPr>
              <w:pStyle w:val="TableCellCenter"/>
              <w:rPr>
                <w:sz w:val="22"/>
                <w:szCs w:val="22"/>
              </w:rPr>
            </w:pPr>
            <w:r w:rsidRPr="003656A9">
              <w:rPr>
                <w:sz w:val="22"/>
                <w:szCs w:val="22"/>
              </w:rPr>
              <w:t>0.83 mL/min</w:t>
            </w:r>
          </w:p>
        </w:tc>
      </w:tr>
      <w:tr w:rsidR="0054749D" w14:paraId="794D8B3E" w14:textId="77777777" w:rsidTr="00361FF8">
        <w:trPr>
          <w:cantSplit/>
        </w:trPr>
        <w:tc>
          <w:tcPr>
            <w:tcW w:w="1666" w:type="pct"/>
            <w:vMerge/>
            <w:tcBorders>
              <w:left w:val="nil"/>
              <w:right w:val="single" w:sz="6" w:space="0" w:color="auto"/>
            </w:tcBorders>
            <w:shd w:val="clear" w:color="auto" w:fill="auto"/>
            <w:tcMar>
              <w:left w:w="115" w:type="dxa"/>
              <w:right w:w="115" w:type="dxa"/>
            </w:tcMar>
            <w:vAlign w:val="center"/>
          </w:tcPr>
          <w:p w14:paraId="794D8B3B" w14:textId="77777777" w:rsidR="00361FF8" w:rsidRPr="00182994" w:rsidRDefault="00361FF8" w:rsidP="00361FF8">
            <w:pPr>
              <w:pStyle w:val="NormalCentred"/>
              <w:spacing w:before="60" w:after="60"/>
              <w:rPr>
                <w:color w:val="000000"/>
                <w:lang w:val="sv-SE"/>
              </w:rPr>
            </w:pPr>
          </w:p>
        </w:tc>
        <w:tc>
          <w:tcPr>
            <w:tcW w:w="166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4D8B3C" w14:textId="77777777" w:rsidR="00361FF8" w:rsidRPr="003656A9" w:rsidRDefault="00270E87" w:rsidP="00361FF8">
            <w:pPr>
              <w:pStyle w:val="TableCellCenter"/>
              <w:rPr>
                <w:sz w:val="22"/>
                <w:szCs w:val="22"/>
              </w:rPr>
            </w:pPr>
            <w:r w:rsidRPr="003656A9">
              <w:rPr>
                <w:sz w:val="22"/>
                <w:szCs w:val="22"/>
              </w:rPr>
              <w:t>60 min</w:t>
            </w:r>
          </w:p>
        </w:tc>
        <w:tc>
          <w:tcPr>
            <w:tcW w:w="166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94D8B3D" w14:textId="77777777" w:rsidR="00361FF8" w:rsidRPr="003656A9" w:rsidRDefault="00270E87" w:rsidP="00361FF8">
            <w:pPr>
              <w:pStyle w:val="TableCellCenter"/>
              <w:rPr>
                <w:sz w:val="22"/>
                <w:szCs w:val="22"/>
              </w:rPr>
            </w:pPr>
            <w:r w:rsidRPr="003656A9">
              <w:rPr>
                <w:sz w:val="22"/>
                <w:szCs w:val="22"/>
              </w:rPr>
              <w:t>0.42 mL/min</w:t>
            </w:r>
          </w:p>
        </w:tc>
      </w:tr>
      <w:tr w:rsidR="0054749D" w14:paraId="794D8B42" w14:textId="77777777" w:rsidTr="00361FF8">
        <w:trPr>
          <w:cantSplit/>
        </w:trPr>
        <w:tc>
          <w:tcPr>
            <w:tcW w:w="1666" w:type="pct"/>
            <w:vMerge/>
            <w:tcBorders>
              <w:left w:val="nil"/>
              <w:bottom w:val="single" w:sz="6" w:space="0" w:color="auto"/>
              <w:right w:val="single" w:sz="6" w:space="0" w:color="auto"/>
            </w:tcBorders>
            <w:shd w:val="clear" w:color="auto" w:fill="auto"/>
            <w:tcMar>
              <w:left w:w="115" w:type="dxa"/>
              <w:right w:w="115" w:type="dxa"/>
            </w:tcMar>
            <w:vAlign w:val="center"/>
          </w:tcPr>
          <w:p w14:paraId="794D8B3F" w14:textId="77777777" w:rsidR="00361FF8" w:rsidRPr="00182994" w:rsidRDefault="00361FF8" w:rsidP="00361FF8">
            <w:pPr>
              <w:pStyle w:val="NormalCentred"/>
              <w:spacing w:before="60" w:after="60"/>
              <w:rPr>
                <w:color w:val="000000"/>
                <w:lang w:val="sv-SE"/>
              </w:rPr>
            </w:pPr>
          </w:p>
        </w:tc>
        <w:tc>
          <w:tcPr>
            <w:tcW w:w="1667"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794D8B40" w14:textId="77777777" w:rsidR="00361FF8" w:rsidRPr="003656A9" w:rsidRDefault="00270E87" w:rsidP="00361FF8">
            <w:pPr>
              <w:pStyle w:val="TableCellCenter"/>
              <w:rPr>
                <w:sz w:val="22"/>
                <w:szCs w:val="22"/>
              </w:rPr>
            </w:pPr>
            <w:r w:rsidRPr="003656A9">
              <w:rPr>
                <w:sz w:val="22"/>
                <w:szCs w:val="22"/>
              </w:rPr>
              <w:t>120 min</w:t>
            </w:r>
          </w:p>
        </w:tc>
        <w:tc>
          <w:tcPr>
            <w:tcW w:w="1667"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794D8B41" w14:textId="77777777" w:rsidR="00361FF8" w:rsidRPr="003656A9" w:rsidRDefault="00270E87" w:rsidP="00361FF8">
            <w:pPr>
              <w:pStyle w:val="TableCellCenter"/>
              <w:rPr>
                <w:sz w:val="22"/>
                <w:szCs w:val="22"/>
              </w:rPr>
            </w:pPr>
            <w:r w:rsidRPr="003656A9">
              <w:rPr>
                <w:sz w:val="22"/>
                <w:szCs w:val="22"/>
              </w:rPr>
              <w:t>0.21 mL/min</w:t>
            </w:r>
          </w:p>
        </w:tc>
      </w:tr>
    </w:tbl>
    <w:p w14:paraId="794D8B43" w14:textId="77777777" w:rsidR="00361FF8" w:rsidRPr="00361FF8" w:rsidRDefault="00270E87" w:rsidP="00361FF8">
      <w:pPr>
        <w:pStyle w:val="TableFootnote"/>
        <w:rPr>
          <w:rFonts w:eastAsia="Calibri"/>
          <w:color w:val="auto"/>
          <w:lang w:val="en-US" w:eastAsia="en-US"/>
        </w:rPr>
      </w:pPr>
      <w:r w:rsidRPr="00361FF8">
        <w:rPr>
          <w:color w:val="auto"/>
        </w:rPr>
        <w:t>a</w:t>
      </w:r>
      <w:r w:rsidRPr="00361FF8">
        <w:rPr>
          <w:color w:val="auto"/>
        </w:rPr>
        <w:tab/>
        <w:t xml:space="preserve"> Rate of infusion may be adjusted based on total volume to be infused</w:t>
      </w:r>
      <w:r w:rsidRPr="00361FF8">
        <w:rPr>
          <w:rFonts w:eastAsia="Calibri"/>
          <w:color w:val="auto"/>
          <w:lang w:val="en-US" w:eastAsia="en-US"/>
        </w:rPr>
        <w:t>.</w:t>
      </w:r>
    </w:p>
    <w:p w14:paraId="794D8B44" w14:textId="77777777" w:rsidR="00361FF8" w:rsidRDefault="00361FF8" w:rsidP="00D07F42">
      <w:pPr>
        <w:spacing w:after="0" w:line="240" w:lineRule="auto"/>
        <w:rPr>
          <w:rFonts w:ascii="Times New Roman" w:hAnsi="Times New Roman" w:cs="Times New Roman"/>
          <w:i/>
        </w:rPr>
      </w:pPr>
    </w:p>
    <w:p w14:paraId="794D8B45" w14:textId="77777777" w:rsidR="00361FF8" w:rsidRDefault="00361FF8" w:rsidP="00D07F42">
      <w:pPr>
        <w:spacing w:after="0" w:line="240" w:lineRule="auto"/>
        <w:rPr>
          <w:rFonts w:ascii="Times New Roman" w:hAnsi="Times New Roman" w:cs="Times New Roman"/>
          <w:i/>
        </w:rPr>
      </w:pPr>
    </w:p>
    <w:p w14:paraId="794D8B46" w14:textId="77777777" w:rsidR="00D07F42" w:rsidRPr="00AA62D5" w:rsidRDefault="00270E87" w:rsidP="00D07F42">
      <w:pPr>
        <w:spacing w:after="0" w:line="240" w:lineRule="auto"/>
        <w:rPr>
          <w:rFonts w:ascii="Times New Roman" w:hAnsi="Times New Roman" w:cs="Times New Roman"/>
          <w:sz w:val="24"/>
          <w:szCs w:val="24"/>
          <w:u w:val="single"/>
        </w:rPr>
      </w:pPr>
      <w:r w:rsidRPr="00AA62D5">
        <w:rPr>
          <w:rFonts w:ascii="Times New Roman" w:hAnsi="Times New Roman" w:cs="Times New Roman"/>
          <w:sz w:val="24"/>
          <w:szCs w:val="24"/>
          <w:u w:val="single"/>
        </w:rPr>
        <w:t>Special populations</w:t>
      </w:r>
    </w:p>
    <w:p w14:paraId="794D8B47" w14:textId="77777777" w:rsidR="00D07F42" w:rsidRPr="00AA62D5" w:rsidRDefault="00D07F42" w:rsidP="00D07F42">
      <w:pPr>
        <w:spacing w:after="0" w:line="240" w:lineRule="auto"/>
        <w:rPr>
          <w:rFonts w:ascii="Times New Roman" w:hAnsi="Times New Roman" w:cs="Times New Roman"/>
          <w:sz w:val="24"/>
          <w:szCs w:val="24"/>
          <w:u w:val="single"/>
        </w:rPr>
      </w:pPr>
    </w:p>
    <w:p w14:paraId="794D8B48" w14:textId="77777777" w:rsidR="00D07F42" w:rsidRPr="00AA62D5" w:rsidRDefault="00270E87" w:rsidP="00D07F42">
      <w:pPr>
        <w:spacing w:after="0" w:line="240" w:lineRule="auto"/>
        <w:rPr>
          <w:rFonts w:ascii="Times New Roman" w:hAnsi="Times New Roman" w:cs="Times New Roman"/>
          <w:i/>
          <w:iCs/>
          <w:sz w:val="24"/>
          <w:szCs w:val="24"/>
        </w:rPr>
      </w:pPr>
      <w:r w:rsidRPr="00AA62D5">
        <w:rPr>
          <w:rFonts w:ascii="Times New Roman" w:hAnsi="Times New Roman" w:cs="Times New Roman"/>
          <w:i/>
          <w:iCs/>
          <w:sz w:val="24"/>
          <w:szCs w:val="24"/>
        </w:rPr>
        <w:t>Elderly</w:t>
      </w:r>
    </w:p>
    <w:p w14:paraId="794D8B49" w14:textId="77777777" w:rsidR="00D07F42" w:rsidRPr="00AA62D5" w:rsidRDefault="00270E87" w:rsidP="00D07F42">
      <w:pPr>
        <w:spacing w:after="0" w:line="240" w:lineRule="auto"/>
        <w:rPr>
          <w:rFonts w:ascii="Times New Roman" w:hAnsi="Times New Roman" w:cs="Times New Roman"/>
          <w:sz w:val="24"/>
          <w:szCs w:val="24"/>
        </w:rPr>
      </w:pPr>
      <w:r w:rsidRPr="00AA62D5">
        <w:rPr>
          <w:rFonts w:ascii="Times New Roman" w:hAnsi="Times New Roman" w:cs="Times New Roman"/>
          <w:sz w:val="24"/>
          <w:szCs w:val="24"/>
        </w:rPr>
        <w:t xml:space="preserve">No dose adjustment is required in patients over the age of 65 years (see sections 5.1 and 5.2). </w:t>
      </w:r>
    </w:p>
    <w:p w14:paraId="794D8B4A" w14:textId="77777777" w:rsidR="00D07F42" w:rsidRPr="00AA62D5" w:rsidRDefault="00D07F42" w:rsidP="00D07F42">
      <w:pPr>
        <w:spacing w:after="0" w:line="240" w:lineRule="auto"/>
        <w:rPr>
          <w:rFonts w:ascii="Times New Roman" w:hAnsi="Times New Roman" w:cs="Times New Roman"/>
          <w:sz w:val="24"/>
          <w:szCs w:val="24"/>
        </w:rPr>
      </w:pPr>
    </w:p>
    <w:p w14:paraId="794D8B4B" w14:textId="77777777" w:rsidR="00D07F42" w:rsidRPr="00AA62D5" w:rsidRDefault="00270E87" w:rsidP="00957C71">
      <w:pPr>
        <w:spacing w:after="0" w:line="240" w:lineRule="auto"/>
        <w:rPr>
          <w:rFonts w:ascii="Times New Roman" w:hAnsi="Times New Roman" w:cs="Times New Roman"/>
          <w:sz w:val="24"/>
          <w:szCs w:val="24"/>
          <w:u w:val="single"/>
        </w:rPr>
      </w:pPr>
      <w:r w:rsidRPr="00AA62D5">
        <w:rPr>
          <w:rFonts w:ascii="Times New Roman" w:hAnsi="Times New Roman" w:cs="Times New Roman"/>
          <w:i/>
          <w:iCs/>
          <w:sz w:val="24"/>
          <w:szCs w:val="24"/>
        </w:rPr>
        <w:t>Renal impairment</w:t>
      </w:r>
    </w:p>
    <w:p w14:paraId="794D8B4D" w14:textId="2A792084" w:rsidR="006A163B" w:rsidRDefault="00270E87" w:rsidP="006A163B">
      <w:pPr>
        <w:autoSpaceDE w:val="0"/>
        <w:autoSpaceDN w:val="0"/>
        <w:adjustRightInd w:val="0"/>
        <w:spacing w:after="0" w:line="240" w:lineRule="auto"/>
        <w:rPr>
          <w:rFonts w:ascii="Times New Roman" w:hAnsi="Times New Roman" w:cs="Times New Roman"/>
          <w:color w:val="000000"/>
          <w:sz w:val="24"/>
          <w:szCs w:val="24"/>
        </w:rPr>
      </w:pPr>
      <w:r w:rsidRPr="00261661">
        <w:rPr>
          <w:rFonts w:ascii="Times New Roman" w:hAnsi="Times New Roman" w:cs="Times New Roman"/>
          <w:color w:val="000000"/>
          <w:sz w:val="24"/>
          <w:szCs w:val="24"/>
        </w:rPr>
        <w:t>The pharmacokinetics of VEKLURY have not been evaluated in patients with renal impairment. Patients with eGFR greater than or equal to 30 mL per minute have received VEKLURY for treatment of COVID-19 with no dose adjustment of VEKLURY.</w:t>
      </w:r>
      <w:r>
        <w:rPr>
          <w:rFonts w:ascii="Times New Roman" w:hAnsi="Times New Roman" w:cs="Times New Roman"/>
          <w:color w:val="000000"/>
          <w:sz w:val="24"/>
          <w:szCs w:val="24"/>
        </w:rPr>
        <w:t xml:space="preserve"> </w:t>
      </w:r>
      <w:r w:rsidRPr="00FC5C6E">
        <w:rPr>
          <w:rFonts w:ascii="Times New Roman" w:hAnsi="Times New Roman" w:cs="Times New Roman"/>
          <w:color w:val="000000"/>
          <w:sz w:val="24"/>
          <w:szCs w:val="24"/>
        </w:rPr>
        <w:t>The safety and efficacy of VEKLURY ha</w:t>
      </w:r>
      <w:r w:rsidR="000A5EC6">
        <w:rPr>
          <w:rFonts w:ascii="Times New Roman" w:hAnsi="Times New Roman" w:cs="Times New Roman"/>
          <w:color w:val="000000"/>
          <w:sz w:val="24"/>
          <w:szCs w:val="24"/>
        </w:rPr>
        <w:t>ve</w:t>
      </w:r>
      <w:r w:rsidRPr="00FC5C6E">
        <w:rPr>
          <w:rFonts w:ascii="Times New Roman" w:hAnsi="Times New Roman" w:cs="Times New Roman"/>
          <w:color w:val="000000"/>
          <w:sz w:val="24"/>
          <w:szCs w:val="24"/>
        </w:rPr>
        <w:t xml:space="preserve"> not been studied in patients with eGFR less than 30 mL per minute, and the excipient accumulates in patients with severe renal impairment.</w:t>
      </w:r>
    </w:p>
    <w:p w14:paraId="794D8B4F" w14:textId="77777777" w:rsidR="00261661" w:rsidRPr="00261661" w:rsidRDefault="00261661" w:rsidP="00261661">
      <w:pPr>
        <w:spacing w:after="0" w:line="240" w:lineRule="auto"/>
        <w:rPr>
          <w:rFonts w:ascii="Times New Roman" w:hAnsi="Times New Roman" w:cs="Times New Roman"/>
          <w:color w:val="000000"/>
          <w:sz w:val="24"/>
          <w:szCs w:val="24"/>
        </w:rPr>
      </w:pPr>
    </w:p>
    <w:p w14:paraId="794D8B50" w14:textId="4CBD1683" w:rsidR="00E010DA" w:rsidRDefault="00270E87" w:rsidP="00261661">
      <w:pPr>
        <w:spacing w:after="0" w:line="240" w:lineRule="auto"/>
        <w:rPr>
          <w:rFonts w:ascii="Times New Roman" w:hAnsi="Times New Roman" w:cs="Times New Roman"/>
          <w:color w:val="000000"/>
          <w:sz w:val="24"/>
          <w:szCs w:val="24"/>
        </w:rPr>
      </w:pPr>
      <w:r w:rsidRPr="00261661">
        <w:rPr>
          <w:rFonts w:ascii="Times New Roman" w:hAnsi="Times New Roman" w:cs="Times New Roman"/>
          <w:color w:val="000000"/>
          <w:sz w:val="24"/>
          <w:szCs w:val="24"/>
        </w:rPr>
        <w:t>VEKLURY is not recommended in patients with eGFR less than 30 mL per minute unless the potential benefit outweighs the potential risk</w:t>
      </w:r>
      <w:r>
        <w:rPr>
          <w:rFonts w:ascii="Times New Roman" w:hAnsi="Times New Roman" w:cs="Times New Roman"/>
          <w:color w:val="000000"/>
          <w:sz w:val="24"/>
          <w:szCs w:val="24"/>
        </w:rPr>
        <w:t xml:space="preserve">. </w:t>
      </w:r>
    </w:p>
    <w:p w14:paraId="794D8B51" w14:textId="77777777" w:rsidR="00E010DA" w:rsidRPr="00772475" w:rsidRDefault="00E010DA" w:rsidP="00D07F42">
      <w:pPr>
        <w:spacing w:after="0" w:line="240" w:lineRule="auto"/>
        <w:rPr>
          <w:rFonts w:ascii="Times New Roman" w:hAnsi="Times New Roman" w:cs="Times New Roman"/>
          <w:sz w:val="24"/>
          <w:szCs w:val="24"/>
        </w:rPr>
      </w:pPr>
    </w:p>
    <w:p w14:paraId="794D8B52" w14:textId="77777777" w:rsidR="00D07F42" w:rsidRPr="00772475" w:rsidRDefault="00270E87" w:rsidP="00D07F42">
      <w:pPr>
        <w:spacing w:after="0" w:line="240" w:lineRule="auto"/>
        <w:rPr>
          <w:rFonts w:ascii="Times New Roman" w:hAnsi="Times New Roman" w:cs="Times New Roman"/>
          <w:sz w:val="24"/>
          <w:szCs w:val="24"/>
          <w:u w:val="single"/>
        </w:rPr>
      </w:pPr>
      <w:r w:rsidRPr="00772475">
        <w:rPr>
          <w:rFonts w:ascii="Times New Roman" w:hAnsi="Times New Roman" w:cs="Times New Roman"/>
          <w:i/>
          <w:iCs/>
          <w:sz w:val="24"/>
          <w:szCs w:val="24"/>
        </w:rPr>
        <w:t>Hepatic impairment</w:t>
      </w:r>
    </w:p>
    <w:p w14:paraId="794D8B53" w14:textId="0D158D83" w:rsidR="00D07F42" w:rsidRPr="00772475" w:rsidRDefault="00270E87"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pharmacokinetics of VEKLURY ha</w:t>
      </w:r>
      <w:r w:rsidR="006A163B">
        <w:rPr>
          <w:rFonts w:ascii="Times New Roman" w:hAnsi="Times New Roman" w:cs="Times New Roman"/>
          <w:sz w:val="24"/>
          <w:szCs w:val="24"/>
        </w:rPr>
        <w:t>s</w:t>
      </w:r>
      <w:r w:rsidRPr="00772475">
        <w:rPr>
          <w:rFonts w:ascii="Times New Roman" w:hAnsi="Times New Roman" w:cs="Times New Roman"/>
          <w:sz w:val="24"/>
          <w:szCs w:val="24"/>
        </w:rPr>
        <w:t xml:space="preserve"> not been evaluated in patients with hepatic impairment. </w:t>
      </w:r>
      <w:r>
        <w:rPr>
          <w:rFonts w:ascii="Times New Roman" w:hAnsi="Times New Roman" w:cs="Times New Roman"/>
          <w:sz w:val="24"/>
          <w:szCs w:val="24"/>
        </w:rPr>
        <w:t xml:space="preserve"> </w:t>
      </w:r>
      <w:r w:rsidRPr="00FB7FAB">
        <w:rPr>
          <w:rFonts w:ascii="Times New Roman" w:hAnsi="Times New Roman" w:cs="Times New Roman"/>
          <w:sz w:val="24"/>
          <w:szCs w:val="24"/>
        </w:rPr>
        <w:t>It is not known if dosage adjustment is appropriate in patients with hepatic impairment (see section 4.4 and 5.2).</w:t>
      </w:r>
    </w:p>
    <w:p w14:paraId="794D8B54" w14:textId="77777777" w:rsidR="00D07F42" w:rsidRPr="00772475" w:rsidRDefault="00D07F42" w:rsidP="00D07F42">
      <w:pPr>
        <w:spacing w:after="0" w:line="240" w:lineRule="auto"/>
        <w:rPr>
          <w:rFonts w:ascii="Times New Roman" w:hAnsi="Times New Roman" w:cs="Times New Roman"/>
          <w:sz w:val="24"/>
          <w:szCs w:val="24"/>
        </w:rPr>
      </w:pPr>
    </w:p>
    <w:p w14:paraId="794D8B55" w14:textId="0EE29FFA" w:rsidR="00D07F42" w:rsidRPr="00772475" w:rsidRDefault="00270E87" w:rsidP="00D07F42">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P</w:t>
      </w:r>
      <w:r w:rsidR="00B630E4">
        <w:rPr>
          <w:rFonts w:ascii="Times New Roman" w:hAnsi="Times New Roman" w:cs="Times New Roman"/>
          <w:i/>
          <w:iCs/>
          <w:sz w:val="24"/>
          <w:szCs w:val="24"/>
        </w:rPr>
        <w:t>a</w:t>
      </w:r>
      <w:r w:rsidRPr="00772475">
        <w:rPr>
          <w:rFonts w:ascii="Times New Roman" w:hAnsi="Times New Roman" w:cs="Times New Roman"/>
          <w:i/>
          <w:iCs/>
          <w:sz w:val="24"/>
          <w:szCs w:val="24"/>
        </w:rPr>
        <w:t>ediatric population</w:t>
      </w:r>
    </w:p>
    <w:p w14:paraId="794D8B56" w14:textId="013C32C5" w:rsidR="00D07F42" w:rsidRPr="00772475" w:rsidRDefault="00270E87" w:rsidP="00D07F42">
      <w:pPr>
        <w:spacing w:after="0" w:line="240" w:lineRule="auto"/>
        <w:rPr>
          <w:rFonts w:ascii="Times New Roman" w:hAnsi="Times New Roman" w:cs="Times New Roman"/>
          <w:sz w:val="24"/>
          <w:szCs w:val="24"/>
        </w:rPr>
      </w:pPr>
      <w:r w:rsidRPr="00FB7FAB">
        <w:rPr>
          <w:rFonts w:ascii="Times New Roman" w:hAnsi="Times New Roman" w:cs="Times New Roman"/>
          <w:sz w:val="24"/>
          <w:szCs w:val="24"/>
        </w:rPr>
        <w:t xml:space="preserve">The safety and efficacy of </w:t>
      </w:r>
      <w:r w:rsidR="006A163B" w:rsidRPr="007D08C3">
        <w:rPr>
          <w:rFonts w:ascii="Times New Roman" w:hAnsi="Times New Roman" w:cs="Times New Roman"/>
          <w:sz w:val="24"/>
          <w:szCs w:val="24"/>
        </w:rPr>
        <w:t>VEKLURY</w:t>
      </w:r>
      <w:r w:rsidRPr="00FB7FAB">
        <w:rPr>
          <w:rFonts w:ascii="Times New Roman" w:hAnsi="Times New Roman" w:cs="Times New Roman"/>
          <w:sz w:val="24"/>
          <w:szCs w:val="24"/>
        </w:rPr>
        <w:t xml:space="preserve"> in children </w:t>
      </w:r>
      <w:r w:rsidR="00E2134E">
        <w:rPr>
          <w:rFonts w:ascii="Times New Roman" w:hAnsi="Times New Roman" w:cs="Times New Roman"/>
          <w:sz w:val="24"/>
          <w:szCs w:val="24"/>
        </w:rPr>
        <w:t xml:space="preserve">less than 4 weeks of age and </w:t>
      </w:r>
      <w:r w:rsidRPr="00FB7FAB">
        <w:rPr>
          <w:rFonts w:ascii="Times New Roman" w:hAnsi="Times New Roman" w:cs="Times New Roman"/>
          <w:sz w:val="24"/>
          <w:szCs w:val="24"/>
        </w:rPr>
        <w:t xml:space="preserve">weighing </w:t>
      </w:r>
      <w:r w:rsidR="00E2134E">
        <w:rPr>
          <w:rFonts w:ascii="Times New Roman" w:hAnsi="Times New Roman" w:cs="Times New Roman"/>
          <w:sz w:val="24"/>
          <w:szCs w:val="24"/>
        </w:rPr>
        <w:t>less than 3</w:t>
      </w:r>
      <w:r w:rsidRPr="00FB7FAB">
        <w:rPr>
          <w:rFonts w:ascii="Times New Roman" w:hAnsi="Times New Roman" w:cs="Times New Roman"/>
          <w:sz w:val="24"/>
          <w:szCs w:val="24"/>
        </w:rPr>
        <w:t xml:space="preserve"> kg have not yet been established. No data are available</w:t>
      </w:r>
      <w:r w:rsidRPr="00772475">
        <w:rPr>
          <w:rFonts w:ascii="Times New Roman" w:hAnsi="Times New Roman" w:cs="Times New Roman"/>
          <w:sz w:val="24"/>
          <w:szCs w:val="24"/>
        </w:rPr>
        <w:t>.</w:t>
      </w:r>
    </w:p>
    <w:p w14:paraId="794D8B57" w14:textId="2CDBA03D" w:rsidR="00D07F42" w:rsidRDefault="00D07F42" w:rsidP="00D07F42">
      <w:pPr>
        <w:spacing w:line="240" w:lineRule="auto"/>
        <w:rPr>
          <w:rFonts w:ascii="Times New Roman" w:hAnsi="Times New Roman" w:cs="Times New Roman"/>
          <w:i/>
          <w:sz w:val="24"/>
          <w:szCs w:val="24"/>
        </w:rPr>
      </w:pPr>
    </w:p>
    <w:p w14:paraId="24004041" w14:textId="77777777" w:rsidR="00B51A22" w:rsidRPr="00B51A22" w:rsidRDefault="00270E87" w:rsidP="00B51A22">
      <w:pPr>
        <w:spacing w:line="240" w:lineRule="auto"/>
        <w:rPr>
          <w:rFonts w:ascii="Times New Roman" w:hAnsi="Times New Roman" w:cs="Times New Roman"/>
          <w:i/>
          <w:sz w:val="24"/>
          <w:szCs w:val="24"/>
          <w:u w:val="single"/>
        </w:rPr>
      </w:pPr>
      <w:r w:rsidRPr="00B51A22">
        <w:rPr>
          <w:rFonts w:ascii="Times New Roman" w:hAnsi="Times New Roman" w:cs="Times New Roman"/>
          <w:i/>
          <w:sz w:val="24"/>
          <w:szCs w:val="24"/>
          <w:u w:val="single"/>
        </w:rPr>
        <w:t>Immunocompromised population</w:t>
      </w:r>
    </w:p>
    <w:p w14:paraId="0C5CD2B9" w14:textId="0F5867BA" w:rsidR="00B51A22" w:rsidRPr="007E50B0" w:rsidRDefault="00270E87" w:rsidP="00D07F42">
      <w:pPr>
        <w:spacing w:line="240" w:lineRule="auto"/>
        <w:rPr>
          <w:rFonts w:ascii="Times New Roman" w:hAnsi="Times New Roman" w:cs="Times New Roman"/>
          <w:iCs/>
          <w:sz w:val="24"/>
          <w:szCs w:val="24"/>
        </w:rPr>
      </w:pPr>
      <w:r w:rsidRPr="00B51A22">
        <w:rPr>
          <w:rFonts w:ascii="Times New Roman" w:hAnsi="Times New Roman" w:cs="Times New Roman"/>
          <w:iCs/>
          <w:sz w:val="24"/>
          <w:szCs w:val="24"/>
        </w:rPr>
        <w:lastRenderedPageBreak/>
        <w:t>The safety and efficacy of remdesivir in immunocompromised patients have not yet been established. Only limited data are available (see section 4.4).</w:t>
      </w:r>
    </w:p>
    <w:p w14:paraId="794D8B58" w14:textId="77777777" w:rsidR="00D07F42" w:rsidRPr="00772475" w:rsidRDefault="00270E87" w:rsidP="00D07F42">
      <w:pPr>
        <w:pStyle w:val="Heading2"/>
        <w:numPr>
          <w:ilvl w:val="0"/>
          <w:numId w:val="0"/>
        </w:numPr>
        <w:spacing w:before="0" w:after="120"/>
        <w:ind w:left="578" w:hanging="578"/>
        <w:rPr>
          <w:rFonts w:ascii="Times New Roman" w:hAnsi="Times New Roman" w:cs="Times New Roman"/>
        </w:rPr>
      </w:pPr>
      <w:r w:rsidRPr="00772475">
        <w:rPr>
          <w:rFonts w:ascii="Times New Roman" w:hAnsi="Times New Roman" w:cs="Times New Roman"/>
        </w:rPr>
        <w:t>4.3 Contraindications</w:t>
      </w:r>
    </w:p>
    <w:p w14:paraId="794D8B59" w14:textId="77777777" w:rsidR="00D07F42" w:rsidRPr="00772475" w:rsidRDefault="00270E87" w:rsidP="00D07F42">
      <w:pPr>
        <w:spacing w:line="240" w:lineRule="auto"/>
        <w:rPr>
          <w:rFonts w:ascii="Times New Roman" w:hAnsi="Times New Roman" w:cs="Times New Roman"/>
          <w:sz w:val="24"/>
          <w:szCs w:val="24"/>
        </w:rPr>
      </w:pPr>
      <w:r w:rsidRPr="00772475">
        <w:rPr>
          <w:rFonts w:ascii="Times New Roman" w:hAnsi="Times New Roman" w:cs="Times New Roman"/>
          <w:noProof/>
          <w:sz w:val="24"/>
          <w:szCs w:val="24"/>
        </w:rPr>
        <w:t>Hypersensitivity to the active substance(s) or to any of the excipients listed in section 6.1.</w:t>
      </w:r>
    </w:p>
    <w:p w14:paraId="794D8B5B" w14:textId="77777777" w:rsidR="00D07F42" w:rsidRPr="00772475" w:rsidRDefault="00270E87" w:rsidP="00D07F42">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4.4 Special warnings and precautions for use</w:t>
      </w:r>
    </w:p>
    <w:p w14:paraId="794D8B5C" w14:textId="77777777" w:rsidR="00D07F42" w:rsidRDefault="00270E87" w:rsidP="00AB75F6">
      <w:pPr>
        <w:pStyle w:val="Default"/>
        <w:rPr>
          <w:u w:val="single"/>
        </w:rPr>
      </w:pPr>
      <w:r w:rsidRPr="00AB75F6">
        <w:rPr>
          <w:u w:val="single"/>
        </w:rPr>
        <w:t>Hypersensitivity including infusion-related and anaphylactic reactions</w:t>
      </w:r>
    </w:p>
    <w:p w14:paraId="794D8B5D" w14:textId="77777777" w:rsidR="00AB75F6" w:rsidRPr="00AB75F6" w:rsidRDefault="00AB75F6" w:rsidP="00AB75F6">
      <w:pPr>
        <w:pStyle w:val="Default"/>
        <w:rPr>
          <w:u w:val="single"/>
        </w:rPr>
      </w:pPr>
    </w:p>
    <w:p w14:paraId="794D8B5E" w14:textId="08A07466" w:rsidR="00D07F42" w:rsidRDefault="00270E87" w:rsidP="00AB75F6">
      <w:pPr>
        <w:pStyle w:val="Default"/>
      </w:pPr>
      <w:r w:rsidRPr="002E37C6">
        <w:t>Hypersensitivity reactions including infusion-related and anaphylactic reactions</w:t>
      </w:r>
      <w:r w:rsidR="00CD19D7">
        <w:t>,</w:t>
      </w:r>
      <w:r w:rsidRPr="002E37C6">
        <w:t xml:space="preserve"> have been observed during and following administration of </w:t>
      </w:r>
      <w:r w:rsidR="00CD19D7">
        <w:t>VEKLURY</w:t>
      </w:r>
      <w:r w:rsidRPr="002E37C6">
        <w:t xml:space="preserve">. Signs and symptoms may include hypotension, hypertension, tachycardia, bradycardia, hypoxia, fever, </w:t>
      </w:r>
      <w:proofErr w:type="spellStart"/>
      <w:r w:rsidRPr="002E37C6">
        <w:t>dyspnea</w:t>
      </w:r>
      <w:proofErr w:type="spellEnd"/>
      <w:r w:rsidRPr="002E37C6">
        <w:t xml:space="preserve">, wheezing, angioedema, rash, nausea, vomiting, diaphoresis, and shivering. Slower infusion rates, with a maximum infusion time of up to 120 minutes, can be considered to potentially prevent these signs and symptoms. </w:t>
      </w:r>
      <w:r w:rsidR="006228D0">
        <w:t>Monitor patients for hypersensitivity reactions during and following administration of VEKLURY</w:t>
      </w:r>
      <w:r w:rsidR="009E0CE5">
        <w:t xml:space="preserve"> as clinically appropriate</w:t>
      </w:r>
      <w:r w:rsidR="006228D0">
        <w:t xml:space="preserve">. </w:t>
      </w:r>
      <w:r w:rsidR="004E5076">
        <w:t xml:space="preserve">Patients receiving </w:t>
      </w:r>
      <w:r w:rsidR="003656A9">
        <w:t>VEKLURY</w:t>
      </w:r>
      <w:r w:rsidR="004E5076">
        <w:t xml:space="preserve"> in an outpatient setting should be monitored after administration according to local medical practice.</w:t>
      </w:r>
      <w:r w:rsidR="004E5076" w:rsidRPr="002D74DF">
        <w:t xml:space="preserve"> If signs and symptoms of a clinically significant hypersensitivity reaction occur, immediately discontinue administration of </w:t>
      </w:r>
      <w:r w:rsidR="003656A9">
        <w:t>VEKLURY</w:t>
      </w:r>
      <w:r w:rsidR="004E5076" w:rsidRPr="002D74DF">
        <w:t xml:space="preserve"> and initiate appropriate treatment</w:t>
      </w:r>
      <w:r w:rsidR="00466627">
        <w:t xml:space="preserve"> (see section 4.8)</w:t>
      </w:r>
      <w:r w:rsidR="004E5076" w:rsidRPr="002D74DF">
        <w:t>.</w:t>
      </w:r>
    </w:p>
    <w:p w14:paraId="794D8B5F" w14:textId="77777777" w:rsidR="00AB75F6" w:rsidRPr="002E37C6" w:rsidRDefault="00AB75F6" w:rsidP="00AB75F6">
      <w:pPr>
        <w:pStyle w:val="Default"/>
      </w:pPr>
    </w:p>
    <w:p w14:paraId="794D8B60" w14:textId="77777777" w:rsidR="00D07F42" w:rsidRPr="002E37C6" w:rsidRDefault="00270E87" w:rsidP="00D07F42">
      <w:pPr>
        <w:rPr>
          <w:rFonts w:ascii="Times New Roman" w:hAnsi="Times New Roman" w:cs="Times New Roman"/>
          <w:sz w:val="24"/>
          <w:szCs w:val="24"/>
          <w:u w:val="single"/>
        </w:rPr>
      </w:pPr>
      <w:bookmarkStart w:id="1" w:name="_Hlk95731132"/>
      <w:r w:rsidRPr="002E37C6">
        <w:rPr>
          <w:rFonts w:ascii="Times New Roman" w:hAnsi="Times New Roman" w:cs="Times New Roman"/>
          <w:sz w:val="24"/>
          <w:szCs w:val="24"/>
          <w:u w:val="single"/>
        </w:rPr>
        <w:t>Transaminase elevations</w:t>
      </w:r>
    </w:p>
    <w:bookmarkEnd w:id="1"/>
    <w:p w14:paraId="794D8B61" w14:textId="40971123" w:rsidR="00D07F42" w:rsidRDefault="00270E87" w:rsidP="00AB75F6">
      <w:pPr>
        <w:pStyle w:val="Default"/>
      </w:pPr>
      <w:r w:rsidRPr="002E37C6">
        <w:t xml:space="preserve">Transaminase elevations have been observed in </w:t>
      </w:r>
      <w:r w:rsidR="006A163B">
        <w:t xml:space="preserve">the </w:t>
      </w:r>
      <w:r w:rsidRPr="002E37C6">
        <w:t>VEKLURY clinical development program, including in healthy volunteers and patients with COVID</w:t>
      </w:r>
      <w:r w:rsidRPr="002E37C6">
        <w:noBreakHyphen/>
        <w:t xml:space="preserve">19. </w:t>
      </w:r>
      <w:bookmarkStart w:id="2" w:name="_Hlk95731166"/>
      <w:r w:rsidRPr="002E37C6">
        <w:t xml:space="preserve">Hepatic laboratory testing should be performed in all patients prior to </w:t>
      </w:r>
      <w:r w:rsidR="00FC21B1">
        <w:t>or when initiating</w:t>
      </w:r>
      <w:r w:rsidR="003A6AB2" w:rsidRPr="002E37C6">
        <w:t xml:space="preserve"> </w:t>
      </w:r>
      <w:r w:rsidRPr="002E37C6">
        <w:t xml:space="preserve">VEKLURY </w:t>
      </w:r>
      <w:bookmarkEnd w:id="2"/>
      <w:r w:rsidRPr="002E37C6">
        <w:t xml:space="preserve">and </w:t>
      </w:r>
      <w:r w:rsidR="006A163B">
        <w:t xml:space="preserve">liver function </w:t>
      </w:r>
      <w:r>
        <w:t xml:space="preserve">should be monitored </w:t>
      </w:r>
      <w:r w:rsidRPr="002E37C6">
        <w:t xml:space="preserve">while </w:t>
      </w:r>
      <w:r w:rsidR="006A163B">
        <w:t>administering</w:t>
      </w:r>
      <w:r w:rsidRPr="002E37C6">
        <w:t xml:space="preserve"> VEKLURY</w:t>
      </w:r>
      <w:r>
        <w:t xml:space="preserve"> </w:t>
      </w:r>
      <w:r w:rsidRPr="002E37C6">
        <w:t xml:space="preserve">as clinically appropriate. </w:t>
      </w:r>
      <w:r>
        <w:t xml:space="preserve"> </w:t>
      </w:r>
      <w:r w:rsidRPr="002E37C6">
        <w:t xml:space="preserve">No clinical studies with </w:t>
      </w:r>
      <w:r w:rsidR="006A163B">
        <w:t>VEKLURY</w:t>
      </w:r>
      <w:r w:rsidR="006A163B" w:rsidRPr="002E37C6">
        <w:t xml:space="preserve"> </w:t>
      </w:r>
      <w:r w:rsidRPr="002E37C6">
        <w:t>have been conducted in patients with hepatic impairment VEKLURY should only be used in patients with hepatic impairment if the potential benefit outweighs the potential risk.</w:t>
      </w:r>
    </w:p>
    <w:p w14:paraId="794D8B62" w14:textId="77777777" w:rsidR="00AB75F6" w:rsidRPr="002E37C6" w:rsidRDefault="00AB75F6" w:rsidP="00AB75F6">
      <w:pPr>
        <w:pStyle w:val="Default"/>
      </w:pPr>
    </w:p>
    <w:p w14:paraId="794D8B63" w14:textId="0B8B3FFD" w:rsidR="00D07F42" w:rsidRPr="00772475" w:rsidRDefault="00270E87" w:rsidP="00C862D5">
      <w:pPr>
        <w:pStyle w:val="Default"/>
        <w:numPr>
          <w:ilvl w:val="0"/>
          <w:numId w:val="9"/>
        </w:numPr>
      </w:pPr>
      <w:r w:rsidRPr="00772475">
        <w:t xml:space="preserve">VEKLURY should not be initiated in patients with </w:t>
      </w:r>
      <w:r w:rsidR="006A163B">
        <w:t>a</w:t>
      </w:r>
      <w:r w:rsidR="006A163B" w:rsidRPr="00772475">
        <w:t xml:space="preserve">lanine </w:t>
      </w:r>
      <w:r w:rsidR="006A163B">
        <w:t>a</w:t>
      </w:r>
      <w:r w:rsidR="006A163B" w:rsidRPr="00772475">
        <w:t xml:space="preserve">minotransferase </w:t>
      </w:r>
      <w:r w:rsidRPr="00772475">
        <w:t xml:space="preserve">(ALT) ≥5 times the upper limit of normal </w:t>
      </w:r>
      <w:r w:rsidR="00B8163A">
        <w:t xml:space="preserve">(ULN) </w:t>
      </w:r>
      <w:r w:rsidRPr="00772475">
        <w:t>at baseline</w:t>
      </w:r>
    </w:p>
    <w:p w14:paraId="794D8B64" w14:textId="77777777" w:rsidR="00D07F42" w:rsidRPr="00772475" w:rsidRDefault="00270E87" w:rsidP="00C862D5">
      <w:pPr>
        <w:pStyle w:val="Default"/>
        <w:numPr>
          <w:ilvl w:val="0"/>
          <w:numId w:val="9"/>
        </w:numPr>
      </w:pPr>
      <w:r w:rsidRPr="00772475">
        <w:t>VEKLURY should be discontinued in patients who develop:</w:t>
      </w:r>
    </w:p>
    <w:p w14:paraId="794D8B65" w14:textId="5EDDA50C" w:rsidR="00D07F42" w:rsidRPr="00772475" w:rsidRDefault="00270E87" w:rsidP="00C862D5">
      <w:pPr>
        <w:pStyle w:val="Default"/>
        <w:numPr>
          <w:ilvl w:val="1"/>
          <w:numId w:val="9"/>
        </w:numPr>
      </w:pPr>
      <w:r w:rsidRPr="00772475">
        <w:t xml:space="preserve">ALT ≥5 times the </w:t>
      </w:r>
      <w:r w:rsidR="00B8163A">
        <w:t>ULN</w:t>
      </w:r>
      <w:r w:rsidRPr="00772475">
        <w:t xml:space="preserve"> during treatment with VEKLURY. VEKLURY may be restarted when ALT is &lt;5 times the </w:t>
      </w:r>
      <w:r w:rsidR="00B8163A">
        <w:t>ULN</w:t>
      </w:r>
      <w:r w:rsidRPr="00772475">
        <w:t>.</w:t>
      </w:r>
    </w:p>
    <w:p w14:paraId="794D8B66" w14:textId="77777777" w:rsidR="00D07F42" w:rsidRPr="00772475" w:rsidRDefault="00270E87" w:rsidP="004E5076">
      <w:pPr>
        <w:pStyle w:val="Default"/>
        <w:ind w:left="1004" w:firstLine="436"/>
        <w:rPr>
          <w:rStyle w:val="Underline"/>
        </w:rPr>
      </w:pPr>
      <w:r w:rsidRPr="00772475">
        <w:rPr>
          <w:rStyle w:val="Underline"/>
        </w:rPr>
        <w:t>OR</w:t>
      </w:r>
    </w:p>
    <w:p w14:paraId="774310D5" w14:textId="41E5D93D" w:rsidR="00B630E4" w:rsidRPr="007E50B0" w:rsidRDefault="00270E87" w:rsidP="007E50B0">
      <w:pPr>
        <w:pStyle w:val="Default"/>
        <w:numPr>
          <w:ilvl w:val="1"/>
          <w:numId w:val="9"/>
        </w:numPr>
        <w:spacing w:after="120"/>
        <w:ind w:left="1434" w:hanging="357"/>
      </w:pPr>
      <w:r w:rsidRPr="00772475">
        <w:t>ALT elevation accompanied by signs or symptoms of liver inflammation or increasing conjugated bilirubin, alkaline phosphatase, or international normalised ratio (INR) (see section 4.8 and 5.2).</w:t>
      </w:r>
    </w:p>
    <w:p w14:paraId="794D8B68" w14:textId="7811B790" w:rsidR="00D07F42" w:rsidRPr="001A27EF" w:rsidRDefault="00270E87" w:rsidP="00D07F42">
      <w:pPr>
        <w:rPr>
          <w:rFonts w:ascii="Times New Roman" w:hAnsi="Times New Roman" w:cs="Times New Roman"/>
          <w:sz w:val="24"/>
          <w:szCs w:val="24"/>
          <w:u w:val="single"/>
        </w:rPr>
      </w:pPr>
      <w:r w:rsidRPr="001A27EF">
        <w:rPr>
          <w:rFonts w:ascii="Times New Roman" w:hAnsi="Times New Roman" w:cs="Times New Roman"/>
          <w:sz w:val="24"/>
          <w:szCs w:val="24"/>
          <w:u w:val="single"/>
        </w:rPr>
        <w:t xml:space="preserve">Renal </w:t>
      </w:r>
      <w:r w:rsidR="006A163B">
        <w:rPr>
          <w:rFonts w:ascii="Times New Roman" w:hAnsi="Times New Roman" w:cs="Times New Roman"/>
          <w:sz w:val="24"/>
          <w:szCs w:val="24"/>
          <w:u w:val="single"/>
        </w:rPr>
        <w:t>i</w:t>
      </w:r>
      <w:r w:rsidRPr="001A27EF">
        <w:rPr>
          <w:rFonts w:ascii="Times New Roman" w:hAnsi="Times New Roman" w:cs="Times New Roman"/>
          <w:sz w:val="24"/>
          <w:szCs w:val="24"/>
          <w:u w:val="single"/>
        </w:rPr>
        <w:t>mpairment</w:t>
      </w:r>
    </w:p>
    <w:p w14:paraId="794D8B69" w14:textId="77777777" w:rsidR="00D07F42" w:rsidRDefault="00270E87" w:rsidP="00D07F42">
      <w:pPr>
        <w:pStyle w:val="Default"/>
      </w:pPr>
      <w:r w:rsidRPr="001A27EF">
        <w:t>In animal studies on rats and monkeys, severe renal toxicity was observed (see section 5.3). The mechanism of this renal toxicity is not fully understood. A relevance for humans cannot be excluded.</w:t>
      </w:r>
    </w:p>
    <w:p w14:paraId="794D8B6B" w14:textId="5ABC1954" w:rsidR="00D07F42" w:rsidRDefault="00270E87" w:rsidP="00D07F42">
      <w:pPr>
        <w:pStyle w:val="Default"/>
      </w:pPr>
      <w:r w:rsidRPr="001A27EF">
        <w:t>All patients should have</w:t>
      </w:r>
      <w:r w:rsidRPr="00772475">
        <w:t xml:space="preserve"> eGFR determined prior to </w:t>
      </w:r>
      <w:r w:rsidR="00476346">
        <w:t>or when</w:t>
      </w:r>
      <w:r w:rsidR="00C60165">
        <w:t xml:space="preserve"> </w:t>
      </w:r>
      <w:r w:rsidR="003A6AB2">
        <w:t xml:space="preserve">initiating </w:t>
      </w:r>
      <w:r w:rsidRPr="00772475">
        <w:t xml:space="preserve">VEKLURY and while receiving </w:t>
      </w:r>
      <w:r>
        <w:t>it a</w:t>
      </w:r>
      <w:r w:rsidR="006A163B">
        <w:t>s</w:t>
      </w:r>
      <w:r>
        <w:t xml:space="preserve"> clinically appropriate</w:t>
      </w:r>
      <w:r w:rsidRPr="00772475">
        <w:t>. VEKLURY</w:t>
      </w:r>
      <w:r>
        <w:t xml:space="preserve"> </w:t>
      </w:r>
      <w:r w:rsidRPr="000D3E89">
        <w:t>should not be used in patients with eGFR &lt;30 mL/min.</w:t>
      </w:r>
    </w:p>
    <w:p w14:paraId="794D8B6D" w14:textId="77777777" w:rsidR="00D07F42" w:rsidRDefault="00270E87" w:rsidP="00D07F42">
      <w:pPr>
        <w:pStyle w:val="Default"/>
        <w:rPr>
          <w:u w:val="single"/>
        </w:rPr>
      </w:pPr>
      <w:r w:rsidRPr="006D53A3">
        <w:rPr>
          <w:u w:val="single"/>
        </w:rPr>
        <w:lastRenderedPageBreak/>
        <w:t>Excipients</w:t>
      </w:r>
    </w:p>
    <w:p w14:paraId="794D8B6E" w14:textId="77777777" w:rsidR="00D07F42" w:rsidRPr="006D53A3" w:rsidRDefault="00D07F42" w:rsidP="00D07F42">
      <w:pPr>
        <w:pStyle w:val="Default"/>
        <w:rPr>
          <w:u w:val="single"/>
        </w:rPr>
      </w:pPr>
    </w:p>
    <w:p w14:paraId="794D8B6F" w14:textId="6996C487" w:rsidR="00D07F42" w:rsidRPr="00AB75F6" w:rsidRDefault="00270E87" w:rsidP="00AB75F6">
      <w:pPr>
        <w:pStyle w:val="Default"/>
      </w:pPr>
      <w:r w:rsidRPr="00AB75F6">
        <w:t xml:space="preserve">The excipient </w:t>
      </w:r>
      <w:proofErr w:type="spellStart"/>
      <w:r w:rsidR="00155A1F" w:rsidRPr="00155A1F">
        <w:t>sulfobutyl</w:t>
      </w:r>
      <w:proofErr w:type="spellEnd"/>
      <w:r w:rsidR="00155A1F" w:rsidRPr="00155A1F">
        <w:t xml:space="preserve"> </w:t>
      </w:r>
      <w:proofErr w:type="spellStart"/>
      <w:r w:rsidR="00155A1F" w:rsidRPr="00155A1F">
        <w:t>betadex</w:t>
      </w:r>
      <w:proofErr w:type="spellEnd"/>
      <w:r w:rsidR="00155A1F" w:rsidRPr="00155A1F">
        <w:t xml:space="preserve"> sodium </w:t>
      </w:r>
      <w:r w:rsidRPr="00AB75F6">
        <w:t>is renally cleared and accumulates in patients with decreased renal function, which may potentially adversely affect renal function. Therefore</w:t>
      </w:r>
      <w:r w:rsidR="00B8163A">
        <w:t>,</w:t>
      </w:r>
      <w:r w:rsidRPr="00AB75F6">
        <w:t xml:space="preserve"> VEKLURY should not be used in patients with eGFR &lt;30 mL/min (see section 4.2 and 5.2).</w:t>
      </w:r>
    </w:p>
    <w:p w14:paraId="570E3E71" w14:textId="77777777" w:rsidR="00B51A22" w:rsidRPr="00772475" w:rsidRDefault="00B51A22" w:rsidP="00D07F42">
      <w:pPr>
        <w:pStyle w:val="Default"/>
      </w:pPr>
    </w:p>
    <w:p w14:paraId="794D8B71" w14:textId="77777777" w:rsidR="00D07F42" w:rsidRDefault="00270E87" w:rsidP="00AB75F6">
      <w:pPr>
        <w:pStyle w:val="Default"/>
        <w:rPr>
          <w:u w:val="single"/>
        </w:rPr>
      </w:pPr>
      <w:r w:rsidRPr="00AB75F6">
        <w:rPr>
          <w:u w:val="single"/>
        </w:rPr>
        <w:t xml:space="preserve">Risk of reduced antiviral activity when </w:t>
      </w:r>
      <w:proofErr w:type="spellStart"/>
      <w:r w:rsidRPr="00AB75F6">
        <w:rPr>
          <w:u w:val="single"/>
        </w:rPr>
        <w:t>coadministered</w:t>
      </w:r>
      <w:proofErr w:type="spellEnd"/>
      <w:r w:rsidRPr="00AB75F6">
        <w:rPr>
          <w:u w:val="single"/>
        </w:rPr>
        <w:t xml:space="preserve"> with chloroquine or hydroxychloroquine </w:t>
      </w:r>
    </w:p>
    <w:p w14:paraId="794D8B72" w14:textId="77777777" w:rsidR="00AB75F6" w:rsidRPr="00AB75F6" w:rsidRDefault="00AB75F6" w:rsidP="00AB75F6">
      <w:pPr>
        <w:pStyle w:val="Default"/>
        <w:rPr>
          <w:u w:val="single"/>
        </w:rPr>
      </w:pPr>
    </w:p>
    <w:p w14:paraId="794D8B73" w14:textId="007B1EF0" w:rsidR="00D07F42" w:rsidRDefault="00270E87" w:rsidP="00AB75F6">
      <w:pPr>
        <w:pStyle w:val="Default"/>
      </w:pPr>
      <w:r w:rsidRPr="006D53A3">
        <w:t xml:space="preserve">Coadministration of VEKLURY and chloroquine phosphate or hydroxychloroquine sulphate is not recommended based on </w:t>
      </w:r>
      <w:r w:rsidRPr="000E23AE">
        <w:rPr>
          <w:i/>
          <w:iCs/>
        </w:rPr>
        <w:t>in vitro</w:t>
      </w:r>
      <w:r w:rsidRPr="006D53A3">
        <w:t xml:space="preserve"> </w:t>
      </w:r>
      <w:r w:rsidR="00C510CE">
        <w:t>observations</w:t>
      </w:r>
      <w:r w:rsidR="00C510CE" w:rsidRPr="006D53A3">
        <w:t xml:space="preserve"> </w:t>
      </w:r>
      <w:r w:rsidRPr="006D53A3">
        <w:t>demonstrating a</w:t>
      </w:r>
      <w:r w:rsidR="00053840">
        <w:t xml:space="preserve"> potential</w:t>
      </w:r>
      <w:r w:rsidRPr="006D53A3">
        <w:t xml:space="preserve"> antagonistic effect of chloroquine on the intracellular metabolic activation and antiviral activity of </w:t>
      </w:r>
      <w:r w:rsidRPr="001A08B7">
        <w:t>VEKLURY</w:t>
      </w:r>
      <w:r w:rsidRPr="006D53A3">
        <w:t xml:space="preserve"> (see section 4.5, 5.1)</w:t>
      </w:r>
      <w:r w:rsidR="008A6FAB">
        <w:t>.</w:t>
      </w:r>
    </w:p>
    <w:p w14:paraId="794D8B74" w14:textId="4D3D5395" w:rsidR="00AB75F6" w:rsidRDefault="00AB75F6" w:rsidP="00AB75F6">
      <w:pPr>
        <w:pStyle w:val="Default"/>
      </w:pPr>
    </w:p>
    <w:p w14:paraId="61F0033C" w14:textId="587E5E06" w:rsidR="00B51A22" w:rsidRPr="00B51A22" w:rsidRDefault="00270E87" w:rsidP="00B51A22">
      <w:pPr>
        <w:pStyle w:val="Default"/>
        <w:rPr>
          <w:u w:val="single"/>
        </w:rPr>
      </w:pPr>
      <w:r w:rsidRPr="00B51A22">
        <w:rPr>
          <w:u w:val="single"/>
        </w:rPr>
        <w:t>Immunocompromised patients</w:t>
      </w:r>
    </w:p>
    <w:p w14:paraId="4FB8FB13" w14:textId="77777777" w:rsidR="00B51A22" w:rsidRDefault="00B51A22" w:rsidP="00B51A22">
      <w:pPr>
        <w:pStyle w:val="Default"/>
      </w:pPr>
    </w:p>
    <w:p w14:paraId="3E9E3401" w14:textId="72A2EAB0" w:rsidR="00B51A22" w:rsidRDefault="00270E87" w:rsidP="00AB75F6">
      <w:pPr>
        <w:pStyle w:val="Default"/>
      </w:pPr>
      <w:r>
        <w:t>It is unclear if the treatment duration of three days is sufficient to clear the virus in immunocompromised patients, in whom prolonged viral shedding occurs. There is a potential risk of resistance development. Only limited data are available.</w:t>
      </w:r>
    </w:p>
    <w:p w14:paraId="00839673" w14:textId="77777777" w:rsidR="003C3DAD" w:rsidRDefault="003C3DAD" w:rsidP="00AB75F6">
      <w:pPr>
        <w:pStyle w:val="Default"/>
      </w:pPr>
    </w:p>
    <w:p w14:paraId="794D8B75" w14:textId="0E5E87AD" w:rsidR="00BE00BB" w:rsidRDefault="00270E87" w:rsidP="00BE00B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Use in the </w:t>
      </w:r>
      <w:r w:rsidR="006A163B">
        <w:rPr>
          <w:rFonts w:ascii="Times New Roman" w:hAnsi="Times New Roman" w:cs="Times New Roman"/>
          <w:i/>
          <w:iCs/>
          <w:sz w:val="24"/>
          <w:szCs w:val="24"/>
        </w:rPr>
        <w:t>e</w:t>
      </w:r>
      <w:r w:rsidR="006A163B" w:rsidRPr="00772475">
        <w:rPr>
          <w:rFonts w:ascii="Times New Roman" w:hAnsi="Times New Roman" w:cs="Times New Roman"/>
          <w:i/>
          <w:iCs/>
          <w:sz w:val="24"/>
          <w:szCs w:val="24"/>
        </w:rPr>
        <w:t>lderly</w:t>
      </w:r>
    </w:p>
    <w:p w14:paraId="794D8B76" w14:textId="77777777" w:rsidR="003D58E7" w:rsidRPr="00772475" w:rsidRDefault="003D58E7" w:rsidP="00BE00BB">
      <w:pPr>
        <w:spacing w:after="0" w:line="240" w:lineRule="auto"/>
        <w:rPr>
          <w:rFonts w:ascii="Times New Roman" w:hAnsi="Times New Roman" w:cs="Times New Roman"/>
          <w:i/>
          <w:iCs/>
          <w:sz w:val="24"/>
          <w:szCs w:val="24"/>
        </w:rPr>
      </w:pPr>
    </w:p>
    <w:p w14:paraId="794D8B77" w14:textId="77777777" w:rsidR="00AB75F6" w:rsidRDefault="00270E87" w:rsidP="00BE00BB">
      <w:pPr>
        <w:pStyle w:val="Default"/>
      </w:pPr>
      <w:r>
        <w:t>S</w:t>
      </w:r>
      <w:r w:rsidR="00BE00BB" w:rsidRPr="00772475">
        <w:t>ee sections</w:t>
      </w:r>
      <w:r>
        <w:t xml:space="preserve"> 4.2,</w:t>
      </w:r>
      <w:r w:rsidR="00BE00BB" w:rsidRPr="00772475">
        <w:t xml:space="preserve"> 5.1 and 5.2.</w:t>
      </w:r>
    </w:p>
    <w:p w14:paraId="794D8B78" w14:textId="77777777" w:rsidR="00CC4C19" w:rsidRDefault="00CC4C19" w:rsidP="00CC4C19">
      <w:pPr>
        <w:spacing w:after="0" w:line="240" w:lineRule="auto"/>
        <w:rPr>
          <w:rFonts w:ascii="Times New Roman" w:hAnsi="Times New Roman" w:cs="Times New Roman"/>
          <w:color w:val="000000"/>
          <w:sz w:val="24"/>
          <w:szCs w:val="24"/>
        </w:rPr>
      </w:pPr>
    </w:p>
    <w:p w14:paraId="794D8B79" w14:textId="5B87AAF3" w:rsidR="00CC4C19" w:rsidRDefault="00270E87" w:rsidP="00CC4C19">
      <w:pPr>
        <w:spacing w:after="0" w:line="240" w:lineRule="auto"/>
        <w:rPr>
          <w:rFonts w:ascii="Times New Roman" w:hAnsi="Times New Roman" w:cs="Times New Roman"/>
          <w:i/>
          <w:iCs/>
          <w:sz w:val="24"/>
          <w:szCs w:val="24"/>
        </w:rPr>
      </w:pPr>
      <w:r w:rsidRPr="00772475">
        <w:rPr>
          <w:rFonts w:ascii="Times New Roman" w:hAnsi="Times New Roman" w:cs="Times New Roman"/>
          <w:i/>
          <w:iCs/>
          <w:sz w:val="24"/>
          <w:szCs w:val="24"/>
        </w:rPr>
        <w:t xml:space="preserve">Paediatric </w:t>
      </w:r>
      <w:r w:rsidR="006A163B">
        <w:rPr>
          <w:rFonts w:ascii="Times New Roman" w:hAnsi="Times New Roman" w:cs="Times New Roman"/>
          <w:i/>
          <w:iCs/>
          <w:sz w:val="24"/>
          <w:szCs w:val="24"/>
        </w:rPr>
        <w:t>u</w:t>
      </w:r>
      <w:r>
        <w:rPr>
          <w:rFonts w:ascii="Times New Roman" w:hAnsi="Times New Roman" w:cs="Times New Roman"/>
          <w:i/>
          <w:iCs/>
          <w:sz w:val="24"/>
          <w:szCs w:val="24"/>
        </w:rPr>
        <w:t>se</w:t>
      </w:r>
    </w:p>
    <w:p w14:paraId="794D8B7A" w14:textId="77777777" w:rsidR="003D58E7" w:rsidRPr="00772475" w:rsidRDefault="003D58E7" w:rsidP="00CC4C19">
      <w:pPr>
        <w:spacing w:after="0" w:line="240" w:lineRule="auto"/>
        <w:rPr>
          <w:rFonts w:ascii="Times New Roman" w:hAnsi="Times New Roman" w:cs="Times New Roman"/>
          <w:i/>
          <w:iCs/>
          <w:sz w:val="24"/>
          <w:szCs w:val="24"/>
        </w:rPr>
      </w:pPr>
    </w:p>
    <w:p w14:paraId="794D8B7B" w14:textId="77777777" w:rsidR="00CC4C19" w:rsidRDefault="00270E87" w:rsidP="00CC4C19">
      <w:pPr>
        <w:pStyle w:val="Default"/>
      </w:pPr>
      <w:r>
        <w:t>S</w:t>
      </w:r>
      <w:r w:rsidRPr="00772475">
        <w:t>ee section</w:t>
      </w:r>
      <w:r>
        <w:t xml:space="preserve"> 4.2.</w:t>
      </w:r>
    </w:p>
    <w:p w14:paraId="794D8B7C" w14:textId="77777777" w:rsidR="00CC4C19" w:rsidRDefault="00CC4C19" w:rsidP="00CC4C19">
      <w:pPr>
        <w:pStyle w:val="Default"/>
      </w:pPr>
    </w:p>
    <w:p w14:paraId="794D8B7D" w14:textId="291C82C7" w:rsidR="00CC4C19" w:rsidRDefault="00270E87" w:rsidP="00CC4C19">
      <w:pPr>
        <w:pStyle w:val="Default"/>
        <w:rPr>
          <w:i/>
        </w:rPr>
      </w:pPr>
      <w:r>
        <w:rPr>
          <w:i/>
        </w:rPr>
        <w:t xml:space="preserve">Effects on </w:t>
      </w:r>
      <w:r w:rsidR="006A163B">
        <w:rPr>
          <w:i/>
        </w:rPr>
        <w:t xml:space="preserve">laboratory tests </w:t>
      </w:r>
    </w:p>
    <w:p w14:paraId="794D8B7E" w14:textId="77777777" w:rsidR="003D58E7" w:rsidRDefault="003D58E7" w:rsidP="00CC4C19">
      <w:pPr>
        <w:pStyle w:val="Default"/>
        <w:rPr>
          <w:i/>
        </w:rPr>
      </w:pPr>
    </w:p>
    <w:p w14:paraId="794D8B7F" w14:textId="77777777" w:rsidR="00CC4C19" w:rsidRPr="00CC4C19" w:rsidRDefault="00270E87" w:rsidP="00CC4C19">
      <w:pPr>
        <w:pStyle w:val="Default"/>
      </w:pPr>
      <w:r w:rsidRPr="00CC4C19">
        <w:t>See section 4.8.</w:t>
      </w:r>
    </w:p>
    <w:p w14:paraId="794D8B81" w14:textId="77777777" w:rsidR="00C00E01" w:rsidRPr="00772475" w:rsidRDefault="00C00E01" w:rsidP="00BE00BB">
      <w:pPr>
        <w:pStyle w:val="Default"/>
      </w:pPr>
    </w:p>
    <w:p w14:paraId="794D8B82" w14:textId="77777777" w:rsidR="00D07F42" w:rsidRPr="00772475" w:rsidRDefault="00270E87" w:rsidP="00D07F42">
      <w:pPr>
        <w:pStyle w:val="Heading2"/>
        <w:keepNext/>
        <w:keepLines/>
        <w:numPr>
          <w:ilvl w:val="0"/>
          <w:numId w:val="0"/>
        </w:numPr>
        <w:spacing w:before="0" w:after="120"/>
        <w:rPr>
          <w:rFonts w:ascii="Times New Roman" w:hAnsi="Times New Roman" w:cs="Times New Roman"/>
        </w:rPr>
      </w:pPr>
      <w:r w:rsidRPr="00772475">
        <w:rPr>
          <w:rFonts w:ascii="Times New Roman" w:hAnsi="Times New Roman" w:cs="Times New Roman"/>
        </w:rPr>
        <w:t>4.5 Interactions with other medicines and other forms of interactions</w:t>
      </w:r>
    </w:p>
    <w:p w14:paraId="794D8B83" w14:textId="029EFC68" w:rsidR="00D07F42" w:rsidRDefault="00270E87" w:rsidP="00D07F42">
      <w:pPr>
        <w:pStyle w:val="Default"/>
      </w:pPr>
      <w:r w:rsidRPr="00772475">
        <w:t xml:space="preserve">Drug-drug interaction trials of VEKLURY and other concomitant medications have not been conducted. </w:t>
      </w:r>
      <w:r w:rsidRPr="001A08B7">
        <w:t xml:space="preserve">The overall potential for interactions is currently unknown; patients should remain under close observation during the days of </w:t>
      </w:r>
      <w:r w:rsidRPr="00772475">
        <w:t>VEKLURY</w:t>
      </w:r>
      <w:r w:rsidRPr="001A08B7">
        <w:t xml:space="preserve"> administration. </w:t>
      </w:r>
      <w:r w:rsidR="0004399B">
        <w:t xml:space="preserve">Chloroquine and hydroxychloroquine reduced the conversion of remdesivir to the active triphosphate form </w:t>
      </w:r>
      <w:r w:rsidR="0004399B">
        <w:rPr>
          <w:i/>
          <w:iCs/>
        </w:rPr>
        <w:t xml:space="preserve">in vitro. </w:t>
      </w:r>
      <w:r w:rsidR="0004399B">
        <w:t>C</w:t>
      </w:r>
      <w:r w:rsidRPr="001A08B7">
        <w:t xml:space="preserve">oncomitant use of </w:t>
      </w:r>
      <w:r w:rsidRPr="00772475">
        <w:t>VEKLURY</w:t>
      </w:r>
      <w:r w:rsidRPr="001A08B7">
        <w:t xml:space="preserve"> with chloroquine phosphate or hydroxychloroquine sulphate is not recommended.</w:t>
      </w:r>
    </w:p>
    <w:p w14:paraId="794D8B84" w14:textId="77777777" w:rsidR="00D07F42" w:rsidRDefault="00D07F42" w:rsidP="00D07F42">
      <w:pPr>
        <w:pStyle w:val="Default"/>
      </w:pPr>
    </w:p>
    <w:p w14:paraId="794D8B85" w14:textId="77777777" w:rsidR="00D07F42" w:rsidRPr="001A08B7" w:rsidRDefault="00270E87" w:rsidP="00D07F42">
      <w:pPr>
        <w:pStyle w:val="Default"/>
        <w:rPr>
          <w:i/>
        </w:rPr>
      </w:pPr>
      <w:r w:rsidRPr="001A08B7">
        <w:rPr>
          <w:i/>
        </w:rPr>
        <w:t>Effects of other medicinal products on remdesivir</w:t>
      </w:r>
    </w:p>
    <w:p w14:paraId="794D8B86" w14:textId="77777777" w:rsidR="00D07F42" w:rsidRDefault="00D07F42" w:rsidP="00D07F42">
      <w:pPr>
        <w:pStyle w:val="Default"/>
      </w:pPr>
    </w:p>
    <w:p w14:paraId="794D8B89" w14:textId="4D8FF534" w:rsidR="00D07F42" w:rsidRDefault="00270E87" w:rsidP="00D07F42">
      <w:pPr>
        <w:pStyle w:val="Default"/>
      </w:pPr>
      <w:r w:rsidRPr="003B7005">
        <w:rPr>
          <w:i/>
        </w:rPr>
        <w:t>In vitro</w:t>
      </w:r>
      <w:r>
        <w:t xml:space="preserve">, remdesivir is a substrate for </w:t>
      </w:r>
      <w:proofErr w:type="spellStart"/>
      <w:r>
        <w:t>esterases</w:t>
      </w:r>
      <w:proofErr w:type="spellEnd"/>
      <w:r>
        <w:t xml:space="preserve"> in plasma and tissue</w:t>
      </w:r>
      <w:r w:rsidR="00780269">
        <w:t xml:space="preserve"> and</w:t>
      </w:r>
      <w:r>
        <w:t xml:space="preserve"> drug metabolizing enzyme CYP3A4 and is a substrate for Organic Anion Transporting Polypeptides 1B1 (OATP1B1) and </w:t>
      </w:r>
      <w:r w:rsidR="00780269">
        <w:t>P-</w:t>
      </w:r>
      <w:r>
        <w:t>glycoprotein (</w:t>
      </w:r>
      <w:r w:rsidR="00780269">
        <w:t>P-</w:t>
      </w:r>
      <w:proofErr w:type="spellStart"/>
      <w:r>
        <w:t>gp</w:t>
      </w:r>
      <w:proofErr w:type="spellEnd"/>
      <w:r>
        <w:t xml:space="preserve">) transporters. </w:t>
      </w:r>
      <w:r w:rsidRPr="009F76DE">
        <w:t xml:space="preserve">GS-704277 is a substrate for OATP1B1 and OATP1B3. The clinical relevance of these </w:t>
      </w:r>
      <w:r w:rsidRPr="000C5EC7">
        <w:rPr>
          <w:i/>
          <w:iCs/>
        </w:rPr>
        <w:t>in vitro</w:t>
      </w:r>
      <w:r w:rsidRPr="009F76DE">
        <w:t xml:space="preserve"> assessments has not been established.</w:t>
      </w:r>
    </w:p>
    <w:p w14:paraId="794D8B8A" w14:textId="20075AF9" w:rsidR="00D07F42" w:rsidRDefault="00270E87" w:rsidP="00D07F42">
      <w:pPr>
        <w:pStyle w:val="Default"/>
      </w:pPr>
      <w:r>
        <w:lastRenderedPageBreak/>
        <w:t>The potential of interaction of remdesivir with inhibitors/inducers of the hydrolytic pathway (esterase) or 3A4 has not been studied. Strong inhibitors may result in increased remdesivir exposure. The use of strong inducers (</w:t>
      </w:r>
      <w:proofErr w:type="gramStart"/>
      <w:r>
        <w:t>e.g.</w:t>
      </w:r>
      <w:proofErr w:type="gramEnd"/>
      <w:r>
        <w:t xml:space="preserve"> rifampicin) may decrease plasma concentrations of remdesivir and is not recommended.</w:t>
      </w:r>
    </w:p>
    <w:p w14:paraId="794D8B8B" w14:textId="77777777" w:rsidR="00D07F42" w:rsidRDefault="00D07F42" w:rsidP="00D07F42">
      <w:pPr>
        <w:pStyle w:val="Default"/>
      </w:pPr>
    </w:p>
    <w:p w14:paraId="794D8B8C" w14:textId="5E07139F" w:rsidR="00D07F42" w:rsidRDefault="00270E87" w:rsidP="00D07F42">
      <w:pPr>
        <w:pStyle w:val="Default"/>
      </w:pPr>
      <w:r>
        <w:t>Dexamethasone is reported to be a moderate inducer of CYP3A and P-</w:t>
      </w:r>
      <w:proofErr w:type="spellStart"/>
      <w:r>
        <w:t>gp</w:t>
      </w:r>
      <w:proofErr w:type="spellEnd"/>
      <w:r>
        <w:t xml:space="preserve">. Induction is dose-dependent and occurs after multiple doses. Dexamethasone is unlikely to have a significant effect on remdesivir as remdesivir has a moderate-high hepatic extraction </w:t>
      </w:r>
      <w:proofErr w:type="gramStart"/>
      <w:r>
        <w:t>ratio, and</w:t>
      </w:r>
      <w:proofErr w:type="gramEnd"/>
      <w:r>
        <w:t xml:space="preserve"> is used for a short duration in the treatment of COVID-19.</w:t>
      </w:r>
    </w:p>
    <w:p w14:paraId="794D8B8D" w14:textId="77777777" w:rsidR="00D07F42" w:rsidRPr="00772475" w:rsidRDefault="00D07F42" w:rsidP="00D07F42">
      <w:pPr>
        <w:pStyle w:val="Default"/>
      </w:pPr>
    </w:p>
    <w:p w14:paraId="794D8B8E" w14:textId="77777777" w:rsidR="00D07F42" w:rsidRPr="003B7005" w:rsidRDefault="00270E87" w:rsidP="00D07F42">
      <w:pPr>
        <w:rPr>
          <w:rFonts w:ascii="Times New Roman" w:hAnsi="Times New Roman" w:cs="Times New Roman"/>
          <w:i/>
          <w:sz w:val="24"/>
          <w:szCs w:val="24"/>
        </w:rPr>
      </w:pPr>
      <w:r w:rsidRPr="003B7005">
        <w:rPr>
          <w:rFonts w:ascii="Times New Roman" w:hAnsi="Times New Roman" w:cs="Times New Roman"/>
          <w:i/>
          <w:sz w:val="24"/>
          <w:szCs w:val="24"/>
        </w:rPr>
        <w:t>Effects of remdesivir on other medicinal products</w:t>
      </w:r>
    </w:p>
    <w:p w14:paraId="794D8B8F" w14:textId="3E97B91D" w:rsidR="00D07F42" w:rsidRPr="003B7005" w:rsidRDefault="00270E87" w:rsidP="00AB75F6">
      <w:pPr>
        <w:pStyle w:val="Default"/>
      </w:pPr>
      <w:r w:rsidRPr="003B7005">
        <w:rPr>
          <w:i/>
        </w:rPr>
        <w:t>In vitro</w:t>
      </w:r>
      <w:r w:rsidRPr="003B7005">
        <w:t xml:space="preserve">, remdesivir is an inhibitor of CYP3A4, </w:t>
      </w:r>
      <w:r w:rsidR="00CB30CF">
        <w:t>UGT1A1, UGT1A3, UGT1A4,</w:t>
      </w:r>
      <w:r w:rsidR="00491936">
        <w:t xml:space="preserve"> </w:t>
      </w:r>
      <w:r w:rsidRPr="003B7005">
        <w:t>OATP1B1</w:t>
      </w:r>
      <w:r w:rsidR="007B7911">
        <w:t>,</w:t>
      </w:r>
      <w:r w:rsidRPr="003B7005">
        <w:t xml:space="preserve"> OATP1B3</w:t>
      </w:r>
      <w:r w:rsidR="00555B41">
        <w:t>,</w:t>
      </w:r>
      <w:r w:rsidR="00EC5811">
        <w:t xml:space="preserve"> </w:t>
      </w:r>
      <w:r w:rsidR="00A052ED">
        <w:t xml:space="preserve">OAT3, OCT1, </w:t>
      </w:r>
      <w:r w:rsidR="00B00078">
        <w:t xml:space="preserve">MRP4 </w:t>
      </w:r>
      <w:r w:rsidR="00EC5811">
        <w:t>and MATE1</w:t>
      </w:r>
      <w:r w:rsidR="00EC5811" w:rsidRPr="003B7005">
        <w:t xml:space="preserve">. </w:t>
      </w:r>
      <w:r w:rsidR="00EC5811" w:rsidRPr="009F76DE">
        <w:rPr>
          <w:color w:val="auto"/>
        </w:rPr>
        <w:t>Based on modelling and simulation, no clinically significant drug-drug interactions are expected with substrates of CYP3A4, OATP 1B1/1B3 or MATE1</w:t>
      </w:r>
      <w:r w:rsidRPr="003B7005">
        <w:t xml:space="preserve">. </w:t>
      </w:r>
      <w:r w:rsidR="00EC5811">
        <w:t>VEKLURY</w:t>
      </w:r>
      <w:r w:rsidR="00EC5811" w:rsidRPr="003B7005">
        <w:t xml:space="preserve"> </w:t>
      </w:r>
      <w:r w:rsidRPr="003B7005">
        <w:t xml:space="preserve">induced CYP1A2 </w:t>
      </w:r>
      <w:r w:rsidR="00B00078">
        <w:t xml:space="preserve">and CYP2B6 </w:t>
      </w:r>
      <w:r w:rsidRPr="003B7005">
        <w:t xml:space="preserve">and potentially CYP3A </w:t>
      </w:r>
      <w:r w:rsidRPr="00FD1608">
        <w:rPr>
          <w:i/>
        </w:rPr>
        <w:t>in vitro</w:t>
      </w:r>
      <w:r w:rsidRPr="003B7005">
        <w:t xml:space="preserve">. Co-administration of remdesivir with CYP1A2 </w:t>
      </w:r>
      <w:r w:rsidR="00B00078">
        <w:t xml:space="preserve">or CYP2B6 </w:t>
      </w:r>
      <w:r w:rsidRPr="003B7005">
        <w:t>substrates with narrow therapeutic index may lead to loss of their efficacy.</w:t>
      </w:r>
    </w:p>
    <w:p w14:paraId="794D8B91" w14:textId="2C41CBAA" w:rsidR="00B33DEB" w:rsidRDefault="00B33DEB" w:rsidP="00AB75F6">
      <w:pPr>
        <w:pStyle w:val="Default"/>
      </w:pPr>
    </w:p>
    <w:p w14:paraId="794D8B93" w14:textId="77777777" w:rsidR="00D07F42" w:rsidRPr="00772475" w:rsidRDefault="00270E87" w:rsidP="00D07F42">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4.6 Fertility, pregnancy and lactation </w:t>
      </w:r>
    </w:p>
    <w:p w14:paraId="794D8B94" w14:textId="77777777" w:rsidR="00D07F42" w:rsidRPr="00AB75F6" w:rsidRDefault="00270E87"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t>Effects on fertility</w:t>
      </w:r>
    </w:p>
    <w:p w14:paraId="794D8B95" w14:textId="77777777" w:rsidR="00EC5811" w:rsidRDefault="00270E87" w:rsidP="00EC5811">
      <w:pPr>
        <w:pStyle w:val="Default"/>
      </w:pPr>
      <w:r w:rsidRPr="00772475">
        <w:t xml:space="preserve">No human data on the effect of VEKLURY on fertility are available. </w:t>
      </w:r>
      <w:r w:rsidRPr="00340B3D">
        <w:t>In female rats, decreases in corpora lutea, implantation sites, and viable embryos</w:t>
      </w:r>
      <w:r>
        <w:t xml:space="preserve"> </w:t>
      </w:r>
      <w:r w:rsidRPr="00340B3D">
        <w:t xml:space="preserve">were seen when remdesivir was administered intravenously daily at an intravenous dose of 10 mg/kg/day 14 days prior to mating and during conception; exposures of the predominant circulating metabolite </w:t>
      </w:r>
    </w:p>
    <w:p w14:paraId="794D8B96" w14:textId="6524CD8A" w:rsidR="00D07F42" w:rsidRPr="00772475" w:rsidRDefault="00270E87" w:rsidP="00EC5811">
      <w:pPr>
        <w:pStyle w:val="Default"/>
      </w:pPr>
      <w:r w:rsidRPr="00340B3D">
        <w:t>(GS</w:t>
      </w:r>
      <w:r>
        <w:t>-</w:t>
      </w:r>
      <w:r w:rsidRPr="00340B3D">
        <w:t>441524) were 1.</w:t>
      </w:r>
      <w:r>
        <w:t>3</w:t>
      </w:r>
      <w:r w:rsidRPr="00340B3D">
        <w:t xml:space="preserve"> times the exposure in adult human subjects at </w:t>
      </w:r>
      <w:r>
        <w:t>the recommended clinical dose</w:t>
      </w:r>
      <w:r w:rsidRPr="00340B3D">
        <w:t>. There were no effects on male reproductive performance (mating and fertility) at this dose level. Exposures to remdesivir were unquantifiable in rats. Therefore, the animal studies may not be fully informative of potential risks.</w:t>
      </w:r>
    </w:p>
    <w:p w14:paraId="794D8B97" w14:textId="77777777" w:rsidR="00D07F42" w:rsidRDefault="00D07F42" w:rsidP="00D07F42">
      <w:pPr>
        <w:pStyle w:val="Heading3"/>
        <w:spacing w:before="0" w:after="120"/>
        <w:ind w:left="0"/>
        <w:rPr>
          <w:rFonts w:ascii="Times New Roman" w:hAnsi="Times New Roman" w:cs="Times New Roman"/>
        </w:rPr>
      </w:pPr>
    </w:p>
    <w:p w14:paraId="794D8B98" w14:textId="77777777" w:rsidR="00D07F42" w:rsidRPr="00AB75F6" w:rsidRDefault="00270E87"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t xml:space="preserve">Use in pregnancy – Pregnancy Category </w:t>
      </w:r>
      <w:r w:rsidR="00F50DAE">
        <w:rPr>
          <w:rFonts w:ascii="Times New Roman" w:hAnsi="Times New Roman" w:cs="Times New Roman"/>
          <w:sz w:val="24"/>
          <w:szCs w:val="24"/>
        </w:rPr>
        <w:t>B2</w:t>
      </w:r>
    </w:p>
    <w:p w14:paraId="794D8B99" w14:textId="4FEE1008" w:rsidR="00D07F42" w:rsidRDefault="00270E87" w:rsidP="00D07F42">
      <w:pPr>
        <w:pStyle w:val="Default"/>
      </w:pPr>
      <w:r w:rsidRPr="00772475">
        <w:t xml:space="preserve">No adequate and well-controlled studies of VEKLURY use in pregnant women have been conducted. VEKLURY should be used during pregnancy only if the potential benefit justifies the potential risk for the mother and the </w:t>
      </w:r>
      <w:proofErr w:type="spellStart"/>
      <w:r w:rsidRPr="00772475">
        <w:t>fetus</w:t>
      </w:r>
      <w:proofErr w:type="spellEnd"/>
      <w:r w:rsidRPr="00772475">
        <w:t xml:space="preserve">. </w:t>
      </w:r>
    </w:p>
    <w:p w14:paraId="794D8B9A" w14:textId="77777777" w:rsidR="00D07F42" w:rsidRPr="00772475" w:rsidRDefault="00D07F42" w:rsidP="00D07F42">
      <w:pPr>
        <w:pStyle w:val="Default"/>
      </w:pPr>
    </w:p>
    <w:p w14:paraId="794D8B9B" w14:textId="77777777" w:rsidR="00D07F42" w:rsidRPr="00772475" w:rsidRDefault="00270E87" w:rsidP="00D07F42">
      <w:pPr>
        <w:pStyle w:val="Default"/>
      </w:pPr>
      <w:r w:rsidRPr="00FD1608">
        <w:t xml:space="preserve">Women of child-bearing potential </w:t>
      </w:r>
      <w:proofErr w:type="gramStart"/>
      <w:r w:rsidRPr="00FD1608">
        <w:t>have to</w:t>
      </w:r>
      <w:proofErr w:type="gramEnd"/>
      <w:r w:rsidRPr="00FD1608">
        <w:t xml:space="preserve"> use effective contraception during treatment.</w:t>
      </w:r>
    </w:p>
    <w:p w14:paraId="794D8B9C" w14:textId="77777777" w:rsidR="00D07F42" w:rsidRDefault="00D07F42" w:rsidP="00D07F42">
      <w:pPr>
        <w:spacing w:after="0" w:line="240" w:lineRule="auto"/>
        <w:rPr>
          <w:rFonts w:ascii="Times New Roman" w:hAnsi="Times New Roman" w:cs="Times New Roman"/>
          <w:sz w:val="24"/>
          <w:szCs w:val="24"/>
        </w:rPr>
      </w:pPr>
    </w:p>
    <w:p w14:paraId="794D8B9D" w14:textId="749B2BED" w:rsidR="00EC5811" w:rsidRDefault="00270E87" w:rsidP="00EC5811">
      <w:pPr>
        <w:spacing w:after="0" w:line="240" w:lineRule="auto"/>
        <w:rPr>
          <w:rFonts w:ascii="Times New Roman" w:hAnsi="Times New Roman" w:cs="Times New Roman"/>
          <w:sz w:val="24"/>
          <w:szCs w:val="24"/>
        </w:rPr>
      </w:pPr>
      <w:r w:rsidRPr="00340B3D">
        <w:rPr>
          <w:rFonts w:ascii="Times New Roman" w:hAnsi="Times New Roman" w:cs="Times New Roman"/>
          <w:sz w:val="24"/>
          <w:szCs w:val="24"/>
        </w:rPr>
        <w:t>It is unknown if remdesivir or its metabolites cross the placenta. No adverse effects on embryofetal development were seen in rats and rabbits at ≤</w:t>
      </w:r>
      <w:r w:rsidR="00460703">
        <w:rPr>
          <w:rFonts w:ascii="Times New Roman" w:hAnsi="Times New Roman" w:cs="Times New Roman"/>
          <w:sz w:val="24"/>
          <w:szCs w:val="24"/>
        </w:rPr>
        <w:t xml:space="preserve"> </w:t>
      </w:r>
      <w:r w:rsidRPr="00340B3D">
        <w:rPr>
          <w:rFonts w:ascii="Times New Roman" w:hAnsi="Times New Roman" w:cs="Times New Roman"/>
          <w:sz w:val="24"/>
          <w:szCs w:val="24"/>
        </w:rPr>
        <w:t>20 mg/kg/day IV remdesivir. Systemic exposures (AUC) to the predominant circulating metabolite of remdesivir (GS</w:t>
      </w:r>
      <w:r>
        <w:rPr>
          <w:rFonts w:ascii="Times New Roman" w:hAnsi="Times New Roman" w:cs="Times New Roman"/>
          <w:sz w:val="24"/>
          <w:szCs w:val="24"/>
        </w:rPr>
        <w:t>-</w:t>
      </w:r>
      <w:r w:rsidRPr="00340B3D">
        <w:rPr>
          <w:rFonts w:ascii="Times New Roman" w:hAnsi="Times New Roman" w:cs="Times New Roman"/>
          <w:sz w:val="24"/>
          <w:szCs w:val="24"/>
        </w:rPr>
        <w:t xml:space="preserve"> 441524) were up to 4 times the exposure in adult human subjects at </w:t>
      </w:r>
      <w:r>
        <w:rPr>
          <w:rFonts w:ascii="Times New Roman" w:hAnsi="Times New Roman" w:cs="Times New Roman"/>
          <w:sz w:val="24"/>
          <w:szCs w:val="24"/>
        </w:rPr>
        <w:t>the recommended clinical</w:t>
      </w:r>
      <w:r w:rsidRPr="00340B3D">
        <w:rPr>
          <w:rFonts w:ascii="Times New Roman" w:hAnsi="Times New Roman" w:cs="Times New Roman"/>
          <w:sz w:val="24"/>
          <w:szCs w:val="24"/>
        </w:rPr>
        <w:t xml:space="preserve"> dose, while exposures to remdesivir in rabbits were </w:t>
      </w:r>
      <w:proofErr w:type="gramStart"/>
      <w:r w:rsidRPr="00340B3D">
        <w:rPr>
          <w:rFonts w:ascii="Times New Roman" w:hAnsi="Times New Roman" w:cs="Times New Roman"/>
          <w:sz w:val="24"/>
          <w:szCs w:val="24"/>
        </w:rPr>
        <w:t>similar to</w:t>
      </w:r>
      <w:proofErr w:type="gramEnd"/>
      <w:r w:rsidRPr="00340B3D">
        <w:rPr>
          <w:rFonts w:ascii="Times New Roman" w:hAnsi="Times New Roman" w:cs="Times New Roman"/>
          <w:sz w:val="24"/>
          <w:szCs w:val="24"/>
        </w:rPr>
        <w:t xml:space="preserve"> that expected in adult patients at this dose. Exposures to remdesivir in rats were unquantifiable.</w:t>
      </w:r>
    </w:p>
    <w:p w14:paraId="794D8BA3" w14:textId="7AE9E822" w:rsidR="00D07F42" w:rsidRDefault="00270E87" w:rsidP="00F66771">
      <w:pPr>
        <w:spacing w:after="0" w:line="240" w:lineRule="auto"/>
        <w:rPr>
          <w:rFonts w:ascii="Times New Roman" w:hAnsi="Times New Roman" w:cs="Times New Roman"/>
          <w:b/>
          <w:bCs/>
          <w:sz w:val="24"/>
          <w:szCs w:val="24"/>
        </w:rPr>
      </w:pPr>
      <w:r w:rsidRPr="00182994">
        <w:rPr>
          <w:rFonts w:ascii="Times New Roman" w:hAnsi="Times New Roman" w:cs="Times New Roman"/>
          <w:b/>
          <w:bCs/>
          <w:sz w:val="24"/>
          <w:szCs w:val="24"/>
        </w:rPr>
        <w:t>Use in lactation</w:t>
      </w:r>
    </w:p>
    <w:p w14:paraId="19EAD5E5" w14:textId="77777777" w:rsidR="00B00078" w:rsidRPr="00B00078" w:rsidRDefault="00B00078" w:rsidP="00F66771">
      <w:pPr>
        <w:spacing w:after="0" w:line="240" w:lineRule="auto"/>
        <w:rPr>
          <w:rFonts w:ascii="Times New Roman" w:hAnsi="Times New Roman" w:cs="Times New Roman"/>
          <w:b/>
          <w:bCs/>
          <w:sz w:val="24"/>
          <w:szCs w:val="24"/>
        </w:rPr>
      </w:pPr>
    </w:p>
    <w:p w14:paraId="794D8BA4" w14:textId="77777777" w:rsidR="00D07F42" w:rsidRPr="00772475" w:rsidRDefault="00270E87" w:rsidP="00D07F42">
      <w:pPr>
        <w:pStyle w:val="Default"/>
      </w:pPr>
      <w:r w:rsidRPr="00772475">
        <w:lastRenderedPageBreak/>
        <w:t xml:space="preserve">There is no information regarding the presence of remdesivir in human milk, the effects on the breastfed infant, or the effects on milk production. </w:t>
      </w:r>
    </w:p>
    <w:p w14:paraId="794D8BA5" w14:textId="77777777" w:rsidR="00D07F42" w:rsidRPr="00772475" w:rsidRDefault="00D07F42" w:rsidP="00D07F42">
      <w:pPr>
        <w:pStyle w:val="Default"/>
      </w:pPr>
    </w:p>
    <w:p w14:paraId="794D8BA6" w14:textId="66BBC15E" w:rsidR="00D07F42" w:rsidRDefault="00270E87" w:rsidP="00D07F42">
      <w:pPr>
        <w:pStyle w:val="Default"/>
      </w:pPr>
      <w:r w:rsidRPr="00772475">
        <w:t xml:space="preserve">In animal studies, </w:t>
      </w:r>
      <w:r w:rsidRPr="00FD1608">
        <w:t>the nucleoside analog</w:t>
      </w:r>
      <w:r w:rsidR="00074C8C">
        <w:t>ue</w:t>
      </w:r>
      <w:r w:rsidRPr="00FD1608">
        <w:t xml:space="preserve"> metabolite GS</w:t>
      </w:r>
      <w:r w:rsidR="00D62F69">
        <w:t>-</w:t>
      </w:r>
      <w:r w:rsidRPr="00FD1608">
        <w:t xml:space="preserve">441524 </w:t>
      </w:r>
      <w:r>
        <w:t>has</w:t>
      </w:r>
      <w:r w:rsidRPr="00772475">
        <w:t xml:space="preserve"> been detected in the</w:t>
      </w:r>
      <w:r>
        <w:t xml:space="preserve"> blood of</w:t>
      </w:r>
      <w:r w:rsidRPr="00772475">
        <w:t xml:space="preserve"> nursing </w:t>
      </w:r>
      <w:r>
        <w:t xml:space="preserve">rat </w:t>
      </w:r>
      <w:r w:rsidRPr="00772475">
        <w:t>pups of mothers given remdesivir</w:t>
      </w:r>
      <w:r w:rsidR="006B5218">
        <w:t>.</w:t>
      </w:r>
      <w:r w:rsidR="006B5218" w:rsidRPr="00772475">
        <w:t xml:space="preserve"> </w:t>
      </w:r>
      <w:r w:rsidRPr="000D3E89">
        <w:t>Therefore, excretion of remdesivir and/or metabolites into the milk of lactating animals can be assumed.</w:t>
      </w:r>
      <w:r w:rsidRPr="00772475">
        <w:t xml:space="preserve"> </w:t>
      </w:r>
    </w:p>
    <w:p w14:paraId="794D8BA7" w14:textId="034B2EEA" w:rsidR="00D07F42" w:rsidRDefault="00270E87" w:rsidP="00D07F42">
      <w:pPr>
        <w:pStyle w:val="Default"/>
      </w:pPr>
      <w:r w:rsidRPr="00772475">
        <w:t xml:space="preserve">Because of the potential </w:t>
      </w:r>
      <w:r w:rsidRPr="000D3E89">
        <w:t>for viral transmission to SARS-CoV</w:t>
      </w:r>
      <w:r w:rsidRPr="000D3E89">
        <w:noBreakHyphen/>
        <w:t>2</w:t>
      </w:r>
      <w:r w:rsidRPr="000D3E89">
        <w:noBreakHyphen/>
        <w:t xml:space="preserve">negative infants </w:t>
      </w:r>
      <w:r>
        <w:t>and</w:t>
      </w:r>
      <w:r w:rsidRPr="00772475">
        <w:t xml:space="preserve"> adverse reactions from the drug in breastfeeding infants, the developmental and health benefits of breastfeeding should be considered along with the mother’s clinical need for VEKLURY and any potential adverse effects on the breastfed child from VEKLURY or from the underlying maternal condition.</w:t>
      </w:r>
    </w:p>
    <w:p w14:paraId="794D8BA9" w14:textId="77777777" w:rsidR="00D07F42" w:rsidRPr="00772475" w:rsidRDefault="00D07F42" w:rsidP="00D07F42">
      <w:pPr>
        <w:spacing w:after="0" w:line="240" w:lineRule="auto"/>
        <w:rPr>
          <w:rFonts w:ascii="Times New Roman" w:hAnsi="Times New Roman" w:cs="Times New Roman"/>
          <w:sz w:val="24"/>
          <w:szCs w:val="24"/>
        </w:rPr>
      </w:pPr>
    </w:p>
    <w:p w14:paraId="794D8BAA" w14:textId="77777777" w:rsidR="00D07F42" w:rsidRPr="00772475" w:rsidRDefault="00270E87" w:rsidP="00D07F42">
      <w:pPr>
        <w:pStyle w:val="Heading2"/>
        <w:numPr>
          <w:ilvl w:val="0"/>
          <w:numId w:val="0"/>
        </w:numPr>
        <w:spacing w:before="0" w:after="120"/>
        <w:rPr>
          <w:rFonts w:ascii="Times New Roman" w:hAnsi="Times New Roman" w:cs="Times New Roman"/>
        </w:rPr>
      </w:pPr>
      <w:r w:rsidRPr="00772475">
        <w:rPr>
          <w:rFonts w:ascii="Times New Roman" w:hAnsi="Times New Roman" w:cs="Times New Roman"/>
        </w:rPr>
        <w:t xml:space="preserve">4.7 Effects on ability to drive and use machines </w:t>
      </w:r>
    </w:p>
    <w:p w14:paraId="794D8BAB" w14:textId="77777777" w:rsidR="00D07F42" w:rsidRDefault="00270E87" w:rsidP="00D07F42">
      <w:pPr>
        <w:spacing w:line="240" w:lineRule="auto"/>
        <w:rPr>
          <w:rFonts w:ascii="Times New Roman" w:hAnsi="Times New Roman" w:cs="Times New Roman"/>
          <w:sz w:val="24"/>
          <w:szCs w:val="24"/>
        </w:rPr>
      </w:pPr>
      <w:r w:rsidRPr="00772475">
        <w:rPr>
          <w:rFonts w:ascii="Times New Roman" w:hAnsi="Times New Roman" w:cs="Times New Roman"/>
          <w:sz w:val="24"/>
          <w:szCs w:val="24"/>
        </w:rPr>
        <w:t xml:space="preserve">No studies on the effects of VEKLURY on the ability to drive and use machines have been performed. </w:t>
      </w:r>
    </w:p>
    <w:p w14:paraId="794D8BAD" w14:textId="77777777" w:rsidR="00D07F42" w:rsidRPr="00772475" w:rsidRDefault="00270E87" w:rsidP="002B7E57">
      <w:pPr>
        <w:pStyle w:val="Heading2"/>
        <w:keepNext/>
        <w:keepLines/>
        <w:numPr>
          <w:ilvl w:val="0"/>
          <w:numId w:val="0"/>
        </w:numPr>
        <w:spacing w:before="0" w:after="0"/>
        <w:rPr>
          <w:rFonts w:ascii="Times New Roman" w:hAnsi="Times New Roman" w:cs="Times New Roman"/>
        </w:rPr>
      </w:pPr>
      <w:r w:rsidRPr="00772475">
        <w:rPr>
          <w:rFonts w:ascii="Times New Roman" w:hAnsi="Times New Roman" w:cs="Times New Roman"/>
        </w:rPr>
        <w:t>4.8 Adverse effects (Undesirable effects)</w:t>
      </w:r>
    </w:p>
    <w:p w14:paraId="794D8BAE" w14:textId="77777777" w:rsidR="00D07F42" w:rsidRPr="00772475" w:rsidRDefault="00D07F42" w:rsidP="00D07F42">
      <w:pPr>
        <w:pStyle w:val="Default"/>
      </w:pPr>
    </w:p>
    <w:p w14:paraId="794D8BAF" w14:textId="6C57A5A0" w:rsidR="00D07F42" w:rsidRPr="00772475" w:rsidRDefault="00270E87" w:rsidP="00D07F42">
      <w:pPr>
        <w:pStyle w:val="Default"/>
        <w:rPr>
          <w:u w:val="single"/>
        </w:rPr>
      </w:pPr>
      <w:r w:rsidRPr="00772475">
        <w:rPr>
          <w:u w:val="single"/>
        </w:rPr>
        <w:t>Experience from Clinical Studies</w:t>
      </w:r>
    </w:p>
    <w:p w14:paraId="794D8BB0" w14:textId="77777777" w:rsidR="00D62F69" w:rsidRDefault="00D62F69" w:rsidP="00D07F42">
      <w:pPr>
        <w:pStyle w:val="Default"/>
        <w:rPr>
          <w:u w:val="single"/>
        </w:rPr>
      </w:pPr>
    </w:p>
    <w:p w14:paraId="794D8BB1" w14:textId="77777777" w:rsidR="00D07F42" w:rsidRPr="00772475" w:rsidRDefault="00270E87" w:rsidP="00D07F42">
      <w:pPr>
        <w:pStyle w:val="Default"/>
        <w:rPr>
          <w:u w:val="single"/>
        </w:rPr>
      </w:pPr>
      <w:r w:rsidRPr="00772475">
        <w:rPr>
          <w:u w:val="single"/>
        </w:rPr>
        <w:t>Summary of the safety profile</w:t>
      </w:r>
    </w:p>
    <w:p w14:paraId="794D8BB2" w14:textId="77777777" w:rsidR="00D07F42" w:rsidRPr="00772475" w:rsidRDefault="00D07F42" w:rsidP="00D07F42">
      <w:pPr>
        <w:pStyle w:val="Default"/>
        <w:rPr>
          <w:u w:val="single"/>
        </w:rPr>
      </w:pPr>
    </w:p>
    <w:p w14:paraId="794D8BB3" w14:textId="77777777" w:rsidR="00D07F42" w:rsidRPr="00772475" w:rsidRDefault="00270E87" w:rsidP="00D07F42">
      <w:pPr>
        <w:pStyle w:val="Default"/>
      </w:pPr>
      <w:r w:rsidRPr="0008589E">
        <w:t>The most common adverse reaction in healthy volunteers is increased transaminases (14%). The most common adverse reaction in patients with COVID-19 is nausea (4%).</w:t>
      </w:r>
    </w:p>
    <w:p w14:paraId="794D8BB4" w14:textId="77777777" w:rsidR="00AB3F00" w:rsidRDefault="00AB3F00" w:rsidP="00D07F42">
      <w:pPr>
        <w:pStyle w:val="Default"/>
        <w:rPr>
          <w:u w:val="single"/>
        </w:rPr>
      </w:pPr>
    </w:p>
    <w:p w14:paraId="794D8BB5" w14:textId="77777777" w:rsidR="00D07F42" w:rsidRPr="00772475" w:rsidRDefault="00270E87" w:rsidP="00D07F42">
      <w:pPr>
        <w:pStyle w:val="Default"/>
        <w:rPr>
          <w:u w:val="single"/>
        </w:rPr>
      </w:pPr>
      <w:r w:rsidRPr="00772475">
        <w:rPr>
          <w:u w:val="single"/>
        </w:rPr>
        <w:t>Tabulated summary of adverse reactions</w:t>
      </w:r>
    </w:p>
    <w:p w14:paraId="794D8BB6" w14:textId="77777777" w:rsidR="00D07F42" w:rsidRPr="00772475" w:rsidRDefault="00D07F42" w:rsidP="00D07F42">
      <w:pPr>
        <w:pStyle w:val="Default"/>
        <w:rPr>
          <w:u w:val="single"/>
        </w:rPr>
      </w:pPr>
    </w:p>
    <w:p w14:paraId="794D8BB7" w14:textId="606259E7" w:rsidR="00D07F42" w:rsidRPr="00772475" w:rsidRDefault="00270E87" w:rsidP="00D07F42">
      <w:pPr>
        <w:pStyle w:val="Default"/>
      </w:pPr>
      <w:r w:rsidRPr="00772475">
        <w:t xml:space="preserve">The adverse reactions in Table </w:t>
      </w:r>
      <w:r w:rsidR="00B80402">
        <w:t>4</w:t>
      </w:r>
      <w:r w:rsidR="00361FF8" w:rsidRPr="00772475">
        <w:t xml:space="preserve"> </w:t>
      </w:r>
      <w:r w:rsidRPr="00772475">
        <w:t xml:space="preserve">are listed below by system organ class and frequency. Frequencies are defined as follows: </w:t>
      </w:r>
      <w:r w:rsidR="00EC5811">
        <w:t>v</w:t>
      </w:r>
      <w:r w:rsidRPr="00772475">
        <w:t>ery common (≥1/10); common (≥1/100 to &lt;1/10); uncommon (≥1/1,000 to &lt;1/100)</w:t>
      </w:r>
      <w:r w:rsidR="00CD3C1F">
        <w:t>,</w:t>
      </w:r>
      <w:r w:rsidR="00EC5811">
        <w:t xml:space="preserve"> rare </w:t>
      </w:r>
      <w:r w:rsidR="00EC5811" w:rsidRPr="00115D05">
        <w:t>(≥1/10,000 to &lt;1/1,000</w:t>
      </w:r>
      <w:r w:rsidR="00384733">
        <w:t>).</w:t>
      </w:r>
    </w:p>
    <w:p w14:paraId="794D8BB8" w14:textId="77777777" w:rsidR="00D07F42" w:rsidRPr="00772475" w:rsidRDefault="00D07F42" w:rsidP="00D07F42">
      <w:pPr>
        <w:pStyle w:val="Default"/>
        <w:rPr>
          <w:u w:val="single"/>
        </w:rPr>
      </w:pPr>
    </w:p>
    <w:p w14:paraId="794D8BB9" w14:textId="381FDD51" w:rsidR="00D07F42" w:rsidRPr="0089047F" w:rsidRDefault="00270E87" w:rsidP="00D07F42">
      <w:pPr>
        <w:pStyle w:val="Default"/>
        <w:rPr>
          <w:b/>
        </w:rPr>
      </w:pPr>
      <w:r w:rsidRPr="0089047F">
        <w:rPr>
          <w:b/>
        </w:rPr>
        <w:t xml:space="preserve">Table </w:t>
      </w:r>
      <w:r w:rsidR="00B80402">
        <w:rPr>
          <w:b/>
        </w:rPr>
        <w:t>4</w:t>
      </w:r>
      <w:r w:rsidRPr="0089047F">
        <w:rPr>
          <w:b/>
        </w:rPr>
        <w:t>:</w:t>
      </w:r>
      <w:r w:rsidRPr="0089047F">
        <w:rPr>
          <w:b/>
        </w:rPr>
        <w:tab/>
        <w:t>Tabulated list of adverse reactions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048"/>
        <w:gridCol w:w="18"/>
        <w:gridCol w:w="6126"/>
      </w:tblGrid>
      <w:tr w:rsidR="0054749D" w14:paraId="794D8BBD" w14:textId="77777777" w:rsidTr="002B7E57">
        <w:trPr>
          <w:tblHeader/>
        </w:trPr>
        <w:tc>
          <w:tcPr>
            <w:tcW w:w="1658"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794D8BBB" w14:textId="77777777" w:rsidR="00D07F42" w:rsidRPr="0008589E" w:rsidRDefault="00270E87" w:rsidP="00373301">
            <w:pPr>
              <w:pStyle w:val="Default"/>
              <w:spacing w:before="60" w:after="60"/>
              <w:rPr>
                <w:sz w:val="22"/>
                <w:szCs w:val="22"/>
                <w:u w:val="single"/>
              </w:rPr>
            </w:pPr>
            <w:r w:rsidRPr="0008589E">
              <w:rPr>
                <w:sz w:val="22"/>
                <w:szCs w:val="22"/>
              </w:rPr>
              <w:t>Frequency</w:t>
            </w:r>
          </w:p>
        </w:tc>
        <w:tc>
          <w:tcPr>
            <w:tcW w:w="3342" w:type="pct"/>
            <w:gridSpan w:val="2"/>
            <w:tcBorders>
              <w:top w:val="single" w:sz="12" w:space="0" w:color="auto"/>
              <w:left w:val="single" w:sz="6" w:space="0" w:color="auto"/>
              <w:bottom w:val="single" w:sz="12" w:space="0" w:color="auto"/>
            </w:tcBorders>
            <w:shd w:val="clear" w:color="auto" w:fill="auto"/>
            <w:tcMar>
              <w:left w:w="115" w:type="dxa"/>
              <w:right w:w="115" w:type="dxa"/>
            </w:tcMar>
            <w:vAlign w:val="bottom"/>
          </w:tcPr>
          <w:p w14:paraId="794D8BBC" w14:textId="77777777" w:rsidR="00D07F42" w:rsidRPr="0008589E" w:rsidRDefault="00270E87" w:rsidP="00373301">
            <w:pPr>
              <w:pStyle w:val="Default"/>
              <w:spacing w:before="60" w:after="60"/>
              <w:jc w:val="center"/>
              <w:rPr>
                <w:sz w:val="22"/>
                <w:szCs w:val="22"/>
                <w:u w:val="single"/>
              </w:rPr>
            </w:pPr>
            <w:r w:rsidRPr="0008589E">
              <w:rPr>
                <w:sz w:val="22"/>
                <w:szCs w:val="22"/>
              </w:rPr>
              <w:t>Adverse reaction</w:t>
            </w:r>
          </w:p>
        </w:tc>
      </w:tr>
      <w:tr w:rsidR="0054749D" w14:paraId="794D8BBF" w14:textId="77777777" w:rsidTr="00EF36DE">
        <w:tc>
          <w:tcPr>
            <w:tcW w:w="5000" w:type="pct"/>
            <w:gridSpan w:val="3"/>
            <w:tcBorders>
              <w:top w:val="single" w:sz="12" w:space="0" w:color="auto"/>
              <w:left w:val="nil"/>
              <w:bottom w:val="single" w:sz="4" w:space="0" w:color="auto"/>
              <w:right w:val="nil"/>
            </w:tcBorders>
            <w:shd w:val="clear" w:color="auto" w:fill="auto"/>
            <w:tcMar>
              <w:left w:w="115" w:type="dxa"/>
              <w:right w:w="115" w:type="dxa"/>
            </w:tcMar>
            <w:vAlign w:val="bottom"/>
          </w:tcPr>
          <w:p w14:paraId="794D8BBE" w14:textId="77777777" w:rsidR="00D07F42" w:rsidRPr="004977D0" w:rsidRDefault="00270E87" w:rsidP="00373301">
            <w:pPr>
              <w:pStyle w:val="Default"/>
              <w:spacing w:before="60" w:after="60"/>
              <w:rPr>
                <w:i/>
                <w:sz w:val="22"/>
                <w:szCs w:val="22"/>
              </w:rPr>
            </w:pPr>
            <w:r w:rsidRPr="004977D0">
              <w:rPr>
                <w:i/>
                <w:sz w:val="22"/>
                <w:szCs w:val="22"/>
              </w:rPr>
              <w:t>Immune system disorders</w:t>
            </w:r>
          </w:p>
        </w:tc>
      </w:tr>
      <w:tr w:rsidR="0054749D" w14:paraId="794D8BC2"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94D8BC0" w14:textId="77777777" w:rsidR="00D07F42" w:rsidRPr="0008589E" w:rsidRDefault="00270E87" w:rsidP="00373301">
            <w:pPr>
              <w:pStyle w:val="Default"/>
              <w:spacing w:before="60" w:after="60"/>
              <w:rPr>
                <w:sz w:val="22"/>
                <w:szCs w:val="22"/>
              </w:rPr>
            </w:pPr>
            <w:r w:rsidRPr="0008589E">
              <w:rPr>
                <w:sz w:val="22"/>
                <w:szCs w:val="22"/>
              </w:rPr>
              <w:t>Rare</w:t>
            </w:r>
          </w:p>
        </w:tc>
        <w:tc>
          <w:tcPr>
            <w:tcW w:w="3342" w:type="pct"/>
            <w:gridSpan w:val="2"/>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94D8BC1" w14:textId="77777777" w:rsidR="00D07F42" w:rsidRPr="004977D0" w:rsidRDefault="00270E87" w:rsidP="00373301">
            <w:pPr>
              <w:pStyle w:val="Default"/>
              <w:spacing w:before="60" w:after="60"/>
              <w:rPr>
                <w:sz w:val="22"/>
                <w:szCs w:val="22"/>
              </w:rPr>
            </w:pPr>
            <w:r w:rsidRPr="004977D0">
              <w:rPr>
                <w:sz w:val="22"/>
                <w:szCs w:val="22"/>
              </w:rPr>
              <w:t>hypersensitivity</w:t>
            </w:r>
          </w:p>
        </w:tc>
      </w:tr>
      <w:tr w:rsidR="0054749D" w14:paraId="794D8BC7" w14:textId="77777777" w:rsidTr="00EF36DE">
        <w:tc>
          <w:tcPr>
            <w:tcW w:w="5000" w:type="pct"/>
            <w:gridSpan w:val="3"/>
            <w:tcBorders>
              <w:top w:val="single" w:sz="4" w:space="0" w:color="auto"/>
              <w:left w:val="nil"/>
              <w:bottom w:val="single" w:sz="4" w:space="0" w:color="auto"/>
              <w:right w:val="nil"/>
            </w:tcBorders>
            <w:shd w:val="clear" w:color="auto" w:fill="auto"/>
            <w:tcMar>
              <w:left w:w="115" w:type="dxa"/>
              <w:right w:w="115" w:type="dxa"/>
            </w:tcMar>
            <w:vAlign w:val="bottom"/>
          </w:tcPr>
          <w:p w14:paraId="794D8BC6" w14:textId="0EE6DCF8" w:rsidR="00D07F42" w:rsidRPr="004977D0" w:rsidRDefault="00270E87" w:rsidP="00373301">
            <w:pPr>
              <w:pStyle w:val="Default"/>
              <w:spacing w:before="60" w:after="60"/>
              <w:rPr>
                <w:i/>
                <w:sz w:val="22"/>
                <w:szCs w:val="22"/>
              </w:rPr>
            </w:pPr>
            <w:r w:rsidRPr="004977D0">
              <w:rPr>
                <w:i/>
                <w:sz w:val="22"/>
                <w:szCs w:val="22"/>
              </w:rPr>
              <w:t>Nervous system disorders</w:t>
            </w:r>
          </w:p>
        </w:tc>
      </w:tr>
      <w:tr w:rsidR="0054749D" w14:paraId="794D8BCA" w14:textId="77777777" w:rsidTr="00D245CD">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94D8BC8" w14:textId="77777777" w:rsidR="00D07F42" w:rsidRPr="0008589E" w:rsidRDefault="00270E87" w:rsidP="00373301">
            <w:pPr>
              <w:pStyle w:val="Default"/>
              <w:spacing w:before="60" w:after="60"/>
              <w:rPr>
                <w:sz w:val="22"/>
                <w:szCs w:val="22"/>
              </w:rPr>
            </w:pPr>
            <w:r w:rsidRPr="0008589E">
              <w:rPr>
                <w:sz w:val="22"/>
                <w:szCs w:val="22"/>
              </w:rPr>
              <w:t>Common</w:t>
            </w:r>
          </w:p>
        </w:tc>
        <w:tc>
          <w:tcPr>
            <w:tcW w:w="3342" w:type="pct"/>
            <w:gridSpan w:val="2"/>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94D8BC9" w14:textId="77777777" w:rsidR="00D07F42" w:rsidRPr="004977D0" w:rsidRDefault="00270E87" w:rsidP="00373301">
            <w:pPr>
              <w:pStyle w:val="Default"/>
              <w:spacing w:before="60" w:after="60"/>
              <w:rPr>
                <w:sz w:val="22"/>
                <w:szCs w:val="22"/>
              </w:rPr>
            </w:pPr>
            <w:r w:rsidRPr="004977D0">
              <w:rPr>
                <w:sz w:val="22"/>
                <w:szCs w:val="22"/>
              </w:rPr>
              <w:t>headache</w:t>
            </w:r>
          </w:p>
        </w:tc>
      </w:tr>
      <w:tr w:rsidR="0054749D" w14:paraId="794D8BD2" w14:textId="77777777" w:rsidTr="00EF36DE">
        <w:tc>
          <w:tcPr>
            <w:tcW w:w="5000" w:type="pct"/>
            <w:gridSpan w:val="3"/>
            <w:tcBorders>
              <w:top w:val="single" w:sz="4" w:space="0" w:color="auto"/>
              <w:left w:val="nil"/>
              <w:bottom w:val="single" w:sz="4" w:space="0" w:color="auto"/>
              <w:right w:val="nil"/>
            </w:tcBorders>
            <w:shd w:val="clear" w:color="auto" w:fill="auto"/>
            <w:tcMar>
              <w:left w:w="115" w:type="dxa"/>
              <w:right w:w="115" w:type="dxa"/>
            </w:tcMar>
            <w:vAlign w:val="bottom"/>
          </w:tcPr>
          <w:p w14:paraId="794D8BD1" w14:textId="397A4391" w:rsidR="00D07F42" w:rsidRPr="004977D0" w:rsidRDefault="00270E87" w:rsidP="00373301">
            <w:pPr>
              <w:pStyle w:val="Default"/>
              <w:spacing w:before="60" w:after="60"/>
              <w:rPr>
                <w:i/>
                <w:sz w:val="22"/>
                <w:szCs w:val="22"/>
              </w:rPr>
            </w:pPr>
            <w:r w:rsidRPr="004977D0">
              <w:rPr>
                <w:i/>
                <w:sz w:val="22"/>
                <w:szCs w:val="22"/>
              </w:rPr>
              <w:t>Gastrointestinal disorders</w:t>
            </w:r>
          </w:p>
        </w:tc>
      </w:tr>
      <w:tr w:rsidR="0054749D" w14:paraId="794D8BD5"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94D8BD3" w14:textId="77777777" w:rsidR="00D07F42" w:rsidRPr="0008589E" w:rsidRDefault="00270E87" w:rsidP="00373301">
            <w:pPr>
              <w:pStyle w:val="Default"/>
              <w:spacing w:before="60" w:after="60"/>
              <w:rPr>
                <w:sz w:val="22"/>
                <w:szCs w:val="22"/>
              </w:rPr>
            </w:pPr>
            <w:r w:rsidRPr="0008589E">
              <w:rPr>
                <w:sz w:val="22"/>
                <w:szCs w:val="22"/>
              </w:rPr>
              <w:t>Common</w:t>
            </w:r>
          </w:p>
        </w:tc>
        <w:tc>
          <w:tcPr>
            <w:tcW w:w="3342" w:type="pct"/>
            <w:gridSpan w:val="2"/>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94D8BD4" w14:textId="77777777" w:rsidR="00D07F42" w:rsidRPr="004977D0" w:rsidRDefault="00270E87" w:rsidP="00373301">
            <w:pPr>
              <w:pStyle w:val="Default"/>
              <w:spacing w:before="60" w:after="60"/>
              <w:rPr>
                <w:sz w:val="22"/>
                <w:szCs w:val="22"/>
              </w:rPr>
            </w:pPr>
            <w:r w:rsidRPr="004977D0">
              <w:rPr>
                <w:sz w:val="22"/>
                <w:szCs w:val="22"/>
              </w:rPr>
              <w:t>nausea</w:t>
            </w:r>
          </w:p>
        </w:tc>
      </w:tr>
      <w:tr w:rsidR="0054749D" w14:paraId="794D8BD7" w14:textId="77777777" w:rsidTr="00EF36DE">
        <w:tc>
          <w:tcPr>
            <w:tcW w:w="5000" w:type="pct"/>
            <w:gridSpan w:val="3"/>
            <w:tcBorders>
              <w:top w:val="single" w:sz="4" w:space="0" w:color="auto"/>
              <w:left w:val="nil"/>
              <w:bottom w:val="single" w:sz="4" w:space="0" w:color="auto"/>
              <w:right w:val="nil"/>
            </w:tcBorders>
            <w:shd w:val="clear" w:color="auto" w:fill="auto"/>
            <w:tcMar>
              <w:left w:w="115" w:type="dxa"/>
              <w:right w:w="115" w:type="dxa"/>
            </w:tcMar>
            <w:vAlign w:val="bottom"/>
          </w:tcPr>
          <w:p w14:paraId="794D8BD6" w14:textId="77777777" w:rsidR="00D07F42" w:rsidRPr="004977D0" w:rsidRDefault="00270E87" w:rsidP="00373301">
            <w:pPr>
              <w:pStyle w:val="Default"/>
              <w:spacing w:before="60" w:after="60"/>
              <w:rPr>
                <w:i/>
                <w:sz w:val="22"/>
                <w:szCs w:val="22"/>
              </w:rPr>
            </w:pPr>
            <w:r w:rsidRPr="004977D0">
              <w:rPr>
                <w:i/>
                <w:sz w:val="22"/>
                <w:szCs w:val="22"/>
              </w:rPr>
              <w:t>Hepatobiliary disorders</w:t>
            </w:r>
          </w:p>
        </w:tc>
      </w:tr>
      <w:tr w:rsidR="0054749D" w14:paraId="794D8BDA"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94D8BD8" w14:textId="77777777" w:rsidR="00D07F42" w:rsidRPr="0008589E" w:rsidRDefault="00270E87" w:rsidP="00373301">
            <w:pPr>
              <w:pStyle w:val="Default"/>
              <w:spacing w:before="60" w:after="60"/>
              <w:rPr>
                <w:sz w:val="22"/>
                <w:szCs w:val="22"/>
              </w:rPr>
            </w:pPr>
            <w:r w:rsidRPr="0008589E">
              <w:rPr>
                <w:sz w:val="22"/>
                <w:szCs w:val="22"/>
              </w:rPr>
              <w:t>Very Common</w:t>
            </w:r>
          </w:p>
        </w:tc>
        <w:tc>
          <w:tcPr>
            <w:tcW w:w="3342" w:type="pct"/>
            <w:gridSpan w:val="2"/>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94D8BD9" w14:textId="77777777" w:rsidR="00D07F42" w:rsidRPr="004977D0" w:rsidRDefault="00270E87" w:rsidP="00373301">
            <w:pPr>
              <w:pStyle w:val="Default"/>
              <w:spacing w:before="60" w:after="60"/>
              <w:rPr>
                <w:sz w:val="22"/>
                <w:szCs w:val="22"/>
              </w:rPr>
            </w:pPr>
            <w:r w:rsidRPr="004977D0">
              <w:rPr>
                <w:sz w:val="22"/>
                <w:szCs w:val="22"/>
              </w:rPr>
              <w:t>transaminases increased</w:t>
            </w:r>
          </w:p>
        </w:tc>
      </w:tr>
      <w:tr w:rsidR="0054749D" w14:paraId="794D8BDC" w14:textId="77777777" w:rsidTr="00EF36DE">
        <w:tc>
          <w:tcPr>
            <w:tcW w:w="5000" w:type="pct"/>
            <w:gridSpan w:val="3"/>
            <w:tcBorders>
              <w:top w:val="single" w:sz="4" w:space="0" w:color="auto"/>
              <w:left w:val="nil"/>
              <w:bottom w:val="single" w:sz="4" w:space="0" w:color="auto"/>
              <w:right w:val="nil"/>
            </w:tcBorders>
            <w:shd w:val="clear" w:color="auto" w:fill="auto"/>
            <w:tcMar>
              <w:left w:w="115" w:type="dxa"/>
              <w:right w:w="115" w:type="dxa"/>
            </w:tcMar>
            <w:vAlign w:val="bottom"/>
          </w:tcPr>
          <w:p w14:paraId="794D8BDB" w14:textId="77777777" w:rsidR="00D07F42" w:rsidRPr="004977D0" w:rsidRDefault="00270E87" w:rsidP="00373301">
            <w:pPr>
              <w:pStyle w:val="Default"/>
              <w:spacing w:before="60" w:after="60"/>
              <w:rPr>
                <w:i/>
                <w:sz w:val="22"/>
                <w:szCs w:val="22"/>
              </w:rPr>
            </w:pPr>
            <w:r w:rsidRPr="004977D0">
              <w:rPr>
                <w:i/>
                <w:sz w:val="22"/>
                <w:szCs w:val="22"/>
              </w:rPr>
              <w:t>Skin and subcutaneous tissue disorders</w:t>
            </w:r>
          </w:p>
        </w:tc>
      </w:tr>
      <w:tr w:rsidR="0054749D" w14:paraId="794D8BDF"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94D8BDD" w14:textId="77777777" w:rsidR="00D07F42" w:rsidRPr="0008589E" w:rsidRDefault="00270E87" w:rsidP="00373301">
            <w:pPr>
              <w:pStyle w:val="Default"/>
              <w:spacing w:before="60" w:after="60"/>
              <w:rPr>
                <w:sz w:val="22"/>
                <w:szCs w:val="22"/>
              </w:rPr>
            </w:pPr>
            <w:r w:rsidRPr="0008589E">
              <w:rPr>
                <w:sz w:val="22"/>
                <w:szCs w:val="22"/>
              </w:rPr>
              <w:t>Common</w:t>
            </w:r>
          </w:p>
        </w:tc>
        <w:tc>
          <w:tcPr>
            <w:tcW w:w="3342" w:type="pct"/>
            <w:gridSpan w:val="2"/>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94D8BDE" w14:textId="77777777" w:rsidR="00D07F42" w:rsidRPr="004977D0" w:rsidRDefault="00270E87" w:rsidP="00373301">
            <w:pPr>
              <w:pStyle w:val="Default"/>
              <w:spacing w:before="60" w:after="60"/>
              <w:rPr>
                <w:sz w:val="22"/>
                <w:szCs w:val="22"/>
              </w:rPr>
            </w:pPr>
            <w:r w:rsidRPr="004977D0">
              <w:rPr>
                <w:sz w:val="22"/>
                <w:szCs w:val="22"/>
              </w:rPr>
              <w:t>rash</w:t>
            </w:r>
          </w:p>
        </w:tc>
      </w:tr>
      <w:tr w:rsidR="0054749D" w14:paraId="794D8BE1" w14:textId="77777777" w:rsidTr="00EF36DE">
        <w:tc>
          <w:tcPr>
            <w:tcW w:w="5000" w:type="pct"/>
            <w:gridSpan w:val="3"/>
            <w:tcBorders>
              <w:top w:val="single" w:sz="4" w:space="0" w:color="auto"/>
              <w:left w:val="nil"/>
              <w:bottom w:val="single" w:sz="4" w:space="0" w:color="auto"/>
              <w:right w:val="nil"/>
            </w:tcBorders>
            <w:shd w:val="clear" w:color="auto" w:fill="auto"/>
            <w:tcMar>
              <w:left w:w="115" w:type="dxa"/>
              <w:right w:w="115" w:type="dxa"/>
            </w:tcMar>
            <w:vAlign w:val="bottom"/>
          </w:tcPr>
          <w:p w14:paraId="794D8BE0" w14:textId="77777777" w:rsidR="00D245CD" w:rsidRPr="004977D0" w:rsidRDefault="00270E87" w:rsidP="00373301">
            <w:pPr>
              <w:pStyle w:val="Default"/>
              <w:spacing w:before="60" w:after="60"/>
              <w:rPr>
                <w:i/>
                <w:sz w:val="22"/>
                <w:szCs w:val="22"/>
              </w:rPr>
            </w:pPr>
            <w:r w:rsidRPr="004977D0">
              <w:rPr>
                <w:i/>
                <w:sz w:val="22"/>
                <w:szCs w:val="22"/>
              </w:rPr>
              <w:lastRenderedPageBreak/>
              <w:t>Investigations</w:t>
            </w:r>
          </w:p>
        </w:tc>
      </w:tr>
      <w:tr w:rsidR="0054749D" w14:paraId="794D8BE4" w14:textId="77777777" w:rsidTr="00FD6D4E">
        <w:tc>
          <w:tcPr>
            <w:tcW w:w="1668" w:type="pct"/>
            <w:gridSpan w:val="2"/>
            <w:tcBorders>
              <w:top w:val="single" w:sz="4" w:space="0" w:color="auto"/>
              <w:left w:val="nil"/>
              <w:bottom w:val="single" w:sz="4" w:space="0" w:color="auto"/>
              <w:right w:val="single" w:sz="8" w:space="0" w:color="auto"/>
            </w:tcBorders>
            <w:shd w:val="clear" w:color="auto" w:fill="auto"/>
            <w:tcMar>
              <w:left w:w="115" w:type="dxa"/>
              <w:right w:w="115" w:type="dxa"/>
            </w:tcMar>
            <w:vAlign w:val="bottom"/>
          </w:tcPr>
          <w:p w14:paraId="794D8BE2" w14:textId="54DBF7C1" w:rsidR="00FD6D4E" w:rsidRPr="004977D0" w:rsidRDefault="00270E87" w:rsidP="00373301">
            <w:pPr>
              <w:pStyle w:val="Default"/>
              <w:spacing w:before="60" w:after="60"/>
              <w:rPr>
                <w:iCs/>
                <w:sz w:val="22"/>
                <w:szCs w:val="22"/>
              </w:rPr>
            </w:pPr>
            <w:r w:rsidRPr="004977D0">
              <w:rPr>
                <w:iCs/>
                <w:sz w:val="22"/>
                <w:szCs w:val="22"/>
              </w:rPr>
              <w:t xml:space="preserve">Very </w:t>
            </w:r>
            <w:r w:rsidR="004778CD">
              <w:rPr>
                <w:iCs/>
                <w:sz w:val="22"/>
                <w:szCs w:val="22"/>
              </w:rPr>
              <w:t>C</w:t>
            </w:r>
            <w:r w:rsidRPr="004977D0">
              <w:rPr>
                <w:iCs/>
                <w:sz w:val="22"/>
                <w:szCs w:val="22"/>
              </w:rPr>
              <w:t>ommon</w:t>
            </w:r>
          </w:p>
        </w:tc>
        <w:tc>
          <w:tcPr>
            <w:tcW w:w="3332" w:type="pct"/>
            <w:tcBorders>
              <w:top w:val="single" w:sz="4" w:space="0" w:color="auto"/>
              <w:left w:val="single" w:sz="8" w:space="0" w:color="auto"/>
              <w:bottom w:val="single" w:sz="4" w:space="0" w:color="auto"/>
              <w:right w:val="nil"/>
            </w:tcBorders>
            <w:shd w:val="clear" w:color="auto" w:fill="auto"/>
            <w:vAlign w:val="bottom"/>
          </w:tcPr>
          <w:p w14:paraId="794D8BE3" w14:textId="2638B77C" w:rsidR="00FD6D4E" w:rsidRPr="004977D0" w:rsidRDefault="00270E87" w:rsidP="00373301">
            <w:pPr>
              <w:pStyle w:val="Default"/>
              <w:spacing w:before="60" w:after="60"/>
              <w:rPr>
                <w:iCs/>
                <w:sz w:val="22"/>
                <w:szCs w:val="22"/>
              </w:rPr>
            </w:pPr>
            <w:r>
              <w:rPr>
                <w:iCs/>
                <w:sz w:val="22"/>
                <w:szCs w:val="22"/>
              </w:rPr>
              <w:t>p</w:t>
            </w:r>
            <w:r w:rsidR="00D17F94" w:rsidRPr="004977D0">
              <w:rPr>
                <w:iCs/>
                <w:sz w:val="22"/>
                <w:szCs w:val="22"/>
              </w:rPr>
              <w:t xml:space="preserve">rothrombin time </w:t>
            </w:r>
            <w:r w:rsidR="00282E4F">
              <w:rPr>
                <w:iCs/>
                <w:sz w:val="22"/>
                <w:szCs w:val="22"/>
              </w:rPr>
              <w:t>increased</w:t>
            </w:r>
            <w:r w:rsidR="00D17F94" w:rsidRPr="004977D0">
              <w:rPr>
                <w:iCs/>
                <w:sz w:val="22"/>
                <w:szCs w:val="22"/>
              </w:rPr>
              <w:t xml:space="preserve"> </w:t>
            </w:r>
          </w:p>
        </w:tc>
      </w:tr>
      <w:tr w:rsidR="0054749D" w14:paraId="794D8BE6" w14:textId="77777777" w:rsidTr="00EF36DE">
        <w:tc>
          <w:tcPr>
            <w:tcW w:w="5000" w:type="pct"/>
            <w:gridSpan w:val="3"/>
            <w:tcBorders>
              <w:top w:val="single" w:sz="4" w:space="0" w:color="auto"/>
              <w:left w:val="nil"/>
              <w:bottom w:val="single" w:sz="4" w:space="0" w:color="auto"/>
              <w:right w:val="nil"/>
            </w:tcBorders>
            <w:shd w:val="clear" w:color="auto" w:fill="auto"/>
            <w:tcMar>
              <w:left w:w="115" w:type="dxa"/>
              <w:right w:w="115" w:type="dxa"/>
            </w:tcMar>
            <w:vAlign w:val="bottom"/>
          </w:tcPr>
          <w:p w14:paraId="794D8BE5" w14:textId="77777777" w:rsidR="00D07F42" w:rsidRPr="004977D0" w:rsidRDefault="00270E87" w:rsidP="00373301">
            <w:pPr>
              <w:pStyle w:val="Default"/>
              <w:spacing w:before="60" w:after="60"/>
              <w:rPr>
                <w:i/>
                <w:sz w:val="22"/>
                <w:szCs w:val="22"/>
              </w:rPr>
            </w:pPr>
            <w:r w:rsidRPr="004977D0">
              <w:rPr>
                <w:i/>
                <w:sz w:val="22"/>
                <w:szCs w:val="22"/>
              </w:rPr>
              <w:t>Injury, poisoning and procedural complications</w:t>
            </w:r>
          </w:p>
        </w:tc>
      </w:tr>
      <w:tr w:rsidR="0054749D" w14:paraId="794D8BE9" w14:textId="77777777" w:rsidTr="00373301">
        <w:tc>
          <w:tcPr>
            <w:tcW w:w="1658" w:type="pct"/>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794D8BE7" w14:textId="77777777" w:rsidR="00D07F42" w:rsidRPr="0008589E" w:rsidRDefault="00270E87" w:rsidP="00373301">
            <w:pPr>
              <w:pStyle w:val="Default"/>
              <w:spacing w:before="60" w:after="60"/>
              <w:rPr>
                <w:sz w:val="22"/>
                <w:szCs w:val="22"/>
              </w:rPr>
            </w:pPr>
            <w:r w:rsidRPr="0008589E">
              <w:rPr>
                <w:sz w:val="22"/>
                <w:szCs w:val="22"/>
              </w:rPr>
              <w:t>Rare</w:t>
            </w:r>
          </w:p>
        </w:tc>
        <w:tc>
          <w:tcPr>
            <w:tcW w:w="3342" w:type="pct"/>
            <w:gridSpan w:val="2"/>
            <w:tcBorders>
              <w:top w:val="single" w:sz="4" w:space="0" w:color="auto"/>
              <w:left w:val="single" w:sz="4" w:space="0" w:color="auto"/>
              <w:bottom w:val="single" w:sz="4" w:space="0" w:color="auto"/>
              <w:right w:val="nil"/>
            </w:tcBorders>
            <w:shd w:val="clear" w:color="auto" w:fill="auto"/>
            <w:tcMar>
              <w:left w:w="115" w:type="dxa"/>
              <w:right w:w="115" w:type="dxa"/>
            </w:tcMar>
            <w:vAlign w:val="bottom"/>
          </w:tcPr>
          <w:p w14:paraId="794D8BE8" w14:textId="77777777" w:rsidR="00D07F42" w:rsidRPr="004977D0" w:rsidRDefault="00270E87" w:rsidP="00373301">
            <w:pPr>
              <w:pStyle w:val="Default"/>
              <w:spacing w:before="60" w:after="60"/>
              <w:rPr>
                <w:sz w:val="22"/>
                <w:szCs w:val="22"/>
              </w:rPr>
            </w:pPr>
            <w:r w:rsidRPr="004977D0">
              <w:rPr>
                <w:sz w:val="22"/>
                <w:szCs w:val="22"/>
              </w:rPr>
              <w:t>infusion-related reaction</w:t>
            </w:r>
          </w:p>
        </w:tc>
      </w:tr>
    </w:tbl>
    <w:p w14:paraId="794D8BEC" w14:textId="77777777" w:rsidR="00E54FF6" w:rsidRPr="00772475" w:rsidRDefault="00E54FF6" w:rsidP="00D07F42">
      <w:pPr>
        <w:pStyle w:val="Default"/>
        <w:rPr>
          <w:u w:val="single"/>
        </w:rPr>
      </w:pPr>
    </w:p>
    <w:p w14:paraId="794D8BED" w14:textId="77777777" w:rsidR="00D07F42" w:rsidRPr="00772475" w:rsidRDefault="00270E87" w:rsidP="00D07F42">
      <w:pPr>
        <w:pStyle w:val="Default"/>
        <w:rPr>
          <w:u w:val="single"/>
        </w:rPr>
      </w:pPr>
      <w:r w:rsidRPr="00772475">
        <w:rPr>
          <w:u w:val="single"/>
        </w:rPr>
        <w:t>Description of selected adverse reactions</w:t>
      </w:r>
    </w:p>
    <w:p w14:paraId="2312091C" w14:textId="77777777" w:rsidR="00B36613" w:rsidRDefault="00B36613" w:rsidP="00D07F42">
      <w:pPr>
        <w:pStyle w:val="Default"/>
        <w:rPr>
          <w:i/>
        </w:rPr>
      </w:pPr>
    </w:p>
    <w:p w14:paraId="794D8BEF" w14:textId="10675AD2" w:rsidR="00D07F42" w:rsidRDefault="00270E87" w:rsidP="00D07F42">
      <w:pPr>
        <w:pStyle w:val="Default"/>
        <w:rPr>
          <w:i/>
        </w:rPr>
      </w:pPr>
      <w:r w:rsidRPr="00772475">
        <w:rPr>
          <w:i/>
        </w:rPr>
        <w:t xml:space="preserve">Transaminases </w:t>
      </w:r>
      <w:r w:rsidR="00AD3F8A">
        <w:rPr>
          <w:i/>
        </w:rPr>
        <w:t>i</w:t>
      </w:r>
      <w:r w:rsidRPr="00772475">
        <w:rPr>
          <w:i/>
        </w:rPr>
        <w:t>ncreased</w:t>
      </w:r>
    </w:p>
    <w:p w14:paraId="794D8BF0" w14:textId="77777777" w:rsidR="00AB75F6" w:rsidRPr="00772475" w:rsidRDefault="00AB75F6" w:rsidP="00D07F42">
      <w:pPr>
        <w:pStyle w:val="Default"/>
        <w:rPr>
          <w:i/>
        </w:rPr>
      </w:pPr>
    </w:p>
    <w:p w14:paraId="794D8BF1" w14:textId="1F5E02B9" w:rsidR="00C348D3" w:rsidRDefault="00270E87" w:rsidP="00C348D3">
      <w:pPr>
        <w:pStyle w:val="Default"/>
      </w:pPr>
      <w:r w:rsidRPr="000D3E89">
        <w:t xml:space="preserve">In healthy volunteer studies, increases in ALT, aspartate aminotransferase (AST) or both in </w:t>
      </w:r>
      <w:r w:rsidR="009E0CE5">
        <w:t>participants</w:t>
      </w:r>
      <w:r w:rsidR="009E0CE5" w:rsidRPr="000D3E89">
        <w:t xml:space="preserve"> </w:t>
      </w:r>
      <w:r w:rsidRPr="000D3E89">
        <w:t xml:space="preserve">who received </w:t>
      </w:r>
      <w:r w:rsidRPr="00772475">
        <w:t>VEKLURY</w:t>
      </w:r>
      <w:r w:rsidRPr="000D3E89">
        <w:t xml:space="preserve"> were grade 1 (10%) or grade</w:t>
      </w:r>
      <w:r>
        <w:t> </w:t>
      </w:r>
      <w:r w:rsidRPr="000D3E89">
        <w:t>2 (4%). In a randomised, double-blind, placebo-controlled clinical study of patients with COVID-19 (NIAID ACTT</w:t>
      </w:r>
      <w:r w:rsidRPr="000D3E89">
        <w:noBreakHyphen/>
        <w:t>1),</w:t>
      </w:r>
      <w:r w:rsidRPr="00C348D3">
        <w:t xml:space="preserve"> </w:t>
      </w:r>
      <w:r>
        <w:t xml:space="preserve">any grade (≥1.25 × ULN) laboratory abnormalities of increased AST and increased ALT occurred in 33% and 32% of patients, respectively, receiving </w:t>
      </w:r>
      <w:r w:rsidRPr="00772475">
        <w:t>VEKLURY</w:t>
      </w:r>
      <w:r>
        <w:t xml:space="preserve"> compared with 44% and 43% of patients, respectively, receiving placebo. Grade ≥3 (≥5.0 × ULN) laboratory abnormalities of increased AST and increased ALT occurred in 6% and 3% of patients, respectively, receiving </w:t>
      </w:r>
      <w:r w:rsidRPr="00772475">
        <w:t>VEKLURY</w:t>
      </w:r>
      <w:r>
        <w:t xml:space="preserve"> compared with 8% and 6% of patients, respectively, receiving placebo.</w:t>
      </w:r>
    </w:p>
    <w:p w14:paraId="6324EC44" w14:textId="77777777" w:rsidR="004D20AB" w:rsidRDefault="004D20AB" w:rsidP="00C348D3">
      <w:pPr>
        <w:pStyle w:val="Default"/>
      </w:pPr>
    </w:p>
    <w:p w14:paraId="794D8BF2" w14:textId="7BCE0477" w:rsidR="00D07F42" w:rsidRDefault="00270E87" w:rsidP="00D07F42">
      <w:pPr>
        <w:pStyle w:val="Default"/>
      </w:pPr>
      <w:r w:rsidRPr="000D3E89">
        <w:t>In a randomised, open-label multi-centre clinical trial (Study GS-US-540</w:t>
      </w:r>
      <w:r>
        <w:noBreakHyphen/>
      </w:r>
      <w:r w:rsidRPr="000D3E89">
        <w:t>5773) in hospitalised patients with severe COVID</w:t>
      </w:r>
      <w:r w:rsidRPr="000D3E89">
        <w:noBreakHyphen/>
        <w:t xml:space="preserve">19 receiving </w:t>
      </w:r>
      <w:r w:rsidRPr="00772475">
        <w:t>VEKLURY</w:t>
      </w:r>
      <w:r w:rsidRPr="000D3E89">
        <w:t xml:space="preserve"> for 5 (n=200) or 10 days (n=197), any </w:t>
      </w:r>
      <w:proofErr w:type="gramStart"/>
      <w:r w:rsidRPr="000D3E89">
        <w:t>grade  laboratory</w:t>
      </w:r>
      <w:proofErr w:type="gramEnd"/>
      <w:r w:rsidRPr="000D3E89">
        <w:t xml:space="preserve"> abnormalities of increased AST and increased ALT occurred in 40% and 42% of patients, respectively, receiving </w:t>
      </w:r>
      <w:r w:rsidRPr="00772475">
        <w:t>VEKLURY</w:t>
      </w:r>
      <w:r w:rsidRPr="000D3E89">
        <w:t xml:space="preserve">. Grade ≥3 (≥5.0 × ULN) laboratory abnormalities of increased AST and increased ALT both occurred in 7% of patients receiving </w:t>
      </w:r>
      <w:r w:rsidRPr="00772475">
        <w:t>VEKLURY</w:t>
      </w:r>
      <w:r w:rsidRPr="000D3E89">
        <w:t>. In a randomised, open-label multi-centre clinical trial (Study GS-US-540</w:t>
      </w:r>
      <w:r>
        <w:noBreakHyphen/>
      </w:r>
      <w:r w:rsidRPr="000D3E89">
        <w:t>5774) in hospitalised patients with moderate COVID</w:t>
      </w:r>
      <w:r w:rsidRPr="000D3E89">
        <w:noBreakHyphen/>
        <w:t xml:space="preserve">19 receiving </w:t>
      </w:r>
      <w:r w:rsidRPr="00772475">
        <w:t>VEKLURY</w:t>
      </w:r>
      <w:r w:rsidRPr="005D4874">
        <w:t xml:space="preserve"> </w:t>
      </w:r>
      <w:r w:rsidRPr="000D3E89">
        <w:t xml:space="preserve">for 5 (n=191) or 10 days (n=193) compared to standard of care (n=200), any grade laboratory abnormalities of increased AST and increased ALT occurred in 32% and 33% of patients, respectively, receiving </w:t>
      </w:r>
      <w:r w:rsidRPr="00772475">
        <w:t>VEKLURY</w:t>
      </w:r>
      <w:r w:rsidRPr="000D3E89">
        <w:t xml:space="preserve">, and 33% and 39% of patients, respectively, receiving standard of care. Grade ≥3 laboratory abnormalities of increased AST and increased ALT occurred in 2% and 3% of patients, respectively, receiving </w:t>
      </w:r>
      <w:r w:rsidRPr="00772475">
        <w:t>VEKLURY</w:t>
      </w:r>
      <w:r w:rsidRPr="000D3E89">
        <w:t xml:space="preserve"> and 6% and </w:t>
      </w:r>
      <w:r w:rsidR="00C348D3">
        <w:t>8</w:t>
      </w:r>
      <w:r w:rsidRPr="000D3E89">
        <w:t>%, respectively, receiving standard of care.</w:t>
      </w:r>
    </w:p>
    <w:p w14:paraId="794D8BF3" w14:textId="77777777" w:rsidR="00D07F42" w:rsidRDefault="00D07F42" w:rsidP="00D07F42">
      <w:pPr>
        <w:autoSpaceDE w:val="0"/>
        <w:autoSpaceDN w:val="0"/>
        <w:adjustRightInd w:val="0"/>
        <w:spacing w:after="0" w:line="240" w:lineRule="auto"/>
        <w:jc w:val="both"/>
        <w:rPr>
          <w:rFonts w:ascii="Times New Roman" w:hAnsi="Times New Roman" w:cs="Times New Roman"/>
          <w:sz w:val="24"/>
          <w:szCs w:val="24"/>
          <w:u w:val="single"/>
        </w:rPr>
      </w:pPr>
    </w:p>
    <w:p w14:paraId="794D8BF4" w14:textId="67DFBA1B" w:rsidR="00C348D3" w:rsidRPr="00F66771" w:rsidRDefault="00270E87" w:rsidP="00C348D3">
      <w:pPr>
        <w:autoSpaceDE w:val="0"/>
        <w:autoSpaceDN w:val="0"/>
        <w:adjustRightInd w:val="0"/>
        <w:spacing w:after="0" w:line="240" w:lineRule="auto"/>
        <w:jc w:val="both"/>
        <w:rPr>
          <w:rFonts w:ascii="Times New Roman" w:hAnsi="Times New Roman" w:cs="Times New Roman"/>
          <w:i/>
          <w:iCs/>
          <w:sz w:val="24"/>
          <w:szCs w:val="24"/>
        </w:rPr>
      </w:pPr>
      <w:r w:rsidRPr="00F66771">
        <w:rPr>
          <w:rFonts w:ascii="Times New Roman" w:hAnsi="Times New Roman" w:cs="Times New Roman"/>
          <w:i/>
          <w:iCs/>
          <w:sz w:val="24"/>
          <w:szCs w:val="24"/>
        </w:rPr>
        <w:t>Prothrombin time increased</w:t>
      </w:r>
    </w:p>
    <w:p w14:paraId="0CF38656" w14:textId="77777777" w:rsidR="00B630E4" w:rsidRPr="001E6757" w:rsidRDefault="00B630E4" w:rsidP="00C348D3">
      <w:pPr>
        <w:autoSpaceDE w:val="0"/>
        <w:autoSpaceDN w:val="0"/>
        <w:adjustRightInd w:val="0"/>
        <w:spacing w:after="0" w:line="240" w:lineRule="auto"/>
        <w:jc w:val="both"/>
        <w:rPr>
          <w:rFonts w:ascii="Times New Roman" w:hAnsi="Times New Roman" w:cs="Times New Roman"/>
          <w:i/>
          <w:iCs/>
          <w:sz w:val="24"/>
          <w:szCs w:val="24"/>
          <w:u w:val="single"/>
        </w:rPr>
      </w:pPr>
    </w:p>
    <w:p w14:paraId="794D8BF5" w14:textId="53F9E163" w:rsidR="00C348D3" w:rsidRPr="00337A5A" w:rsidRDefault="00270E87" w:rsidP="00C348D3">
      <w:pPr>
        <w:autoSpaceDE w:val="0"/>
        <w:autoSpaceDN w:val="0"/>
        <w:adjustRightInd w:val="0"/>
        <w:spacing w:after="0" w:line="240" w:lineRule="auto"/>
        <w:jc w:val="both"/>
        <w:rPr>
          <w:rFonts w:ascii="Times New Roman" w:hAnsi="Times New Roman" w:cs="Times New Roman"/>
          <w:sz w:val="24"/>
          <w:szCs w:val="24"/>
        </w:rPr>
      </w:pPr>
      <w:r w:rsidRPr="00337A5A">
        <w:rPr>
          <w:rFonts w:ascii="Times New Roman" w:hAnsi="Times New Roman" w:cs="Times New Roman"/>
          <w:sz w:val="24"/>
          <w:szCs w:val="24"/>
        </w:rPr>
        <w:t>In a clinical study (NIAID ACTT-1) of patients with COVID-19, the incidence of increased</w:t>
      </w:r>
    </w:p>
    <w:p w14:paraId="794D8BF6" w14:textId="33AD66D6" w:rsidR="00C348D3" w:rsidRPr="00337A5A" w:rsidRDefault="00270E87" w:rsidP="00C348D3">
      <w:pPr>
        <w:autoSpaceDE w:val="0"/>
        <w:autoSpaceDN w:val="0"/>
        <w:adjustRightInd w:val="0"/>
        <w:spacing w:after="0" w:line="240" w:lineRule="auto"/>
        <w:jc w:val="both"/>
        <w:rPr>
          <w:rFonts w:ascii="Times New Roman" w:hAnsi="Times New Roman" w:cs="Times New Roman"/>
          <w:sz w:val="24"/>
          <w:szCs w:val="24"/>
        </w:rPr>
      </w:pPr>
      <w:r w:rsidRPr="00337A5A">
        <w:rPr>
          <w:rFonts w:ascii="Times New Roman" w:hAnsi="Times New Roman" w:cs="Times New Roman"/>
          <w:sz w:val="24"/>
          <w:szCs w:val="24"/>
        </w:rPr>
        <w:t xml:space="preserve">prothrombin time or INR (predominantly Grades 1-2) was higher in </w:t>
      </w:r>
      <w:r w:rsidR="004E1D2D">
        <w:rPr>
          <w:rFonts w:ascii="Times New Roman" w:hAnsi="Times New Roman" w:cs="Times New Roman"/>
          <w:sz w:val="24"/>
          <w:szCs w:val="24"/>
        </w:rPr>
        <w:t>patients</w:t>
      </w:r>
      <w:r w:rsidRPr="00337A5A">
        <w:rPr>
          <w:rFonts w:ascii="Times New Roman" w:hAnsi="Times New Roman" w:cs="Times New Roman"/>
          <w:sz w:val="24"/>
          <w:szCs w:val="24"/>
        </w:rPr>
        <w:t xml:space="preserve"> who received VEKLURY compared to placebo, with no difference observed in the incidence of bleeding events between the two groups. Prothrombin time should be monitored while receiving VEKLURY as clinically appropriate.</w:t>
      </w:r>
      <w:r w:rsidR="00B80402" w:rsidRPr="00B80402">
        <w:t xml:space="preserve"> </w:t>
      </w:r>
      <w:r w:rsidR="00B80402" w:rsidRPr="00B80402">
        <w:rPr>
          <w:rFonts w:ascii="Times New Roman" w:hAnsi="Times New Roman" w:cs="Times New Roman"/>
          <w:sz w:val="24"/>
          <w:szCs w:val="24"/>
        </w:rPr>
        <w:t xml:space="preserve">In Study GS-US-540-9012, the incidence of increased prothrombin time or INR was similar in patients treated with </w:t>
      </w:r>
      <w:r w:rsidR="00413D22">
        <w:rPr>
          <w:rFonts w:ascii="Times New Roman" w:hAnsi="Times New Roman" w:cs="Times New Roman"/>
          <w:sz w:val="24"/>
          <w:szCs w:val="24"/>
        </w:rPr>
        <w:t>VEKLURY</w:t>
      </w:r>
      <w:r w:rsidR="00B80402" w:rsidRPr="00B80402">
        <w:rPr>
          <w:rFonts w:ascii="Times New Roman" w:hAnsi="Times New Roman" w:cs="Times New Roman"/>
          <w:sz w:val="24"/>
          <w:szCs w:val="24"/>
        </w:rPr>
        <w:t xml:space="preserve"> compared to placebo.</w:t>
      </w:r>
    </w:p>
    <w:p w14:paraId="794D8BF8" w14:textId="0906D542" w:rsidR="00B80402" w:rsidRDefault="00270E87" w:rsidP="00B80402">
      <w:pPr>
        <w:autoSpaceDE w:val="0"/>
        <w:autoSpaceDN w:val="0"/>
        <w:adjustRightInd w:val="0"/>
        <w:spacing w:after="0" w:line="240" w:lineRule="auto"/>
        <w:jc w:val="both"/>
        <w:rPr>
          <w:rFonts w:ascii="Times New Roman" w:hAnsi="Times New Roman" w:cs="Times New Roman"/>
          <w:i/>
          <w:iCs/>
          <w:sz w:val="24"/>
          <w:szCs w:val="24"/>
        </w:rPr>
      </w:pPr>
      <w:r w:rsidRPr="00F66771">
        <w:rPr>
          <w:rFonts w:ascii="Times New Roman" w:hAnsi="Times New Roman" w:cs="Times New Roman"/>
          <w:i/>
          <w:iCs/>
          <w:sz w:val="24"/>
          <w:szCs w:val="24"/>
        </w:rPr>
        <w:t>P</w:t>
      </w:r>
      <w:r w:rsidR="00282E4F" w:rsidRPr="00F66771">
        <w:rPr>
          <w:rFonts w:ascii="Times New Roman" w:hAnsi="Times New Roman" w:cs="Times New Roman"/>
          <w:i/>
          <w:iCs/>
          <w:sz w:val="24"/>
          <w:szCs w:val="24"/>
        </w:rPr>
        <w:t>a</w:t>
      </w:r>
      <w:r w:rsidRPr="00F66771">
        <w:rPr>
          <w:rFonts w:ascii="Times New Roman" w:hAnsi="Times New Roman" w:cs="Times New Roman"/>
          <w:i/>
          <w:iCs/>
          <w:sz w:val="24"/>
          <w:szCs w:val="24"/>
        </w:rPr>
        <w:t>ediatric population</w:t>
      </w:r>
    </w:p>
    <w:p w14:paraId="29BCE629" w14:textId="77777777" w:rsidR="00B630E4" w:rsidRPr="00F66771" w:rsidRDefault="00B630E4" w:rsidP="00B80402">
      <w:pPr>
        <w:autoSpaceDE w:val="0"/>
        <w:autoSpaceDN w:val="0"/>
        <w:adjustRightInd w:val="0"/>
        <w:spacing w:after="0" w:line="240" w:lineRule="auto"/>
        <w:jc w:val="both"/>
        <w:rPr>
          <w:rFonts w:ascii="Times New Roman" w:hAnsi="Times New Roman" w:cs="Times New Roman"/>
          <w:i/>
          <w:iCs/>
          <w:sz w:val="24"/>
          <w:szCs w:val="24"/>
        </w:rPr>
      </w:pPr>
    </w:p>
    <w:p w14:paraId="794D8BF9" w14:textId="77777777" w:rsidR="00C348D3" w:rsidRPr="00F66771" w:rsidRDefault="00270E87" w:rsidP="00B80402">
      <w:pPr>
        <w:autoSpaceDE w:val="0"/>
        <w:autoSpaceDN w:val="0"/>
        <w:adjustRightInd w:val="0"/>
        <w:spacing w:after="0" w:line="240" w:lineRule="auto"/>
        <w:jc w:val="both"/>
        <w:rPr>
          <w:rFonts w:ascii="Times New Roman" w:hAnsi="Times New Roman" w:cs="Times New Roman"/>
          <w:sz w:val="24"/>
          <w:szCs w:val="24"/>
        </w:rPr>
      </w:pPr>
      <w:r w:rsidRPr="00F66771">
        <w:rPr>
          <w:rFonts w:ascii="Times New Roman" w:hAnsi="Times New Roman" w:cs="Times New Roman"/>
          <w:sz w:val="24"/>
          <w:szCs w:val="24"/>
        </w:rPr>
        <w:t xml:space="preserve">The safety assessment of </w:t>
      </w:r>
      <w:r w:rsidR="00413D22" w:rsidRPr="00F66771">
        <w:rPr>
          <w:rFonts w:ascii="Times New Roman" w:hAnsi="Times New Roman" w:cs="Times New Roman"/>
          <w:sz w:val="24"/>
          <w:szCs w:val="24"/>
        </w:rPr>
        <w:t>VEKLURY</w:t>
      </w:r>
      <w:r w:rsidRPr="00F66771">
        <w:rPr>
          <w:rFonts w:ascii="Times New Roman" w:hAnsi="Times New Roman" w:cs="Times New Roman"/>
          <w:sz w:val="24"/>
          <w:szCs w:val="24"/>
        </w:rPr>
        <w:t xml:space="preserve"> in children 4 weeks of age and older and weighing at least 3 kg with COVID-19 is based on data from a Phase 2/3, open-label clinical trial (Study GS</w:t>
      </w:r>
      <w:r w:rsidR="00413D22" w:rsidRPr="00F66771">
        <w:rPr>
          <w:rFonts w:ascii="Times New Roman" w:hAnsi="Times New Roman" w:cs="Times New Roman"/>
          <w:sz w:val="24"/>
          <w:szCs w:val="24"/>
        </w:rPr>
        <w:t>-</w:t>
      </w:r>
      <w:r w:rsidRPr="00F66771">
        <w:rPr>
          <w:rFonts w:ascii="Times New Roman" w:hAnsi="Times New Roman" w:cs="Times New Roman"/>
          <w:sz w:val="24"/>
          <w:szCs w:val="24"/>
        </w:rPr>
        <w:t>US</w:t>
      </w:r>
      <w:r w:rsidR="00413D22" w:rsidRPr="00F66771">
        <w:rPr>
          <w:rFonts w:ascii="Times New Roman" w:hAnsi="Times New Roman" w:cs="Times New Roman"/>
          <w:sz w:val="24"/>
          <w:szCs w:val="24"/>
        </w:rPr>
        <w:t>-</w:t>
      </w:r>
      <w:r w:rsidRPr="00F66771">
        <w:rPr>
          <w:rFonts w:ascii="Times New Roman" w:hAnsi="Times New Roman" w:cs="Times New Roman"/>
          <w:sz w:val="24"/>
          <w:szCs w:val="24"/>
        </w:rPr>
        <w:lastRenderedPageBreak/>
        <w:t>540</w:t>
      </w:r>
      <w:r w:rsidR="00413D22" w:rsidRPr="00F66771">
        <w:rPr>
          <w:rFonts w:ascii="Times New Roman" w:hAnsi="Times New Roman" w:cs="Times New Roman"/>
          <w:sz w:val="24"/>
          <w:szCs w:val="24"/>
        </w:rPr>
        <w:t>-</w:t>
      </w:r>
      <w:r w:rsidRPr="00F66771">
        <w:rPr>
          <w:rFonts w:ascii="Times New Roman" w:hAnsi="Times New Roman" w:cs="Times New Roman"/>
          <w:sz w:val="24"/>
          <w:szCs w:val="24"/>
        </w:rPr>
        <w:t xml:space="preserve">5823) that enrolled 53 patients who were treated with </w:t>
      </w:r>
      <w:r w:rsidR="00413D22" w:rsidRPr="00F66771">
        <w:rPr>
          <w:rFonts w:ascii="Times New Roman" w:hAnsi="Times New Roman" w:cs="Times New Roman"/>
          <w:sz w:val="24"/>
          <w:szCs w:val="24"/>
        </w:rPr>
        <w:t>VEKLURY</w:t>
      </w:r>
      <w:r w:rsidRPr="00F66771">
        <w:rPr>
          <w:rFonts w:ascii="Times New Roman" w:hAnsi="Times New Roman" w:cs="Times New Roman"/>
          <w:sz w:val="24"/>
          <w:szCs w:val="24"/>
        </w:rPr>
        <w:t xml:space="preserve">. The adverse reactions observed were consistent with those observed in clinical trials of </w:t>
      </w:r>
      <w:r w:rsidR="00413D22" w:rsidRPr="00F66771">
        <w:rPr>
          <w:rFonts w:ascii="Times New Roman" w:hAnsi="Times New Roman" w:cs="Times New Roman"/>
          <w:sz w:val="24"/>
          <w:szCs w:val="24"/>
        </w:rPr>
        <w:t>VEKLURY</w:t>
      </w:r>
      <w:r w:rsidRPr="00F66771">
        <w:rPr>
          <w:rFonts w:ascii="Times New Roman" w:hAnsi="Times New Roman" w:cs="Times New Roman"/>
          <w:sz w:val="24"/>
          <w:szCs w:val="24"/>
        </w:rPr>
        <w:t xml:space="preserve"> in adults.</w:t>
      </w:r>
    </w:p>
    <w:p w14:paraId="794D8BFA" w14:textId="77777777" w:rsidR="00B80402" w:rsidRDefault="00B80402" w:rsidP="00D07F42">
      <w:pPr>
        <w:autoSpaceDE w:val="0"/>
        <w:autoSpaceDN w:val="0"/>
        <w:adjustRightInd w:val="0"/>
        <w:spacing w:after="0" w:line="240" w:lineRule="auto"/>
        <w:jc w:val="both"/>
        <w:rPr>
          <w:rFonts w:ascii="Times New Roman" w:hAnsi="Times New Roman" w:cs="Times New Roman"/>
          <w:sz w:val="24"/>
          <w:szCs w:val="24"/>
          <w:u w:val="single"/>
        </w:rPr>
      </w:pPr>
    </w:p>
    <w:p w14:paraId="794D8BFC" w14:textId="61FD540B" w:rsidR="006228D0" w:rsidRPr="006228D0" w:rsidRDefault="00270E87" w:rsidP="00D07F42">
      <w:pPr>
        <w:autoSpaceDE w:val="0"/>
        <w:autoSpaceDN w:val="0"/>
        <w:adjustRightInd w:val="0"/>
        <w:spacing w:after="0" w:line="240" w:lineRule="auto"/>
        <w:jc w:val="both"/>
        <w:rPr>
          <w:rFonts w:ascii="Times New Roman" w:hAnsi="Times New Roman" w:cs="Times New Roman"/>
          <w:b/>
          <w:bCs/>
          <w:sz w:val="24"/>
          <w:szCs w:val="24"/>
        </w:rPr>
      </w:pPr>
      <w:r w:rsidRPr="006228D0">
        <w:rPr>
          <w:rFonts w:ascii="Times New Roman" w:hAnsi="Times New Roman" w:cs="Times New Roman"/>
          <w:b/>
          <w:bCs/>
          <w:sz w:val="24"/>
          <w:szCs w:val="24"/>
        </w:rPr>
        <w:t>Postmarketing Experience</w:t>
      </w:r>
    </w:p>
    <w:p w14:paraId="794D8BFD" w14:textId="77777777" w:rsidR="006228D0" w:rsidRDefault="006228D0" w:rsidP="00D07F42">
      <w:pPr>
        <w:autoSpaceDE w:val="0"/>
        <w:autoSpaceDN w:val="0"/>
        <w:adjustRightInd w:val="0"/>
        <w:spacing w:after="0" w:line="240" w:lineRule="auto"/>
        <w:jc w:val="both"/>
        <w:rPr>
          <w:rFonts w:ascii="Times New Roman" w:hAnsi="Times New Roman" w:cs="Times New Roman"/>
          <w:sz w:val="24"/>
          <w:szCs w:val="24"/>
          <w:u w:val="single"/>
        </w:rPr>
      </w:pPr>
    </w:p>
    <w:p w14:paraId="794D8BFE" w14:textId="0AEEF75B" w:rsidR="006228D0" w:rsidRPr="006228D0" w:rsidRDefault="00270E87" w:rsidP="00D07F42">
      <w:pPr>
        <w:autoSpaceDE w:val="0"/>
        <w:autoSpaceDN w:val="0"/>
        <w:adjustRightInd w:val="0"/>
        <w:spacing w:after="0" w:line="240" w:lineRule="auto"/>
        <w:jc w:val="both"/>
        <w:rPr>
          <w:rFonts w:ascii="Times New Roman" w:hAnsi="Times New Roman" w:cs="Times New Roman"/>
          <w:sz w:val="24"/>
          <w:szCs w:val="24"/>
        </w:rPr>
      </w:pPr>
      <w:r w:rsidRPr="006228D0">
        <w:rPr>
          <w:rFonts w:ascii="Times New Roman" w:hAnsi="Times New Roman" w:cs="Times New Roman"/>
          <w:sz w:val="24"/>
          <w:szCs w:val="24"/>
        </w:rPr>
        <w:t>In addition to adverse reactions from clinical studies, the following adverse reactions were identified during post-approval use of VEKLURY. Because these reactions were reported voluntarily from a population of unknown size, estimates of frequency cannot be made.</w:t>
      </w:r>
    </w:p>
    <w:p w14:paraId="4E955E74" w14:textId="77777777" w:rsidR="001C0C42" w:rsidRDefault="001C0C42" w:rsidP="00D07F42">
      <w:pPr>
        <w:autoSpaceDE w:val="0"/>
        <w:autoSpaceDN w:val="0"/>
        <w:adjustRightInd w:val="0"/>
        <w:spacing w:after="0" w:line="240" w:lineRule="auto"/>
        <w:jc w:val="both"/>
        <w:rPr>
          <w:rFonts w:ascii="Times New Roman" w:hAnsi="Times New Roman" w:cs="Times New Roman"/>
          <w:sz w:val="24"/>
          <w:szCs w:val="24"/>
        </w:rPr>
      </w:pPr>
    </w:p>
    <w:p w14:paraId="794D8C00" w14:textId="6FC408E0" w:rsidR="006228D0" w:rsidRPr="006228D0" w:rsidRDefault="00270E87" w:rsidP="00D07F42">
      <w:pPr>
        <w:autoSpaceDE w:val="0"/>
        <w:autoSpaceDN w:val="0"/>
        <w:adjustRightInd w:val="0"/>
        <w:spacing w:after="0" w:line="240" w:lineRule="auto"/>
        <w:jc w:val="both"/>
        <w:rPr>
          <w:rFonts w:ascii="Times New Roman" w:hAnsi="Times New Roman" w:cs="Times New Roman"/>
          <w:sz w:val="24"/>
          <w:szCs w:val="24"/>
        </w:rPr>
      </w:pPr>
      <w:r w:rsidRPr="006228D0">
        <w:rPr>
          <w:rFonts w:ascii="Times New Roman" w:hAnsi="Times New Roman" w:cs="Times New Roman"/>
          <w:sz w:val="24"/>
          <w:szCs w:val="24"/>
        </w:rPr>
        <w:t>IMMUNE SYSTEM DISORDERS</w:t>
      </w:r>
    </w:p>
    <w:p w14:paraId="794D8C01" w14:textId="51A424A8" w:rsidR="006228D0" w:rsidRPr="006228D0" w:rsidRDefault="00270E87" w:rsidP="00D07F42">
      <w:pPr>
        <w:autoSpaceDE w:val="0"/>
        <w:autoSpaceDN w:val="0"/>
        <w:adjustRightInd w:val="0"/>
        <w:spacing w:after="0" w:line="240" w:lineRule="auto"/>
        <w:jc w:val="both"/>
        <w:rPr>
          <w:rFonts w:ascii="Times New Roman" w:hAnsi="Times New Roman" w:cs="Times New Roman"/>
          <w:sz w:val="24"/>
          <w:szCs w:val="24"/>
        </w:rPr>
      </w:pPr>
      <w:r w:rsidRPr="006228D0">
        <w:rPr>
          <w:rFonts w:ascii="Times New Roman" w:hAnsi="Times New Roman" w:cs="Times New Roman"/>
          <w:sz w:val="24"/>
          <w:szCs w:val="24"/>
        </w:rPr>
        <w:t xml:space="preserve">Anaphylactic reaction </w:t>
      </w:r>
    </w:p>
    <w:p w14:paraId="794D8C02" w14:textId="77777777" w:rsidR="006228D0" w:rsidRDefault="006228D0" w:rsidP="00D07F42">
      <w:pPr>
        <w:autoSpaceDE w:val="0"/>
        <w:autoSpaceDN w:val="0"/>
        <w:adjustRightInd w:val="0"/>
        <w:spacing w:after="0" w:line="240" w:lineRule="auto"/>
        <w:jc w:val="both"/>
        <w:rPr>
          <w:rFonts w:ascii="Times New Roman" w:hAnsi="Times New Roman" w:cs="Times New Roman"/>
          <w:sz w:val="24"/>
          <w:szCs w:val="24"/>
          <w:u w:val="single"/>
        </w:rPr>
      </w:pPr>
    </w:p>
    <w:p w14:paraId="794D8C03" w14:textId="77777777" w:rsidR="00635F81" w:rsidRPr="00635F81" w:rsidRDefault="00270E87" w:rsidP="00D07F42">
      <w:pPr>
        <w:autoSpaceDE w:val="0"/>
        <w:autoSpaceDN w:val="0"/>
        <w:adjustRightInd w:val="0"/>
        <w:spacing w:after="0" w:line="240" w:lineRule="auto"/>
        <w:jc w:val="both"/>
        <w:rPr>
          <w:rFonts w:ascii="Times New Roman" w:hAnsi="Times New Roman" w:cs="Times New Roman"/>
          <w:sz w:val="24"/>
          <w:szCs w:val="24"/>
        </w:rPr>
      </w:pPr>
      <w:r w:rsidRPr="00635F81">
        <w:rPr>
          <w:rFonts w:ascii="Times New Roman" w:hAnsi="Times New Roman" w:cs="Times New Roman"/>
          <w:sz w:val="24"/>
          <w:szCs w:val="24"/>
        </w:rPr>
        <w:t xml:space="preserve">CARDIAC DISORDERS </w:t>
      </w:r>
    </w:p>
    <w:p w14:paraId="794D8C04" w14:textId="643F064A" w:rsidR="006228D0" w:rsidRDefault="00270E87" w:rsidP="00D07F42">
      <w:pPr>
        <w:autoSpaceDE w:val="0"/>
        <w:autoSpaceDN w:val="0"/>
        <w:adjustRightInd w:val="0"/>
        <w:spacing w:after="0" w:line="240" w:lineRule="auto"/>
        <w:jc w:val="both"/>
        <w:rPr>
          <w:rFonts w:ascii="Times New Roman" w:hAnsi="Times New Roman" w:cs="Times New Roman"/>
          <w:sz w:val="24"/>
          <w:szCs w:val="24"/>
        </w:rPr>
      </w:pPr>
      <w:r w:rsidRPr="2CB6155E">
        <w:rPr>
          <w:rFonts w:ascii="Times New Roman" w:hAnsi="Times New Roman" w:cs="Times New Roman"/>
          <w:sz w:val="24"/>
          <w:szCs w:val="24"/>
        </w:rPr>
        <w:t>Sinus bradycardia</w:t>
      </w:r>
    </w:p>
    <w:p w14:paraId="0DD06988" w14:textId="77777777" w:rsidR="001C0C42" w:rsidRDefault="001C0C42" w:rsidP="00D07F42">
      <w:pPr>
        <w:autoSpaceDE w:val="0"/>
        <w:autoSpaceDN w:val="0"/>
        <w:adjustRightInd w:val="0"/>
        <w:spacing w:after="0" w:line="240" w:lineRule="auto"/>
        <w:jc w:val="both"/>
        <w:rPr>
          <w:rFonts w:ascii="Times New Roman" w:hAnsi="Times New Roman" w:cs="Times New Roman"/>
          <w:sz w:val="24"/>
          <w:szCs w:val="24"/>
        </w:rPr>
      </w:pPr>
    </w:p>
    <w:p w14:paraId="794D8C08" w14:textId="77777777" w:rsidR="00D07F42" w:rsidRPr="00772475" w:rsidRDefault="00270E87" w:rsidP="00D07F42">
      <w:pPr>
        <w:pStyle w:val="Heading3"/>
        <w:spacing w:before="0" w:line="240" w:lineRule="auto"/>
        <w:ind w:left="0"/>
        <w:rPr>
          <w:rFonts w:ascii="Times New Roman" w:hAnsi="Times New Roman" w:cs="Times New Roman"/>
          <w:sz w:val="24"/>
          <w:szCs w:val="24"/>
        </w:rPr>
      </w:pPr>
      <w:r w:rsidRPr="00772475">
        <w:rPr>
          <w:rFonts w:ascii="Times New Roman" w:hAnsi="Times New Roman" w:cs="Times New Roman"/>
          <w:sz w:val="24"/>
          <w:szCs w:val="24"/>
        </w:rPr>
        <w:t>Reporting suspected adverse effects</w:t>
      </w:r>
    </w:p>
    <w:p w14:paraId="794D8C09" w14:textId="77777777" w:rsidR="00D07F42" w:rsidRPr="00772475" w:rsidRDefault="00270E87" w:rsidP="007E50B0">
      <w:pPr>
        <w:spacing w:after="120" w:line="240" w:lineRule="auto"/>
        <w:rPr>
          <w:rFonts w:ascii="Times New Roman" w:hAnsi="Times New Roman" w:cs="Times New Roman"/>
          <w:sz w:val="24"/>
          <w:szCs w:val="24"/>
          <w:lang w:val="en"/>
        </w:rPr>
      </w:pPr>
      <w:r w:rsidRPr="00772475">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772475">
          <w:rPr>
            <w:rStyle w:val="Hyperlink"/>
            <w:rFonts w:ascii="Times New Roman" w:hAnsi="Times New Roman" w:cs="Times New Roman"/>
            <w:sz w:val="24"/>
            <w:szCs w:val="24"/>
            <w:lang w:val="en"/>
          </w:rPr>
          <w:t>www.tga.gov.au/reporting-problems</w:t>
        </w:r>
      </w:hyperlink>
      <w:r w:rsidRPr="00772475">
        <w:rPr>
          <w:rFonts w:ascii="Times New Roman" w:hAnsi="Times New Roman" w:cs="Times New Roman"/>
          <w:sz w:val="24"/>
          <w:szCs w:val="24"/>
          <w:lang w:val="en"/>
        </w:rPr>
        <w:t>.</w:t>
      </w:r>
    </w:p>
    <w:p w14:paraId="794D8C0B" w14:textId="0B16DD0B" w:rsidR="00D07F42" w:rsidRPr="00772475" w:rsidRDefault="00270E87" w:rsidP="00117BC0">
      <w:pPr>
        <w:pStyle w:val="Heading2"/>
        <w:keepNext/>
        <w:keepLines/>
        <w:numPr>
          <w:ilvl w:val="0"/>
          <w:numId w:val="0"/>
        </w:numPr>
        <w:tabs>
          <w:tab w:val="left" w:pos="567"/>
        </w:tabs>
        <w:spacing w:before="0" w:after="120"/>
        <w:rPr>
          <w:rFonts w:ascii="Times New Roman" w:hAnsi="Times New Roman" w:cs="Times New Roman"/>
        </w:rPr>
      </w:pPr>
      <w:r w:rsidRPr="00772475">
        <w:rPr>
          <w:rFonts w:ascii="Times New Roman" w:hAnsi="Times New Roman" w:cs="Times New Roman"/>
        </w:rPr>
        <w:t xml:space="preserve">4.9 </w:t>
      </w:r>
      <w:r w:rsidR="00117BC0">
        <w:rPr>
          <w:rFonts w:ascii="Times New Roman" w:hAnsi="Times New Roman" w:cs="Times New Roman"/>
        </w:rPr>
        <w:tab/>
      </w:r>
      <w:r w:rsidRPr="00772475">
        <w:rPr>
          <w:rFonts w:ascii="Times New Roman" w:hAnsi="Times New Roman" w:cs="Times New Roman"/>
        </w:rPr>
        <w:t>Overdose</w:t>
      </w:r>
    </w:p>
    <w:p w14:paraId="794D8C0C" w14:textId="77777777" w:rsidR="00D07F42" w:rsidRPr="00772475" w:rsidRDefault="00270E87"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There is no human experience of acute overdosage with VEKLURY. Treatment of overdose with VEKLURY should consist of general supportive measures including monitoring of vital signs and observation of the clinical status of the patient. There is no specific antidote for overdose with VEKLURY.</w:t>
      </w:r>
    </w:p>
    <w:p w14:paraId="794D8C0D" w14:textId="77777777" w:rsidR="00D07F42" w:rsidRPr="00772475" w:rsidRDefault="00D07F42" w:rsidP="00D07F42">
      <w:pPr>
        <w:spacing w:after="0" w:line="240" w:lineRule="auto"/>
        <w:rPr>
          <w:rFonts w:ascii="Times New Roman" w:hAnsi="Times New Roman" w:cs="Times New Roman"/>
          <w:noProof/>
          <w:sz w:val="24"/>
          <w:szCs w:val="24"/>
        </w:rPr>
      </w:pPr>
    </w:p>
    <w:p w14:paraId="794D8C0E" w14:textId="77777777" w:rsidR="00D07F42" w:rsidRDefault="00270E87" w:rsidP="002B7E57">
      <w:pPr>
        <w:spacing w:after="120" w:line="240" w:lineRule="auto"/>
        <w:rPr>
          <w:rFonts w:ascii="Times New Roman" w:hAnsi="Times New Roman" w:cs="Times New Roman"/>
          <w:sz w:val="24"/>
          <w:szCs w:val="24"/>
          <w:lang w:val="en"/>
        </w:rPr>
      </w:pPr>
      <w:r w:rsidRPr="00772475">
        <w:rPr>
          <w:rFonts w:ascii="Times New Roman" w:hAnsi="Times New Roman" w:cs="Times New Roman"/>
          <w:sz w:val="24"/>
          <w:szCs w:val="24"/>
          <w:lang w:val="en"/>
        </w:rPr>
        <w:t>For information on the management of overdose, contact the Poisons Information Centre on 13 11 26 (Australia).</w:t>
      </w:r>
    </w:p>
    <w:p w14:paraId="794D8C0F" w14:textId="77777777" w:rsidR="00D42968" w:rsidRPr="00772475" w:rsidRDefault="00D42968" w:rsidP="00D07F42">
      <w:pPr>
        <w:spacing w:after="0" w:line="240" w:lineRule="auto"/>
        <w:rPr>
          <w:rFonts w:ascii="Times New Roman" w:hAnsi="Times New Roman" w:cs="Times New Roman"/>
          <w:sz w:val="24"/>
          <w:szCs w:val="24"/>
          <w:lang w:val="en"/>
        </w:rPr>
      </w:pPr>
    </w:p>
    <w:p w14:paraId="794D8C10" w14:textId="77777777" w:rsidR="00D07F42" w:rsidRPr="00772475" w:rsidRDefault="00270E87" w:rsidP="00C862D5">
      <w:pPr>
        <w:pStyle w:val="Heading1"/>
        <w:numPr>
          <w:ilvl w:val="0"/>
          <w:numId w:val="3"/>
        </w:numPr>
        <w:spacing w:before="0" w:after="120"/>
        <w:rPr>
          <w:rFonts w:ascii="Times New Roman" w:hAnsi="Times New Roman" w:cs="Times New Roman"/>
          <w:lang w:val="en-US"/>
        </w:rPr>
      </w:pPr>
      <w:r w:rsidRPr="00772475">
        <w:rPr>
          <w:rFonts w:ascii="Times New Roman" w:hAnsi="Times New Roman" w:cs="Times New Roman"/>
          <w:lang w:val="en-US"/>
        </w:rPr>
        <w:t>Pharmacological properties</w:t>
      </w:r>
    </w:p>
    <w:p w14:paraId="794D8C11" w14:textId="77777777" w:rsidR="00D07F42" w:rsidRPr="00772475" w:rsidRDefault="00270E87" w:rsidP="00F92515">
      <w:pPr>
        <w:pStyle w:val="Heading2"/>
        <w:numPr>
          <w:ilvl w:val="1"/>
          <w:numId w:val="11"/>
        </w:numPr>
        <w:spacing w:before="0" w:after="120"/>
        <w:ind w:left="578" w:hanging="578"/>
        <w:rPr>
          <w:rFonts w:ascii="Times New Roman" w:hAnsi="Times New Roman" w:cs="Times New Roman"/>
          <w:lang w:val="en-US"/>
        </w:rPr>
      </w:pPr>
      <w:bookmarkStart w:id="3" w:name="_Hlk93936081"/>
      <w:r w:rsidRPr="00772475">
        <w:rPr>
          <w:rFonts w:ascii="Times New Roman" w:hAnsi="Times New Roman" w:cs="Times New Roman"/>
          <w:lang w:val="en-US"/>
        </w:rPr>
        <w:t xml:space="preserve">Pharmacodynamic properties </w:t>
      </w:r>
    </w:p>
    <w:bookmarkEnd w:id="3"/>
    <w:p w14:paraId="794D8C12" w14:textId="40D55481" w:rsidR="00D07F42" w:rsidRPr="00772475" w:rsidRDefault="00270E87" w:rsidP="00D07F42">
      <w:pPr>
        <w:spacing w:after="0" w:line="240" w:lineRule="auto"/>
        <w:outlineLvl w:val="0"/>
        <w:rPr>
          <w:rFonts w:ascii="Times New Roman" w:hAnsi="Times New Roman" w:cs="Times New Roman"/>
          <w:noProof/>
          <w:sz w:val="24"/>
          <w:szCs w:val="24"/>
        </w:rPr>
      </w:pPr>
      <w:r w:rsidRPr="00772475">
        <w:rPr>
          <w:rFonts w:ascii="Times New Roman" w:hAnsi="Times New Roman" w:cs="Times New Roman"/>
          <w:sz w:val="24"/>
          <w:szCs w:val="24"/>
        </w:rPr>
        <w:t>Pharmacotherapeutic group: Antivirals for systemic use, direct acting antivirals, other antivirals</w:t>
      </w:r>
      <w:r w:rsidRPr="00772475">
        <w:rPr>
          <w:rFonts w:ascii="Times New Roman" w:hAnsi="Times New Roman" w:cs="Times New Roman"/>
          <w:noProof/>
          <w:sz w:val="24"/>
          <w:szCs w:val="24"/>
        </w:rPr>
        <w:t xml:space="preserve">, ATC code: </w:t>
      </w:r>
      <w:r w:rsidR="00C348D3">
        <w:rPr>
          <w:rFonts w:ascii="Times New Roman" w:hAnsi="Times New Roman" w:cs="Times New Roman"/>
          <w:noProof/>
          <w:sz w:val="24"/>
          <w:szCs w:val="24"/>
        </w:rPr>
        <w:t>J05AB16</w:t>
      </w:r>
    </w:p>
    <w:p w14:paraId="794D8C13" w14:textId="77777777" w:rsidR="00D07F42" w:rsidRPr="00772475" w:rsidRDefault="00D07F42" w:rsidP="00D07F42">
      <w:pPr>
        <w:pStyle w:val="Heading3"/>
        <w:spacing w:before="0" w:line="240" w:lineRule="auto"/>
        <w:ind w:left="0"/>
        <w:rPr>
          <w:rFonts w:ascii="Times New Roman" w:hAnsi="Times New Roman" w:cs="Times New Roman"/>
        </w:rPr>
      </w:pPr>
    </w:p>
    <w:p w14:paraId="794D8C14" w14:textId="77777777" w:rsidR="00D07F42" w:rsidRPr="00AB75F6" w:rsidRDefault="00270E87" w:rsidP="00D07F42">
      <w:pPr>
        <w:pStyle w:val="Heading3"/>
        <w:spacing w:before="0" w:after="120"/>
        <w:ind w:left="0"/>
        <w:rPr>
          <w:rFonts w:ascii="Times New Roman" w:hAnsi="Times New Roman" w:cs="Times New Roman"/>
          <w:sz w:val="24"/>
          <w:szCs w:val="24"/>
        </w:rPr>
      </w:pPr>
      <w:r w:rsidRPr="00AB75F6">
        <w:rPr>
          <w:rFonts w:ascii="Times New Roman" w:hAnsi="Times New Roman" w:cs="Times New Roman"/>
          <w:sz w:val="24"/>
          <w:szCs w:val="24"/>
        </w:rPr>
        <w:t>Mechanism of action</w:t>
      </w:r>
    </w:p>
    <w:p w14:paraId="794D8C15" w14:textId="16434F7B" w:rsidR="00D07F42" w:rsidRPr="00772475" w:rsidRDefault="00270E87" w:rsidP="007E50B0">
      <w:pPr>
        <w:spacing w:after="120" w:line="240" w:lineRule="auto"/>
        <w:rPr>
          <w:rFonts w:ascii="Times New Roman" w:hAnsi="Times New Roman" w:cs="Times New Roman"/>
          <w:sz w:val="24"/>
          <w:szCs w:val="24"/>
        </w:rPr>
      </w:pPr>
      <w:bookmarkStart w:id="4" w:name="_Hlk44422568"/>
      <w:r w:rsidRPr="00772475">
        <w:rPr>
          <w:rFonts w:ascii="Times New Roman" w:hAnsi="Times New Roman" w:cs="Times New Roman"/>
          <w:sz w:val="24"/>
          <w:szCs w:val="24"/>
        </w:rPr>
        <w:t xml:space="preserve">Remdesivir </w:t>
      </w:r>
      <w:r w:rsidRPr="00322CC7">
        <w:rPr>
          <w:rFonts w:ascii="Times New Roman" w:hAnsi="Times New Roman" w:cs="Times New Roman"/>
          <w:sz w:val="24"/>
          <w:szCs w:val="24"/>
        </w:rPr>
        <w:t xml:space="preserve">is an adenosine </w:t>
      </w:r>
      <w:r w:rsidR="00D33FBF">
        <w:rPr>
          <w:rFonts w:ascii="Times New Roman" w:hAnsi="Times New Roman" w:cs="Times New Roman"/>
          <w:sz w:val="24"/>
          <w:szCs w:val="24"/>
        </w:rPr>
        <w:t>analog</w:t>
      </w:r>
      <w:r w:rsidR="00DB5C9F">
        <w:rPr>
          <w:rFonts w:ascii="Times New Roman" w:hAnsi="Times New Roman" w:cs="Times New Roman"/>
          <w:sz w:val="24"/>
          <w:szCs w:val="24"/>
        </w:rPr>
        <w:t>ue</w:t>
      </w:r>
      <w:r w:rsidR="00D33FBF">
        <w:rPr>
          <w:rFonts w:ascii="Times New Roman" w:hAnsi="Times New Roman" w:cs="Times New Roman"/>
          <w:sz w:val="24"/>
          <w:szCs w:val="24"/>
        </w:rPr>
        <w:t xml:space="preserve"> </w:t>
      </w:r>
      <w:r w:rsidRPr="00322CC7">
        <w:rPr>
          <w:rFonts w:ascii="Times New Roman" w:hAnsi="Times New Roman" w:cs="Times New Roman"/>
          <w:sz w:val="24"/>
          <w:szCs w:val="24"/>
        </w:rPr>
        <w:t xml:space="preserve">nucleotide prodrug that distributes into cells where it </w:t>
      </w:r>
      <w:r w:rsidRPr="00772475">
        <w:rPr>
          <w:rFonts w:ascii="Times New Roman" w:hAnsi="Times New Roman" w:cs="Times New Roman"/>
          <w:sz w:val="24"/>
          <w:szCs w:val="24"/>
        </w:rPr>
        <w:t>is metaboli</w:t>
      </w:r>
      <w:r>
        <w:rPr>
          <w:rFonts w:ascii="Times New Roman" w:hAnsi="Times New Roman" w:cs="Times New Roman"/>
          <w:sz w:val="24"/>
          <w:szCs w:val="24"/>
        </w:rPr>
        <w:t>s</w:t>
      </w:r>
      <w:r w:rsidRPr="00772475">
        <w:rPr>
          <w:rFonts w:ascii="Times New Roman" w:hAnsi="Times New Roman" w:cs="Times New Roman"/>
          <w:sz w:val="24"/>
          <w:szCs w:val="24"/>
        </w:rPr>
        <w:t xml:space="preserve">ed to form the pharmacologically active nucleoside triphosphate metabolite. </w:t>
      </w:r>
      <w:r>
        <w:rPr>
          <w:rFonts w:ascii="Times New Roman" w:hAnsi="Times New Roman" w:cs="Times New Roman"/>
          <w:sz w:val="24"/>
          <w:szCs w:val="24"/>
        </w:rPr>
        <w:t>M</w:t>
      </w:r>
      <w:r w:rsidRPr="00772475">
        <w:rPr>
          <w:rFonts w:ascii="Times New Roman" w:hAnsi="Times New Roman" w:cs="Times New Roman"/>
          <w:sz w:val="24"/>
          <w:szCs w:val="24"/>
        </w:rPr>
        <w:t xml:space="preserve">etabolism of </w:t>
      </w:r>
      <w:proofErr w:type="gramStart"/>
      <w:r w:rsidRPr="00772475">
        <w:rPr>
          <w:rFonts w:ascii="Times New Roman" w:hAnsi="Times New Roman" w:cs="Times New Roman"/>
          <w:sz w:val="24"/>
          <w:szCs w:val="24"/>
        </w:rPr>
        <w:t>remdesivir to remdesivir</w:t>
      </w:r>
      <w:proofErr w:type="gramEnd"/>
      <w:r w:rsidRPr="00772475">
        <w:rPr>
          <w:rFonts w:ascii="Times New Roman" w:hAnsi="Times New Roman" w:cs="Times New Roman"/>
          <w:sz w:val="24"/>
          <w:szCs w:val="24"/>
        </w:rPr>
        <w:t xml:space="preserve"> triphosphate has been demonstrated in multiple cell types. Remdesivir triphosphate acts as an analog</w:t>
      </w:r>
      <w:r w:rsidR="0048260C">
        <w:rPr>
          <w:rFonts w:ascii="Times New Roman" w:hAnsi="Times New Roman" w:cs="Times New Roman"/>
          <w:sz w:val="24"/>
          <w:szCs w:val="24"/>
        </w:rPr>
        <w:t>ue</w:t>
      </w:r>
      <w:r w:rsidRPr="00772475">
        <w:rPr>
          <w:rFonts w:ascii="Times New Roman" w:hAnsi="Times New Roman" w:cs="Times New Roman"/>
          <w:sz w:val="24"/>
          <w:szCs w:val="24"/>
        </w:rPr>
        <w:t xml:space="preserve"> of adenosine triphosphate (ATP) and competes with the natural ATP substrate for incorporation into nascent RNA chains by the SARS-CoV-2 RNA-dependent RNA polymerase, which results in delayed chain termination during replication of the viral RNA. </w:t>
      </w:r>
      <w:r w:rsidR="004C3083" w:rsidRPr="004C3083">
        <w:t xml:space="preserve"> </w:t>
      </w:r>
      <w:r w:rsidR="004C3083" w:rsidRPr="004C3083">
        <w:rPr>
          <w:rFonts w:ascii="Times New Roman" w:hAnsi="Times New Roman" w:cs="Times New Roman"/>
          <w:sz w:val="24"/>
          <w:szCs w:val="24"/>
        </w:rPr>
        <w:t xml:space="preserve">As an additional mechanism, remdesivir triphosphate can also inhibit viral RNA synthesis following its incorporation into the template viral RNA </w:t>
      </w:r>
      <w:proofErr w:type="gramStart"/>
      <w:r w:rsidR="004C3083" w:rsidRPr="004C3083">
        <w:rPr>
          <w:rFonts w:ascii="Times New Roman" w:hAnsi="Times New Roman" w:cs="Times New Roman"/>
          <w:sz w:val="24"/>
          <w:szCs w:val="24"/>
        </w:rPr>
        <w:t>as a result of</w:t>
      </w:r>
      <w:proofErr w:type="gramEnd"/>
      <w:r w:rsidR="004C3083" w:rsidRPr="004C3083">
        <w:rPr>
          <w:rFonts w:ascii="Times New Roman" w:hAnsi="Times New Roman" w:cs="Times New Roman"/>
          <w:sz w:val="24"/>
          <w:szCs w:val="24"/>
        </w:rPr>
        <w:t xml:space="preserve"> read-through by the viral polymerase that may occur in the presence of higher nucleotide concentrations. When remdesivir nucleotide is present in the viral RNA template, </w:t>
      </w:r>
      <w:r w:rsidR="004C3083" w:rsidRPr="004C3083">
        <w:rPr>
          <w:rFonts w:ascii="Times New Roman" w:hAnsi="Times New Roman" w:cs="Times New Roman"/>
          <w:sz w:val="24"/>
          <w:szCs w:val="24"/>
        </w:rPr>
        <w:lastRenderedPageBreak/>
        <w:t>the efficiency of incorporation of the complementary natural nucleotide is compromised, thereby inhibiting viral RNA synthesis.</w:t>
      </w:r>
      <w:r w:rsidR="004C3083">
        <w:t xml:space="preserve"> </w:t>
      </w:r>
      <w:r w:rsidRPr="00772475">
        <w:rPr>
          <w:rFonts w:ascii="Times New Roman" w:hAnsi="Times New Roman" w:cs="Times New Roman"/>
          <w:sz w:val="24"/>
          <w:szCs w:val="24"/>
        </w:rPr>
        <w:t>Remdesivir triphosphate is a weak inhibitor of mammalian DNA and RNA polymerases with low potential for mitochondrial toxicity.</w:t>
      </w:r>
    </w:p>
    <w:bookmarkEnd w:id="4"/>
    <w:p w14:paraId="794D8C17" w14:textId="1D8F1C74" w:rsidR="00D07F42" w:rsidRPr="00772475" w:rsidRDefault="00270E87" w:rsidP="00D07F42">
      <w:pPr>
        <w:spacing w:after="0" w:line="240" w:lineRule="auto"/>
        <w:rPr>
          <w:rFonts w:ascii="Times New Roman" w:hAnsi="Times New Roman" w:cs="Times New Roman"/>
          <w:noProof/>
          <w:sz w:val="24"/>
          <w:szCs w:val="24"/>
          <w:u w:val="single"/>
        </w:rPr>
      </w:pPr>
      <w:r w:rsidRPr="00772475">
        <w:rPr>
          <w:rFonts w:ascii="Times New Roman" w:hAnsi="Times New Roman" w:cs="Times New Roman"/>
          <w:noProof/>
          <w:sz w:val="24"/>
          <w:szCs w:val="24"/>
          <w:u w:val="single"/>
        </w:rPr>
        <w:t>Antiviral Activity</w:t>
      </w:r>
    </w:p>
    <w:p w14:paraId="794D8C18" w14:textId="77777777" w:rsidR="00D07F42" w:rsidRPr="00772475" w:rsidRDefault="00D07F42" w:rsidP="00D07F42">
      <w:pPr>
        <w:spacing w:after="0" w:line="240" w:lineRule="auto"/>
        <w:rPr>
          <w:rFonts w:ascii="Times New Roman" w:hAnsi="Times New Roman" w:cs="Times New Roman"/>
          <w:noProof/>
          <w:sz w:val="24"/>
          <w:szCs w:val="24"/>
          <w:u w:val="single"/>
        </w:rPr>
      </w:pPr>
    </w:p>
    <w:p w14:paraId="794D8C19" w14:textId="077BD6AB" w:rsidR="00BF6B7A" w:rsidRPr="004977D0" w:rsidRDefault="00270E87" w:rsidP="00D07F42">
      <w:pPr>
        <w:pStyle w:val="Default"/>
      </w:pPr>
      <w:r w:rsidRPr="00772475">
        <w:t xml:space="preserve">Remdesivir exhibited </w:t>
      </w:r>
      <w:r w:rsidR="00DD667F">
        <w:rPr>
          <w:rStyle w:val="Emphasis"/>
          <w:i w:val="0"/>
          <w:iCs w:val="0"/>
        </w:rPr>
        <w:t>cell culture</w:t>
      </w:r>
      <w:r w:rsidRPr="00772475">
        <w:t xml:space="preserve"> </w:t>
      </w:r>
      <w:r w:rsidR="000E4007">
        <w:t xml:space="preserve">antiviral </w:t>
      </w:r>
      <w:r w:rsidRPr="00772475">
        <w:t>activity against a clinical isolate of SARS-CoV</w:t>
      </w:r>
      <w:r w:rsidRPr="00772475">
        <w:noBreakHyphen/>
        <w:t>2 in primary human airway epithelial (HAE) cells with a 50% effective concentration (EC</w:t>
      </w:r>
      <w:r w:rsidRPr="00772475">
        <w:rPr>
          <w:rStyle w:val="Subscript"/>
        </w:rPr>
        <w:t>50</w:t>
      </w:r>
      <w:r w:rsidRPr="00772475">
        <w:t>) of 9.9 </w:t>
      </w:r>
      <w:proofErr w:type="spellStart"/>
      <w:r w:rsidRPr="00772475">
        <w:t>nM</w:t>
      </w:r>
      <w:proofErr w:type="spellEnd"/>
      <w:r w:rsidRPr="00772475">
        <w:t xml:space="preserve"> after 48 hours of treatment. </w:t>
      </w:r>
      <w:r w:rsidRPr="004977D0">
        <w:t>Remdesivir inhibited the replication of SARS-CoV-2 in the continuous human lung epithelial cell lines Calu-3 and A549-hACE2 with EC</w:t>
      </w:r>
      <w:r w:rsidRPr="00413D22">
        <w:rPr>
          <w:vertAlign w:val="subscript"/>
        </w:rPr>
        <w:t>50</w:t>
      </w:r>
      <w:r w:rsidRPr="004977D0">
        <w:t xml:space="preserve"> values of 280 </w:t>
      </w:r>
      <w:proofErr w:type="spellStart"/>
      <w:r w:rsidRPr="004977D0">
        <w:t>nM</w:t>
      </w:r>
      <w:proofErr w:type="spellEnd"/>
      <w:r w:rsidRPr="004977D0">
        <w:t xml:space="preserve"> after 72 hours of treatment and 115 </w:t>
      </w:r>
      <w:proofErr w:type="spellStart"/>
      <w:r w:rsidRPr="004977D0">
        <w:t>nM</w:t>
      </w:r>
      <w:proofErr w:type="spellEnd"/>
      <w:r w:rsidRPr="004977D0">
        <w:t xml:space="preserve"> after 48 hours of treatment, respectively.</w:t>
      </w:r>
      <w:r w:rsidR="000F5EAC" w:rsidRPr="000F5EAC">
        <w:t xml:space="preserve"> </w:t>
      </w:r>
      <w:r w:rsidR="000F5EAC" w:rsidRPr="00772475">
        <w:t>The EC</w:t>
      </w:r>
      <w:r w:rsidR="000F5EAC" w:rsidRPr="00772475">
        <w:rPr>
          <w:rStyle w:val="Subscript"/>
        </w:rPr>
        <w:t>50</w:t>
      </w:r>
      <w:r w:rsidR="000F5EAC" w:rsidRPr="00772475">
        <w:t xml:space="preserve"> values of remdesivir against SARS-CoV</w:t>
      </w:r>
      <w:r w:rsidR="000F5EAC" w:rsidRPr="00772475">
        <w:noBreakHyphen/>
        <w:t>2 in Vero cells were 137 </w:t>
      </w:r>
      <w:proofErr w:type="spellStart"/>
      <w:r w:rsidR="000F5EAC" w:rsidRPr="00772475">
        <w:t>nM</w:t>
      </w:r>
      <w:proofErr w:type="spellEnd"/>
      <w:r w:rsidR="000F5EAC" w:rsidRPr="00772475">
        <w:t xml:space="preserve"> at 24 hours and 750 </w:t>
      </w:r>
      <w:proofErr w:type="spellStart"/>
      <w:r w:rsidR="000F5EAC" w:rsidRPr="00772475">
        <w:t>nM</w:t>
      </w:r>
      <w:proofErr w:type="spellEnd"/>
      <w:r w:rsidR="000F5EAC" w:rsidRPr="00772475">
        <w:t xml:space="preserve"> at 48 hours post-treatment.</w:t>
      </w:r>
    </w:p>
    <w:p w14:paraId="6CA2E126" w14:textId="77777777" w:rsidR="001C0C42" w:rsidRDefault="001C0C42" w:rsidP="00D07F42">
      <w:pPr>
        <w:pStyle w:val="Default"/>
      </w:pPr>
    </w:p>
    <w:p w14:paraId="794D8C1B" w14:textId="5C65C74D" w:rsidR="00D07F42" w:rsidRPr="00772475" w:rsidRDefault="00270E87" w:rsidP="00D07F42">
      <w:pPr>
        <w:pStyle w:val="Default"/>
      </w:pPr>
      <w:r w:rsidRPr="00322CC7">
        <w:t>The antiviral activity of remdesivir was antagonised by chloroquine phosphate in a dose-dependent manner when the two drugs were co-incubated at clinically relevant concentrations in HEp-2 cells infected with respiratory syncytial virus (RSV). Higher remdesivir EC</w:t>
      </w:r>
      <w:r w:rsidRPr="0050438F">
        <w:rPr>
          <w:vertAlign w:val="subscript"/>
        </w:rPr>
        <w:t>50</w:t>
      </w:r>
      <w:r w:rsidRPr="00322CC7">
        <w:t xml:space="preserve"> values were observed with increasing concentrations of chloroquine phosphate. Increasing concentrations of chloroquine phosphate </w:t>
      </w:r>
      <w:r w:rsidR="00455920">
        <w:t xml:space="preserve">or hydroxychloroquine </w:t>
      </w:r>
      <w:proofErr w:type="spellStart"/>
      <w:r w:rsidR="00455920">
        <w:t>sulfate</w:t>
      </w:r>
      <w:proofErr w:type="spellEnd"/>
      <w:r w:rsidR="00455920">
        <w:t xml:space="preserve"> </w:t>
      </w:r>
      <w:r w:rsidRPr="00322CC7">
        <w:t xml:space="preserve">reduced formation of remdesivir triphosphate in </w:t>
      </w:r>
      <w:r w:rsidR="00455920">
        <w:rPr>
          <w:sz w:val="23"/>
          <w:szCs w:val="23"/>
        </w:rPr>
        <w:t xml:space="preserve">A549-hACE2, HEp-2, and </w:t>
      </w:r>
      <w:r w:rsidRPr="00322CC7">
        <w:t>normal human bronchial epithelial cells.</w:t>
      </w:r>
    </w:p>
    <w:p w14:paraId="794D8C1C" w14:textId="77777777" w:rsidR="00AB3F00" w:rsidRDefault="00AB3F00" w:rsidP="00D07F42">
      <w:pPr>
        <w:pStyle w:val="Default"/>
        <w:rPr>
          <w:noProof/>
        </w:rPr>
      </w:pPr>
    </w:p>
    <w:p w14:paraId="794D8C1D" w14:textId="3CC856E9" w:rsidR="00C66223" w:rsidRDefault="00270E87" w:rsidP="00D07F42">
      <w:pPr>
        <w:pStyle w:val="Default"/>
        <w:rPr>
          <w:noProof/>
        </w:rPr>
      </w:pPr>
      <w:r w:rsidRPr="001B6F21">
        <w:rPr>
          <w:noProof/>
        </w:rPr>
        <w:t xml:space="preserve">Based on </w:t>
      </w:r>
      <w:r w:rsidRPr="00BC6383">
        <w:rPr>
          <w:i/>
          <w:iCs/>
          <w:noProof/>
        </w:rPr>
        <w:t>in vitro</w:t>
      </w:r>
      <w:r w:rsidRPr="001B6F21">
        <w:rPr>
          <w:noProof/>
        </w:rPr>
        <w:t xml:space="preserve"> testing, remdesivir retained similar antiviral activity (&lt;2.5-fold change) against clinical isolates of SARS-CoV-2 variants containing the P323L substitution in the viral polymerase including Alpha (B.1.1.7), Beta (B.1.351), Gamma (P.1), Epsilon (B.1.429), Kappa (B.1.617.1), Lambda (C.37), Iota (B.1.526) and Zeta (P.2) variants compared to earlier lineage SARS-CoV-2 (lineage A) isolates. For the clinical isolates of the Delta (B.1.617.2) and Omicron (B.1.1.529) variants, remdesivir maintained antiviral activity (&lt;0.6-fold change). The antiviral activity of remdesivir against SARS-CoV-2 variants is presented in Table </w:t>
      </w:r>
      <w:r>
        <w:rPr>
          <w:noProof/>
        </w:rPr>
        <w:t>5</w:t>
      </w:r>
      <w:r w:rsidR="00AB30FA" w:rsidRPr="00C66223">
        <w:rPr>
          <w:noProof/>
        </w:rPr>
        <w:t>.</w:t>
      </w:r>
    </w:p>
    <w:p w14:paraId="2F8F780D" w14:textId="77777777" w:rsidR="00957C71" w:rsidRDefault="00957C71" w:rsidP="00D07F42">
      <w:pPr>
        <w:pStyle w:val="Default"/>
        <w:rPr>
          <w:noProof/>
        </w:rPr>
      </w:pPr>
    </w:p>
    <w:p w14:paraId="3DEBB2E3" w14:textId="5B711DBF" w:rsidR="001B3332" w:rsidRPr="00404741" w:rsidRDefault="00270E87" w:rsidP="00957C71">
      <w:pPr>
        <w:pStyle w:val="Default"/>
        <w:keepLines/>
        <w:ind w:left="1440" w:hanging="1440"/>
        <w:rPr>
          <w:b/>
        </w:rPr>
      </w:pPr>
      <w:bookmarkStart w:id="5" w:name="_Hlk89530889"/>
      <w:r w:rsidRPr="00404741">
        <w:rPr>
          <w:b/>
        </w:rPr>
        <w:t>Table </w:t>
      </w:r>
      <w:r w:rsidR="001B6F21" w:rsidRPr="00404741">
        <w:rPr>
          <w:b/>
        </w:rPr>
        <w:t>5</w:t>
      </w:r>
      <w:r w:rsidRPr="00404741">
        <w:rPr>
          <w:b/>
        </w:rPr>
        <w:t>:</w:t>
      </w:r>
      <w:r w:rsidRPr="00404741">
        <w:rPr>
          <w:b/>
        </w:rPr>
        <w:tab/>
        <w:t>Remdesivir Antiviral Activity Against Clinical Isolates of SARS-CoV-2 Variants</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51"/>
        <w:gridCol w:w="1141"/>
        <w:gridCol w:w="1474"/>
        <w:gridCol w:w="1373"/>
        <w:gridCol w:w="1274"/>
        <w:gridCol w:w="1473"/>
        <w:gridCol w:w="1406"/>
      </w:tblGrid>
      <w:tr w:rsidR="0054749D" w14:paraId="3564419F" w14:textId="77777777" w:rsidTr="002B7E57">
        <w:trPr>
          <w:tblHeader/>
        </w:trPr>
        <w:tc>
          <w:tcPr>
            <w:tcW w:w="571"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163A786C" w14:textId="77777777" w:rsidR="001B3332" w:rsidRPr="001B6F21" w:rsidRDefault="00270E87" w:rsidP="00957C71">
            <w:pPr>
              <w:pStyle w:val="TableHeaderleft"/>
              <w:keepLines/>
              <w:rPr>
                <w:rFonts w:eastAsia="Calibri"/>
              </w:rPr>
            </w:pPr>
            <w:r w:rsidRPr="001B6F21">
              <w:rPr>
                <w:rFonts w:eastAsia="Calibri"/>
              </w:rPr>
              <w:t>SARS-CoV-2 Lineage</w:t>
            </w:r>
          </w:p>
        </w:tc>
        <w:tc>
          <w:tcPr>
            <w:tcW w:w="620"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5C2A856C" w14:textId="77777777" w:rsidR="001B3332" w:rsidRPr="001B6F21" w:rsidRDefault="00270E87" w:rsidP="00957C71">
            <w:pPr>
              <w:pStyle w:val="TableHeaderCenter"/>
              <w:keepLines/>
            </w:pPr>
            <w:r w:rsidRPr="001B6F21">
              <w:t>Country First Identified</w:t>
            </w:r>
          </w:p>
        </w:tc>
        <w:tc>
          <w:tcPr>
            <w:tcW w:w="801"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664D774B" w14:textId="77777777" w:rsidR="001B3332" w:rsidRPr="001B6F21" w:rsidRDefault="00270E87" w:rsidP="00957C71">
            <w:pPr>
              <w:pStyle w:val="TableHeaderCenter"/>
              <w:keepLines/>
            </w:pPr>
            <w:r w:rsidRPr="001B6F21">
              <w:t>WHO Nomenclature</w:t>
            </w:r>
          </w:p>
        </w:tc>
        <w:tc>
          <w:tcPr>
            <w:tcW w:w="747"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44E66A23" w14:textId="77777777" w:rsidR="001B3332" w:rsidRPr="001B6F21" w:rsidRDefault="00270E87" w:rsidP="00957C71">
            <w:pPr>
              <w:pStyle w:val="TableHeaderCenter"/>
              <w:keepLines/>
            </w:pPr>
            <w:r w:rsidRPr="001B6F21">
              <w:t xml:space="preserve">Key </w:t>
            </w:r>
          </w:p>
          <w:p w14:paraId="56829E26" w14:textId="77777777" w:rsidR="001B3332" w:rsidRPr="001B6F21" w:rsidRDefault="00270E87" w:rsidP="00957C71">
            <w:pPr>
              <w:pStyle w:val="TableHeaderCenter"/>
              <w:keepLines/>
            </w:pPr>
            <w:r w:rsidRPr="001B6F21">
              <w:t>Substitutions</w:t>
            </w:r>
          </w:p>
        </w:tc>
        <w:tc>
          <w:tcPr>
            <w:tcW w:w="693"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6BFA050C" w14:textId="77777777" w:rsidR="001B3332" w:rsidRPr="001B6F21" w:rsidRDefault="00270E87" w:rsidP="00957C71">
            <w:pPr>
              <w:pStyle w:val="TableHeaderCenter"/>
              <w:keepLines/>
            </w:pPr>
            <w:r w:rsidRPr="001B6F21">
              <w:t>Remdesivir</w:t>
            </w:r>
          </w:p>
          <w:p w14:paraId="71A0971D" w14:textId="77777777" w:rsidR="001B3332" w:rsidRPr="001B6F21" w:rsidRDefault="00270E87" w:rsidP="00957C71">
            <w:pPr>
              <w:pStyle w:val="TableHeaderCenter"/>
              <w:keepLines/>
            </w:pPr>
            <w:r w:rsidRPr="001B6F21">
              <w:t>EC</w:t>
            </w:r>
            <w:r w:rsidRPr="001B6F21">
              <w:rPr>
                <w:vertAlign w:val="subscript"/>
              </w:rPr>
              <w:t>50</w:t>
            </w:r>
            <w:r w:rsidRPr="001B6F21">
              <w:t xml:space="preserve"> (</w:t>
            </w:r>
            <w:proofErr w:type="spellStart"/>
            <w:r w:rsidRPr="001B6F21">
              <w:t>nM</w:t>
            </w:r>
            <w:proofErr w:type="spellEnd"/>
            <w:r w:rsidRPr="001B6F21">
              <w:t>)</w:t>
            </w:r>
          </w:p>
          <w:p w14:paraId="38D23A2F" w14:textId="77777777" w:rsidR="001B3332" w:rsidRPr="001B6F21" w:rsidRDefault="00270E87" w:rsidP="00957C71">
            <w:pPr>
              <w:pStyle w:val="TableHeaderCenter"/>
              <w:keepLines/>
            </w:pPr>
            <w:r w:rsidRPr="001B6F21">
              <w:t>Replicates (n)</w:t>
            </w:r>
          </w:p>
        </w:tc>
        <w:tc>
          <w:tcPr>
            <w:tcW w:w="801"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740EE048" w14:textId="77777777" w:rsidR="001B3332" w:rsidRPr="001B6F21" w:rsidRDefault="00270E87" w:rsidP="00957C71">
            <w:pPr>
              <w:pStyle w:val="TableHeaderCenter"/>
              <w:keepLines/>
            </w:pPr>
            <w:r w:rsidRPr="001B6F21">
              <w:t xml:space="preserve">Fold Change in </w:t>
            </w:r>
            <w:proofErr w:type="spellStart"/>
            <w:r w:rsidRPr="001B6F21">
              <w:t>Susceptibility</w:t>
            </w:r>
            <w:r w:rsidRPr="001B6F21">
              <w:rPr>
                <w:vertAlign w:val="superscript"/>
              </w:rPr>
              <w:t>a</w:t>
            </w:r>
            <w:proofErr w:type="spellEnd"/>
          </w:p>
        </w:tc>
        <w:tc>
          <w:tcPr>
            <w:tcW w:w="765"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79BF27BC" w14:textId="77777777" w:rsidR="001B3332" w:rsidRPr="001B6F21" w:rsidRDefault="00270E87" w:rsidP="00957C71">
            <w:pPr>
              <w:pStyle w:val="TableHeaderCenter"/>
              <w:keepLines/>
            </w:pPr>
            <w:r w:rsidRPr="001B6F21">
              <w:t>Change in Susceptibility</w:t>
            </w:r>
          </w:p>
        </w:tc>
      </w:tr>
      <w:tr w:rsidR="0054749D" w14:paraId="18935BE2" w14:textId="77777777" w:rsidTr="001B6F21">
        <w:tc>
          <w:tcPr>
            <w:tcW w:w="571" w:type="pct"/>
            <w:tcBorders>
              <w:top w:val="single" w:sz="12" w:space="0" w:color="auto"/>
              <w:left w:val="nil"/>
              <w:bottom w:val="single" w:sz="6" w:space="0" w:color="auto"/>
              <w:right w:val="single" w:sz="6" w:space="0" w:color="auto"/>
            </w:tcBorders>
            <w:shd w:val="clear" w:color="auto" w:fill="auto"/>
            <w:tcMar>
              <w:left w:w="115" w:type="dxa"/>
              <w:right w:w="115" w:type="dxa"/>
            </w:tcMar>
            <w:vAlign w:val="center"/>
          </w:tcPr>
          <w:p w14:paraId="62364102" w14:textId="77777777" w:rsidR="001B3332" w:rsidRPr="001B6F21" w:rsidRDefault="00270E87" w:rsidP="00957C71">
            <w:pPr>
              <w:pStyle w:val="TableCellLeft"/>
              <w:keepLines/>
            </w:pPr>
            <w:r w:rsidRPr="001B6F21">
              <w:t>A</w:t>
            </w:r>
          </w:p>
        </w:tc>
        <w:tc>
          <w:tcPr>
            <w:tcW w:w="620"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668D82B" w14:textId="77777777" w:rsidR="001B3332" w:rsidRPr="001B6F21" w:rsidRDefault="00270E87" w:rsidP="00957C71">
            <w:pPr>
              <w:pStyle w:val="TableCellCenter"/>
              <w:keepLines/>
              <w:rPr>
                <w:b/>
                <w:bCs/>
              </w:rPr>
            </w:pPr>
            <w:r w:rsidRPr="001B6F21">
              <w:t>USA</w:t>
            </w:r>
          </w:p>
        </w:tc>
        <w:tc>
          <w:tcPr>
            <w:tcW w:w="801"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0F39DFC9" w14:textId="77777777" w:rsidR="001B3332" w:rsidRPr="001B6F21" w:rsidRDefault="00270E87" w:rsidP="00957C71">
            <w:pPr>
              <w:pStyle w:val="TableCellCenter"/>
              <w:keepLines/>
            </w:pPr>
            <w:r w:rsidRPr="001B6F21">
              <w:t>-</w:t>
            </w:r>
          </w:p>
        </w:tc>
        <w:tc>
          <w:tcPr>
            <w:tcW w:w="747"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A4AE6A8" w14:textId="77777777" w:rsidR="001B3332" w:rsidRPr="001B6F21" w:rsidRDefault="00270E87" w:rsidP="00957C71">
            <w:pPr>
              <w:pStyle w:val="TableCellCenter"/>
              <w:keepLines/>
            </w:pPr>
            <w:r w:rsidRPr="001B6F21">
              <w:t>-</w:t>
            </w:r>
          </w:p>
        </w:tc>
        <w:tc>
          <w:tcPr>
            <w:tcW w:w="693"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67F7D31" w14:textId="77777777" w:rsidR="001B3332" w:rsidRPr="001B6F21" w:rsidRDefault="00270E87" w:rsidP="00957C71">
            <w:pPr>
              <w:pStyle w:val="TableCellCenter"/>
              <w:keepLines/>
            </w:pPr>
            <w:r w:rsidRPr="001B6F21">
              <w:t>110 (17)</w:t>
            </w:r>
          </w:p>
        </w:tc>
        <w:tc>
          <w:tcPr>
            <w:tcW w:w="801"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43F2A98D" w14:textId="77777777" w:rsidR="001B3332" w:rsidRPr="001B6F21" w:rsidRDefault="00270E87" w:rsidP="00957C71">
            <w:pPr>
              <w:pStyle w:val="TableCellCenter"/>
              <w:keepLines/>
              <w:rPr>
                <w:b/>
                <w:bCs/>
              </w:rPr>
            </w:pPr>
            <w:r w:rsidRPr="001B6F21">
              <w:t>1.0</w:t>
            </w:r>
          </w:p>
        </w:tc>
        <w:tc>
          <w:tcPr>
            <w:tcW w:w="765"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4F5F5D83" w14:textId="77777777" w:rsidR="001B3332" w:rsidRPr="001B6F21" w:rsidRDefault="001B3332" w:rsidP="00957C71">
            <w:pPr>
              <w:pStyle w:val="TableCellCenter"/>
              <w:keepLines/>
            </w:pPr>
          </w:p>
        </w:tc>
      </w:tr>
      <w:tr w:rsidR="0054749D" w14:paraId="0A389467"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6838B927" w14:textId="77777777" w:rsidR="001B3332" w:rsidRPr="001B6F21" w:rsidRDefault="00270E87" w:rsidP="00957C71">
            <w:pPr>
              <w:pStyle w:val="TableCellLeft"/>
              <w:keepLines/>
            </w:pPr>
            <w:r w:rsidRPr="001B6F21">
              <w:t>B.1.1.7</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323F504" w14:textId="77777777" w:rsidR="001B3332" w:rsidRPr="001B6F21" w:rsidRDefault="00270E87" w:rsidP="00957C71">
            <w:pPr>
              <w:pStyle w:val="TableCellCenter"/>
              <w:keepLines/>
            </w:pPr>
            <w:r w:rsidRPr="001B6F21">
              <w:t>UK</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57B9136" w14:textId="77777777" w:rsidR="001B3332" w:rsidRPr="001B6F21" w:rsidRDefault="00270E87" w:rsidP="00957C71">
            <w:pPr>
              <w:pStyle w:val="TableCellCenter"/>
              <w:keepLines/>
            </w:pPr>
            <w:r w:rsidRPr="001B6F21">
              <w:t>Alpha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07EC100"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9BEE48F" w14:textId="77777777" w:rsidR="001B3332" w:rsidRPr="001B6F21" w:rsidRDefault="00270E87" w:rsidP="00957C71">
            <w:pPr>
              <w:pStyle w:val="TableCellCenter"/>
              <w:keepLines/>
            </w:pPr>
            <w:r w:rsidRPr="001B6F21">
              <w:t>192 (6)</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B530755" w14:textId="77777777" w:rsidR="001B3332" w:rsidRPr="001B6F21" w:rsidRDefault="00270E87" w:rsidP="00957C71">
            <w:pPr>
              <w:pStyle w:val="TableCellCenter"/>
              <w:keepLines/>
            </w:pPr>
            <w:r w:rsidRPr="001B6F21">
              <w:t>1.58±0.48</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6B4D295C"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40B516CF"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37A1EF23" w14:textId="77777777" w:rsidR="001B3332" w:rsidRPr="001B6F21" w:rsidRDefault="00270E87" w:rsidP="00957C71">
            <w:pPr>
              <w:pStyle w:val="TableCellLeft"/>
              <w:keepLines/>
            </w:pPr>
            <w:r w:rsidRPr="001B6F21">
              <w:t>B.1.351</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A5FE2A3" w14:textId="77777777" w:rsidR="001B3332" w:rsidRPr="001B6F21" w:rsidRDefault="00270E87" w:rsidP="00957C71">
            <w:pPr>
              <w:pStyle w:val="TableCellCenter"/>
              <w:keepLines/>
            </w:pPr>
            <w:r w:rsidRPr="001B6F21">
              <w:t>South Africa</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B8667A6" w14:textId="77777777" w:rsidR="001B3332" w:rsidRPr="001B6F21" w:rsidRDefault="00270E87" w:rsidP="00957C71">
            <w:pPr>
              <w:pStyle w:val="TableCellCenter"/>
              <w:keepLines/>
            </w:pPr>
            <w:r w:rsidRPr="001B6F21">
              <w:t>Beta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E431C60"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4FA47D3E" w14:textId="77777777" w:rsidR="001B3332" w:rsidRPr="001B6F21" w:rsidRDefault="00270E87" w:rsidP="00957C71">
            <w:pPr>
              <w:pStyle w:val="TableCellCenter"/>
              <w:keepLines/>
            </w:pPr>
            <w:r w:rsidRPr="001B6F21">
              <w:t>141 (6)</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465A2B7" w14:textId="77777777" w:rsidR="001B3332" w:rsidRPr="001B6F21" w:rsidRDefault="00270E87" w:rsidP="00957C71">
            <w:pPr>
              <w:pStyle w:val="TableCellCenter"/>
              <w:keepLines/>
            </w:pPr>
            <w:r w:rsidRPr="001B6F21">
              <w:t>1.19±0.47</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7A203599"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08AD5CAD"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7E38D026" w14:textId="77777777" w:rsidR="001B3332" w:rsidRPr="001B6F21" w:rsidRDefault="00270E87" w:rsidP="00957C71">
            <w:pPr>
              <w:pStyle w:val="TableCellLeft"/>
              <w:keepLines/>
            </w:pPr>
            <w:bookmarkStart w:id="6" w:name="_Hlk89531698"/>
            <w:r w:rsidRPr="001B6F21">
              <w:t>P.1</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496308C" w14:textId="77777777" w:rsidR="001B3332" w:rsidRPr="001B6F21" w:rsidRDefault="00270E87" w:rsidP="00957C71">
            <w:pPr>
              <w:pStyle w:val="TableCellCenter"/>
              <w:keepLines/>
            </w:pPr>
            <w:r w:rsidRPr="001B6F21">
              <w:t>Brazil</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0D156AE" w14:textId="77777777" w:rsidR="001B3332" w:rsidRPr="001B6F21" w:rsidRDefault="00270E87" w:rsidP="00957C71">
            <w:pPr>
              <w:pStyle w:val="TableCellCenter"/>
              <w:keepLines/>
            </w:pPr>
            <w:r w:rsidRPr="001B6F21">
              <w:t>Gamma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9F739AA"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0C6BEA54" w14:textId="77777777" w:rsidR="001B3332" w:rsidRPr="001B6F21" w:rsidRDefault="00270E87" w:rsidP="00957C71">
            <w:pPr>
              <w:pStyle w:val="TableCellCenter"/>
              <w:keepLines/>
            </w:pPr>
            <w:r w:rsidRPr="001B6F21">
              <w:t>97 (6)</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3095B81" w14:textId="77777777" w:rsidR="001B3332" w:rsidRPr="001B6F21" w:rsidRDefault="00270E87" w:rsidP="00957C71">
            <w:pPr>
              <w:pStyle w:val="TableCellCenter"/>
              <w:keepLines/>
            </w:pPr>
            <w:r w:rsidRPr="001B6F21">
              <w:t>0.82±0.42</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3908262D"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bookmarkEnd w:id="6"/>
      <w:tr w:rsidR="0054749D" w14:paraId="02B70E1B"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7DC90188" w14:textId="77777777" w:rsidR="001B3332" w:rsidRPr="001B6F21" w:rsidRDefault="00270E87" w:rsidP="00957C71">
            <w:pPr>
              <w:pStyle w:val="TableCellLeft"/>
              <w:keepLines/>
            </w:pPr>
            <w:r w:rsidRPr="001B6F21">
              <w:t>B.1.617.2</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34CB073" w14:textId="77777777" w:rsidR="001B3332" w:rsidRPr="001B6F21" w:rsidRDefault="00270E87" w:rsidP="00957C71">
            <w:pPr>
              <w:pStyle w:val="TableCellCenter"/>
              <w:keepLines/>
            </w:pPr>
            <w:r w:rsidRPr="001B6F21">
              <w:t>India</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019F0EF" w14:textId="77777777" w:rsidR="001B3332" w:rsidRPr="001B6F21" w:rsidRDefault="00270E87" w:rsidP="00957C71">
            <w:pPr>
              <w:pStyle w:val="TableCellCenter"/>
              <w:keepLines/>
            </w:pPr>
            <w:r w:rsidRPr="001B6F21">
              <w:t>Delta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0E3CF3C5" w14:textId="77777777" w:rsidR="001B3332" w:rsidRPr="001B6F21" w:rsidRDefault="00270E87" w:rsidP="00957C71">
            <w:pPr>
              <w:pStyle w:val="TableCellCenter"/>
              <w:keepLines/>
            </w:pPr>
            <w:r w:rsidRPr="001B6F21">
              <w:t>P323L, G671S</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360721B" w14:textId="77777777" w:rsidR="001B3332" w:rsidRPr="001B6F21" w:rsidRDefault="00270E87" w:rsidP="00957C71">
            <w:pPr>
              <w:pStyle w:val="TableCellCenter"/>
              <w:keepLines/>
            </w:pPr>
            <w:r w:rsidRPr="001B6F21">
              <w:t>70 (13)</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6064FB9" w14:textId="77777777" w:rsidR="001B3332" w:rsidRPr="001B6F21" w:rsidRDefault="00270E87" w:rsidP="00957C71">
            <w:pPr>
              <w:pStyle w:val="TableCellCenter"/>
              <w:keepLines/>
            </w:pPr>
            <w:r w:rsidRPr="001B6F21">
              <w:t>0.59±0.20</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2B2D44D9"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713A1D34"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43A4CA0C" w14:textId="77777777" w:rsidR="001B3332" w:rsidRPr="001B6F21" w:rsidRDefault="00270E87" w:rsidP="00957C71">
            <w:pPr>
              <w:pStyle w:val="TableCellLeft"/>
              <w:keepLines/>
            </w:pPr>
            <w:r w:rsidRPr="001B6F21">
              <w:t>B.1.429</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3E7F698" w14:textId="77777777" w:rsidR="001B3332" w:rsidRPr="001B6F21" w:rsidRDefault="00270E87" w:rsidP="00957C71">
            <w:pPr>
              <w:pStyle w:val="TableCellCenter"/>
              <w:keepLines/>
            </w:pPr>
            <w:r w:rsidRPr="001B6F21">
              <w:t>USA</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14EBF399" w14:textId="77777777" w:rsidR="001B3332" w:rsidRPr="001B6F21" w:rsidRDefault="00270E87" w:rsidP="00957C71">
            <w:pPr>
              <w:pStyle w:val="TableCellCenter"/>
              <w:keepLines/>
            </w:pPr>
            <w:r w:rsidRPr="001B6F21">
              <w:t>Epsilon</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AECE7E9"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D899962" w14:textId="77777777" w:rsidR="001B3332" w:rsidRPr="001B6F21" w:rsidRDefault="00270E87" w:rsidP="00957C71">
            <w:pPr>
              <w:pStyle w:val="TableCellCenter"/>
              <w:keepLines/>
            </w:pPr>
            <w:r w:rsidRPr="001B6F21">
              <w:t>210 (8)</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12CDFFDF" w14:textId="77777777" w:rsidR="001B3332" w:rsidRPr="001B6F21" w:rsidRDefault="00270E87" w:rsidP="00957C71">
            <w:pPr>
              <w:pStyle w:val="TableCellCenter"/>
              <w:keepLines/>
            </w:pPr>
            <w:r w:rsidRPr="001B6F21">
              <w:t>1.94±1.18</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03DDDB7E"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2796DE6B"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5D7F4914" w14:textId="77777777" w:rsidR="001B3332" w:rsidRPr="001B6F21" w:rsidRDefault="00270E87" w:rsidP="00957C71">
            <w:pPr>
              <w:pStyle w:val="TableCellLeft"/>
              <w:keepLines/>
            </w:pPr>
            <w:r w:rsidRPr="001B6F21">
              <w:t>B.1.617.1</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7236166" w14:textId="77777777" w:rsidR="001B3332" w:rsidRPr="001B6F21" w:rsidRDefault="00270E87" w:rsidP="00957C71">
            <w:pPr>
              <w:pStyle w:val="TableCellCenter"/>
              <w:keepLines/>
            </w:pPr>
            <w:r w:rsidRPr="001B6F21">
              <w:t>India</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35C7DCB" w14:textId="77777777" w:rsidR="001B3332" w:rsidRPr="001B6F21" w:rsidRDefault="00270E87" w:rsidP="00957C71">
            <w:pPr>
              <w:pStyle w:val="TableCellCenter"/>
              <w:keepLines/>
            </w:pPr>
            <w:r w:rsidRPr="001B6F21">
              <w:t>Kappa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E52926A"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0C7B2CB" w14:textId="77777777" w:rsidR="001B3332" w:rsidRPr="001B6F21" w:rsidRDefault="00270E87" w:rsidP="00957C71">
            <w:pPr>
              <w:pStyle w:val="TableCellCenter"/>
              <w:keepLines/>
            </w:pPr>
            <w:r w:rsidRPr="001B6F21">
              <w:t>77 (6)</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822D7C1" w14:textId="77777777" w:rsidR="001B3332" w:rsidRPr="001B6F21" w:rsidRDefault="00270E87" w:rsidP="00957C71">
            <w:pPr>
              <w:pStyle w:val="TableCellCenter"/>
              <w:keepLines/>
            </w:pPr>
            <w:r w:rsidRPr="001B6F21">
              <w:t>0.63±0.19</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6BBC084A"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60BA0E67"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61DF7920" w14:textId="77777777" w:rsidR="001B3332" w:rsidRPr="001B6F21" w:rsidRDefault="00270E87" w:rsidP="00957C71">
            <w:pPr>
              <w:pStyle w:val="TableCellLeft"/>
              <w:keepLines/>
            </w:pPr>
            <w:r w:rsidRPr="001B6F21">
              <w:t>C.37</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5369AB0" w14:textId="77777777" w:rsidR="001B3332" w:rsidRPr="001B6F21" w:rsidRDefault="00270E87" w:rsidP="00957C71">
            <w:pPr>
              <w:pStyle w:val="TableCellCenter"/>
              <w:keepLines/>
            </w:pPr>
            <w:r w:rsidRPr="001B6F21">
              <w:t>Peru</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AD93884" w14:textId="77777777" w:rsidR="001B3332" w:rsidRPr="001B6F21" w:rsidRDefault="00270E87" w:rsidP="00957C71">
            <w:pPr>
              <w:pStyle w:val="TableCellCenter"/>
              <w:keepLines/>
            </w:pPr>
            <w:r w:rsidRPr="001B6F21">
              <w:t>Lambda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A59ECFA"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16E52889" w14:textId="77777777" w:rsidR="001B3332" w:rsidRPr="001B6F21" w:rsidRDefault="00270E87" w:rsidP="00957C71">
            <w:pPr>
              <w:pStyle w:val="TableCellCenter"/>
              <w:keepLines/>
            </w:pPr>
            <w:r w:rsidRPr="001B6F21">
              <w:t>175 (6)</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050D0F4" w14:textId="77777777" w:rsidR="001B3332" w:rsidRPr="001B6F21" w:rsidRDefault="00270E87" w:rsidP="00957C71">
            <w:pPr>
              <w:pStyle w:val="TableCellCenter"/>
              <w:keepLines/>
            </w:pPr>
            <w:r w:rsidRPr="001B6F21">
              <w:t>1.37±0.48</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676D21E4"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38D36156"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5CC778CE" w14:textId="77777777" w:rsidR="001B3332" w:rsidRPr="001B6F21" w:rsidRDefault="00270E87" w:rsidP="00957C71">
            <w:pPr>
              <w:pStyle w:val="TableCellLeft"/>
              <w:keepLines/>
            </w:pPr>
            <w:r w:rsidRPr="001B6F21">
              <w:lastRenderedPageBreak/>
              <w:t>B.1.526</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B726C8C" w14:textId="77777777" w:rsidR="001B3332" w:rsidRPr="001B6F21" w:rsidRDefault="00270E87" w:rsidP="00957C71">
            <w:pPr>
              <w:pStyle w:val="TableCellCenter"/>
              <w:keepLines/>
            </w:pPr>
            <w:r w:rsidRPr="001B6F21">
              <w:t>USA</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1FBB1E6A" w14:textId="77777777" w:rsidR="001B3332" w:rsidRPr="001B6F21" w:rsidRDefault="00270E87" w:rsidP="00957C71">
            <w:pPr>
              <w:pStyle w:val="TableCellCenter"/>
              <w:keepLines/>
            </w:pPr>
            <w:r w:rsidRPr="001B6F21">
              <w:t>Iota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88A7D2E"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3F14227" w14:textId="77777777" w:rsidR="001B3332" w:rsidRPr="001B6F21" w:rsidRDefault="00270E87" w:rsidP="00957C71">
            <w:pPr>
              <w:pStyle w:val="TableCellCenter"/>
              <w:keepLines/>
            </w:pPr>
            <w:r w:rsidRPr="001B6F21">
              <w:t>258 (8)</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9838FFB" w14:textId="77777777" w:rsidR="001B3332" w:rsidRPr="001B6F21" w:rsidRDefault="00270E87" w:rsidP="00957C71">
            <w:pPr>
              <w:pStyle w:val="TableCellCenter"/>
              <w:keepLines/>
            </w:pPr>
            <w:r w:rsidRPr="001B6F21">
              <w:t>2.33±0.74</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47378AC4"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7A16B55B" w14:textId="77777777" w:rsidTr="001B6F21">
        <w:tc>
          <w:tcPr>
            <w:tcW w:w="571"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2049FBCF" w14:textId="77777777" w:rsidR="001B3332" w:rsidRPr="001B6F21" w:rsidRDefault="00270E87" w:rsidP="00957C71">
            <w:pPr>
              <w:pStyle w:val="TableCellLeft"/>
              <w:keepLines/>
            </w:pPr>
            <w:r w:rsidRPr="001B6F21">
              <w:t>P.2</w:t>
            </w:r>
          </w:p>
        </w:tc>
        <w:tc>
          <w:tcPr>
            <w:tcW w:w="620"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14DE653" w14:textId="77777777" w:rsidR="001B3332" w:rsidRPr="001B6F21" w:rsidRDefault="00270E87" w:rsidP="00957C71">
            <w:pPr>
              <w:pStyle w:val="TableCellCenter"/>
              <w:keepLines/>
            </w:pPr>
            <w:r w:rsidRPr="001B6F21">
              <w:t>Brazil</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3489EBD9" w14:textId="77777777" w:rsidR="001B3332" w:rsidRPr="001B6F21" w:rsidRDefault="00270E87" w:rsidP="00957C71">
            <w:pPr>
              <w:pStyle w:val="TableCellCenter"/>
              <w:keepLines/>
            </w:pPr>
            <w:r w:rsidRPr="001B6F21">
              <w:t>Zeta</w:t>
            </w:r>
          </w:p>
        </w:tc>
        <w:tc>
          <w:tcPr>
            <w:tcW w:w="74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2A29BAAD"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1DEB4655" w14:textId="77777777" w:rsidR="001B3332" w:rsidRPr="001B6F21" w:rsidRDefault="00270E87" w:rsidP="00957C71">
            <w:pPr>
              <w:pStyle w:val="TableCellCenter"/>
              <w:keepLines/>
            </w:pPr>
            <w:r w:rsidRPr="001B6F21">
              <w:t>151 (5)</w:t>
            </w:r>
          </w:p>
        </w:tc>
        <w:tc>
          <w:tcPr>
            <w:tcW w:w="801"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65F5E94B" w14:textId="77777777" w:rsidR="001B3332" w:rsidRPr="001B6F21" w:rsidRDefault="00270E87" w:rsidP="00957C71">
            <w:pPr>
              <w:pStyle w:val="TableCellCenter"/>
              <w:keepLines/>
            </w:pPr>
            <w:r w:rsidRPr="001B6F21">
              <w:t>1.17±0.40</w:t>
            </w:r>
          </w:p>
        </w:tc>
        <w:tc>
          <w:tcPr>
            <w:tcW w:w="765"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2603C7DA"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r w:rsidR="0054749D" w14:paraId="7506225D" w14:textId="77777777" w:rsidTr="001B6F21">
        <w:tc>
          <w:tcPr>
            <w:tcW w:w="571" w:type="pct"/>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543868FB" w14:textId="77777777" w:rsidR="001B3332" w:rsidRPr="001B6F21" w:rsidRDefault="00270E87" w:rsidP="00957C71">
            <w:pPr>
              <w:pStyle w:val="TableCellLeft"/>
              <w:keepLines/>
            </w:pPr>
            <w:r w:rsidRPr="001B6F21">
              <w:t>B.1.1.529</w:t>
            </w:r>
          </w:p>
        </w:tc>
        <w:tc>
          <w:tcPr>
            <w:tcW w:w="620"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13204804" w14:textId="77777777" w:rsidR="001B3332" w:rsidRPr="001B6F21" w:rsidRDefault="00270E87" w:rsidP="00957C71">
            <w:pPr>
              <w:pStyle w:val="TableCellCenter"/>
              <w:keepLines/>
            </w:pPr>
            <w:r w:rsidRPr="001B6F21">
              <w:t>South Africa</w:t>
            </w:r>
          </w:p>
        </w:tc>
        <w:tc>
          <w:tcPr>
            <w:tcW w:w="801"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58778B55" w14:textId="77777777" w:rsidR="001B3332" w:rsidRPr="001B6F21" w:rsidRDefault="00270E87" w:rsidP="00957C71">
            <w:pPr>
              <w:pStyle w:val="TableCellCenter"/>
              <w:keepLines/>
            </w:pPr>
            <w:r w:rsidRPr="001B6F21">
              <w:t>Omicron</w:t>
            </w:r>
          </w:p>
        </w:tc>
        <w:tc>
          <w:tcPr>
            <w:tcW w:w="747"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7D291976" w14:textId="77777777" w:rsidR="001B3332" w:rsidRPr="001B6F21" w:rsidRDefault="00270E87" w:rsidP="00957C71">
            <w:pPr>
              <w:pStyle w:val="TableCellCenter"/>
              <w:keepLines/>
            </w:pPr>
            <w:r w:rsidRPr="001B6F21">
              <w:t>P323L</w:t>
            </w:r>
          </w:p>
        </w:tc>
        <w:tc>
          <w:tcPr>
            <w:tcW w:w="693"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2CC2BF0D" w14:textId="77777777" w:rsidR="001B3332" w:rsidRPr="001B6F21" w:rsidRDefault="00270E87" w:rsidP="00957C71">
            <w:pPr>
              <w:pStyle w:val="TableCellCenter"/>
              <w:keepLines/>
            </w:pPr>
            <w:r w:rsidRPr="001B6F21">
              <w:t>44 (6)</w:t>
            </w:r>
          </w:p>
        </w:tc>
        <w:tc>
          <w:tcPr>
            <w:tcW w:w="801"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462820E0" w14:textId="77777777" w:rsidR="001B3332" w:rsidRPr="001B6F21" w:rsidRDefault="00270E87" w:rsidP="00957C71">
            <w:pPr>
              <w:pStyle w:val="TableCellCenter"/>
              <w:keepLines/>
            </w:pPr>
            <w:r w:rsidRPr="001B6F21">
              <w:t>0.45±0.13</w:t>
            </w:r>
          </w:p>
        </w:tc>
        <w:tc>
          <w:tcPr>
            <w:tcW w:w="765"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0C821256" w14:textId="77777777" w:rsidR="001B3332" w:rsidRPr="001B6F21" w:rsidRDefault="00270E87" w:rsidP="00957C71">
            <w:pPr>
              <w:pStyle w:val="TableCellCenter"/>
              <w:keepLines/>
            </w:pPr>
            <w:r w:rsidRPr="001B6F21">
              <w:t xml:space="preserve">No </w:t>
            </w:r>
            <w:proofErr w:type="spellStart"/>
            <w:r w:rsidRPr="001B6F21">
              <w:t>change</w:t>
            </w:r>
            <w:r w:rsidRPr="001B6F21">
              <w:rPr>
                <w:vertAlign w:val="superscript"/>
              </w:rPr>
              <w:t>b</w:t>
            </w:r>
            <w:proofErr w:type="spellEnd"/>
          </w:p>
        </w:tc>
      </w:tr>
    </w:tbl>
    <w:p w14:paraId="076141AD" w14:textId="77777777" w:rsidR="001B3332" w:rsidRDefault="00270E87" w:rsidP="00957C71">
      <w:pPr>
        <w:pStyle w:val="TableFootnote"/>
        <w:keepLines/>
        <w:rPr>
          <w:color w:val="auto"/>
        </w:rPr>
      </w:pPr>
      <w:r w:rsidRPr="00782469">
        <w:rPr>
          <w:color w:val="auto"/>
        </w:rPr>
        <w:t>a</w:t>
      </w:r>
      <w:r w:rsidRPr="00782469">
        <w:rPr>
          <w:color w:val="auto"/>
        </w:rPr>
        <w:tab/>
      </w:r>
      <w:r w:rsidRPr="00464240">
        <w:rPr>
          <w:color w:val="auto"/>
        </w:rPr>
        <w:t>Values from the N protein ELISA assay. EC</w:t>
      </w:r>
      <w:r w:rsidRPr="00C5669D">
        <w:rPr>
          <w:color w:val="auto"/>
          <w:vertAlign w:val="subscript"/>
        </w:rPr>
        <w:t>50</w:t>
      </w:r>
      <w:r w:rsidRPr="00464240">
        <w:rPr>
          <w:color w:val="auto"/>
        </w:rPr>
        <w:t xml:space="preserve"> for WA1 = 110 ± 42 </w:t>
      </w:r>
      <w:proofErr w:type="spellStart"/>
      <w:r w:rsidRPr="00464240">
        <w:rPr>
          <w:color w:val="auto"/>
        </w:rPr>
        <w:t>nM</w:t>
      </w:r>
      <w:proofErr w:type="spellEnd"/>
      <w:r w:rsidRPr="00464240">
        <w:rPr>
          <w:color w:val="auto"/>
        </w:rPr>
        <w:t xml:space="preserve"> for assays harvested at 48 hours and 97 ± 15 </w:t>
      </w:r>
      <w:proofErr w:type="spellStart"/>
      <w:r w:rsidRPr="00464240">
        <w:rPr>
          <w:color w:val="auto"/>
        </w:rPr>
        <w:t>nM</w:t>
      </w:r>
      <w:proofErr w:type="spellEnd"/>
      <w:r w:rsidRPr="00464240">
        <w:rPr>
          <w:color w:val="auto"/>
        </w:rPr>
        <w:t xml:space="preserve"> for assays harvested at 72 hrs (Omicron variant). A fold change was calculated for each experiment using the lineage A WA1</w:t>
      </w:r>
      <w:r>
        <w:rPr>
          <w:color w:val="auto"/>
        </w:rPr>
        <w:t xml:space="preserve"> </w:t>
      </w:r>
      <w:r w:rsidRPr="00464240">
        <w:rPr>
          <w:color w:val="auto"/>
        </w:rPr>
        <w:t>isolate and a mean fold change ± SD was calculated with these values.</w:t>
      </w:r>
    </w:p>
    <w:p w14:paraId="39212EF0" w14:textId="77777777" w:rsidR="001B3332" w:rsidRPr="00782469" w:rsidRDefault="00270E87" w:rsidP="00957C71">
      <w:pPr>
        <w:pStyle w:val="TableFootnote"/>
        <w:keepLines/>
        <w:rPr>
          <w:rFonts w:eastAsia="Calibri"/>
          <w:color w:val="auto"/>
          <w:lang w:val="en-US" w:eastAsia="en-US"/>
        </w:rPr>
      </w:pPr>
      <w:r>
        <w:rPr>
          <w:color w:val="auto"/>
        </w:rPr>
        <w:t>b</w:t>
      </w:r>
      <w:r>
        <w:rPr>
          <w:color w:val="auto"/>
        </w:rPr>
        <w:tab/>
        <w:t>Fold-</w:t>
      </w:r>
      <w:r w:rsidRPr="00782469">
        <w:rPr>
          <w:color w:val="auto"/>
        </w:rPr>
        <w:t>change</w:t>
      </w:r>
      <w:r w:rsidRPr="00782469">
        <w:rPr>
          <w:rFonts w:eastAsia="Calibri"/>
          <w:color w:val="auto"/>
          <w:lang w:val="en-US" w:eastAsia="en-US"/>
        </w:rPr>
        <w:t xml:space="preserve">: </w:t>
      </w:r>
      <w:r>
        <w:rPr>
          <w:rFonts w:eastAsia="Calibri"/>
          <w:color w:val="auto"/>
          <w:lang w:val="en-US" w:eastAsia="en-US"/>
        </w:rPr>
        <w:t>&lt;2</w:t>
      </w:r>
      <w:r w:rsidRPr="00782469">
        <w:rPr>
          <w:rFonts w:eastAsia="Calibri"/>
          <w:color w:val="auto"/>
          <w:lang w:val="en-US" w:eastAsia="en-US"/>
        </w:rPr>
        <w:t>.5-</w:t>
      </w:r>
      <w:r w:rsidRPr="002C567D">
        <w:rPr>
          <w:rFonts w:eastAsia="Calibri"/>
          <w:color w:val="auto"/>
          <w:lang w:val="en-US" w:eastAsia="en-US"/>
        </w:rPr>
        <w:t xml:space="preserve"> </w:t>
      </w:r>
      <w:r>
        <w:rPr>
          <w:rFonts w:eastAsia="Calibri"/>
          <w:color w:val="auto"/>
          <w:lang w:val="en-US" w:eastAsia="en-US"/>
        </w:rPr>
        <w:t>is not significant. All variants show no</w:t>
      </w:r>
      <w:r w:rsidRPr="00782469">
        <w:rPr>
          <w:rFonts w:eastAsia="Calibri"/>
          <w:color w:val="auto"/>
          <w:lang w:val="en-US" w:eastAsia="en-US"/>
        </w:rPr>
        <w:t xml:space="preserve"> reduction in susceptibility.</w:t>
      </w:r>
    </w:p>
    <w:bookmarkEnd w:id="5"/>
    <w:p w14:paraId="76579576" w14:textId="5D884104" w:rsidR="00957C71" w:rsidRDefault="00957C71" w:rsidP="00D07F42">
      <w:pPr>
        <w:pStyle w:val="Default"/>
        <w:rPr>
          <w:noProof/>
        </w:rPr>
      </w:pPr>
    </w:p>
    <w:p w14:paraId="794D8C4A" w14:textId="77777777" w:rsidR="00D07F42" w:rsidRPr="00772475" w:rsidRDefault="00270E87" w:rsidP="00D07F42">
      <w:pPr>
        <w:pStyle w:val="Default"/>
        <w:rPr>
          <w:noProof/>
          <w:u w:val="single"/>
        </w:rPr>
      </w:pPr>
      <w:r w:rsidRPr="00772475">
        <w:rPr>
          <w:noProof/>
          <w:u w:val="single"/>
        </w:rPr>
        <w:t xml:space="preserve">Resistance </w:t>
      </w:r>
    </w:p>
    <w:p w14:paraId="794D8C4B" w14:textId="77777777" w:rsidR="00D07F42" w:rsidRPr="00772475" w:rsidRDefault="00D07F42" w:rsidP="00D07F42">
      <w:pPr>
        <w:pStyle w:val="Default"/>
        <w:rPr>
          <w:noProof/>
          <w:u w:val="single"/>
        </w:rPr>
      </w:pPr>
    </w:p>
    <w:p w14:paraId="794D8C4C" w14:textId="2B2F25EB" w:rsidR="00D07F42" w:rsidRPr="00114B76" w:rsidRDefault="00173F84" w:rsidP="00D07F42">
      <w:pPr>
        <w:pStyle w:val="Default"/>
        <w:rPr>
          <w:i/>
          <w:iCs/>
        </w:rPr>
      </w:pPr>
      <w:r w:rsidRPr="00114B76">
        <w:rPr>
          <w:i/>
          <w:iCs/>
        </w:rPr>
        <w:t>In cell culture</w:t>
      </w:r>
    </w:p>
    <w:p w14:paraId="794D8C4D" w14:textId="77777777" w:rsidR="00173F84" w:rsidRPr="00772475" w:rsidRDefault="00173F84" w:rsidP="00D07F42">
      <w:pPr>
        <w:pStyle w:val="Default"/>
      </w:pPr>
    </w:p>
    <w:p w14:paraId="794D8C4E" w14:textId="58F8FDD4" w:rsidR="00D07F42" w:rsidRPr="00C10E73" w:rsidRDefault="00270E87" w:rsidP="00D07F42">
      <w:pPr>
        <w:pStyle w:val="Default"/>
        <w:rPr>
          <w:bCs/>
        </w:rPr>
      </w:pPr>
      <w:r w:rsidRPr="00182AE6">
        <w:t>SARS-CoV-2 isolates with reduced susceptibility to remdesivir have been selected in ce</w:t>
      </w:r>
      <w:r w:rsidRPr="00A876E2">
        <w:t xml:space="preserve">ll culture. In one selection with GS-441524, the parent nucleoside of remdesivir, virus pools emerged expressing amino acid substitutions at </w:t>
      </w:r>
      <w:r w:rsidRPr="00FF25D5">
        <w:rPr>
          <w:color w:val="auto"/>
        </w:rPr>
        <w:t>V166A, N198S, S759A, V792I, C7</w:t>
      </w:r>
      <w:r w:rsidRPr="00C10E73">
        <w:rPr>
          <w:color w:val="auto"/>
        </w:rPr>
        <w:t xml:space="preserve">99F, and C799R in </w:t>
      </w:r>
      <w:r w:rsidRPr="00C10E73">
        <w:rPr>
          <w:bCs/>
        </w:rPr>
        <w:t>the viral RNA-dependent RNA polymerase</w:t>
      </w:r>
      <w:r w:rsidR="00371964" w:rsidRPr="00C10E73">
        <w:rPr>
          <w:bCs/>
        </w:rPr>
        <w:t xml:space="preserve">, </w:t>
      </w:r>
      <w:r w:rsidR="00371964" w:rsidRPr="00182AE6">
        <w:t xml:space="preserve">which conferred </w:t>
      </w:r>
      <w:proofErr w:type="gramStart"/>
      <w:r w:rsidR="00371964" w:rsidRPr="00182AE6">
        <w:t>2.7-10.4 fold</w:t>
      </w:r>
      <w:proofErr w:type="gramEnd"/>
      <w:r w:rsidR="00371964" w:rsidRPr="00182AE6">
        <w:t xml:space="preserve"> reductions in susceptibility to remdesivir.</w:t>
      </w:r>
      <w:r w:rsidRPr="00182AE6">
        <w:rPr>
          <w:bCs/>
        </w:rPr>
        <w:t xml:space="preserve"> When individually introduced into a wild-type recombinant virus by site-directed mutagenesis, 1.7- to 3.5</w:t>
      </w:r>
      <w:r w:rsidRPr="00FF25D5">
        <w:rPr>
          <w:bCs/>
          <w:color w:val="auto"/>
          <w:kern w:val="24"/>
        </w:rPr>
        <w:t>-fold reduced susc</w:t>
      </w:r>
      <w:r w:rsidRPr="00C10E73">
        <w:rPr>
          <w:bCs/>
          <w:color w:val="auto"/>
          <w:kern w:val="24"/>
        </w:rPr>
        <w:t>eptibility to remdesivir was observed</w:t>
      </w:r>
      <w:r w:rsidRPr="00C10E73">
        <w:rPr>
          <w:bCs/>
        </w:rPr>
        <w:t>. In a second selection with remdesivir using a SARS-CoV-2 isolate containing the P323L substitution in the viral polymerase, a single amino acid substitution at V166L emerged</w:t>
      </w:r>
      <w:r w:rsidR="00371964" w:rsidRPr="00C10E73">
        <w:rPr>
          <w:bCs/>
        </w:rPr>
        <w:t xml:space="preserve">, </w:t>
      </w:r>
      <w:r w:rsidR="00371964" w:rsidRPr="00182AE6">
        <w:t xml:space="preserve">which conferred </w:t>
      </w:r>
      <w:proofErr w:type="gramStart"/>
      <w:r w:rsidR="00371964" w:rsidRPr="00182AE6">
        <w:t>2.3-3.9 fold</w:t>
      </w:r>
      <w:proofErr w:type="gramEnd"/>
      <w:r w:rsidR="00371964" w:rsidRPr="00182AE6">
        <w:t xml:space="preserve"> reductions in susceptibility to remdesivir.</w:t>
      </w:r>
      <w:r w:rsidRPr="00182AE6">
        <w:rPr>
          <w:bCs/>
        </w:rPr>
        <w:t xml:space="preserve"> Recombinant viruses with substitutions at P323L alone </w:t>
      </w:r>
      <w:r w:rsidRPr="00FF25D5">
        <w:rPr>
          <w:bCs/>
        </w:rPr>
        <w:t>or P323L+V166L in combination exhibited 1.3- an</w:t>
      </w:r>
      <w:r w:rsidRPr="00C10E73">
        <w:rPr>
          <w:bCs/>
        </w:rPr>
        <w:t>d 1.5-fold changes in remdesivir susceptibility, respectively.</w:t>
      </w:r>
    </w:p>
    <w:p w14:paraId="794D8C4F" w14:textId="77777777" w:rsidR="00E10908" w:rsidRPr="00772475" w:rsidRDefault="00E10908" w:rsidP="00D07F42">
      <w:pPr>
        <w:pStyle w:val="Default"/>
      </w:pPr>
    </w:p>
    <w:p w14:paraId="794D8C50" w14:textId="6D245D48" w:rsidR="00D07F42" w:rsidRPr="00772475" w:rsidRDefault="00270E87" w:rsidP="00D07F42">
      <w:pPr>
        <w:pStyle w:val="Default"/>
        <w:rPr>
          <w:noProof/>
        </w:rPr>
      </w:pPr>
      <w:r>
        <w:t>Cell culture</w:t>
      </w:r>
      <w:r w:rsidRPr="00772475">
        <w:t xml:space="preserve"> resistance profiling of remdesivir using the rodent CoV murine hepatitis virus identified 2 </w:t>
      </w:r>
      <w:r w:rsidRPr="000D3E89">
        <w:t>substitutions (F476L and V553L)</w:t>
      </w:r>
      <w:r w:rsidRPr="00772475">
        <w:t xml:space="preserve"> in the viral </w:t>
      </w:r>
      <w:r>
        <w:t xml:space="preserve">RNA-dependant RNA </w:t>
      </w:r>
      <w:r w:rsidRPr="00772475">
        <w:t xml:space="preserve">polymerase at residues conserved across </w:t>
      </w:r>
      <w:proofErr w:type="spellStart"/>
      <w:r w:rsidRPr="00772475">
        <w:t>CoVs</w:t>
      </w:r>
      <w:proofErr w:type="spellEnd"/>
      <w:r w:rsidRPr="00772475">
        <w:t xml:space="preserve"> that conferred 5.6-fold</w:t>
      </w:r>
      <w:r w:rsidR="00D42968">
        <w:t xml:space="preserve"> </w:t>
      </w:r>
      <w:r w:rsidRPr="00772475">
        <w:t xml:space="preserve">reduced susceptibility to remdesivir. The mutant viruses showed reduced viral fitness in </w:t>
      </w:r>
      <w:r w:rsidR="00114B76">
        <w:t>cell culture</w:t>
      </w:r>
      <w:r w:rsidRPr="00772475">
        <w:t xml:space="preserve">, </w:t>
      </w:r>
      <w:r w:rsidR="00114B76">
        <w:t>and i</w:t>
      </w:r>
      <w:r w:rsidRPr="00772475">
        <w:t>ntroduction of the corresponding mutations</w:t>
      </w:r>
      <w:r>
        <w:t xml:space="preserve"> </w:t>
      </w:r>
      <w:r w:rsidRPr="000D3E89">
        <w:t>(F480L and V557L)</w:t>
      </w:r>
      <w:r w:rsidRPr="00772475">
        <w:t xml:space="preserve"> into SARS-CoV resulted in </w:t>
      </w:r>
      <w:r w:rsidRPr="000D3E89">
        <w:t>6</w:t>
      </w:r>
      <w:r w:rsidRPr="000D3E89">
        <w:noBreakHyphen/>
        <w:t xml:space="preserve">fold reduced susceptibility to remdesivir </w:t>
      </w:r>
      <w:r w:rsidR="00114B76">
        <w:t xml:space="preserve">in </w:t>
      </w:r>
      <w:r w:rsidRPr="000D3E89">
        <w:t xml:space="preserve">cell culture </w:t>
      </w:r>
      <w:r>
        <w:t xml:space="preserve">and </w:t>
      </w:r>
      <w:r w:rsidRPr="00772475">
        <w:t>attenuated SARS-CoV pathogenesis in a mouse model.</w:t>
      </w:r>
      <w:r w:rsidR="00E10908" w:rsidRPr="00E10908">
        <w:rPr>
          <w:bCs/>
        </w:rPr>
        <w:t xml:space="preserve"> </w:t>
      </w:r>
      <w:r w:rsidR="00E10908">
        <w:rPr>
          <w:bCs/>
        </w:rPr>
        <w:t xml:space="preserve">When individually introduced into a SARS-CoV-2 recombinant virus, </w:t>
      </w:r>
      <w:r w:rsidR="00E10908" w:rsidRPr="00C73532">
        <w:rPr>
          <w:bCs/>
        </w:rPr>
        <w:t xml:space="preserve">the corresponding </w:t>
      </w:r>
      <w:r w:rsidR="00E10908">
        <w:rPr>
          <w:bCs/>
        </w:rPr>
        <w:t xml:space="preserve">substitutions at </w:t>
      </w:r>
      <w:r w:rsidR="00E10908" w:rsidRPr="00800866">
        <w:rPr>
          <w:bCs/>
        </w:rPr>
        <w:t>F480L and V557L</w:t>
      </w:r>
      <w:r w:rsidR="00E10908">
        <w:rPr>
          <w:bCs/>
        </w:rPr>
        <w:t xml:space="preserve"> each conferred 2</w:t>
      </w:r>
      <w:r w:rsidR="00E10908">
        <w:rPr>
          <w:bCs/>
          <w:color w:val="auto"/>
          <w:kern w:val="24"/>
        </w:rPr>
        <w:t>-fold reduced susceptibility to remdesivir.</w:t>
      </w:r>
    </w:p>
    <w:p w14:paraId="794D8C52" w14:textId="647B3D8C" w:rsidR="00CA3BB1" w:rsidRPr="00113547" w:rsidRDefault="00270E87" w:rsidP="00CA3BB1">
      <w:pPr>
        <w:pStyle w:val="Heading3"/>
        <w:spacing w:after="120"/>
        <w:ind w:left="0"/>
        <w:rPr>
          <w:rFonts w:ascii="Times New Roman" w:hAnsi="Times New Roman" w:cs="Times New Roman"/>
          <w:b w:val="0"/>
          <w:bCs w:val="0"/>
          <w:i/>
          <w:iCs/>
          <w:sz w:val="24"/>
          <w:szCs w:val="24"/>
        </w:rPr>
      </w:pPr>
      <w:r w:rsidRPr="00113547">
        <w:rPr>
          <w:rFonts w:ascii="Times New Roman" w:hAnsi="Times New Roman" w:cs="Times New Roman"/>
          <w:b w:val="0"/>
          <w:bCs w:val="0"/>
          <w:i/>
          <w:iCs/>
          <w:sz w:val="24"/>
          <w:szCs w:val="24"/>
        </w:rPr>
        <w:lastRenderedPageBreak/>
        <w:t xml:space="preserve">In </w:t>
      </w:r>
      <w:r w:rsidR="000E23AE" w:rsidRPr="00113547">
        <w:rPr>
          <w:rFonts w:ascii="Times New Roman" w:hAnsi="Times New Roman" w:cs="Times New Roman"/>
          <w:b w:val="0"/>
          <w:bCs w:val="0"/>
          <w:i/>
          <w:iCs/>
          <w:sz w:val="24"/>
          <w:szCs w:val="24"/>
        </w:rPr>
        <w:t>c</w:t>
      </w:r>
      <w:r w:rsidRPr="00113547">
        <w:rPr>
          <w:rFonts w:ascii="Times New Roman" w:hAnsi="Times New Roman" w:cs="Times New Roman"/>
          <w:b w:val="0"/>
          <w:bCs w:val="0"/>
          <w:i/>
          <w:iCs/>
          <w:sz w:val="24"/>
          <w:szCs w:val="24"/>
        </w:rPr>
        <w:t xml:space="preserve">linical </w:t>
      </w:r>
      <w:r w:rsidR="000E23AE" w:rsidRPr="00113547">
        <w:rPr>
          <w:rFonts w:ascii="Times New Roman" w:hAnsi="Times New Roman" w:cs="Times New Roman"/>
          <w:b w:val="0"/>
          <w:bCs w:val="0"/>
          <w:i/>
          <w:iCs/>
          <w:sz w:val="24"/>
          <w:szCs w:val="24"/>
        </w:rPr>
        <w:t>t</w:t>
      </w:r>
      <w:r w:rsidRPr="00113547">
        <w:rPr>
          <w:rFonts w:ascii="Times New Roman" w:hAnsi="Times New Roman" w:cs="Times New Roman"/>
          <w:b w:val="0"/>
          <w:bCs w:val="0"/>
          <w:i/>
          <w:iCs/>
          <w:sz w:val="24"/>
          <w:szCs w:val="24"/>
        </w:rPr>
        <w:t>rials</w:t>
      </w:r>
    </w:p>
    <w:p w14:paraId="794D8C53" w14:textId="4F92E8AD" w:rsidR="00CA3BB1" w:rsidRPr="00CA3BB1" w:rsidRDefault="00270E87" w:rsidP="00CA3BB1">
      <w:pPr>
        <w:pStyle w:val="Heading3"/>
        <w:spacing w:before="0" w:after="120"/>
        <w:ind w:left="0"/>
        <w:rPr>
          <w:rFonts w:ascii="Times New Roman" w:eastAsiaTheme="minorHAnsi" w:hAnsi="Times New Roman" w:cs="Times New Roman"/>
          <w:b w:val="0"/>
          <w:bCs w:val="0"/>
          <w:color w:val="000000"/>
          <w:sz w:val="24"/>
          <w:szCs w:val="24"/>
        </w:rPr>
      </w:pPr>
      <w:r w:rsidRPr="00CA3BB1">
        <w:rPr>
          <w:rFonts w:ascii="Times New Roman" w:eastAsiaTheme="minorHAnsi" w:hAnsi="Times New Roman" w:cs="Times New Roman"/>
          <w:b w:val="0"/>
          <w:bCs w:val="0"/>
          <w:color w:val="000000"/>
          <w:sz w:val="24"/>
          <w:szCs w:val="24"/>
        </w:rPr>
        <w:t xml:space="preserve">In Study GS-US-540-5823, among </w:t>
      </w:r>
      <w:r w:rsidR="00384733">
        <w:rPr>
          <w:rFonts w:ascii="Times New Roman" w:eastAsiaTheme="minorHAnsi" w:hAnsi="Times New Roman" w:cs="Times New Roman"/>
          <w:b w:val="0"/>
          <w:bCs w:val="0"/>
          <w:color w:val="000000"/>
          <w:sz w:val="24"/>
          <w:szCs w:val="24"/>
        </w:rPr>
        <w:t xml:space="preserve">paediatric </w:t>
      </w:r>
      <w:r w:rsidRPr="00CA3BB1">
        <w:rPr>
          <w:rFonts w:ascii="Times New Roman" w:eastAsiaTheme="minorHAnsi" w:hAnsi="Times New Roman" w:cs="Times New Roman"/>
          <w:b w:val="0"/>
          <w:bCs w:val="0"/>
          <w:color w:val="000000"/>
          <w:sz w:val="24"/>
          <w:szCs w:val="24"/>
        </w:rPr>
        <w:t xml:space="preserve">patients with baseline and post-baseline sequencing data available, substitutions in the viral RNA-dependent RNA polymerase were observed in one of 23 </w:t>
      </w:r>
      <w:r w:rsidR="00384733">
        <w:rPr>
          <w:rFonts w:ascii="Times New Roman" w:eastAsiaTheme="minorHAnsi" w:hAnsi="Times New Roman" w:cs="Times New Roman"/>
          <w:b w:val="0"/>
          <w:bCs w:val="0"/>
          <w:color w:val="000000"/>
          <w:sz w:val="24"/>
          <w:szCs w:val="24"/>
        </w:rPr>
        <w:t xml:space="preserve">paediatric </w:t>
      </w:r>
      <w:r w:rsidRPr="00CA3BB1">
        <w:rPr>
          <w:rFonts w:ascii="Times New Roman" w:eastAsiaTheme="minorHAnsi" w:hAnsi="Times New Roman" w:cs="Times New Roman"/>
          <w:b w:val="0"/>
          <w:bCs w:val="0"/>
          <w:color w:val="000000"/>
          <w:sz w:val="24"/>
          <w:szCs w:val="24"/>
        </w:rPr>
        <w:t xml:space="preserve">patients treated with VEKLURY. The substitutions observed have not previously been associated with resistance to </w:t>
      </w:r>
      <w:r w:rsidR="00384733">
        <w:rPr>
          <w:rFonts w:ascii="Times New Roman" w:eastAsiaTheme="minorHAnsi" w:hAnsi="Times New Roman" w:cs="Times New Roman"/>
          <w:b w:val="0"/>
          <w:bCs w:val="0"/>
          <w:color w:val="000000"/>
          <w:sz w:val="24"/>
          <w:szCs w:val="24"/>
        </w:rPr>
        <w:t>VEKLURY</w:t>
      </w:r>
      <w:r>
        <w:rPr>
          <w:rFonts w:ascii="Times New Roman" w:eastAsiaTheme="minorHAnsi" w:hAnsi="Times New Roman" w:cs="Times New Roman"/>
          <w:b w:val="0"/>
          <w:bCs w:val="0"/>
          <w:color w:val="000000"/>
          <w:sz w:val="24"/>
          <w:szCs w:val="24"/>
        </w:rPr>
        <w:t>.</w:t>
      </w:r>
    </w:p>
    <w:p w14:paraId="794D8C55" w14:textId="77777777" w:rsidR="00CA3BB1" w:rsidRDefault="00CA3BB1" w:rsidP="002B7E57">
      <w:pPr>
        <w:pStyle w:val="Heading3"/>
        <w:spacing w:before="0"/>
        <w:ind w:left="0"/>
        <w:rPr>
          <w:rFonts w:ascii="Times New Roman" w:hAnsi="Times New Roman" w:cs="Times New Roman"/>
        </w:rPr>
      </w:pPr>
    </w:p>
    <w:p w14:paraId="794D8C56" w14:textId="77777777" w:rsidR="00D07F42" w:rsidRPr="00173F84" w:rsidRDefault="00270E87" w:rsidP="00D07F42">
      <w:pPr>
        <w:pStyle w:val="Heading3"/>
        <w:spacing w:before="0" w:after="120"/>
        <w:ind w:left="0"/>
        <w:rPr>
          <w:rFonts w:ascii="Times New Roman" w:hAnsi="Times New Roman" w:cs="Times New Roman"/>
          <w:sz w:val="24"/>
          <w:szCs w:val="24"/>
          <w:lang w:val="en-US"/>
        </w:rPr>
      </w:pPr>
      <w:r w:rsidRPr="00173F84">
        <w:rPr>
          <w:rFonts w:ascii="Times New Roman" w:hAnsi="Times New Roman" w:cs="Times New Roman"/>
          <w:sz w:val="24"/>
          <w:szCs w:val="24"/>
        </w:rPr>
        <w:t>Clinical</w:t>
      </w:r>
      <w:r w:rsidRPr="00173F84">
        <w:rPr>
          <w:rFonts w:ascii="Times New Roman" w:hAnsi="Times New Roman" w:cs="Times New Roman"/>
          <w:sz w:val="24"/>
          <w:szCs w:val="24"/>
          <w:lang w:val="en-US"/>
        </w:rPr>
        <w:t xml:space="preserve"> trials</w:t>
      </w:r>
    </w:p>
    <w:p w14:paraId="794D8C57" w14:textId="271B8340" w:rsidR="00D07F42" w:rsidRDefault="00270E87" w:rsidP="00D07F42">
      <w:pPr>
        <w:autoSpaceDE w:val="0"/>
        <w:autoSpaceDN w:val="0"/>
        <w:adjustRightInd w:val="0"/>
        <w:spacing w:after="0" w:line="240" w:lineRule="auto"/>
        <w:rPr>
          <w:rFonts w:ascii="Times New Roman" w:hAnsi="Times New Roman" w:cs="Times New Roman"/>
          <w:i/>
          <w:sz w:val="24"/>
          <w:szCs w:val="24"/>
        </w:rPr>
      </w:pPr>
      <w:r w:rsidRPr="00772475">
        <w:rPr>
          <w:rFonts w:ascii="Times New Roman" w:hAnsi="Times New Roman" w:cs="Times New Roman"/>
          <w:i/>
          <w:sz w:val="24"/>
          <w:szCs w:val="24"/>
        </w:rPr>
        <w:t>Clinical trials in patients with COVID</w:t>
      </w:r>
      <w:r w:rsidR="00DF0A58">
        <w:rPr>
          <w:rFonts w:ascii="Times New Roman" w:hAnsi="Times New Roman" w:cs="Times New Roman"/>
          <w:i/>
          <w:sz w:val="24"/>
          <w:szCs w:val="24"/>
        </w:rPr>
        <w:t>-</w:t>
      </w:r>
      <w:r w:rsidRPr="00772475">
        <w:rPr>
          <w:rFonts w:ascii="Times New Roman" w:hAnsi="Times New Roman" w:cs="Times New Roman"/>
          <w:i/>
          <w:sz w:val="24"/>
          <w:szCs w:val="24"/>
        </w:rPr>
        <w:t>19</w:t>
      </w:r>
    </w:p>
    <w:p w14:paraId="794D8C58" w14:textId="77777777" w:rsidR="00DF0A58" w:rsidRDefault="00DF0A58" w:rsidP="00D07F42">
      <w:pPr>
        <w:autoSpaceDE w:val="0"/>
        <w:autoSpaceDN w:val="0"/>
        <w:adjustRightInd w:val="0"/>
        <w:spacing w:after="0" w:line="240" w:lineRule="auto"/>
        <w:rPr>
          <w:rFonts w:ascii="Times New Roman" w:hAnsi="Times New Roman" w:cs="Times New Roman"/>
          <w:i/>
          <w:sz w:val="24"/>
          <w:szCs w:val="24"/>
        </w:rPr>
      </w:pPr>
    </w:p>
    <w:p w14:paraId="794D8C5B" w14:textId="77777777" w:rsidR="00DF0A58" w:rsidRPr="00CA3BB1" w:rsidRDefault="00270E87" w:rsidP="00DF0A58">
      <w:pPr>
        <w:pStyle w:val="Text1"/>
        <w:keepNext/>
        <w:keepLines/>
        <w:widowControl w:val="0"/>
        <w:spacing w:after="120"/>
        <w:ind w:left="302" w:hanging="302"/>
        <w:rPr>
          <w:b/>
          <w:i/>
          <w:szCs w:val="24"/>
        </w:rPr>
      </w:pPr>
      <w:r w:rsidRPr="00CA3BB1">
        <w:rPr>
          <w:b/>
          <w:i/>
          <w:szCs w:val="24"/>
        </w:rPr>
        <w:t>Description of Clinical Studies</w:t>
      </w:r>
    </w:p>
    <w:p w14:paraId="794D8C5C" w14:textId="32209D33" w:rsidR="00DF0A58" w:rsidRPr="002B7E57" w:rsidRDefault="00270E87" w:rsidP="00DF0A58">
      <w:pPr>
        <w:keepNext/>
        <w:keepLines/>
        <w:rPr>
          <w:rFonts w:ascii="Times New Roman" w:hAnsi="Times New Roman" w:cs="Times New Roman"/>
          <w:bCs/>
          <w:iCs/>
          <w:sz w:val="24"/>
          <w:szCs w:val="28"/>
        </w:rPr>
      </w:pPr>
      <w:r w:rsidRPr="00DF0A58">
        <w:rPr>
          <w:rFonts w:ascii="Times New Roman" w:hAnsi="Times New Roman" w:cs="Times New Roman"/>
          <w:bCs/>
          <w:iCs/>
          <w:sz w:val="24"/>
          <w:szCs w:val="28"/>
        </w:rPr>
        <w:t>The efficacy of VEKLURY was evaluated in three Phase 3 studies in hospitali</w:t>
      </w:r>
      <w:r w:rsidR="00405E16">
        <w:rPr>
          <w:rFonts w:ascii="Times New Roman" w:hAnsi="Times New Roman" w:cs="Times New Roman"/>
          <w:bCs/>
          <w:iCs/>
          <w:sz w:val="24"/>
          <w:szCs w:val="28"/>
        </w:rPr>
        <w:t>s</w:t>
      </w:r>
      <w:r w:rsidRPr="00DF0A58">
        <w:rPr>
          <w:rFonts w:ascii="Times New Roman" w:hAnsi="Times New Roman" w:cs="Times New Roman"/>
          <w:bCs/>
          <w:iCs/>
          <w:sz w:val="24"/>
          <w:szCs w:val="28"/>
        </w:rPr>
        <w:t>ed patients with COVID-19</w:t>
      </w:r>
      <w:r w:rsidR="00432B6E">
        <w:rPr>
          <w:rFonts w:ascii="Times New Roman" w:hAnsi="Times New Roman" w:cs="Times New Roman"/>
          <w:bCs/>
          <w:iCs/>
          <w:sz w:val="24"/>
          <w:szCs w:val="28"/>
        </w:rPr>
        <w:t xml:space="preserve">, </w:t>
      </w:r>
      <w:r w:rsidRPr="00DF0A58">
        <w:rPr>
          <w:rFonts w:ascii="Times New Roman" w:hAnsi="Times New Roman" w:cs="Times New Roman"/>
          <w:bCs/>
          <w:iCs/>
          <w:sz w:val="24"/>
          <w:szCs w:val="28"/>
        </w:rPr>
        <w:t>one Phase 3 study in non-hospitali</w:t>
      </w:r>
      <w:r w:rsidR="00405E16">
        <w:rPr>
          <w:rFonts w:ascii="Times New Roman" w:hAnsi="Times New Roman" w:cs="Times New Roman"/>
          <w:bCs/>
          <w:iCs/>
          <w:sz w:val="24"/>
          <w:szCs w:val="28"/>
        </w:rPr>
        <w:t>s</w:t>
      </w:r>
      <w:r w:rsidRPr="00DF0A58">
        <w:rPr>
          <w:rFonts w:ascii="Times New Roman" w:hAnsi="Times New Roman" w:cs="Times New Roman"/>
          <w:bCs/>
          <w:iCs/>
          <w:sz w:val="24"/>
          <w:szCs w:val="28"/>
        </w:rPr>
        <w:t xml:space="preserve">ed patients with COVID-19 </w:t>
      </w:r>
      <w:r w:rsidR="0035262A">
        <w:rPr>
          <w:rFonts w:ascii="Times New Roman" w:hAnsi="Times New Roman" w:cs="Times New Roman"/>
          <w:bCs/>
          <w:iCs/>
          <w:sz w:val="24"/>
          <w:szCs w:val="28"/>
        </w:rPr>
        <w:t xml:space="preserve">and one Phase 3 study </w:t>
      </w:r>
      <w:r w:rsidR="006045E2">
        <w:rPr>
          <w:rFonts w:ascii="Times New Roman" w:hAnsi="Times New Roman" w:cs="Times New Roman"/>
          <w:bCs/>
          <w:iCs/>
          <w:sz w:val="24"/>
          <w:szCs w:val="28"/>
        </w:rPr>
        <w:t xml:space="preserve">in hospitalised paediatric patients with COVID-19 </w:t>
      </w:r>
      <w:r w:rsidRPr="00DF0A58">
        <w:rPr>
          <w:rFonts w:ascii="Times New Roman" w:hAnsi="Times New Roman" w:cs="Times New Roman"/>
          <w:bCs/>
          <w:iCs/>
          <w:sz w:val="24"/>
          <w:szCs w:val="28"/>
        </w:rPr>
        <w:t xml:space="preserve">as summarized in Table </w:t>
      </w:r>
      <w:r w:rsidR="005D7BA6">
        <w:rPr>
          <w:rFonts w:ascii="Times New Roman" w:hAnsi="Times New Roman" w:cs="Times New Roman"/>
          <w:bCs/>
          <w:iCs/>
          <w:sz w:val="24"/>
          <w:szCs w:val="28"/>
        </w:rPr>
        <w:t>6</w:t>
      </w:r>
      <w:r w:rsidRPr="00DF0A58">
        <w:rPr>
          <w:rFonts w:ascii="Times New Roman" w:hAnsi="Times New Roman" w:cs="Times New Roman"/>
          <w:bCs/>
          <w:iCs/>
          <w:sz w:val="24"/>
          <w:szCs w:val="28"/>
        </w:rPr>
        <w:t>.</w:t>
      </w:r>
      <w:bookmarkStart w:id="7" w:name="_Ref434241959"/>
      <w:r w:rsidRPr="00DF0A58">
        <w:rPr>
          <w:rFonts w:ascii="Times New Roman" w:hAnsi="Times New Roman" w:cs="Times New Roman"/>
          <w:bCs/>
          <w:iCs/>
          <w:sz w:val="24"/>
          <w:szCs w:val="28"/>
          <w:vertAlign w:val="superscript"/>
        </w:rPr>
        <w:t xml:space="preserve"> </w:t>
      </w:r>
    </w:p>
    <w:p w14:paraId="794D8C5D" w14:textId="590A931B" w:rsidR="00DF0A58" w:rsidRDefault="00270E87" w:rsidP="00DF0A58">
      <w:pPr>
        <w:pStyle w:val="Caption"/>
        <w:tabs>
          <w:tab w:val="clear" w:pos="2160"/>
          <w:tab w:val="left" w:pos="2430"/>
        </w:tabs>
        <w:ind w:left="1530" w:hanging="1620"/>
      </w:pPr>
      <w:bookmarkStart w:id="8" w:name="_Toc85063859"/>
      <w:bookmarkEnd w:id="7"/>
      <w:r>
        <w:t xml:space="preserve">Table </w:t>
      </w:r>
      <w:r w:rsidR="005D7BA6">
        <w:t>6</w:t>
      </w:r>
      <w:r w:rsidR="00173F84">
        <w:t>:</w:t>
      </w:r>
      <w:r>
        <w:tab/>
      </w:r>
      <w:r w:rsidRPr="00C63438">
        <w:t xml:space="preserve">Studies </w:t>
      </w:r>
      <w:r w:rsidR="00132C96">
        <w:t>c</w:t>
      </w:r>
      <w:r w:rsidRPr="00C63438">
        <w:t xml:space="preserve">onducted with VEKLURY in </w:t>
      </w:r>
      <w:r w:rsidR="00132C96">
        <w:t>p</w:t>
      </w:r>
      <w:r>
        <w:t>atients</w:t>
      </w:r>
      <w:r w:rsidRPr="00C63438">
        <w:t xml:space="preserve"> with COVID-19</w:t>
      </w:r>
      <w:bookmarkEnd w:id="8"/>
    </w:p>
    <w:tbl>
      <w:tblPr>
        <w:tblStyle w:val="TableGrid"/>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848"/>
        <w:gridCol w:w="1894"/>
        <w:gridCol w:w="1927"/>
        <w:gridCol w:w="1962"/>
        <w:gridCol w:w="1561"/>
      </w:tblGrid>
      <w:tr w:rsidR="0054749D" w14:paraId="794D8C61" w14:textId="2DC16C18" w:rsidTr="002B7E57">
        <w:trPr>
          <w:trHeight w:val="20"/>
          <w:tblHeader/>
        </w:trPr>
        <w:tc>
          <w:tcPr>
            <w:tcW w:w="1006" w:type="pct"/>
            <w:tcBorders>
              <w:top w:val="single" w:sz="12" w:space="0" w:color="auto"/>
              <w:bottom w:val="single" w:sz="12" w:space="0" w:color="auto"/>
            </w:tcBorders>
            <w:vAlign w:val="bottom"/>
          </w:tcPr>
          <w:p w14:paraId="794D8C5E" w14:textId="77777777" w:rsidR="00164CA3" w:rsidRPr="00B537A9" w:rsidRDefault="00270E87" w:rsidP="000876E9">
            <w:pPr>
              <w:pStyle w:val="TableHeaderleft"/>
              <w:spacing w:before="50" w:after="50"/>
              <w:rPr>
                <w:sz w:val="22"/>
                <w:szCs w:val="22"/>
              </w:rPr>
            </w:pPr>
            <w:r w:rsidRPr="00B537A9">
              <w:rPr>
                <w:sz w:val="22"/>
                <w:szCs w:val="22"/>
              </w:rPr>
              <w:t>Study</w:t>
            </w:r>
          </w:p>
        </w:tc>
        <w:tc>
          <w:tcPr>
            <w:tcW w:w="1030" w:type="pct"/>
            <w:tcBorders>
              <w:top w:val="single" w:sz="12" w:space="0" w:color="auto"/>
              <w:bottom w:val="single" w:sz="12" w:space="0" w:color="auto"/>
            </w:tcBorders>
            <w:vAlign w:val="bottom"/>
          </w:tcPr>
          <w:p w14:paraId="794D8C5F" w14:textId="77777777" w:rsidR="00164CA3" w:rsidRPr="00B537A9" w:rsidRDefault="00270E87" w:rsidP="000876E9">
            <w:pPr>
              <w:pStyle w:val="TableHeaderCenter"/>
              <w:spacing w:before="50" w:after="50"/>
              <w:rPr>
                <w:rFonts w:ascii="Times New Roman" w:hAnsi="Times New Roman"/>
                <w:sz w:val="22"/>
                <w:szCs w:val="22"/>
              </w:rPr>
            </w:pPr>
            <w:r w:rsidRPr="00B537A9">
              <w:rPr>
                <w:rFonts w:ascii="Times New Roman" w:hAnsi="Times New Roman"/>
                <w:sz w:val="22"/>
                <w:szCs w:val="22"/>
              </w:rPr>
              <w:t>Population</w:t>
            </w:r>
          </w:p>
        </w:tc>
        <w:tc>
          <w:tcPr>
            <w:tcW w:w="1048" w:type="pct"/>
            <w:tcBorders>
              <w:top w:val="single" w:sz="12" w:space="0" w:color="auto"/>
              <w:bottom w:val="single" w:sz="12" w:space="0" w:color="auto"/>
            </w:tcBorders>
            <w:vAlign w:val="bottom"/>
          </w:tcPr>
          <w:p w14:paraId="200372B9" w14:textId="324302CB" w:rsidR="00164CA3" w:rsidRDefault="00270E87" w:rsidP="00164CA3">
            <w:pPr>
              <w:pStyle w:val="TableHeaderCenter"/>
              <w:spacing w:before="50" w:after="50"/>
              <w:rPr>
                <w:rFonts w:ascii="Times New Roman" w:hAnsi="Times New Roman"/>
                <w:sz w:val="22"/>
                <w:szCs w:val="22"/>
              </w:rPr>
            </w:pPr>
            <w:r>
              <w:rPr>
                <w:rFonts w:ascii="Times New Roman" w:hAnsi="Times New Roman"/>
                <w:sz w:val="22"/>
                <w:szCs w:val="22"/>
              </w:rPr>
              <w:t>Age Range</w:t>
            </w:r>
          </w:p>
          <w:p w14:paraId="6DD1878E" w14:textId="09265E7C" w:rsidR="00164CA3" w:rsidRPr="00B537A9" w:rsidRDefault="00270E87" w:rsidP="00164CA3">
            <w:pPr>
              <w:pStyle w:val="TableHeaderCenter"/>
              <w:spacing w:before="50" w:after="50"/>
              <w:rPr>
                <w:rFonts w:ascii="Times New Roman" w:hAnsi="Times New Roman"/>
                <w:sz w:val="22"/>
                <w:szCs w:val="22"/>
              </w:rPr>
            </w:pPr>
            <w:r>
              <w:rPr>
                <w:rFonts w:ascii="Times New Roman" w:hAnsi="Times New Roman"/>
                <w:sz w:val="22"/>
                <w:szCs w:val="22"/>
              </w:rPr>
              <w:t>(Range of ages that met the study inclusion criteria)</w:t>
            </w:r>
          </w:p>
        </w:tc>
        <w:tc>
          <w:tcPr>
            <w:tcW w:w="1067" w:type="pct"/>
            <w:tcBorders>
              <w:top w:val="single" w:sz="12" w:space="0" w:color="auto"/>
              <w:bottom w:val="single" w:sz="12" w:space="0" w:color="auto"/>
            </w:tcBorders>
            <w:vAlign w:val="bottom"/>
          </w:tcPr>
          <w:p w14:paraId="794D8C60" w14:textId="123747FE" w:rsidR="00164CA3" w:rsidRPr="00B537A9" w:rsidRDefault="00270E87" w:rsidP="000876E9">
            <w:pPr>
              <w:pStyle w:val="TableHeaderCenter"/>
              <w:spacing w:before="50" w:after="50"/>
              <w:rPr>
                <w:rFonts w:ascii="Times New Roman" w:hAnsi="Times New Roman"/>
                <w:sz w:val="22"/>
                <w:szCs w:val="22"/>
              </w:rPr>
            </w:pPr>
            <w:r w:rsidRPr="00B537A9">
              <w:rPr>
                <w:rFonts w:ascii="Times New Roman" w:hAnsi="Times New Roman"/>
                <w:sz w:val="22"/>
                <w:szCs w:val="22"/>
              </w:rPr>
              <w:t>Study Arms</w:t>
            </w:r>
            <w:r w:rsidRPr="00B537A9">
              <w:rPr>
                <w:rFonts w:ascii="Times New Roman" w:hAnsi="Times New Roman"/>
                <w:sz w:val="22"/>
                <w:szCs w:val="22"/>
              </w:rPr>
              <w:br/>
              <w:t>(Number of Subjects Treated)</w:t>
            </w:r>
          </w:p>
        </w:tc>
        <w:tc>
          <w:tcPr>
            <w:tcW w:w="849" w:type="pct"/>
            <w:tcBorders>
              <w:top w:val="single" w:sz="12" w:space="0" w:color="auto"/>
              <w:bottom w:val="single" w:sz="12" w:space="0" w:color="auto"/>
            </w:tcBorders>
            <w:vAlign w:val="bottom"/>
          </w:tcPr>
          <w:p w14:paraId="705CA6D6" w14:textId="59AC0B6B" w:rsidR="00164CA3" w:rsidRPr="00B537A9" w:rsidRDefault="00270E87" w:rsidP="00164CA3">
            <w:pPr>
              <w:pStyle w:val="TableHeaderCenter"/>
              <w:spacing w:before="50" w:after="50"/>
              <w:rPr>
                <w:rFonts w:ascii="Times New Roman" w:hAnsi="Times New Roman"/>
                <w:sz w:val="22"/>
                <w:szCs w:val="22"/>
              </w:rPr>
            </w:pPr>
            <w:r>
              <w:rPr>
                <w:rFonts w:ascii="Times New Roman" w:hAnsi="Times New Roman"/>
                <w:sz w:val="22"/>
                <w:szCs w:val="22"/>
              </w:rPr>
              <w:t>Timepoint</w:t>
            </w:r>
          </w:p>
        </w:tc>
      </w:tr>
      <w:tr w:rsidR="0054749D" w14:paraId="794D8C65" w14:textId="2D7962F1" w:rsidTr="00034EF0">
        <w:trPr>
          <w:trHeight w:val="20"/>
        </w:trPr>
        <w:tc>
          <w:tcPr>
            <w:tcW w:w="1006" w:type="pct"/>
            <w:tcBorders>
              <w:top w:val="single" w:sz="12" w:space="0" w:color="auto"/>
            </w:tcBorders>
          </w:tcPr>
          <w:p w14:paraId="794D8C62" w14:textId="0BBDF5A4" w:rsidR="00164CA3" w:rsidRPr="00B537A9" w:rsidRDefault="00270E87" w:rsidP="000876E9">
            <w:pPr>
              <w:pStyle w:val="TableCellLeft"/>
              <w:spacing w:before="50" w:after="50"/>
              <w:rPr>
                <w:sz w:val="22"/>
                <w:szCs w:val="22"/>
              </w:rPr>
            </w:pPr>
            <w:r w:rsidRPr="00B537A9">
              <w:rPr>
                <w:sz w:val="22"/>
                <w:szCs w:val="22"/>
              </w:rPr>
              <w:t>NIAID ACTT-1</w:t>
            </w:r>
            <w:r w:rsidRPr="00164CA3">
              <w:rPr>
                <w:sz w:val="22"/>
                <w:szCs w:val="22"/>
                <w:vertAlign w:val="superscript"/>
              </w:rPr>
              <w:t>a</w:t>
            </w:r>
          </w:p>
        </w:tc>
        <w:tc>
          <w:tcPr>
            <w:tcW w:w="1030" w:type="pct"/>
            <w:tcBorders>
              <w:top w:val="single" w:sz="12" w:space="0" w:color="auto"/>
            </w:tcBorders>
          </w:tcPr>
          <w:p w14:paraId="794D8C63" w14:textId="77777777" w:rsidR="00164CA3" w:rsidRPr="00B537A9" w:rsidRDefault="00270E87" w:rsidP="000876E9">
            <w:pPr>
              <w:pStyle w:val="TableCellCenter"/>
              <w:spacing w:before="50" w:after="50"/>
              <w:rPr>
                <w:sz w:val="22"/>
                <w:szCs w:val="22"/>
              </w:rPr>
            </w:pPr>
            <w:r w:rsidRPr="00B537A9">
              <w:rPr>
                <w:sz w:val="22"/>
                <w:szCs w:val="22"/>
              </w:rPr>
              <w:t>Hospitali</w:t>
            </w:r>
            <w:r>
              <w:rPr>
                <w:sz w:val="22"/>
                <w:szCs w:val="22"/>
              </w:rPr>
              <w:t>s</w:t>
            </w:r>
            <w:r w:rsidRPr="00B537A9">
              <w:rPr>
                <w:sz w:val="22"/>
                <w:szCs w:val="22"/>
              </w:rPr>
              <w:t>ed with mild/moderate and severe COVID-19</w:t>
            </w:r>
          </w:p>
        </w:tc>
        <w:tc>
          <w:tcPr>
            <w:tcW w:w="1048" w:type="pct"/>
            <w:tcBorders>
              <w:top w:val="single" w:sz="12" w:space="0" w:color="auto"/>
            </w:tcBorders>
          </w:tcPr>
          <w:p w14:paraId="2C99AC46" w14:textId="515D88A3" w:rsidR="000D1CF4" w:rsidRPr="005A2FDA" w:rsidRDefault="00270E87" w:rsidP="00034EF0">
            <w:pPr>
              <w:pStyle w:val="TableCellCenter"/>
              <w:spacing w:before="50" w:after="50"/>
              <w:rPr>
                <w:sz w:val="22"/>
                <w:szCs w:val="22"/>
              </w:rPr>
            </w:pPr>
            <w:r w:rsidRPr="002E53AC">
              <w:rPr>
                <w:sz w:val="22"/>
                <w:szCs w:val="22"/>
                <w:shd w:val="clear" w:color="auto" w:fill="FFFFFF"/>
              </w:rPr>
              <w:t>21 to 95 years</w:t>
            </w:r>
          </w:p>
        </w:tc>
        <w:tc>
          <w:tcPr>
            <w:tcW w:w="1067" w:type="pct"/>
            <w:tcBorders>
              <w:top w:val="single" w:sz="12" w:space="0" w:color="auto"/>
            </w:tcBorders>
          </w:tcPr>
          <w:p w14:paraId="794D8C64" w14:textId="1A4A39D7" w:rsidR="00164CA3" w:rsidRPr="00B537A9" w:rsidRDefault="00270E87" w:rsidP="000876E9">
            <w:pPr>
              <w:pStyle w:val="TableCellCenter"/>
              <w:spacing w:before="50" w:after="50"/>
              <w:rPr>
                <w:sz w:val="22"/>
                <w:szCs w:val="22"/>
              </w:rPr>
            </w:pPr>
            <w:r w:rsidRPr="00B537A9">
              <w:rPr>
                <w:sz w:val="22"/>
                <w:szCs w:val="22"/>
              </w:rPr>
              <w:t>VEKLURY 10 Days (532)</w:t>
            </w:r>
            <w:r w:rsidRPr="00B537A9">
              <w:rPr>
                <w:sz w:val="22"/>
                <w:szCs w:val="22"/>
              </w:rPr>
              <w:br/>
              <w:t>Placebo (516)</w:t>
            </w:r>
          </w:p>
        </w:tc>
        <w:tc>
          <w:tcPr>
            <w:tcW w:w="849" w:type="pct"/>
            <w:tcBorders>
              <w:top w:val="single" w:sz="12" w:space="0" w:color="auto"/>
            </w:tcBorders>
          </w:tcPr>
          <w:p w14:paraId="24D5937D" w14:textId="611CE361" w:rsidR="00164CA3" w:rsidRPr="00B537A9" w:rsidRDefault="00270E87" w:rsidP="000876E9">
            <w:pPr>
              <w:pStyle w:val="TableCellCenter"/>
              <w:spacing w:before="50" w:after="50"/>
              <w:rPr>
                <w:sz w:val="22"/>
                <w:szCs w:val="22"/>
              </w:rPr>
            </w:pPr>
            <w:r w:rsidRPr="00164CA3">
              <w:rPr>
                <w:sz w:val="22"/>
                <w:szCs w:val="22"/>
              </w:rPr>
              <w:t xml:space="preserve">29 Days after </w:t>
            </w:r>
            <w:r w:rsidR="000C31CF" w:rsidRPr="00164CA3">
              <w:rPr>
                <w:sz w:val="22"/>
                <w:szCs w:val="22"/>
              </w:rPr>
              <w:t>Randomi</w:t>
            </w:r>
            <w:r w:rsidR="000C31CF">
              <w:rPr>
                <w:sz w:val="22"/>
                <w:szCs w:val="22"/>
              </w:rPr>
              <w:t>z</w:t>
            </w:r>
            <w:r w:rsidR="000C31CF" w:rsidRPr="00164CA3">
              <w:rPr>
                <w:sz w:val="22"/>
                <w:szCs w:val="22"/>
              </w:rPr>
              <w:t>ation</w:t>
            </w:r>
          </w:p>
        </w:tc>
      </w:tr>
      <w:tr w:rsidR="0054749D" w14:paraId="794D8C69" w14:textId="3087F761" w:rsidTr="00DD29E1">
        <w:trPr>
          <w:trHeight w:val="20"/>
        </w:trPr>
        <w:tc>
          <w:tcPr>
            <w:tcW w:w="1006" w:type="pct"/>
          </w:tcPr>
          <w:p w14:paraId="794D8C66" w14:textId="11853EFE" w:rsidR="00164CA3" w:rsidRPr="00B537A9" w:rsidRDefault="00270E87" w:rsidP="000876E9">
            <w:pPr>
              <w:pStyle w:val="TableCellLeft"/>
              <w:spacing w:before="50" w:after="50"/>
              <w:rPr>
                <w:sz w:val="22"/>
                <w:szCs w:val="22"/>
              </w:rPr>
            </w:pPr>
            <w:r w:rsidRPr="00B537A9">
              <w:rPr>
                <w:sz w:val="22"/>
                <w:szCs w:val="22"/>
              </w:rPr>
              <w:t>GS-US-540-5773</w:t>
            </w:r>
            <w:r w:rsidRPr="00164CA3">
              <w:rPr>
                <w:sz w:val="22"/>
                <w:szCs w:val="22"/>
                <w:vertAlign w:val="superscript"/>
              </w:rPr>
              <w:t>b</w:t>
            </w:r>
          </w:p>
        </w:tc>
        <w:tc>
          <w:tcPr>
            <w:tcW w:w="1030" w:type="pct"/>
          </w:tcPr>
          <w:p w14:paraId="794D8C67" w14:textId="77777777" w:rsidR="00164CA3" w:rsidRPr="00B537A9" w:rsidRDefault="00270E87" w:rsidP="000876E9">
            <w:pPr>
              <w:pStyle w:val="TableCellCenter"/>
              <w:spacing w:before="50" w:after="50"/>
              <w:rPr>
                <w:sz w:val="22"/>
                <w:szCs w:val="22"/>
              </w:rPr>
            </w:pPr>
            <w:r w:rsidRPr="00B537A9">
              <w:rPr>
                <w:sz w:val="22"/>
                <w:szCs w:val="22"/>
              </w:rPr>
              <w:t>Hospitali</w:t>
            </w:r>
            <w:r>
              <w:rPr>
                <w:sz w:val="22"/>
                <w:szCs w:val="22"/>
              </w:rPr>
              <w:t>s</w:t>
            </w:r>
            <w:r w:rsidRPr="00B537A9">
              <w:rPr>
                <w:sz w:val="22"/>
                <w:szCs w:val="22"/>
              </w:rPr>
              <w:t>ed with severe COVID-19</w:t>
            </w:r>
          </w:p>
        </w:tc>
        <w:tc>
          <w:tcPr>
            <w:tcW w:w="1048" w:type="pct"/>
          </w:tcPr>
          <w:p w14:paraId="311529CF" w14:textId="7290D17E" w:rsidR="00164CA3" w:rsidRPr="005A2FDA" w:rsidRDefault="00270E87" w:rsidP="000876E9">
            <w:pPr>
              <w:pStyle w:val="TableCellCenter"/>
              <w:spacing w:before="50" w:after="50"/>
              <w:rPr>
                <w:sz w:val="22"/>
                <w:szCs w:val="22"/>
              </w:rPr>
            </w:pPr>
            <w:r w:rsidRPr="002E53AC">
              <w:rPr>
                <w:sz w:val="22"/>
                <w:szCs w:val="22"/>
                <w:shd w:val="clear" w:color="auto" w:fill="FFFFFF"/>
              </w:rPr>
              <w:t>20 to 98 years</w:t>
            </w:r>
          </w:p>
        </w:tc>
        <w:tc>
          <w:tcPr>
            <w:tcW w:w="1067" w:type="pct"/>
          </w:tcPr>
          <w:p w14:paraId="794D8C68" w14:textId="1E72B1A1" w:rsidR="00164CA3" w:rsidRPr="00B537A9" w:rsidRDefault="00270E87" w:rsidP="000876E9">
            <w:pPr>
              <w:pStyle w:val="TableCellCenter"/>
              <w:spacing w:before="50" w:after="50"/>
              <w:rPr>
                <w:sz w:val="22"/>
                <w:szCs w:val="22"/>
              </w:rPr>
            </w:pPr>
            <w:r w:rsidRPr="00B537A9">
              <w:rPr>
                <w:sz w:val="22"/>
                <w:szCs w:val="22"/>
              </w:rPr>
              <w:t>VEKLURY 5 Days (200)</w:t>
            </w:r>
            <w:r w:rsidRPr="00B537A9">
              <w:rPr>
                <w:sz w:val="22"/>
                <w:szCs w:val="22"/>
              </w:rPr>
              <w:br/>
              <w:t>VEKLURY 10 Days (197)</w:t>
            </w:r>
          </w:p>
        </w:tc>
        <w:tc>
          <w:tcPr>
            <w:tcW w:w="849" w:type="pct"/>
          </w:tcPr>
          <w:p w14:paraId="6B2A1D53" w14:textId="66E88E2D" w:rsidR="00164CA3" w:rsidRPr="00B537A9" w:rsidRDefault="00270E87" w:rsidP="000876E9">
            <w:pPr>
              <w:pStyle w:val="TableCellCenter"/>
              <w:spacing w:before="50" w:after="50"/>
              <w:rPr>
                <w:sz w:val="22"/>
                <w:szCs w:val="22"/>
              </w:rPr>
            </w:pPr>
            <w:r w:rsidRPr="00164CA3">
              <w:rPr>
                <w:sz w:val="22"/>
                <w:szCs w:val="22"/>
              </w:rPr>
              <w:t>Day 14</w:t>
            </w:r>
          </w:p>
        </w:tc>
      </w:tr>
      <w:tr w:rsidR="0054749D" w14:paraId="794D8C6E" w14:textId="49B3F83B" w:rsidTr="00DD29E1">
        <w:trPr>
          <w:trHeight w:val="20"/>
        </w:trPr>
        <w:tc>
          <w:tcPr>
            <w:tcW w:w="1006" w:type="pct"/>
          </w:tcPr>
          <w:p w14:paraId="794D8C6A" w14:textId="3FCE4268" w:rsidR="00164CA3" w:rsidRPr="00B537A9" w:rsidRDefault="00270E87" w:rsidP="000876E9">
            <w:pPr>
              <w:pStyle w:val="TableCellLeft"/>
              <w:spacing w:before="50" w:after="50"/>
              <w:rPr>
                <w:sz w:val="22"/>
                <w:szCs w:val="22"/>
              </w:rPr>
            </w:pPr>
            <w:r w:rsidRPr="00B537A9">
              <w:rPr>
                <w:sz w:val="22"/>
                <w:szCs w:val="22"/>
              </w:rPr>
              <w:t>GS-US-540-5774</w:t>
            </w:r>
            <w:r w:rsidRPr="00164CA3">
              <w:rPr>
                <w:sz w:val="22"/>
                <w:szCs w:val="22"/>
                <w:vertAlign w:val="superscript"/>
              </w:rPr>
              <w:t>b</w:t>
            </w:r>
          </w:p>
        </w:tc>
        <w:tc>
          <w:tcPr>
            <w:tcW w:w="1030" w:type="pct"/>
          </w:tcPr>
          <w:p w14:paraId="794D8C6B" w14:textId="77777777" w:rsidR="00164CA3" w:rsidRPr="00B537A9" w:rsidRDefault="00270E87" w:rsidP="000876E9">
            <w:pPr>
              <w:pStyle w:val="TableCellCenter"/>
              <w:spacing w:before="50" w:after="50"/>
              <w:rPr>
                <w:sz w:val="22"/>
                <w:szCs w:val="22"/>
              </w:rPr>
            </w:pPr>
            <w:r w:rsidRPr="00B537A9">
              <w:rPr>
                <w:sz w:val="22"/>
                <w:szCs w:val="22"/>
              </w:rPr>
              <w:t>Hospitali</w:t>
            </w:r>
            <w:r>
              <w:rPr>
                <w:sz w:val="22"/>
                <w:szCs w:val="22"/>
              </w:rPr>
              <w:t>s</w:t>
            </w:r>
            <w:r w:rsidRPr="00B537A9">
              <w:rPr>
                <w:sz w:val="22"/>
                <w:szCs w:val="22"/>
              </w:rPr>
              <w:t>ed with moderate COVID-19</w:t>
            </w:r>
          </w:p>
        </w:tc>
        <w:tc>
          <w:tcPr>
            <w:tcW w:w="1048" w:type="pct"/>
          </w:tcPr>
          <w:p w14:paraId="387F98E8" w14:textId="048F85C0" w:rsidR="00164CA3" w:rsidRPr="005A2FDA" w:rsidRDefault="00270E87" w:rsidP="000876E9">
            <w:pPr>
              <w:pStyle w:val="TableCellCenter"/>
              <w:spacing w:before="50" w:after="50"/>
              <w:rPr>
                <w:sz w:val="22"/>
                <w:szCs w:val="22"/>
              </w:rPr>
            </w:pPr>
            <w:r w:rsidRPr="002E53AC">
              <w:rPr>
                <w:sz w:val="22"/>
                <w:szCs w:val="22"/>
                <w:shd w:val="clear" w:color="auto" w:fill="FFFFFF"/>
              </w:rPr>
              <w:t>12</w:t>
            </w:r>
            <w:r w:rsidR="00420E6E" w:rsidRPr="002E53AC">
              <w:rPr>
                <w:sz w:val="22"/>
                <w:szCs w:val="22"/>
                <w:shd w:val="clear" w:color="auto" w:fill="FFFFFF"/>
              </w:rPr>
              <w:t xml:space="preserve"> to 9</w:t>
            </w:r>
            <w:r w:rsidRPr="002E53AC">
              <w:rPr>
                <w:sz w:val="22"/>
                <w:szCs w:val="22"/>
                <w:shd w:val="clear" w:color="auto" w:fill="FFFFFF"/>
              </w:rPr>
              <w:t>5</w:t>
            </w:r>
            <w:r w:rsidR="00420E6E" w:rsidRPr="002E53AC">
              <w:rPr>
                <w:sz w:val="22"/>
                <w:szCs w:val="22"/>
                <w:shd w:val="clear" w:color="auto" w:fill="FFFFFF"/>
              </w:rPr>
              <w:t xml:space="preserve"> years</w:t>
            </w:r>
          </w:p>
        </w:tc>
        <w:tc>
          <w:tcPr>
            <w:tcW w:w="1067" w:type="pct"/>
          </w:tcPr>
          <w:p w14:paraId="794D8C6C" w14:textId="13F1A625" w:rsidR="00164CA3" w:rsidRPr="00B537A9" w:rsidRDefault="00270E87" w:rsidP="000876E9">
            <w:pPr>
              <w:pStyle w:val="TableCellCenter"/>
              <w:spacing w:before="50" w:after="50"/>
              <w:rPr>
                <w:sz w:val="22"/>
                <w:szCs w:val="22"/>
              </w:rPr>
            </w:pPr>
            <w:r w:rsidRPr="00B537A9">
              <w:rPr>
                <w:sz w:val="22"/>
                <w:szCs w:val="22"/>
              </w:rPr>
              <w:t>VEKLURY 5 Days (191)</w:t>
            </w:r>
            <w:r w:rsidRPr="00B537A9">
              <w:rPr>
                <w:sz w:val="22"/>
                <w:szCs w:val="22"/>
              </w:rPr>
              <w:br/>
              <w:t>VEKLURY 10 Days (193)</w:t>
            </w:r>
          </w:p>
          <w:p w14:paraId="794D8C6D" w14:textId="77777777" w:rsidR="00164CA3" w:rsidRPr="00B537A9" w:rsidRDefault="00270E87" w:rsidP="000876E9">
            <w:pPr>
              <w:pStyle w:val="TableCellCenter"/>
              <w:spacing w:before="50" w:after="50"/>
              <w:rPr>
                <w:sz w:val="22"/>
                <w:szCs w:val="22"/>
              </w:rPr>
            </w:pPr>
            <w:r w:rsidRPr="00B537A9">
              <w:rPr>
                <w:sz w:val="22"/>
                <w:szCs w:val="22"/>
              </w:rPr>
              <w:t>Standard of care (200)</w:t>
            </w:r>
          </w:p>
        </w:tc>
        <w:tc>
          <w:tcPr>
            <w:tcW w:w="849" w:type="pct"/>
          </w:tcPr>
          <w:p w14:paraId="1846CBAC" w14:textId="58C072BE" w:rsidR="00164CA3" w:rsidRPr="00B537A9" w:rsidRDefault="00270E87" w:rsidP="000876E9">
            <w:pPr>
              <w:pStyle w:val="TableCellCenter"/>
              <w:spacing w:before="50" w:after="50"/>
              <w:rPr>
                <w:sz w:val="22"/>
                <w:szCs w:val="22"/>
              </w:rPr>
            </w:pPr>
            <w:r w:rsidRPr="00164CA3">
              <w:rPr>
                <w:sz w:val="22"/>
                <w:szCs w:val="22"/>
              </w:rPr>
              <w:t>Day 1</w:t>
            </w:r>
            <w:r>
              <w:rPr>
                <w:sz w:val="22"/>
                <w:szCs w:val="22"/>
              </w:rPr>
              <w:t>1</w:t>
            </w:r>
          </w:p>
        </w:tc>
      </w:tr>
      <w:tr w:rsidR="0054749D" w14:paraId="794D8C72" w14:textId="6F004FF6" w:rsidTr="00DD29E1">
        <w:trPr>
          <w:trHeight w:val="20"/>
        </w:trPr>
        <w:tc>
          <w:tcPr>
            <w:tcW w:w="1006" w:type="pct"/>
          </w:tcPr>
          <w:p w14:paraId="794D8C6F" w14:textId="66D66918" w:rsidR="00164CA3" w:rsidRPr="00B537A9" w:rsidRDefault="00270E87" w:rsidP="000876E9">
            <w:pPr>
              <w:pStyle w:val="TableCellLeft"/>
              <w:keepNext/>
              <w:spacing w:before="50" w:after="50"/>
              <w:rPr>
                <w:sz w:val="22"/>
                <w:szCs w:val="22"/>
              </w:rPr>
            </w:pPr>
            <w:r w:rsidRPr="00B537A9">
              <w:rPr>
                <w:sz w:val="22"/>
                <w:szCs w:val="22"/>
              </w:rPr>
              <w:lastRenderedPageBreak/>
              <w:t>GS-US-540-9012</w:t>
            </w:r>
            <w:r w:rsidRPr="00164CA3">
              <w:rPr>
                <w:sz w:val="22"/>
                <w:szCs w:val="22"/>
                <w:vertAlign w:val="superscript"/>
              </w:rPr>
              <w:t>a</w:t>
            </w:r>
          </w:p>
        </w:tc>
        <w:tc>
          <w:tcPr>
            <w:tcW w:w="1030" w:type="pct"/>
          </w:tcPr>
          <w:p w14:paraId="794D8C70" w14:textId="18149F21" w:rsidR="00164CA3" w:rsidRPr="00B537A9" w:rsidRDefault="00270E87" w:rsidP="000876E9">
            <w:pPr>
              <w:pStyle w:val="TableCellCenter"/>
              <w:keepNext/>
              <w:spacing w:before="50" w:after="50"/>
              <w:rPr>
                <w:sz w:val="22"/>
                <w:szCs w:val="22"/>
              </w:rPr>
            </w:pPr>
            <w:r w:rsidRPr="00B537A9">
              <w:rPr>
                <w:sz w:val="22"/>
                <w:szCs w:val="22"/>
              </w:rPr>
              <w:t>Non-hospitali</w:t>
            </w:r>
            <w:r>
              <w:rPr>
                <w:sz w:val="22"/>
                <w:szCs w:val="22"/>
              </w:rPr>
              <w:t>s</w:t>
            </w:r>
            <w:r w:rsidRPr="00B537A9">
              <w:rPr>
                <w:sz w:val="22"/>
                <w:szCs w:val="22"/>
              </w:rPr>
              <w:t xml:space="preserve">ed with </w:t>
            </w:r>
            <w:r w:rsidR="00D62FF4">
              <w:rPr>
                <w:sz w:val="22"/>
                <w:szCs w:val="22"/>
              </w:rPr>
              <w:t xml:space="preserve">mild/moderate </w:t>
            </w:r>
            <w:r w:rsidRPr="00B537A9">
              <w:rPr>
                <w:sz w:val="22"/>
                <w:szCs w:val="22"/>
              </w:rPr>
              <w:t xml:space="preserve">COVID-19 </w:t>
            </w:r>
            <w:r w:rsidR="00D62FF4">
              <w:rPr>
                <w:sz w:val="22"/>
                <w:szCs w:val="22"/>
              </w:rPr>
              <w:t>and at</w:t>
            </w:r>
            <w:r w:rsidRPr="00B537A9">
              <w:rPr>
                <w:sz w:val="22"/>
                <w:szCs w:val="22"/>
              </w:rPr>
              <w:t xml:space="preserve"> high risk for progression</w:t>
            </w:r>
            <w:r w:rsidR="00D62FF4">
              <w:rPr>
                <w:sz w:val="22"/>
                <w:szCs w:val="22"/>
              </w:rPr>
              <w:t xml:space="preserve"> to severe disease</w:t>
            </w:r>
          </w:p>
        </w:tc>
        <w:tc>
          <w:tcPr>
            <w:tcW w:w="1048" w:type="pct"/>
          </w:tcPr>
          <w:p w14:paraId="035ADEE5" w14:textId="0DFE36B3" w:rsidR="00164CA3" w:rsidRPr="005A2FDA" w:rsidRDefault="00270E87" w:rsidP="000876E9">
            <w:pPr>
              <w:pStyle w:val="TableCellCenter"/>
              <w:keepNext/>
              <w:spacing w:before="50" w:after="50"/>
              <w:rPr>
                <w:sz w:val="22"/>
                <w:szCs w:val="22"/>
              </w:rPr>
            </w:pPr>
            <w:r>
              <w:rPr>
                <w:sz w:val="22"/>
                <w:szCs w:val="22"/>
                <w:shd w:val="clear" w:color="auto" w:fill="FFFFFF"/>
              </w:rPr>
              <w:t>13</w:t>
            </w:r>
            <w:r w:rsidRPr="002E53AC">
              <w:rPr>
                <w:sz w:val="22"/>
                <w:szCs w:val="22"/>
                <w:shd w:val="clear" w:color="auto" w:fill="FFFFFF"/>
              </w:rPr>
              <w:t xml:space="preserve"> to 9</w:t>
            </w:r>
            <w:r>
              <w:rPr>
                <w:sz w:val="22"/>
                <w:szCs w:val="22"/>
                <w:shd w:val="clear" w:color="auto" w:fill="FFFFFF"/>
              </w:rPr>
              <w:t>8</w:t>
            </w:r>
            <w:r w:rsidRPr="002E53AC">
              <w:rPr>
                <w:sz w:val="22"/>
                <w:szCs w:val="22"/>
                <w:shd w:val="clear" w:color="auto" w:fill="FFFFFF"/>
              </w:rPr>
              <w:t xml:space="preserve"> years</w:t>
            </w:r>
          </w:p>
        </w:tc>
        <w:tc>
          <w:tcPr>
            <w:tcW w:w="1067" w:type="pct"/>
          </w:tcPr>
          <w:p w14:paraId="794D8C71" w14:textId="1219D05B" w:rsidR="00164CA3" w:rsidRPr="00B537A9" w:rsidRDefault="00270E87" w:rsidP="000876E9">
            <w:pPr>
              <w:pStyle w:val="TableCellCenter"/>
              <w:keepNext/>
              <w:spacing w:before="50" w:after="50"/>
              <w:rPr>
                <w:sz w:val="22"/>
                <w:szCs w:val="22"/>
              </w:rPr>
            </w:pPr>
            <w:r w:rsidRPr="00B537A9">
              <w:rPr>
                <w:sz w:val="22"/>
                <w:szCs w:val="22"/>
              </w:rPr>
              <w:t>VEKLURY 3 Days (279)</w:t>
            </w:r>
            <w:r w:rsidRPr="00B537A9">
              <w:rPr>
                <w:sz w:val="22"/>
                <w:szCs w:val="22"/>
              </w:rPr>
              <w:br/>
              <w:t>Placebo (283)</w:t>
            </w:r>
          </w:p>
        </w:tc>
        <w:tc>
          <w:tcPr>
            <w:tcW w:w="849" w:type="pct"/>
          </w:tcPr>
          <w:p w14:paraId="7A087F55" w14:textId="4495F8B4" w:rsidR="00164CA3" w:rsidRPr="00B537A9" w:rsidRDefault="00270E87" w:rsidP="000876E9">
            <w:pPr>
              <w:pStyle w:val="TableCellCenter"/>
              <w:keepNext/>
              <w:spacing w:before="50" w:after="50"/>
              <w:rPr>
                <w:sz w:val="22"/>
                <w:szCs w:val="22"/>
              </w:rPr>
            </w:pPr>
            <w:r w:rsidRPr="00164CA3">
              <w:rPr>
                <w:sz w:val="22"/>
                <w:szCs w:val="22"/>
              </w:rPr>
              <w:t xml:space="preserve">Day </w:t>
            </w:r>
            <w:r>
              <w:rPr>
                <w:sz w:val="22"/>
                <w:szCs w:val="22"/>
              </w:rPr>
              <w:t>28</w:t>
            </w:r>
          </w:p>
        </w:tc>
      </w:tr>
      <w:tr w:rsidR="0054749D" w14:paraId="069267BA" w14:textId="3309E088" w:rsidTr="00034EF0">
        <w:trPr>
          <w:trHeight w:val="20"/>
        </w:trPr>
        <w:tc>
          <w:tcPr>
            <w:tcW w:w="1006" w:type="pct"/>
          </w:tcPr>
          <w:p w14:paraId="402D3F9C" w14:textId="77777777" w:rsidR="00164CA3" w:rsidRDefault="00270E87" w:rsidP="000876E9">
            <w:pPr>
              <w:pStyle w:val="TableCellLeft"/>
              <w:keepNext/>
              <w:spacing w:before="50" w:after="50"/>
              <w:rPr>
                <w:sz w:val="22"/>
                <w:szCs w:val="22"/>
              </w:rPr>
            </w:pPr>
            <w:r w:rsidRPr="00164CA3">
              <w:rPr>
                <w:sz w:val="22"/>
                <w:szCs w:val="22"/>
              </w:rPr>
              <w:t>GS-US-540-5823</w:t>
            </w:r>
          </w:p>
          <w:p w14:paraId="77985169" w14:textId="670753B8" w:rsidR="00164CA3" w:rsidRPr="00B537A9" w:rsidRDefault="00270E87" w:rsidP="000876E9">
            <w:pPr>
              <w:pStyle w:val="TableCellLeft"/>
              <w:keepNext/>
              <w:spacing w:before="50" w:after="50"/>
              <w:rPr>
                <w:sz w:val="22"/>
                <w:szCs w:val="22"/>
              </w:rPr>
            </w:pPr>
            <w:r>
              <w:rPr>
                <w:sz w:val="22"/>
                <w:szCs w:val="22"/>
              </w:rPr>
              <w:t>(Cohorts 1-4,</w:t>
            </w:r>
            <w:proofErr w:type="gramStart"/>
            <w:r>
              <w:rPr>
                <w:sz w:val="22"/>
                <w:szCs w:val="22"/>
              </w:rPr>
              <w:t>8)</w:t>
            </w:r>
            <w:r w:rsidRPr="00164CA3">
              <w:rPr>
                <w:sz w:val="22"/>
                <w:szCs w:val="22"/>
                <w:vertAlign w:val="superscript"/>
              </w:rPr>
              <w:t>c</w:t>
            </w:r>
            <w:proofErr w:type="gramEnd"/>
          </w:p>
        </w:tc>
        <w:tc>
          <w:tcPr>
            <w:tcW w:w="1030" w:type="pct"/>
          </w:tcPr>
          <w:p w14:paraId="29783231" w14:textId="6D999052" w:rsidR="00164CA3" w:rsidRPr="00B537A9" w:rsidRDefault="00270E87" w:rsidP="000876E9">
            <w:pPr>
              <w:pStyle w:val="TableCellCenter"/>
              <w:keepNext/>
              <w:spacing w:before="50" w:after="50"/>
              <w:rPr>
                <w:sz w:val="22"/>
                <w:szCs w:val="22"/>
              </w:rPr>
            </w:pPr>
            <w:r w:rsidRPr="00164CA3">
              <w:rPr>
                <w:sz w:val="22"/>
                <w:szCs w:val="22"/>
              </w:rPr>
              <w:t>Hospitali</w:t>
            </w:r>
            <w:r>
              <w:rPr>
                <w:sz w:val="22"/>
                <w:szCs w:val="22"/>
              </w:rPr>
              <w:t>s</w:t>
            </w:r>
            <w:r w:rsidRPr="00164CA3">
              <w:rPr>
                <w:sz w:val="22"/>
                <w:szCs w:val="22"/>
              </w:rPr>
              <w:t>ed p</w:t>
            </w:r>
            <w:r w:rsidR="00434A7E">
              <w:rPr>
                <w:sz w:val="22"/>
                <w:szCs w:val="22"/>
              </w:rPr>
              <w:t>a</w:t>
            </w:r>
            <w:r w:rsidRPr="00164CA3">
              <w:rPr>
                <w:sz w:val="22"/>
                <w:szCs w:val="22"/>
              </w:rPr>
              <w:t xml:space="preserve">ediatric </w:t>
            </w:r>
            <w:r w:rsidR="00D62FF4">
              <w:rPr>
                <w:sz w:val="22"/>
                <w:szCs w:val="22"/>
              </w:rPr>
              <w:t xml:space="preserve">patients </w:t>
            </w:r>
            <w:r w:rsidRPr="00164CA3">
              <w:rPr>
                <w:sz w:val="22"/>
                <w:szCs w:val="22"/>
              </w:rPr>
              <w:t>28 days to &lt;18 years of age and weighing at least 3 kg with COVID-19</w:t>
            </w:r>
          </w:p>
        </w:tc>
        <w:tc>
          <w:tcPr>
            <w:tcW w:w="1048" w:type="pct"/>
          </w:tcPr>
          <w:p w14:paraId="567C4DDE" w14:textId="77777777" w:rsidR="00A90080" w:rsidRDefault="00270E87" w:rsidP="00A90080">
            <w:pPr>
              <w:pStyle w:val="TableCellCenter"/>
              <w:keepNext/>
              <w:spacing w:before="50" w:after="50"/>
              <w:ind w:left="-15"/>
              <w:rPr>
                <w:sz w:val="22"/>
                <w:szCs w:val="22"/>
              </w:rPr>
            </w:pPr>
            <w:r w:rsidRPr="005A2FDA">
              <w:rPr>
                <w:sz w:val="22"/>
                <w:szCs w:val="22"/>
              </w:rPr>
              <w:t>Cohort 1</w:t>
            </w:r>
            <w:r w:rsidR="00CC5E28">
              <w:rPr>
                <w:sz w:val="22"/>
                <w:szCs w:val="22"/>
              </w:rPr>
              <w:t xml:space="preserve">: </w:t>
            </w:r>
          </w:p>
          <w:p w14:paraId="4A541A57" w14:textId="5F1F7FF2" w:rsidR="0062488B" w:rsidRPr="005A2FDA" w:rsidRDefault="00270E87" w:rsidP="00034EF0">
            <w:pPr>
              <w:pStyle w:val="TableCellCenter"/>
              <w:keepNext/>
              <w:spacing w:before="50" w:after="50"/>
              <w:ind w:left="-15"/>
              <w:rPr>
                <w:sz w:val="22"/>
                <w:szCs w:val="22"/>
              </w:rPr>
            </w:pPr>
            <w:r w:rsidRPr="005A2FDA">
              <w:rPr>
                <w:sz w:val="22"/>
                <w:szCs w:val="22"/>
                <w:shd w:val="clear" w:color="auto" w:fill="FFFFFF"/>
              </w:rPr>
              <w:t>12</w:t>
            </w:r>
            <w:r w:rsidR="00535D8B" w:rsidRPr="005A2FDA">
              <w:rPr>
                <w:sz w:val="22"/>
                <w:szCs w:val="22"/>
                <w:shd w:val="clear" w:color="auto" w:fill="FFFFFF"/>
              </w:rPr>
              <w:t xml:space="preserve"> to </w:t>
            </w:r>
            <w:r w:rsidRPr="005A2FDA">
              <w:rPr>
                <w:sz w:val="22"/>
                <w:szCs w:val="22"/>
                <w:shd w:val="clear" w:color="auto" w:fill="FFFFFF"/>
              </w:rPr>
              <w:t>17</w:t>
            </w:r>
            <w:r w:rsidR="00535D8B" w:rsidRPr="005A2FDA">
              <w:rPr>
                <w:sz w:val="22"/>
                <w:szCs w:val="22"/>
                <w:shd w:val="clear" w:color="auto" w:fill="FFFFFF"/>
              </w:rPr>
              <w:t xml:space="preserve"> years</w:t>
            </w:r>
          </w:p>
          <w:p w14:paraId="720B107C" w14:textId="77777777" w:rsidR="00A90080" w:rsidRDefault="00270E87" w:rsidP="00A90080">
            <w:pPr>
              <w:pStyle w:val="TableCellCenter"/>
              <w:keepNext/>
              <w:spacing w:before="50" w:after="50"/>
              <w:rPr>
                <w:sz w:val="22"/>
                <w:szCs w:val="22"/>
              </w:rPr>
            </w:pPr>
            <w:r w:rsidRPr="005A2FDA">
              <w:rPr>
                <w:sz w:val="22"/>
                <w:szCs w:val="22"/>
              </w:rPr>
              <w:t>Cohort 2:</w:t>
            </w:r>
            <w:r w:rsidR="00A73F2D" w:rsidRPr="005A2FDA">
              <w:rPr>
                <w:sz w:val="22"/>
                <w:szCs w:val="22"/>
              </w:rPr>
              <w:t xml:space="preserve"> </w:t>
            </w:r>
          </w:p>
          <w:p w14:paraId="16B3FAB4" w14:textId="79C4129D" w:rsidR="0062488B" w:rsidRPr="005A2FDA" w:rsidRDefault="00270E87" w:rsidP="00034EF0">
            <w:pPr>
              <w:pStyle w:val="TableCellCenter"/>
              <w:keepNext/>
              <w:spacing w:before="50" w:after="50"/>
              <w:rPr>
                <w:sz w:val="22"/>
                <w:szCs w:val="22"/>
              </w:rPr>
            </w:pPr>
            <w:r w:rsidRPr="005A2FDA">
              <w:rPr>
                <w:sz w:val="22"/>
                <w:szCs w:val="22"/>
                <w:shd w:val="clear" w:color="auto" w:fill="FFFFFF"/>
              </w:rPr>
              <w:t>4</w:t>
            </w:r>
            <w:r w:rsidR="00A73F2D" w:rsidRPr="005A2FDA">
              <w:rPr>
                <w:sz w:val="22"/>
                <w:szCs w:val="22"/>
                <w:shd w:val="clear" w:color="auto" w:fill="FFFFFF"/>
              </w:rPr>
              <w:t xml:space="preserve"> to </w:t>
            </w:r>
            <w:r w:rsidRPr="005A2FDA">
              <w:rPr>
                <w:sz w:val="22"/>
                <w:szCs w:val="22"/>
                <w:shd w:val="clear" w:color="auto" w:fill="FFFFFF"/>
              </w:rPr>
              <w:t>16</w:t>
            </w:r>
            <w:r w:rsidR="00A73F2D" w:rsidRPr="005A2FDA">
              <w:rPr>
                <w:sz w:val="22"/>
                <w:szCs w:val="22"/>
                <w:shd w:val="clear" w:color="auto" w:fill="FFFFFF"/>
              </w:rPr>
              <w:t xml:space="preserve"> years</w:t>
            </w:r>
          </w:p>
          <w:p w14:paraId="4B04DBCF" w14:textId="77777777" w:rsidR="00A90080" w:rsidRDefault="00270E87" w:rsidP="00A90080">
            <w:pPr>
              <w:pStyle w:val="TableCellCenter"/>
              <w:keepNext/>
              <w:spacing w:before="50" w:after="50"/>
              <w:rPr>
                <w:sz w:val="22"/>
                <w:szCs w:val="22"/>
              </w:rPr>
            </w:pPr>
            <w:r w:rsidRPr="005A2FDA">
              <w:rPr>
                <w:sz w:val="22"/>
                <w:szCs w:val="22"/>
              </w:rPr>
              <w:t>Cohort 3:</w:t>
            </w:r>
            <w:r w:rsidR="00B42264" w:rsidRPr="005A2FDA">
              <w:rPr>
                <w:sz w:val="22"/>
                <w:szCs w:val="22"/>
              </w:rPr>
              <w:t xml:space="preserve"> </w:t>
            </w:r>
          </w:p>
          <w:p w14:paraId="07ADDB8C" w14:textId="2D846434" w:rsidR="0062488B" w:rsidRPr="005A2FDA" w:rsidRDefault="00270E87" w:rsidP="00034EF0">
            <w:pPr>
              <w:pStyle w:val="TableCellCenter"/>
              <w:keepNext/>
              <w:spacing w:before="50" w:after="50"/>
              <w:rPr>
                <w:sz w:val="22"/>
                <w:szCs w:val="22"/>
              </w:rPr>
            </w:pPr>
            <w:r w:rsidRPr="005A2FDA">
              <w:rPr>
                <w:sz w:val="22"/>
                <w:szCs w:val="22"/>
                <w:shd w:val="clear" w:color="auto" w:fill="FFFFFF"/>
              </w:rPr>
              <w:t>1.9 to 7 years</w:t>
            </w:r>
          </w:p>
          <w:p w14:paraId="5CB73CE7" w14:textId="77777777" w:rsidR="00A90080" w:rsidRDefault="00270E87" w:rsidP="00A90080">
            <w:pPr>
              <w:pStyle w:val="TableCellCenter"/>
              <w:keepNext/>
              <w:spacing w:before="50" w:after="50"/>
              <w:rPr>
                <w:sz w:val="22"/>
                <w:szCs w:val="22"/>
              </w:rPr>
            </w:pPr>
            <w:r w:rsidRPr="005A2FDA">
              <w:rPr>
                <w:sz w:val="22"/>
                <w:szCs w:val="22"/>
              </w:rPr>
              <w:t>Cohort 4:</w:t>
            </w:r>
            <w:r w:rsidR="003F33F3" w:rsidRPr="005A2FDA">
              <w:rPr>
                <w:sz w:val="22"/>
                <w:szCs w:val="22"/>
              </w:rPr>
              <w:t xml:space="preserve"> </w:t>
            </w:r>
          </w:p>
          <w:p w14:paraId="685AA1C5" w14:textId="08842C6A" w:rsidR="0062488B" w:rsidRPr="005A2FDA" w:rsidRDefault="00270E87" w:rsidP="00034EF0">
            <w:pPr>
              <w:pStyle w:val="TableCellCenter"/>
              <w:keepNext/>
              <w:spacing w:before="50" w:after="50"/>
              <w:rPr>
                <w:sz w:val="22"/>
                <w:szCs w:val="22"/>
              </w:rPr>
            </w:pPr>
            <w:r>
              <w:rPr>
                <w:sz w:val="22"/>
                <w:szCs w:val="22"/>
                <w:shd w:val="clear" w:color="auto" w:fill="FFFFFF"/>
              </w:rPr>
              <w:t>1</w:t>
            </w:r>
            <w:r w:rsidR="00F066DD">
              <w:rPr>
                <w:sz w:val="22"/>
                <w:szCs w:val="22"/>
                <w:shd w:val="clear" w:color="auto" w:fill="FFFFFF"/>
              </w:rPr>
              <w:t xml:space="preserve"> </w:t>
            </w:r>
            <w:r w:rsidR="003F33F3" w:rsidRPr="005A2FDA">
              <w:rPr>
                <w:sz w:val="22"/>
                <w:szCs w:val="22"/>
                <w:shd w:val="clear" w:color="auto" w:fill="FFFFFF"/>
              </w:rPr>
              <w:t xml:space="preserve">to </w:t>
            </w:r>
            <w:r w:rsidR="00F066DD">
              <w:rPr>
                <w:sz w:val="22"/>
                <w:szCs w:val="22"/>
                <w:shd w:val="clear" w:color="auto" w:fill="FFFFFF"/>
              </w:rPr>
              <w:t>9 months</w:t>
            </w:r>
          </w:p>
          <w:p w14:paraId="5DD1DFEF" w14:textId="77777777" w:rsidR="00A90080" w:rsidRDefault="00270E87" w:rsidP="00A90080">
            <w:pPr>
              <w:pStyle w:val="TableCellCenter"/>
              <w:keepNext/>
              <w:spacing w:before="50" w:after="50"/>
              <w:rPr>
                <w:sz w:val="22"/>
                <w:szCs w:val="22"/>
              </w:rPr>
            </w:pPr>
            <w:r w:rsidRPr="005A2FDA">
              <w:rPr>
                <w:sz w:val="22"/>
                <w:szCs w:val="22"/>
              </w:rPr>
              <w:t>Cohort 8:</w:t>
            </w:r>
            <w:r w:rsidR="00E13E21">
              <w:rPr>
                <w:sz w:val="22"/>
                <w:szCs w:val="22"/>
              </w:rPr>
              <w:t xml:space="preserve"> </w:t>
            </w:r>
          </w:p>
          <w:p w14:paraId="518F8298" w14:textId="7CA840FB" w:rsidR="00164CA3" w:rsidRPr="005A2FDA" w:rsidRDefault="00270E87" w:rsidP="00034EF0">
            <w:pPr>
              <w:pStyle w:val="TableCellCenter"/>
              <w:keepNext/>
              <w:spacing w:before="50" w:after="50"/>
              <w:rPr>
                <w:sz w:val="22"/>
                <w:szCs w:val="22"/>
              </w:rPr>
            </w:pPr>
            <w:r w:rsidRPr="005A2FDA">
              <w:rPr>
                <w:sz w:val="22"/>
                <w:szCs w:val="22"/>
                <w:shd w:val="clear" w:color="auto" w:fill="FFFFFF"/>
              </w:rPr>
              <w:t>8 to 11 years</w:t>
            </w:r>
          </w:p>
        </w:tc>
        <w:tc>
          <w:tcPr>
            <w:tcW w:w="1067" w:type="pct"/>
          </w:tcPr>
          <w:p w14:paraId="032A3DD3" w14:textId="5025B4A2" w:rsidR="00164CA3" w:rsidRPr="00B537A9" w:rsidRDefault="00270E87" w:rsidP="000876E9">
            <w:pPr>
              <w:pStyle w:val="TableCellCenter"/>
              <w:keepNext/>
              <w:spacing w:before="50" w:after="50"/>
              <w:rPr>
                <w:sz w:val="22"/>
                <w:szCs w:val="22"/>
              </w:rPr>
            </w:pPr>
            <w:r w:rsidRPr="00164CA3">
              <w:rPr>
                <w:sz w:val="22"/>
                <w:szCs w:val="22"/>
              </w:rPr>
              <w:t>VEKLURY up to 10 Days (53)</w:t>
            </w:r>
          </w:p>
        </w:tc>
        <w:tc>
          <w:tcPr>
            <w:tcW w:w="849" w:type="pct"/>
          </w:tcPr>
          <w:p w14:paraId="1CF7969A" w14:textId="2A30568A" w:rsidR="00164CA3" w:rsidRPr="00164CA3" w:rsidRDefault="00270E87" w:rsidP="000876E9">
            <w:pPr>
              <w:pStyle w:val="TableCellCenter"/>
              <w:keepNext/>
              <w:spacing w:before="50" w:after="50"/>
              <w:rPr>
                <w:sz w:val="22"/>
                <w:szCs w:val="22"/>
              </w:rPr>
            </w:pPr>
            <w:r w:rsidRPr="00164CA3">
              <w:rPr>
                <w:sz w:val="22"/>
                <w:szCs w:val="22"/>
              </w:rPr>
              <w:t>Day 1</w:t>
            </w:r>
            <w:r>
              <w:rPr>
                <w:sz w:val="22"/>
                <w:szCs w:val="22"/>
              </w:rPr>
              <w:t>0</w:t>
            </w:r>
          </w:p>
        </w:tc>
      </w:tr>
    </w:tbl>
    <w:p w14:paraId="794D8C73" w14:textId="5D02B52F" w:rsidR="00DF0A58" w:rsidRDefault="00270E87" w:rsidP="00DF0A58">
      <w:pPr>
        <w:pStyle w:val="TableFooter"/>
        <w:tabs>
          <w:tab w:val="clear" w:pos="360"/>
          <w:tab w:val="left" w:pos="540"/>
        </w:tabs>
        <w:ind w:left="0" w:firstLine="0"/>
      </w:pPr>
      <w:r>
        <w:t>COVID-19</w:t>
      </w:r>
      <w:r w:rsidRPr="00C92DEC">
        <w:t xml:space="preserve">: </w:t>
      </w:r>
      <w:r>
        <w:t>coronavirus disease 2019</w:t>
      </w:r>
    </w:p>
    <w:p w14:paraId="6BD45EA1" w14:textId="088BEB00" w:rsidR="00164CA3" w:rsidRDefault="00270E87" w:rsidP="00164CA3">
      <w:pPr>
        <w:pStyle w:val="TableFooter"/>
        <w:tabs>
          <w:tab w:val="left" w:pos="540"/>
        </w:tabs>
      </w:pPr>
      <w:r>
        <w:t>a. Randomized, double-blind, placebo-controlled trial.</w:t>
      </w:r>
    </w:p>
    <w:p w14:paraId="4BEDC29C" w14:textId="4D3F3CA6" w:rsidR="00164CA3" w:rsidRDefault="00270E87" w:rsidP="00164CA3">
      <w:pPr>
        <w:pStyle w:val="TableFooter"/>
        <w:tabs>
          <w:tab w:val="clear" w:pos="360"/>
          <w:tab w:val="left" w:pos="540"/>
        </w:tabs>
        <w:ind w:left="0" w:firstLine="0"/>
      </w:pPr>
      <w:r>
        <w:t>b. Randomized, open-label trial.</w:t>
      </w:r>
    </w:p>
    <w:p w14:paraId="56D0011A" w14:textId="2AD36B09" w:rsidR="00164CA3" w:rsidRPr="00D42CC3" w:rsidRDefault="00270E87" w:rsidP="00DF0A58">
      <w:pPr>
        <w:pStyle w:val="TableFooter"/>
        <w:tabs>
          <w:tab w:val="clear" w:pos="360"/>
          <w:tab w:val="left" w:pos="540"/>
        </w:tabs>
        <w:ind w:left="0" w:firstLine="0"/>
      </w:pPr>
      <w:r>
        <w:t xml:space="preserve">c. </w:t>
      </w:r>
      <w:r w:rsidRPr="00164CA3">
        <w:t>Open-label trial, descriptive outcome analyses.</w:t>
      </w:r>
    </w:p>
    <w:p w14:paraId="794D8C74" w14:textId="7CEA1F51" w:rsidR="00D07F42" w:rsidRPr="00164CA3" w:rsidRDefault="00270E87" w:rsidP="00D07F42">
      <w:pPr>
        <w:autoSpaceDE w:val="0"/>
        <w:autoSpaceDN w:val="0"/>
        <w:adjustRightInd w:val="0"/>
        <w:spacing w:after="0" w:line="240" w:lineRule="auto"/>
        <w:rPr>
          <w:rFonts w:ascii="Times New Roman" w:hAnsi="Times New Roman" w:cs="Times New Roman"/>
          <w:sz w:val="24"/>
          <w:szCs w:val="24"/>
        </w:rPr>
      </w:pPr>
      <w:r w:rsidRPr="00164CA3">
        <w:rPr>
          <w:rFonts w:ascii="Times New Roman" w:hAnsi="Times New Roman" w:cs="Times New Roman"/>
          <w:sz w:val="24"/>
          <w:szCs w:val="24"/>
        </w:rPr>
        <w:t xml:space="preserve">These studies were conducted in a population that had not been vaccinated against COVID-19. </w:t>
      </w:r>
    </w:p>
    <w:p w14:paraId="3CC05ED6" w14:textId="77777777" w:rsidR="00164CA3" w:rsidRPr="00164CA3" w:rsidRDefault="00164CA3" w:rsidP="00D07F42">
      <w:pPr>
        <w:autoSpaceDE w:val="0"/>
        <w:autoSpaceDN w:val="0"/>
        <w:adjustRightInd w:val="0"/>
        <w:spacing w:after="0" w:line="240" w:lineRule="auto"/>
        <w:rPr>
          <w:rFonts w:ascii="Times New Roman" w:hAnsi="Times New Roman" w:cs="Times New Roman"/>
          <w:iCs/>
          <w:sz w:val="24"/>
          <w:szCs w:val="24"/>
        </w:rPr>
      </w:pPr>
    </w:p>
    <w:p w14:paraId="794D8C75" w14:textId="2493A0CE" w:rsidR="00C348D3" w:rsidRDefault="00270E87" w:rsidP="00C348D3">
      <w:pPr>
        <w:autoSpaceDE w:val="0"/>
        <w:autoSpaceDN w:val="0"/>
        <w:adjustRightInd w:val="0"/>
        <w:spacing w:after="0" w:line="240" w:lineRule="auto"/>
        <w:rPr>
          <w:rFonts w:ascii="Times New Roman" w:hAnsi="Times New Roman" w:cs="Times New Roman"/>
          <w:sz w:val="24"/>
          <w:szCs w:val="24"/>
          <w:u w:val="single"/>
        </w:rPr>
      </w:pPr>
      <w:bookmarkStart w:id="9" w:name="_Hlk102390587"/>
      <w:r>
        <w:rPr>
          <w:rFonts w:ascii="Times New Roman" w:hAnsi="Times New Roman" w:cs="Times New Roman"/>
          <w:sz w:val="24"/>
          <w:szCs w:val="24"/>
          <w:u w:val="single"/>
        </w:rPr>
        <w:t xml:space="preserve">Study </w:t>
      </w:r>
      <w:r w:rsidR="00A5172D" w:rsidRPr="00772475">
        <w:rPr>
          <w:rFonts w:ascii="Times New Roman" w:hAnsi="Times New Roman" w:cs="Times New Roman"/>
          <w:sz w:val="24"/>
          <w:szCs w:val="24"/>
          <w:u w:val="single"/>
        </w:rPr>
        <w:t>NIAID ACTT</w:t>
      </w:r>
      <w:r w:rsidR="00DD29E1">
        <w:rPr>
          <w:rFonts w:ascii="Times New Roman" w:hAnsi="Times New Roman" w:cs="Times New Roman"/>
          <w:sz w:val="24"/>
          <w:szCs w:val="24"/>
          <w:u w:val="single"/>
        </w:rPr>
        <w:t>-</w:t>
      </w:r>
      <w:r w:rsidR="00A5172D" w:rsidRPr="00772475">
        <w:rPr>
          <w:rFonts w:ascii="Times New Roman" w:hAnsi="Times New Roman" w:cs="Times New Roman"/>
          <w:sz w:val="24"/>
          <w:szCs w:val="24"/>
          <w:u w:val="single"/>
        </w:rPr>
        <w:t>1</w:t>
      </w:r>
      <w:r w:rsidR="00A5172D">
        <w:rPr>
          <w:rFonts w:ascii="Times New Roman" w:hAnsi="Times New Roman" w:cs="Times New Roman"/>
          <w:sz w:val="24"/>
          <w:szCs w:val="24"/>
          <w:u w:val="single"/>
        </w:rPr>
        <w:t xml:space="preserve"> </w:t>
      </w:r>
      <w:r w:rsidR="00D62FF4">
        <w:rPr>
          <w:rFonts w:ascii="Times New Roman" w:hAnsi="Times New Roman" w:cs="Times New Roman"/>
          <w:sz w:val="24"/>
          <w:szCs w:val="24"/>
          <w:u w:val="single"/>
        </w:rPr>
        <w:t>(</w:t>
      </w:r>
      <w:r w:rsidR="00923027">
        <w:rPr>
          <w:rFonts w:ascii="Times New Roman" w:hAnsi="Times New Roman" w:cs="Times New Roman"/>
          <w:sz w:val="24"/>
          <w:szCs w:val="24"/>
          <w:u w:val="single"/>
        </w:rPr>
        <w:t xml:space="preserve">hospitalised </w:t>
      </w:r>
      <w:r w:rsidR="00A5172D" w:rsidRPr="00416321">
        <w:rPr>
          <w:rFonts w:ascii="Times New Roman" w:hAnsi="Times New Roman" w:cs="Times New Roman"/>
          <w:sz w:val="24"/>
          <w:szCs w:val="24"/>
          <w:u w:val="single"/>
        </w:rPr>
        <w:t xml:space="preserve">with </w:t>
      </w:r>
      <w:r w:rsidR="00152C09">
        <w:rPr>
          <w:rFonts w:ascii="Times New Roman" w:hAnsi="Times New Roman" w:cs="Times New Roman"/>
          <w:sz w:val="24"/>
          <w:szCs w:val="24"/>
          <w:u w:val="single"/>
        </w:rPr>
        <w:t>m</w:t>
      </w:r>
      <w:r w:rsidR="00A5172D" w:rsidRPr="00416321">
        <w:rPr>
          <w:rFonts w:ascii="Times New Roman" w:hAnsi="Times New Roman" w:cs="Times New Roman"/>
          <w:sz w:val="24"/>
          <w:szCs w:val="24"/>
          <w:u w:val="single"/>
        </w:rPr>
        <w:t>ild/</w:t>
      </w:r>
      <w:r w:rsidR="00152C09">
        <w:rPr>
          <w:rFonts w:ascii="Times New Roman" w:hAnsi="Times New Roman" w:cs="Times New Roman"/>
          <w:sz w:val="24"/>
          <w:szCs w:val="24"/>
          <w:u w:val="single"/>
        </w:rPr>
        <w:t>m</w:t>
      </w:r>
      <w:r w:rsidR="00A5172D" w:rsidRPr="00416321">
        <w:rPr>
          <w:rFonts w:ascii="Times New Roman" w:hAnsi="Times New Roman" w:cs="Times New Roman"/>
          <w:sz w:val="24"/>
          <w:szCs w:val="24"/>
          <w:u w:val="single"/>
        </w:rPr>
        <w:t xml:space="preserve">oderate and </w:t>
      </w:r>
      <w:r w:rsidR="00152C09">
        <w:rPr>
          <w:rFonts w:ascii="Times New Roman" w:hAnsi="Times New Roman" w:cs="Times New Roman"/>
          <w:sz w:val="24"/>
          <w:szCs w:val="24"/>
          <w:u w:val="single"/>
        </w:rPr>
        <w:t>s</w:t>
      </w:r>
      <w:r w:rsidR="00A5172D" w:rsidRPr="00416321">
        <w:rPr>
          <w:rFonts w:ascii="Times New Roman" w:hAnsi="Times New Roman" w:cs="Times New Roman"/>
          <w:sz w:val="24"/>
          <w:szCs w:val="24"/>
          <w:u w:val="single"/>
        </w:rPr>
        <w:t>evere COVID-19</w:t>
      </w:r>
      <w:r w:rsidR="00D62FF4">
        <w:rPr>
          <w:rFonts w:ascii="Times New Roman" w:hAnsi="Times New Roman" w:cs="Times New Roman"/>
          <w:sz w:val="24"/>
          <w:szCs w:val="24"/>
          <w:u w:val="single"/>
        </w:rPr>
        <w:t>)</w:t>
      </w:r>
    </w:p>
    <w:bookmarkEnd w:id="9"/>
    <w:p w14:paraId="794D8C76"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u w:val="single"/>
        </w:rPr>
      </w:pPr>
    </w:p>
    <w:p w14:paraId="794D8C77" w14:textId="2E99DC7C" w:rsidR="00D07F42" w:rsidRPr="00772475" w:rsidRDefault="00270E87"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A randomised, double-blind, placebo-controlled clinical trial evaluated VEKLURY 200 mg once daily for 1 day followed by VEKLURY 100 mg once daily for 9 days (for a total of up to 10 days of intravenously administered therapy) in hospitalised adult patients with COVID</w:t>
      </w:r>
      <w:r w:rsidR="001C118E">
        <w:rPr>
          <w:rFonts w:ascii="Times New Roman" w:hAnsi="Times New Roman" w:cs="Times New Roman"/>
          <w:sz w:val="24"/>
          <w:szCs w:val="24"/>
        </w:rPr>
        <w:t>-</w:t>
      </w:r>
      <w:r w:rsidRPr="00772475">
        <w:rPr>
          <w:rFonts w:ascii="Times New Roman" w:hAnsi="Times New Roman" w:cs="Times New Roman"/>
          <w:sz w:val="24"/>
          <w:szCs w:val="24"/>
        </w:rPr>
        <w:t>19 with evidence of lower respiratory tract involvement. The trial enrolled 1,</w:t>
      </w:r>
      <w:r w:rsidR="00C348D3" w:rsidRPr="00772475">
        <w:rPr>
          <w:rFonts w:ascii="Times New Roman" w:hAnsi="Times New Roman" w:cs="Times New Roman"/>
          <w:sz w:val="24"/>
          <w:szCs w:val="24"/>
        </w:rPr>
        <w:t>06</w:t>
      </w:r>
      <w:r w:rsidR="00C348D3">
        <w:rPr>
          <w:rFonts w:ascii="Times New Roman" w:hAnsi="Times New Roman" w:cs="Times New Roman"/>
          <w:sz w:val="24"/>
          <w:szCs w:val="24"/>
        </w:rPr>
        <w:t>2</w:t>
      </w:r>
      <w:r w:rsidR="00C348D3" w:rsidRPr="00772475">
        <w:rPr>
          <w:rFonts w:ascii="Times New Roman" w:hAnsi="Times New Roman" w:cs="Times New Roman"/>
          <w:sz w:val="24"/>
          <w:szCs w:val="24"/>
        </w:rPr>
        <w:t xml:space="preserve"> </w:t>
      </w:r>
      <w:r w:rsidRPr="00772475">
        <w:rPr>
          <w:rFonts w:ascii="Times New Roman" w:hAnsi="Times New Roman" w:cs="Times New Roman"/>
          <w:sz w:val="24"/>
          <w:szCs w:val="24"/>
        </w:rPr>
        <w:t xml:space="preserve">hospitalised patients: </w:t>
      </w:r>
      <w:r w:rsidR="000E23AE">
        <w:rPr>
          <w:rFonts w:ascii="Times New Roman" w:hAnsi="Times New Roman" w:cs="Times New Roman"/>
          <w:sz w:val="24"/>
          <w:szCs w:val="24"/>
        </w:rPr>
        <w:t>159</w:t>
      </w:r>
      <w:r w:rsidR="00C348D3" w:rsidRPr="00772475">
        <w:rPr>
          <w:rFonts w:ascii="Times New Roman" w:hAnsi="Times New Roman" w:cs="Times New Roman"/>
          <w:sz w:val="24"/>
          <w:szCs w:val="24"/>
        </w:rPr>
        <w:t xml:space="preserve"> </w:t>
      </w:r>
      <w:r w:rsidRPr="00772475">
        <w:rPr>
          <w:rFonts w:ascii="Times New Roman" w:hAnsi="Times New Roman" w:cs="Times New Roman"/>
          <w:sz w:val="24"/>
          <w:szCs w:val="24"/>
        </w:rPr>
        <w:t>(</w:t>
      </w:r>
      <w:r w:rsidR="000E23AE">
        <w:rPr>
          <w:rFonts w:ascii="Times New Roman" w:hAnsi="Times New Roman" w:cs="Times New Roman"/>
          <w:sz w:val="24"/>
          <w:szCs w:val="24"/>
        </w:rPr>
        <w:t>15</w:t>
      </w:r>
      <w:r w:rsidRPr="00772475">
        <w:rPr>
          <w:rFonts w:ascii="Times New Roman" w:hAnsi="Times New Roman" w:cs="Times New Roman"/>
          <w:sz w:val="24"/>
          <w:szCs w:val="24"/>
        </w:rPr>
        <w:t xml:space="preserve">%) patients with mild/moderate disease </w:t>
      </w:r>
      <w:r w:rsidR="00C348D3" w:rsidRPr="00960F5B">
        <w:rPr>
          <w:rFonts w:ascii="Times New Roman" w:hAnsi="Times New Roman" w:cs="Times New Roman"/>
          <w:sz w:val="24"/>
          <w:szCs w:val="24"/>
        </w:rPr>
        <w:t>(1</w:t>
      </w:r>
      <w:r w:rsidR="005D7BA6">
        <w:rPr>
          <w:rFonts w:ascii="Times New Roman" w:hAnsi="Times New Roman" w:cs="Times New Roman"/>
          <w:sz w:val="24"/>
          <w:szCs w:val="24"/>
        </w:rPr>
        <w:t>5</w:t>
      </w:r>
      <w:r w:rsidR="00C348D3" w:rsidRPr="00960F5B">
        <w:rPr>
          <w:rFonts w:ascii="Times New Roman" w:hAnsi="Times New Roman" w:cs="Times New Roman"/>
          <w:sz w:val="24"/>
          <w:szCs w:val="24"/>
        </w:rPr>
        <w:t>% in both treatment groups)</w:t>
      </w:r>
      <w:r w:rsidR="00C348D3">
        <w:rPr>
          <w:rFonts w:ascii="Times New Roman" w:hAnsi="Times New Roman" w:cs="Times New Roman"/>
          <w:sz w:val="24"/>
          <w:szCs w:val="24"/>
        </w:rPr>
        <w:t xml:space="preserve"> </w:t>
      </w:r>
      <w:r w:rsidR="00C348D3" w:rsidRPr="00772475">
        <w:rPr>
          <w:rFonts w:ascii="Times New Roman" w:hAnsi="Times New Roman" w:cs="Times New Roman"/>
          <w:sz w:val="24"/>
          <w:szCs w:val="24"/>
        </w:rPr>
        <w:t xml:space="preserve">and </w:t>
      </w:r>
      <w:r w:rsidR="00C348D3">
        <w:rPr>
          <w:rFonts w:ascii="Times New Roman" w:hAnsi="Times New Roman" w:cs="Times New Roman"/>
          <w:sz w:val="24"/>
          <w:szCs w:val="24"/>
        </w:rPr>
        <w:t>9</w:t>
      </w:r>
      <w:r w:rsidR="005D7BA6">
        <w:rPr>
          <w:rFonts w:ascii="Times New Roman" w:hAnsi="Times New Roman" w:cs="Times New Roman"/>
          <w:sz w:val="24"/>
          <w:szCs w:val="24"/>
        </w:rPr>
        <w:t>03</w:t>
      </w:r>
      <w:r w:rsidR="00C348D3" w:rsidRPr="00772475">
        <w:rPr>
          <w:rFonts w:ascii="Times New Roman" w:hAnsi="Times New Roman" w:cs="Times New Roman"/>
          <w:sz w:val="24"/>
          <w:szCs w:val="24"/>
        </w:rPr>
        <w:t xml:space="preserve"> (</w:t>
      </w:r>
      <w:r w:rsidR="005D7BA6">
        <w:rPr>
          <w:rFonts w:ascii="Times New Roman" w:hAnsi="Times New Roman" w:cs="Times New Roman"/>
          <w:sz w:val="24"/>
          <w:szCs w:val="24"/>
        </w:rPr>
        <w:t>85</w:t>
      </w:r>
      <w:r w:rsidR="00C348D3" w:rsidRPr="00772475">
        <w:rPr>
          <w:rFonts w:ascii="Times New Roman" w:hAnsi="Times New Roman" w:cs="Times New Roman"/>
          <w:sz w:val="24"/>
          <w:szCs w:val="24"/>
        </w:rPr>
        <w:t>%) patients with severe disease</w:t>
      </w:r>
      <w:r w:rsidR="00C348D3">
        <w:rPr>
          <w:rFonts w:ascii="Times New Roman" w:hAnsi="Times New Roman" w:cs="Times New Roman"/>
          <w:sz w:val="24"/>
          <w:szCs w:val="24"/>
        </w:rPr>
        <w:t xml:space="preserve"> (</w:t>
      </w:r>
      <w:r w:rsidR="005D7BA6">
        <w:rPr>
          <w:rFonts w:ascii="Times New Roman" w:hAnsi="Times New Roman" w:cs="Times New Roman"/>
          <w:sz w:val="24"/>
          <w:szCs w:val="24"/>
        </w:rPr>
        <w:t>85</w:t>
      </w:r>
      <w:r w:rsidR="00C348D3" w:rsidRPr="00851576">
        <w:rPr>
          <w:rFonts w:ascii="Times New Roman" w:hAnsi="Times New Roman" w:cs="Times New Roman"/>
          <w:sz w:val="24"/>
          <w:szCs w:val="24"/>
        </w:rPr>
        <w:t>% in both treatment groups</w:t>
      </w:r>
      <w:r w:rsidR="00C348D3">
        <w:rPr>
          <w:rFonts w:ascii="Times New Roman" w:hAnsi="Times New Roman" w:cs="Times New Roman"/>
          <w:sz w:val="24"/>
          <w:szCs w:val="24"/>
        </w:rPr>
        <w:t>). M</w:t>
      </w:r>
      <w:r w:rsidR="00C348D3" w:rsidRPr="00772475">
        <w:rPr>
          <w:rFonts w:ascii="Times New Roman" w:hAnsi="Times New Roman" w:cs="Times New Roman"/>
          <w:sz w:val="24"/>
          <w:szCs w:val="24"/>
        </w:rPr>
        <w:t xml:space="preserve">ild/moderate disease </w:t>
      </w:r>
      <w:r w:rsidR="00C348D3">
        <w:rPr>
          <w:rFonts w:ascii="Times New Roman" w:hAnsi="Times New Roman" w:cs="Times New Roman"/>
          <w:sz w:val="24"/>
          <w:szCs w:val="24"/>
        </w:rPr>
        <w:t>was</w:t>
      </w:r>
      <w:r w:rsidR="00C348D3" w:rsidRPr="00C05741">
        <w:rPr>
          <w:rFonts w:ascii="Times New Roman" w:hAnsi="Times New Roman" w:cs="Times New Roman"/>
          <w:sz w:val="24"/>
          <w:szCs w:val="24"/>
        </w:rPr>
        <w:t xml:space="preserve"> </w:t>
      </w:r>
      <w:r w:rsidRPr="00C05741">
        <w:rPr>
          <w:rFonts w:ascii="Times New Roman" w:hAnsi="Times New Roman" w:cs="Times New Roman"/>
          <w:sz w:val="24"/>
          <w:szCs w:val="24"/>
        </w:rPr>
        <w:t xml:space="preserve">defined </w:t>
      </w:r>
      <w:r w:rsidR="00C348D3">
        <w:rPr>
          <w:rFonts w:ascii="Times New Roman" w:hAnsi="Times New Roman" w:cs="Times New Roman"/>
          <w:sz w:val="24"/>
          <w:szCs w:val="24"/>
        </w:rPr>
        <w:t>as</w:t>
      </w:r>
      <w:r w:rsidR="00C348D3" w:rsidRPr="00C05741">
        <w:rPr>
          <w:rFonts w:ascii="Times New Roman" w:hAnsi="Times New Roman" w:cs="Times New Roman"/>
          <w:sz w:val="24"/>
          <w:szCs w:val="24"/>
        </w:rPr>
        <w:t xml:space="preserve"> </w:t>
      </w:r>
      <w:r w:rsidRPr="00C05741">
        <w:rPr>
          <w:rFonts w:ascii="Times New Roman" w:hAnsi="Times New Roman" w:cs="Times New Roman"/>
          <w:sz w:val="24"/>
          <w:szCs w:val="24"/>
        </w:rPr>
        <w:t>SpO2 &gt;94% and respiratory rate &lt;</w:t>
      </w:r>
      <w:r w:rsidR="005D7BA6">
        <w:rPr>
          <w:rFonts w:ascii="Times New Roman" w:hAnsi="Times New Roman" w:cs="Times New Roman"/>
          <w:sz w:val="24"/>
          <w:szCs w:val="24"/>
        </w:rPr>
        <w:t xml:space="preserve"> </w:t>
      </w:r>
      <w:r w:rsidRPr="00C05741">
        <w:rPr>
          <w:rFonts w:ascii="Times New Roman" w:hAnsi="Times New Roman" w:cs="Times New Roman"/>
          <w:sz w:val="24"/>
          <w:szCs w:val="24"/>
        </w:rPr>
        <w:t>24 breaths/min without supplemental oxygen</w:t>
      </w:r>
      <w:r w:rsidR="00C348D3">
        <w:rPr>
          <w:rFonts w:ascii="Times New Roman" w:hAnsi="Times New Roman" w:cs="Times New Roman"/>
          <w:sz w:val="24"/>
          <w:szCs w:val="24"/>
        </w:rPr>
        <w:t>;</w:t>
      </w:r>
      <w:r w:rsidR="00C348D3" w:rsidRPr="00C05741">
        <w:rPr>
          <w:rFonts w:ascii="Times New Roman" w:hAnsi="Times New Roman" w:cs="Times New Roman"/>
          <w:sz w:val="24"/>
          <w:szCs w:val="24"/>
        </w:rPr>
        <w:t xml:space="preserve"> </w:t>
      </w:r>
      <w:r w:rsidRPr="00772475">
        <w:rPr>
          <w:rFonts w:ascii="Times New Roman" w:hAnsi="Times New Roman" w:cs="Times New Roman"/>
          <w:sz w:val="24"/>
          <w:szCs w:val="24"/>
        </w:rPr>
        <w:t>severe disease</w:t>
      </w:r>
      <w:r w:rsidR="00C348D3">
        <w:rPr>
          <w:rFonts w:ascii="Times New Roman" w:hAnsi="Times New Roman" w:cs="Times New Roman"/>
          <w:sz w:val="24"/>
          <w:szCs w:val="24"/>
        </w:rPr>
        <w:t xml:space="preserve"> was </w:t>
      </w:r>
      <w:r w:rsidRPr="00C05741">
        <w:rPr>
          <w:rFonts w:ascii="Times New Roman" w:hAnsi="Times New Roman" w:cs="Times New Roman"/>
          <w:sz w:val="24"/>
          <w:szCs w:val="24"/>
        </w:rPr>
        <w:t xml:space="preserve">defined </w:t>
      </w:r>
      <w:r w:rsidR="00C348D3">
        <w:rPr>
          <w:rFonts w:ascii="Times New Roman" w:hAnsi="Times New Roman" w:cs="Times New Roman"/>
          <w:sz w:val="24"/>
          <w:szCs w:val="24"/>
        </w:rPr>
        <w:t>as</w:t>
      </w:r>
      <w:r w:rsidR="00C348D3" w:rsidRPr="00C05741">
        <w:rPr>
          <w:rFonts w:ascii="Times New Roman" w:hAnsi="Times New Roman" w:cs="Times New Roman"/>
          <w:sz w:val="24"/>
          <w:szCs w:val="24"/>
        </w:rPr>
        <w:t xml:space="preserve"> </w:t>
      </w:r>
      <w:r w:rsidRPr="00C05741">
        <w:rPr>
          <w:rFonts w:ascii="Times New Roman" w:hAnsi="Times New Roman" w:cs="Times New Roman"/>
          <w:sz w:val="24"/>
          <w:szCs w:val="24"/>
        </w:rPr>
        <w:t>SpO2 ≤</w:t>
      </w:r>
      <w:r w:rsidR="005D7BA6">
        <w:rPr>
          <w:rFonts w:ascii="Times New Roman" w:hAnsi="Times New Roman" w:cs="Times New Roman"/>
          <w:sz w:val="24"/>
          <w:szCs w:val="24"/>
        </w:rPr>
        <w:t xml:space="preserve"> </w:t>
      </w:r>
      <w:r w:rsidRPr="00C05741">
        <w:rPr>
          <w:rFonts w:ascii="Times New Roman" w:hAnsi="Times New Roman" w:cs="Times New Roman"/>
          <w:sz w:val="24"/>
          <w:szCs w:val="24"/>
        </w:rPr>
        <w:t xml:space="preserve">94% on room air, </w:t>
      </w:r>
      <w:r w:rsidR="00C348D3">
        <w:rPr>
          <w:rFonts w:ascii="Times New Roman" w:hAnsi="Times New Roman" w:cs="Times New Roman"/>
          <w:sz w:val="24"/>
          <w:szCs w:val="24"/>
        </w:rPr>
        <w:t>a</w:t>
      </w:r>
      <w:r w:rsidR="00C348D3" w:rsidRPr="00C05741">
        <w:rPr>
          <w:rFonts w:ascii="Times New Roman" w:hAnsi="Times New Roman" w:cs="Times New Roman"/>
          <w:sz w:val="24"/>
          <w:szCs w:val="24"/>
        </w:rPr>
        <w:t xml:space="preserve"> </w:t>
      </w:r>
      <w:r w:rsidRPr="00C05741">
        <w:rPr>
          <w:rFonts w:ascii="Times New Roman" w:hAnsi="Times New Roman" w:cs="Times New Roman"/>
          <w:sz w:val="24"/>
          <w:szCs w:val="24"/>
        </w:rPr>
        <w:t xml:space="preserve">respiratory rate ≥24 breaths/min and </w:t>
      </w:r>
      <w:r w:rsidR="005D7BA6">
        <w:rPr>
          <w:rFonts w:ascii="Times New Roman" w:hAnsi="Times New Roman" w:cs="Times New Roman"/>
          <w:sz w:val="24"/>
          <w:szCs w:val="24"/>
        </w:rPr>
        <w:t xml:space="preserve">an </w:t>
      </w:r>
      <w:r w:rsidRPr="00C05741">
        <w:rPr>
          <w:rFonts w:ascii="Times New Roman" w:hAnsi="Times New Roman" w:cs="Times New Roman"/>
          <w:sz w:val="24"/>
          <w:szCs w:val="24"/>
        </w:rPr>
        <w:t xml:space="preserve">oxygen </w:t>
      </w:r>
      <w:r w:rsidR="00C348D3">
        <w:rPr>
          <w:rFonts w:ascii="Times New Roman" w:hAnsi="Times New Roman" w:cs="Times New Roman"/>
          <w:sz w:val="24"/>
          <w:szCs w:val="24"/>
        </w:rPr>
        <w:t xml:space="preserve">requirement, </w:t>
      </w:r>
      <w:r w:rsidRPr="00C05741">
        <w:rPr>
          <w:rFonts w:ascii="Times New Roman" w:hAnsi="Times New Roman" w:cs="Times New Roman"/>
          <w:sz w:val="24"/>
          <w:szCs w:val="24"/>
        </w:rPr>
        <w:t xml:space="preserve">or </w:t>
      </w:r>
      <w:r w:rsidR="00C348D3">
        <w:rPr>
          <w:rFonts w:ascii="Times New Roman" w:hAnsi="Times New Roman" w:cs="Times New Roman"/>
          <w:sz w:val="24"/>
          <w:szCs w:val="24"/>
        </w:rPr>
        <w:t xml:space="preserve">a requirement for mechanical </w:t>
      </w:r>
      <w:r w:rsidRPr="00C05741">
        <w:rPr>
          <w:rFonts w:ascii="Times New Roman" w:hAnsi="Times New Roman" w:cs="Times New Roman"/>
          <w:sz w:val="24"/>
          <w:szCs w:val="24"/>
        </w:rPr>
        <w:t>ventilat</w:t>
      </w:r>
      <w:r w:rsidR="005D7BA6">
        <w:rPr>
          <w:rFonts w:ascii="Times New Roman" w:hAnsi="Times New Roman" w:cs="Times New Roman"/>
          <w:sz w:val="24"/>
          <w:szCs w:val="24"/>
        </w:rPr>
        <w:t>ion/</w:t>
      </w:r>
      <w:r w:rsidR="005D7BA6" w:rsidRPr="005D7BA6">
        <w:t xml:space="preserve"> </w:t>
      </w:r>
      <w:r w:rsidR="005D7BA6" w:rsidRPr="005D7BA6">
        <w:rPr>
          <w:rFonts w:ascii="Times New Roman" w:hAnsi="Times New Roman" w:cs="Times New Roman"/>
          <w:sz w:val="24"/>
          <w:szCs w:val="24"/>
        </w:rPr>
        <w:t xml:space="preserve">Extracorporeal Membrane Oxygenation </w:t>
      </w:r>
      <w:r w:rsidR="005D7BA6">
        <w:rPr>
          <w:rFonts w:ascii="Times New Roman" w:hAnsi="Times New Roman" w:cs="Times New Roman"/>
          <w:sz w:val="24"/>
          <w:szCs w:val="24"/>
        </w:rPr>
        <w:t>(</w:t>
      </w:r>
      <w:r w:rsidR="00C348D3">
        <w:rPr>
          <w:rFonts w:ascii="Times New Roman" w:hAnsi="Times New Roman" w:cs="Times New Roman"/>
          <w:sz w:val="24"/>
          <w:szCs w:val="24"/>
        </w:rPr>
        <w:t>ECMO</w:t>
      </w:r>
      <w:r w:rsidR="005D7BA6">
        <w:rPr>
          <w:rFonts w:ascii="Times New Roman" w:hAnsi="Times New Roman" w:cs="Times New Roman"/>
          <w:sz w:val="24"/>
          <w:szCs w:val="24"/>
        </w:rPr>
        <w:t>)</w:t>
      </w:r>
      <w:r w:rsidRPr="00772475">
        <w:rPr>
          <w:rFonts w:ascii="Times New Roman" w:hAnsi="Times New Roman" w:cs="Times New Roman"/>
          <w:sz w:val="24"/>
          <w:szCs w:val="24"/>
        </w:rPr>
        <w:t>.  Patients were randomised 1:1, stratified by disease severity at enrolment, to receive VEKLURY (n=541) or placebo (n=</w:t>
      </w:r>
      <w:r w:rsidR="00C348D3" w:rsidRPr="00772475">
        <w:rPr>
          <w:rFonts w:ascii="Times New Roman" w:hAnsi="Times New Roman" w:cs="Times New Roman"/>
          <w:sz w:val="24"/>
          <w:szCs w:val="24"/>
        </w:rPr>
        <w:t>52</w:t>
      </w:r>
      <w:r w:rsidR="00C348D3">
        <w:rPr>
          <w:rFonts w:ascii="Times New Roman" w:hAnsi="Times New Roman" w:cs="Times New Roman"/>
          <w:sz w:val="24"/>
          <w:szCs w:val="24"/>
        </w:rPr>
        <w:t>1</w:t>
      </w:r>
      <w:r w:rsidRPr="00772475">
        <w:rPr>
          <w:rFonts w:ascii="Times New Roman" w:hAnsi="Times New Roman" w:cs="Times New Roman"/>
          <w:sz w:val="24"/>
          <w:szCs w:val="24"/>
        </w:rPr>
        <w:t>), plus standard of care.</w:t>
      </w:r>
    </w:p>
    <w:p w14:paraId="794D8C78"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794D8C79" w14:textId="10328E2F" w:rsidR="00D07F42" w:rsidRDefault="00270E87"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baseline mean age was 59 years and 36% of patients were aged 65 or older</w:t>
      </w:r>
      <w:r w:rsidR="005D7BA6">
        <w:rPr>
          <w:rFonts w:ascii="Times New Roman" w:hAnsi="Times New Roman" w:cs="Times New Roman"/>
          <w:sz w:val="24"/>
          <w:szCs w:val="24"/>
        </w:rPr>
        <w:t>.</w:t>
      </w:r>
      <w:r w:rsidR="00D11A0C">
        <w:rPr>
          <w:rFonts w:ascii="Times New Roman" w:hAnsi="Times New Roman" w:cs="Times New Roman"/>
          <w:sz w:val="24"/>
          <w:szCs w:val="24"/>
        </w:rPr>
        <w:t xml:space="preserve"> </w:t>
      </w:r>
      <w:r w:rsidRPr="00772475">
        <w:rPr>
          <w:rFonts w:ascii="Times New Roman" w:hAnsi="Times New Roman" w:cs="Times New Roman"/>
          <w:sz w:val="24"/>
          <w:szCs w:val="24"/>
        </w:rPr>
        <w:t xml:space="preserve">Sixty-four percent were male, </w:t>
      </w:r>
      <w:r w:rsidR="00C348D3">
        <w:rPr>
          <w:rFonts w:ascii="Times New Roman" w:hAnsi="Times New Roman" w:cs="Times New Roman"/>
          <w:sz w:val="24"/>
          <w:szCs w:val="24"/>
        </w:rPr>
        <w:t xml:space="preserve">53% were White, </w:t>
      </w:r>
      <w:r w:rsidRPr="00772475">
        <w:rPr>
          <w:rFonts w:ascii="Times New Roman" w:hAnsi="Times New Roman" w:cs="Times New Roman"/>
          <w:sz w:val="24"/>
          <w:szCs w:val="24"/>
        </w:rPr>
        <w:t>21% were Black, 13% were Asian. The most common comorbidities were hypertension (</w:t>
      </w:r>
      <w:r w:rsidR="00C348D3">
        <w:rPr>
          <w:rFonts w:ascii="Times New Roman" w:hAnsi="Times New Roman" w:cs="Times New Roman"/>
          <w:sz w:val="24"/>
          <w:szCs w:val="24"/>
        </w:rPr>
        <w:t>51</w:t>
      </w:r>
      <w:r w:rsidRPr="00772475">
        <w:rPr>
          <w:rFonts w:ascii="Times New Roman" w:hAnsi="Times New Roman" w:cs="Times New Roman"/>
          <w:sz w:val="24"/>
          <w:szCs w:val="24"/>
        </w:rPr>
        <w:t>%), obesity (</w:t>
      </w:r>
      <w:r w:rsidR="00C348D3">
        <w:rPr>
          <w:rFonts w:ascii="Times New Roman" w:hAnsi="Times New Roman" w:cs="Times New Roman"/>
          <w:sz w:val="24"/>
          <w:szCs w:val="24"/>
        </w:rPr>
        <w:t>45</w:t>
      </w:r>
      <w:r w:rsidRPr="00772475">
        <w:rPr>
          <w:rFonts w:ascii="Times New Roman" w:hAnsi="Times New Roman" w:cs="Times New Roman"/>
          <w:sz w:val="24"/>
          <w:szCs w:val="24"/>
        </w:rPr>
        <w:t xml:space="preserve">%), </w:t>
      </w:r>
      <w:r w:rsidR="00C348D3">
        <w:rPr>
          <w:rFonts w:ascii="Times New Roman" w:hAnsi="Times New Roman" w:cs="Times New Roman"/>
          <w:sz w:val="24"/>
          <w:szCs w:val="24"/>
        </w:rPr>
        <w:t xml:space="preserve">and </w:t>
      </w:r>
      <w:r w:rsidRPr="00772475">
        <w:rPr>
          <w:rFonts w:ascii="Times New Roman" w:hAnsi="Times New Roman" w:cs="Times New Roman"/>
          <w:sz w:val="24"/>
          <w:szCs w:val="24"/>
        </w:rPr>
        <w:t>type 2 diabetes mellitus (</w:t>
      </w:r>
      <w:r w:rsidR="00C348D3">
        <w:rPr>
          <w:rFonts w:ascii="Times New Roman" w:hAnsi="Times New Roman" w:cs="Times New Roman"/>
          <w:sz w:val="24"/>
          <w:szCs w:val="24"/>
        </w:rPr>
        <w:t>31</w:t>
      </w:r>
      <w:r w:rsidR="00C348D3" w:rsidRPr="00772475">
        <w:rPr>
          <w:rFonts w:ascii="Times New Roman" w:hAnsi="Times New Roman" w:cs="Times New Roman"/>
          <w:sz w:val="24"/>
          <w:szCs w:val="24"/>
        </w:rPr>
        <w:t>%)</w:t>
      </w:r>
      <w:r w:rsidR="00C348D3">
        <w:rPr>
          <w:rFonts w:ascii="Times New Roman" w:hAnsi="Times New Roman" w:cs="Times New Roman"/>
          <w:sz w:val="24"/>
          <w:szCs w:val="24"/>
        </w:rPr>
        <w:t xml:space="preserve">; </w:t>
      </w:r>
      <w:r w:rsidR="00C348D3" w:rsidRPr="00960F5B">
        <w:rPr>
          <w:rFonts w:ascii="Times New Roman" w:hAnsi="Times New Roman" w:cs="Times New Roman"/>
          <w:sz w:val="24"/>
          <w:szCs w:val="24"/>
        </w:rPr>
        <w:t>the distribution of comorbidities was similar between the two treatment groups.</w:t>
      </w:r>
    </w:p>
    <w:p w14:paraId="794D8C7B" w14:textId="3338A72C" w:rsidR="00D07F42" w:rsidRDefault="00270E87" w:rsidP="00D07F42">
      <w:pPr>
        <w:autoSpaceDE w:val="0"/>
        <w:autoSpaceDN w:val="0"/>
        <w:adjustRightInd w:val="0"/>
        <w:spacing w:after="0" w:line="240" w:lineRule="auto"/>
        <w:rPr>
          <w:rFonts w:ascii="Times New Roman" w:hAnsi="Times New Roman" w:cs="Times New Roman"/>
          <w:sz w:val="24"/>
          <w:szCs w:val="24"/>
        </w:rPr>
      </w:pPr>
      <w:r w:rsidRPr="00C05741">
        <w:rPr>
          <w:rFonts w:ascii="Times New Roman" w:hAnsi="Times New Roman" w:cs="Times New Roman"/>
          <w:sz w:val="24"/>
          <w:szCs w:val="24"/>
        </w:rPr>
        <w:lastRenderedPageBreak/>
        <w:t xml:space="preserve">Approximately </w:t>
      </w:r>
      <w:r w:rsidR="00C348D3">
        <w:rPr>
          <w:rFonts w:ascii="Times New Roman" w:hAnsi="Times New Roman" w:cs="Times New Roman"/>
          <w:sz w:val="24"/>
          <w:szCs w:val="24"/>
        </w:rPr>
        <w:t>38.4</w:t>
      </w:r>
      <w:r w:rsidRPr="00C05741">
        <w:rPr>
          <w:rFonts w:ascii="Times New Roman" w:hAnsi="Times New Roman" w:cs="Times New Roman"/>
          <w:sz w:val="24"/>
          <w:szCs w:val="24"/>
        </w:rPr>
        <w:t>% (</w:t>
      </w:r>
      <w:r w:rsidR="00C348D3">
        <w:rPr>
          <w:rFonts w:ascii="Times New Roman" w:hAnsi="Times New Roman" w:cs="Times New Roman"/>
          <w:sz w:val="24"/>
          <w:szCs w:val="24"/>
        </w:rPr>
        <w:t>208</w:t>
      </w:r>
      <w:r w:rsidRPr="00C05741">
        <w:rPr>
          <w:rFonts w:ascii="Times New Roman" w:hAnsi="Times New Roman" w:cs="Times New Roman"/>
          <w:sz w:val="24"/>
          <w:szCs w:val="24"/>
        </w:rPr>
        <w:t>/541) of the patients received a 10</w:t>
      </w:r>
      <w:r w:rsidR="003E3724">
        <w:rPr>
          <w:rFonts w:ascii="Times New Roman" w:hAnsi="Times New Roman" w:cs="Times New Roman"/>
          <w:sz w:val="24"/>
          <w:szCs w:val="24"/>
        </w:rPr>
        <w:t>-</w:t>
      </w:r>
      <w:r w:rsidRPr="00C05741">
        <w:rPr>
          <w:rFonts w:ascii="Times New Roman" w:hAnsi="Times New Roman" w:cs="Times New Roman"/>
          <w:sz w:val="24"/>
          <w:szCs w:val="24"/>
        </w:rPr>
        <w:t xml:space="preserve">day treatment course with </w:t>
      </w:r>
      <w:r>
        <w:rPr>
          <w:rFonts w:ascii="Times New Roman" w:hAnsi="Times New Roman" w:cs="Times New Roman"/>
          <w:sz w:val="24"/>
          <w:szCs w:val="24"/>
        </w:rPr>
        <w:t>VEKLURY</w:t>
      </w:r>
      <w:r w:rsidRPr="00C05741">
        <w:rPr>
          <w:rFonts w:ascii="Times New Roman" w:hAnsi="Times New Roman" w:cs="Times New Roman"/>
          <w:sz w:val="24"/>
          <w:szCs w:val="24"/>
        </w:rPr>
        <w:t>.</w:t>
      </w:r>
    </w:p>
    <w:p w14:paraId="794D8C7C"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794D8C7D" w14:textId="44FF06E2" w:rsidR="005D7BA6" w:rsidRDefault="00270E87" w:rsidP="000713E6">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primary clinical endpoint was time to recovery within </w:t>
      </w:r>
      <w:r w:rsidR="00C348D3" w:rsidRPr="00772475">
        <w:rPr>
          <w:rFonts w:ascii="Times New Roman" w:hAnsi="Times New Roman" w:cs="Times New Roman"/>
          <w:sz w:val="24"/>
          <w:szCs w:val="24"/>
        </w:rPr>
        <w:t>2</w:t>
      </w:r>
      <w:r w:rsidR="00C348D3">
        <w:rPr>
          <w:rFonts w:ascii="Times New Roman" w:hAnsi="Times New Roman" w:cs="Times New Roman"/>
          <w:sz w:val="24"/>
          <w:szCs w:val="24"/>
        </w:rPr>
        <w:t>9</w:t>
      </w:r>
      <w:r w:rsidR="00C348D3" w:rsidRPr="00772475">
        <w:rPr>
          <w:rFonts w:ascii="Times New Roman" w:hAnsi="Times New Roman" w:cs="Times New Roman"/>
          <w:sz w:val="24"/>
          <w:szCs w:val="24"/>
        </w:rPr>
        <w:t xml:space="preserve"> </w:t>
      </w:r>
      <w:r w:rsidRPr="00772475">
        <w:rPr>
          <w:rFonts w:ascii="Times New Roman" w:hAnsi="Times New Roman" w:cs="Times New Roman"/>
          <w:sz w:val="24"/>
          <w:szCs w:val="24"/>
        </w:rPr>
        <w:t>days after randomi</w:t>
      </w:r>
      <w:r>
        <w:rPr>
          <w:rFonts w:ascii="Times New Roman" w:hAnsi="Times New Roman" w:cs="Times New Roman"/>
          <w:sz w:val="24"/>
          <w:szCs w:val="24"/>
        </w:rPr>
        <w:t>s</w:t>
      </w:r>
      <w:r w:rsidRPr="00772475">
        <w:rPr>
          <w:rFonts w:ascii="Times New Roman" w:hAnsi="Times New Roman" w:cs="Times New Roman"/>
          <w:sz w:val="24"/>
          <w:szCs w:val="24"/>
        </w:rPr>
        <w:t xml:space="preserve">ation, defined as either discharged from hospital </w:t>
      </w:r>
      <w:r>
        <w:rPr>
          <w:rFonts w:ascii="Times New Roman" w:hAnsi="Times New Roman" w:cs="Times New Roman"/>
          <w:sz w:val="24"/>
          <w:szCs w:val="24"/>
        </w:rPr>
        <w:t>(</w:t>
      </w:r>
      <w:r w:rsidRPr="00C05741">
        <w:rPr>
          <w:rFonts w:ascii="Times New Roman" w:hAnsi="Times New Roman" w:cs="Times New Roman"/>
          <w:sz w:val="24"/>
          <w:szCs w:val="24"/>
        </w:rPr>
        <w:t>with or without limitations of activity and with or without home oxygen requirements)</w:t>
      </w:r>
      <w:r>
        <w:rPr>
          <w:rFonts w:ascii="Times New Roman" w:hAnsi="Times New Roman" w:cs="Times New Roman"/>
          <w:sz w:val="24"/>
          <w:szCs w:val="24"/>
        </w:rPr>
        <w:t xml:space="preserve"> </w:t>
      </w:r>
      <w:r w:rsidRPr="00772475">
        <w:rPr>
          <w:rFonts w:ascii="Times New Roman" w:hAnsi="Times New Roman" w:cs="Times New Roman"/>
          <w:sz w:val="24"/>
          <w:szCs w:val="24"/>
        </w:rPr>
        <w:t xml:space="preserve">or hospitalised but not requiring supplemental oxygen and no longer requiring ongoing medical care. </w:t>
      </w:r>
      <w:r w:rsidR="00C348D3">
        <w:rPr>
          <w:rFonts w:ascii="Times New Roman" w:hAnsi="Times New Roman" w:cs="Times New Roman"/>
          <w:sz w:val="24"/>
          <w:szCs w:val="24"/>
        </w:rPr>
        <w:t>T</w:t>
      </w:r>
      <w:r w:rsidR="00C348D3" w:rsidRPr="00772475">
        <w:rPr>
          <w:rFonts w:ascii="Times New Roman" w:hAnsi="Times New Roman" w:cs="Times New Roman"/>
          <w:sz w:val="24"/>
          <w:szCs w:val="24"/>
        </w:rPr>
        <w:t xml:space="preserve">he </w:t>
      </w:r>
      <w:r w:rsidRPr="00772475">
        <w:rPr>
          <w:rFonts w:ascii="Times New Roman" w:hAnsi="Times New Roman" w:cs="Times New Roman"/>
          <w:sz w:val="24"/>
          <w:szCs w:val="24"/>
        </w:rPr>
        <w:t xml:space="preserve">median time to recovery was </w:t>
      </w:r>
      <w:r w:rsidR="00C348D3" w:rsidRPr="00772475">
        <w:rPr>
          <w:rFonts w:ascii="Times New Roman" w:hAnsi="Times New Roman" w:cs="Times New Roman"/>
          <w:sz w:val="24"/>
          <w:szCs w:val="24"/>
        </w:rPr>
        <w:t>1</w:t>
      </w:r>
      <w:r w:rsidR="00C348D3">
        <w:rPr>
          <w:rFonts w:ascii="Times New Roman" w:hAnsi="Times New Roman" w:cs="Times New Roman"/>
          <w:sz w:val="24"/>
          <w:szCs w:val="24"/>
        </w:rPr>
        <w:t>0</w:t>
      </w:r>
      <w:r w:rsidR="00C348D3" w:rsidRPr="00772475">
        <w:rPr>
          <w:rFonts w:ascii="Times New Roman" w:hAnsi="Times New Roman" w:cs="Times New Roman"/>
          <w:sz w:val="24"/>
          <w:szCs w:val="24"/>
        </w:rPr>
        <w:t xml:space="preserve"> </w:t>
      </w:r>
      <w:r w:rsidRPr="00772475">
        <w:rPr>
          <w:rFonts w:ascii="Times New Roman" w:hAnsi="Times New Roman" w:cs="Times New Roman"/>
          <w:sz w:val="24"/>
          <w:szCs w:val="24"/>
        </w:rPr>
        <w:t>days in the VEKLURY group compared to 15 days in the placebo group (recovery rate ratio 1.</w:t>
      </w:r>
      <w:r w:rsidR="00C348D3">
        <w:rPr>
          <w:rFonts w:ascii="Times New Roman" w:hAnsi="Times New Roman" w:cs="Times New Roman"/>
          <w:sz w:val="24"/>
          <w:szCs w:val="24"/>
        </w:rPr>
        <w:t>29</w:t>
      </w:r>
      <w:r w:rsidRPr="00772475">
        <w:rPr>
          <w:rFonts w:ascii="Times New Roman" w:hAnsi="Times New Roman" w:cs="Times New Roman"/>
          <w:sz w:val="24"/>
          <w:szCs w:val="24"/>
        </w:rPr>
        <w:t>; [95% CI 1.12 to 1.</w:t>
      </w:r>
      <w:r w:rsidR="00C348D3">
        <w:rPr>
          <w:rFonts w:ascii="Times New Roman" w:hAnsi="Times New Roman" w:cs="Times New Roman"/>
          <w:sz w:val="24"/>
          <w:szCs w:val="24"/>
        </w:rPr>
        <w:t>49</w:t>
      </w:r>
      <w:r w:rsidRPr="00772475">
        <w:rPr>
          <w:rFonts w:ascii="Times New Roman" w:hAnsi="Times New Roman" w:cs="Times New Roman"/>
          <w:sz w:val="24"/>
          <w:szCs w:val="24"/>
        </w:rPr>
        <w:t>], p&lt;0.001</w:t>
      </w:r>
      <w:r>
        <w:rPr>
          <w:rFonts w:ascii="Times New Roman" w:hAnsi="Times New Roman" w:cs="Times New Roman"/>
          <w:sz w:val="24"/>
          <w:szCs w:val="24"/>
        </w:rPr>
        <w:t>).</w:t>
      </w:r>
    </w:p>
    <w:p w14:paraId="794D8C7E" w14:textId="77777777" w:rsidR="005D7BA6" w:rsidRDefault="005D7BA6" w:rsidP="000713E6">
      <w:pPr>
        <w:autoSpaceDE w:val="0"/>
        <w:autoSpaceDN w:val="0"/>
        <w:adjustRightInd w:val="0"/>
        <w:spacing w:after="0" w:line="240" w:lineRule="auto"/>
        <w:rPr>
          <w:rFonts w:ascii="Times New Roman" w:hAnsi="Times New Roman" w:cs="Times New Roman"/>
          <w:sz w:val="24"/>
          <w:szCs w:val="24"/>
        </w:rPr>
      </w:pPr>
    </w:p>
    <w:p w14:paraId="794D8C7F" w14:textId="05D0B1FC" w:rsidR="005D7BA6" w:rsidRPr="005D7BA6" w:rsidRDefault="00270E87" w:rsidP="005D7BA6">
      <w:pPr>
        <w:autoSpaceDE w:val="0"/>
        <w:autoSpaceDN w:val="0"/>
        <w:adjustRightInd w:val="0"/>
        <w:spacing w:after="0" w:line="240" w:lineRule="auto"/>
        <w:rPr>
          <w:rFonts w:ascii="Times New Roman" w:hAnsi="Times New Roman" w:cs="Times New Roman"/>
          <w:sz w:val="24"/>
          <w:szCs w:val="24"/>
        </w:rPr>
      </w:pPr>
      <w:r w:rsidRPr="005D7BA6">
        <w:rPr>
          <w:rFonts w:ascii="Times New Roman" w:hAnsi="Times New Roman" w:cs="Times New Roman"/>
          <w:sz w:val="24"/>
          <w:szCs w:val="24"/>
        </w:rPr>
        <w:t xml:space="preserve">No difference in time to recovery was seen in the stratum of patients with mild-moderate disease at enrolment (n=159). The median time to recovery was 5 days in the </w:t>
      </w:r>
      <w:r w:rsidR="0044011F">
        <w:rPr>
          <w:rFonts w:ascii="Times New Roman" w:hAnsi="Times New Roman" w:cs="Times New Roman"/>
          <w:sz w:val="24"/>
          <w:szCs w:val="24"/>
        </w:rPr>
        <w:t>VEKLURY</w:t>
      </w:r>
      <w:r w:rsidRPr="005D7BA6">
        <w:rPr>
          <w:rFonts w:ascii="Times New Roman" w:hAnsi="Times New Roman" w:cs="Times New Roman"/>
          <w:sz w:val="24"/>
          <w:szCs w:val="24"/>
        </w:rPr>
        <w:t xml:space="preserve"> and 7 days in the placebo groups (recovery rate ratio 1.10; [95% CI</w:t>
      </w:r>
      <w:r w:rsidR="00A85B84">
        <w:rPr>
          <w:rFonts w:ascii="Times New Roman" w:hAnsi="Times New Roman" w:cs="Times New Roman"/>
          <w:sz w:val="24"/>
          <w:szCs w:val="24"/>
        </w:rPr>
        <w:t>,</w:t>
      </w:r>
      <w:r w:rsidRPr="005D7BA6">
        <w:rPr>
          <w:rFonts w:ascii="Times New Roman" w:hAnsi="Times New Roman" w:cs="Times New Roman"/>
          <w:sz w:val="24"/>
          <w:szCs w:val="24"/>
        </w:rPr>
        <w:t xml:space="preserve"> 0.8 to 1.53]); the odds of improvement in the ordinal scale in the </w:t>
      </w:r>
      <w:r w:rsidR="0044011F">
        <w:rPr>
          <w:rFonts w:ascii="Times New Roman" w:hAnsi="Times New Roman" w:cs="Times New Roman"/>
          <w:sz w:val="24"/>
          <w:szCs w:val="24"/>
        </w:rPr>
        <w:t>VEKLURY</w:t>
      </w:r>
      <w:r w:rsidRPr="005D7BA6">
        <w:rPr>
          <w:rFonts w:ascii="Times New Roman" w:hAnsi="Times New Roman" w:cs="Times New Roman"/>
          <w:sz w:val="24"/>
          <w:szCs w:val="24"/>
        </w:rPr>
        <w:t xml:space="preserve"> group at Day 15 when compared to the placebo group were as follows: odds ratio, 1.2; </w:t>
      </w:r>
      <w:r w:rsidR="000B5D32">
        <w:rPr>
          <w:rFonts w:ascii="Times New Roman" w:hAnsi="Times New Roman" w:cs="Times New Roman"/>
          <w:sz w:val="24"/>
          <w:szCs w:val="24"/>
        </w:rPr>
        <w:t>(</w:t>
      </w:r>
      <w:r w:rsidRPr="005D7BA6">
        <w:rPr>
          <w:rFonts w:ascii="Times New Roman" w:hAnsi="Times New Roman" w:cs="Times New Roman"/>
          <w:sz w:val="24"/>
          <w:szCs w:val="24"/>
        </w:rPr>
        <w:t>95% CI</w:t>
      </w:r>
      <w:r w:rsidR="00A85B84">
        <w:rPr>
          <w:rFonts w:ascii="Times New Roman" w:hAnsi="Times New Roman" w:cs="Times New Roman"/>
          <w:sz w:val="24"/>
          <w:szCs w:val="24"/>
        </w:rPr>
        <w:t>,</w:t>
      </w:r>
      <w:r w:rsidRPr="005D7BA6">
        <w:rPr>
          <w:rFonts w:ascii="Times New Roman" w:hAnsi="Times New Roman" w:cs="Times New Roman"/>
          <w:sz w:val="24"/>
          <w:szCs w:val="24"/>
        </w:rPr>
        <w:t xml:space="preserve"> 0.7 to 2.2, p = 0.562</w:t>
      </w:r>
      <w:r w:rsidR="000B5D32">
        <w:rPr>
          <w:rFonts w:ascii="Times New Roman" w:hAnsi="Times New Roman" w:cs="Times New Roman"/>
          <w:sz w:val="24"/>
          <w:szCs w:val="24"/>
        </w:rPr>
        <w:t>)</w:t>
      </w:r>
      <w:r w:rsidRPr="005D7BA6">
        <w:rPr>
          <w:rFonts w:ascii="Times New Roman" w:hAnsi="Times New Roman" w:cs="Times New Roman"/>
          <w:sz w:val="24"/>
          <w:szCs w:val="24"/>
        </w:rPr>
        <w:t>.</w:t>
      </w:r>
    </w:p>
    <w:p w14:paraId="794D8C80" w14:textId="77777777" w:rsidR="005D7BA6" w:rsidRPr="005D7BA6" w:rsidRDefault="005D7BA6" w:rsidP="005D7BA6">
      <w:pPr>
        <w:autoSpaceDE w:val="0"/>
        <w:autoSpaceDN w:val="0"/>
        <w:adjustRightInd w:val="0"/>
        <w:spacing w:after="0" w:line="240" w:lineRule="auto"/>
        <w:rPr>
          <w:rFonts w:ascii="Times New Roman" w:hAnsi="Times New Roman" w:cs="Times New Roman"/>
          <w:sz w:val="24"/>
          <w:szCs w:val="24"/>
        </w:rPr>
      </w:pPr>
    </w:p>
    <w:p w14:paraId="794D8C81" w14:textId="2BAF449F" w:rsidR="005D7BA6" w:rsidRPr="005D7BA6" w:rsidRDefault="00270E87" w:rsidP="005D7BA6">
      <w:pPr>
        <w:autoSpaceDE w:val="0"/>
        <w:autoSpaceDN w:val="0"/>
        <w:adjustRightInd w:val="0"/>
        <w:spacing w:after="0" w:line="240" w:lineRule="auto"/>
        <w:rPr>
          <w:rFonts w:ascii="Times New Roman" w:hAnsi="Times New Roman" w:cs="Times New Roman"/>
          <w:sz w:val="24"/>
          <w:szCs w:val="24"/>
        </w:rPr>
      </w:pPr>
      <w:r w:rsidRPr="005D7BA6">
        <w:rPr>
          <w:rFonts w:ascii="Times New Roman" w:hAnsi="Times New Roman" w:cs="Times New Roman"/>
          <w:sz w:val="24"/>
          <w:szCs w:val="24"/>
        </w:rPr>
        <w:t xml:space="preserve">Among patients with severe disease at enrolment (n=903), the median time to recovery was 12 days in the </w:t>
      </w:r>
      <w:r w:rsidR="0044011F">
        <w:rPr>
          <w:rFonts w:ascii="Times New Roman" w:hAnsi="Times New Roman" w:cs="Times New Roman"/>
          <w:sz w:val="24"/>
          <w:szCs w:val="24"/>
        </w:rPr>
        <w:t>VEKLURY</w:t>
      </w:r>
      <w:r w:rsidRPr="005D7BA6">
        <w:rPr>
          <w:rFonts w:ascii="Times New Roman" w:hAnsi="Times New Roman" w:cs="Times New Roman"/>
          <w:sz w:val="24"/>
          <w:szCs w:val="24"/>
        </w:rPr>
        <w:t xml:space="preserve"> group compared to 19 days in the placebo group (recovery rate ratio, 1.34; [95% CI</w:t>
      </w:r>
      <w:r w:rsidR="00A85B84">
        <w:rPr>
          <w:rFonts w:ascii="Times New Roman" w:hAnsi="Times New Roman" w:cs="Times New Roman"/>
          <w:sz w:val="24"/>
          <w:szCs w:val="24"/>
        </w:rPr>
        <w:t>,</w:t>
      </w:r>
      <w:r w:rsidRPr="005D7BA6">
        <w:rPr>
          <w:rFonts w:ascii="Times New Roman" w:hAnsi="Times New Roman" w:cs="Times New Roman"/>
          <w:sz w:val="24"/>
          <w:szCs w:val="24"/>
        </w:rPr>
        <w:t xml:space="preserve"> 1.14 to 1.58]; p &lt; 0.001); the odds of improvement in the ordinal scale in the </w:t>
      </w:r>
      <w:r w:rsidR="0044011F">
        <w:rPr>
          <w:rFonts w:ascii="Times New Roman" w:hAnsi="Times New Roman" w:cs="Times New Roman"/>
          <w:sz w:val="24"/>
          <w:szCs w:val="24"/>
        </w:rPr>
        <w:t>VEKLURY</w:t>
      </w:r>
      <w:r w:rsidRPr="005D7BA6">
        <w:rPr>
          <w:rFonts w:ascii="Times New Roman" w:hAnsi="Times New Roman" w:cs="Times New Roman"/>
          <w:sz w:val="24"/>
          <w:szCs w:val="24"/>
        </w:rPr>
        <w:t xml:space="preserve"> group at Day 15 when compared to the placebo group were as follows: odds ratio, 1.6; </w:t>
      </w:r>
      <w:r w:rsidR="000B5D32">
        <w:rPr>
          <w:rFonts w:ascii="Times New Roman" w:hAnsi="Times New Roman" w:cs="Times New Roman"/>
          <w:sz w:val="24"/>
          <w:szCs w:val="24"/>
        </w:rPr>
        <w:t>(</w:t>
      </w:r>
      <w:r w:rsidRPr="005D7BA6">
        <w:rPr>
          <w:rFonts w:ascii="Times New Roman" w:hAnsi="Times New Roman" w:cs="Times New Roman"/>
          <w:sz w:val="24"/>
          <w:szCs w:val="24"/>
        </w:rPr>
        <w:t>95% CI</w:t>
      </w:r>
      <w:r w:rsidR="00A85B84">
        <w:rPr>
          <w:rFonts w:ascii="Times New Roman" w:hAnsi="Times New Roman" w:cs="Times New Roman"/>
          <w:sz w:val="24"/>
          <w:szCs w:val="24"/>
        </w:rPr>
        <w:t>,</w:t>
      </w:r>
      <w:r w:rsidRPr="005D7BA6">
        <w:rPr>
          <w:rFonts w:ascii="Times New Roman" w:hAnsi="Times New Roman" w:cs="Times New Roman"/>
          <w:sz w:val="24"/>
          <w:szCs w:val="24"/>
        </w:rPr>
        <w:t xml:space="preserve"> 1.3 to 2.0</w:t>
      </w:r>
      <w:r w:rsidR="000B5D32">
        <w:rPr>
          <w:rFonts w:ascii="Times New Roman" w:hAnsi="Times New Roman" w:cs="Times New Roman"/>
          <w:sz w:val="24"/>
          <w:szCs w:val="24"/>
        </w:rPr>
        <w:t>)</w:t>
      </w:r>
      <w:r w:rsidRPr="005D7BA6">
        <w:rPr>
          <w:rFonts w:ascii="Times New Roman" w:hAnsi="Times New Roman" w:cs="Times New Roman"/>
          <w:sz w:val="24"/>
          <w:szCs w:val="24"/>
        </w:rPr>
        <w:t>.</w:t>
      </w:r>
    </w:p>
    <w:p w14:paraId="794D8C82" w14:textId="77777777" w:rsidR="005D7BA6" w:rsidRPr="005D7BA6" w:rsidRDefault="005D7BA6" w:rsidP="005D7BA6">
      <w:pPr>
        <w:autoSpaceDE w:val="0"/>
        <w:autoSpaceDN w:val="0"/>
        <w:adjustRightInd w:val="0"/>
        <w:spacing w:after="0" w:line="240" w:lineRule="auto"/>
        <w:rPr>
          <w:rFonts w:ascii="Times New Roman" w:hAnsi="Times New Roman" w:cs="Times New Roman"/>
          <w:sz w:val="24"/>
          <w:szCs w:val="24"/>
        </w:rPr>
      </w:pPr>
    </w:p>
    <w:p w14:paraId="794D8C83" w14:textId="4079CC22" w:rsidR="005D7BA6" w:rsidRPr="005D7BA6" w:rsidRDefault="00270E87" w:rsidP="005D7BA6">
      <w:pPr>
        <w:autoSpaceDE w:val="0"/>
        <w:autoSpaceDN w:val="0"/>
        <w:adjustRightInd w:val="0"/>
        <w:spacing w:after="0" w:line="240" w:lineRule="auto"/>
        <w:rPr>
          <w:rFonts w:ascii="Times New Roman" w:hAnsi="Times New Roman" w:cs="Times New Roman"/>
          <w:sz w:val="24"/>
          <w:szCs w:val="24"/>
        </w:rPr>
      </w:pPr>
      <w:r w:rsidRPr="005D7BA6">
        <w:rPr>
          <w:rFonts w:ascii="Times New Roman" w:hAnsi="Times New Roman" w:cs="Times New Roman"/>
          <w:sz w:val="24"/>
          <w:szCs w:val="24"/>
        </w:rPr>
        <w:t xml:space="preserve">Overall, the odds of improvement in the ordinal scale were higher in the </w:t>
      </w:r>
      <w:r w:rsidR="0044011F">
        <w:rPr>
          <w:rFonts w:ascii="Times New Roman" w:hAnsi="Times New Roman" w:cs="Times New Roman"/>
          <w:sz w:val="24"/>
          <w:szCs w:val="24"/>
        </w:rPr>
        <w:t>VEKLURY</w:t>
      </w:r>
      <w:r w:rsidRPr="005D7BA6">
        <w:rPr>
          <w:rFonts w:ascii="Times New Roman" w:hAnsi="Times New Roman" w:cs="Times New Roman"/>
          <w:sz w:val="24"/>
          <w:szCs w:val="24"/>
        </w:rPr>
        <w:t xml:space="preserve"> group at Day 15 when compared to the placebo group (odds ratio, 1.6; [95% CI</w:t>
      </w:r>
      <w:r w:rsidR="00A85B84">
        <w:rPr>
          <w:rFonts w:ascii="Times New Roman" w:hAnsi="Times New Roman" w:cs="Times New Roman"/>
          <w:sz w:val="24"/>
          <w:szCs w:val="24"/>
        </w:rPr>
        <w:t>,</w:t>
      </w:r>
      <w:r w:rsidRPr="005D7BA6">
        <w:rPr>
          <w:rFonts w:ascii="Times New Roman" w:hAnsi="Times New Roman" w:cs="Times New Roman"/>
          <w:sz w:val="24"/>
          <w:szCs w:val="24"/>
        </w:rPr>
        <w:t xml:space="preserve"> 1.3 to 1.9], p &lt; 0.001).</w:t>
      </w:r>
    </w:p>
    <w:p w14:paraId="794D8C84" w14:textId="77777777" w:rsidR="005D7BA6" w:rsidRPr="005D7BA6" w:rsidRDefault="005D7BA6" w:rsidP="005D7BA6">
      <w:pPr>
        <w:autoSpaceDE w:val="0"/>
        <w:autoSpaceDN w:val="0"/>
        <w:adjustRightInd w:val="0"/>
        <w:spacing w:after="0" w:line="240" w:lineRule="auto"/>
        <w:rPr>
          <w:rFonts w:ascii="Times New Roman" w:hAnsi="Times New Roman" w:cs="Times New Roman"/>
          <w:sz w:val="24"/>
          <w:szCs w:val="24"/>
        </w:rPr>
      </w:pPr>
    </w:p>
    <w:p w14:paraId="794D8C85" w14:textId="785C8D7D" w:rsidR="000713E6" w:rsidRDefault="00270E87" w:rsidP="005D7B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sidR="00D17F94" w:rsidRPr="005D7BA6">
        <w:rPr>
          <w:rFonts w:ascii="Times New Roman" w:hAnsi="Times New Roman" w:cs="Times New Roman"/>
          <w:sz w:val="24"/>
          <w:szCs w:val="24"/>
        </w:rPr>
        <w:t>verall</w:t>
      </w:r>
      <w:r>
        <w:rPr>
          <w:rFonts w:ascii="Times New Roman" w:hAnsi="Times New Roman" w:cs="Times New Roman"/>
          <w:sz w:val="24"/>
          <w:szCs w:val="24"/>
        </w:rPr>
        <w:t>, the 29-day mortality</w:t>
      </w:r>
      <w:r w:rsidR="00D17F94" w:rsidRPr="005D7BA6">
        <w:rPr>
          <w:rFonts w:ascii="Times New Roman" w:hAnsi="Times New Roman" w:cs="Times New Roman"/>
          <w:sz w:val="24"/>
          <w:szCs w:val="24"/>
        </w:rPr>
        <w:t xml:space="preserve"> was 11% for the </w:t>
      </w:r>
      <w:r w:rsidR="0044011F">
        <w:rPr>
          <w:rFonts w:ascii="Times New Roman" w:hAnsi="Times New Roman" w:cs="Times New Roman"/>
          <w:sz w:val="24"/>
          <w:szCs w:val="24"/>
        </w:rPr>
        <w:t>VEKLURY</w:t>
      </w:r>
      <w:r w:rsidR="00D17F94" w:rsidRPr="005D7BA6">
        <w:rPr>
          <w:rFonts w:ascii="Times New Roman" w:hAnsi="Times New Roman" w:cs="Times New Roman"/>
          <w:sz w:val="24"/>
          <w:szCs w:val="24"/>
        </w:rPr>
        <w:t xml:space="preserve"> group vs 15% for the placebo group (hazard ratio, 0.73; [95% CI</w:t>
      </w:r>
      <w:r w:rsidR="00A85B84">
        <w:rPr>
          <w:rFonts w:ascii="Times New Roman" w:hAnsi="Times New Roman" w:cs="Times New Roman"/>
          <w:sz w:val="24"/>
          <w:szCs w:val="24"/>
        </w:rPr>
        <w:t>,</w:t>
      </w:r>
      <w:r w:rsidR="00D17F94" w:rsidRPr="005D7BA6">
        <w:rPr>
          <w:rFonts w:ascii="Times New Roman" w:hAnsi="Times New Roman" w:cs="Times New Roman"/>
          <w:sz w:val="24"/>
          <w:szCs w:val="24"/>
        </w:rPr>
        <w:t xml:space="preserve"> 0.52 to 1.03]; p=0.07). A post-hoc analysis of 29-day mortality by ordinal scale is reported in Table</w:t>
      </w:r>
      <w:r w:rsidR="00D17F94">
        <w:rPr>
          <w:rFonts w:ascii="Times New Roman" w:hAnsi="Times New Roman" w:cs="Times New Roman"/>
          <w:sz w:val="24"/>
          <w:szCs w:val="24"/>
        </w:rPr>
        <w:t xml:space="preserve"> 7.</w:t>
      </w:r>
    </w:p>
    <w:p w14:paraId="05100446" w14:textId="77777777" w:rsidR="004D20AB" w:rsidRDefault="004D20AB" w:rsidP="005D7BA6">
      <w:pPr>
        <w:autoSpaceDE w:val="0"/>
        <w:autoSpaceDN w:val="0"/>
        <w:adjustRightInd w:val="0"/>
        <w:spacing w:after="0" w:line="240" w:lineRule="auto"/>
        <w:rPr>
          <w:rFonts w:ascii="Times New Roman" w:hAnsi="Times New Roman" w:cs="Times New Roman"/>
          <w:sz w:val="24"/>
          <w:szCs w:val="24"/>
          <w:u w:val="single"/>
        </w:rPr>
      </w:pPr>
    </w:p>
    <w:p w14:paraId="794D8C86" w14:textId="11ACD9DE" w:rsidR="000713E6" w:rsidRDefault="00270E87" w:rsidP="007E50B0">
      <w:pPr>
        <w:pStyle w:val="Caption"/>
        <w:tabs>
          <w:tab w:val="clear" w:pos="2160"/>
        </w:tabs>
        <w:ind w:left="1418" w:hanging="1418"/>
      </w:pPr>
      <w:bookmarkStart w:id="10" w:name="_Toc51384905"/>
      <w:r>
        <w:t xml:space="preserve">Table </w:t>
      </w:r>
      <w:r w:rsidR="005D7BA6">
        <w:t>7</w:t>
      </w:r>
      <w:r>
        <w:t>:</w:t>
      </w:r>
      <w:r>
        <w:tab/>
      </w:r>
      <w:r w:rsidRPr="007E6EBD">
        <w:t xml:space="preserve">29-Day </w:t>
      </w:r>
      <w:r w:rsidR="003B417D">
        <w:t>m</w:t>
      </w:r>
      <w:r w:rsidRPr="007E6EBD">
        <w:t xml:space="preserve">ortality </w:t>
      </w:r>
      <w:r w:rsidR="003B417D">
        <w:t>o</w:t>
      </w:r>
      <w:r w:rsidRPr="007E6EBD">
        <w:t xml:space="preserve">utcomes by </w:t>
      </w:r>
      <w:r w:rsidR="003B417D">
        <w:t>o</w:t>
      </w:r>
      <w:r w:rsidRPr="007E6EBD">
        <w:t xml:space="preserve">rdinal </w:t>
      </w:r>
      <w:proofErr w:type="spellStart"/>
      <w:r w:rsidR="003B417D">
        <w:t>s</w:t>
      </w:r>
      <w:r w:rsidRPr="007E6EBD">
        <w:t>cale</w:t>
      </w:r>
      <w:r w:rsidRPr="007E6EBD">
        <w:rPr>
          <w:vertAlign w:val="superscript"/>
        </w:rPr>
        <w:t>a</w:t>
      </w:r>
      <w:proofErr w:type="spellEnd"/>
      <w:r w:rsidRPr="007E6EBD">
        <w:t xml:space="preserve"> at </w:t>
      </w:r>
      <w:r w:rsidR="003B417D">
        <w:t>b</w:t>
      </w:r>
      <w:r w:rsidRPr="007E6EBD">
        <w:t xml:space="preserve">aseline—NIAID ACTT-1 </w:t>
      </w:r>
      <w:bookmarkEnd w:id="10"/>
      <w:r w:rsidR="00A876E2">
        <w:t>study</w:t>
      </w:r>
    </w:p>
    <w:tbl>
      <w:tblPr>
        <w:tblStyle w:val="TableGrid"/>
        <w:tblW w:w="5000" w:type="pct"/>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953"/>
        <w:gridCol w:w="1174"/>
        <w:gridCol w:w="857"/>
        <w:gridCol w:w="1175"/>
        <w:gridCol w:w="914"/>
        <w:gridCol w:w="1175"/>
        <w:gridCol w:w="857"/>
        <w:gridCol w:w="1175"/>
        <w:gridCol w:w="912"/>
      </w:tblGrid>
      <w:tr w:rsidR="0054749D" w14:paraId="59BC7C2B" w14:textId="77777777" w:rsidTr="003E3724">
        <w:tc>
          <w:tcPr>
            <w:tcW w:w="519" w:type="pct"/>
            <w:vMerge w:val="restar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332BF8AB" w14:textId="77777777" w:rsidR="003E3724" w:rsidRPr="003E3724" w:rsidRDefault="003E3724" w:rsidP="003E3724">
            <w:pPr>
              <w:pStyle w:val="TableHeaderleft"/>
              <w:rPr>
                <w:sz w:val="18"/>
                <w:szCs w:val="18"/>
              </w:rPr>
            </w:pPr>
            <w:bookmarkStart w:id="11" w:name="_Hlk44320708"/>
            <w:bookmarkStart w:id="12" w:name="_Hlk44319993"/>
          </w:p>
        </w:tc>
        <w:tc>
          <w:tcPr>
            <w:tcW w:w="4481" w:type="pct"/>
            <w:gridSpan w:val="8"/>
            <w:tcBorders>
              <w:top w:val="single" w:sz="12" w:space="0" w:color="auto"/>
              <w:left w:val="single" w:sz="6" w:space="0" w:color="auto"/>
              <w:bottom w:val="single" w:sz="12" w:space="0" w:color="auto"/>
            </w:tcBorders>
            <w:shd w:val="clear" w:color="auto" w:fill="auto"/>
            <w:tcMar>
              <w:left w:w="115" w:type="dxa"/>
              <w:right w:w="115" w:type="dxa"/>
            </w:tcMar>
            <w:vAlign w:val="bottom"/>
            <w:hideMark/>
          </w:tcPr>
          <w:p w14:paraId="38EF91E3" w14:textId="77777777" w:rsidR="003E3724" w:rsidRPr="003E3724" w:rsidRDefault="00270E87" w:rsidP="003E3724">
            <w:pPr>
              <w:pStyle w:val="TableHeaderCenter"/>
              <w:rPr>
                <w:sz w:val="18"/>
                <w:szCs w:val="18"/>
              </w:rPr>
            </w:pPr>
            <w:r w:rsidRPr="003E3724">
              <w:rPr>
                <w:sz w:val="18"/>
                <w:szCs w:val="18"/>
              </w:rPr>
              <w:t>Ordinal Score at Baseline</w:t>
            </w:r>
          </w:p>
        </w:tc>
      </w:tr>
      <w:tr w:rsidR="0054749D" w14:paraId="661F3771" w14:textId="77777777" w:rsidTr="003E3724">
        <w:tc>
          <w:tcPr>
            <w:tcW w:w="519" w:type="pct"/>
            <w:vMerge/>
            <w:tcBorders>
              <w:top w:val="single" w:sz="12" w:space="0" w:color="auto"/>
              <w:bottom w:val="single" w:sz="12" w:space="0" w:color="auto"/>
              <w:right w:val="single" w:sz="6" w:space="0" w:color="auto"/>
            </w:tcBorders>
            <w:shd w:val="clear" w:color="auto" w:fill="auto"/>
            <w:tcMar>
              <w:left w:w="115" w:type="dxa"/>
              <w:right w:w="115" w:type="dxa"/>
            </w:tcMar>
            <w:vAlign w:val="bottom"/>
            <w:hideMark/>
          </w:tcPr>
          <w:p w14:paraId="2EF45B22" w14:textId="77777777" w:rsidR="003E3724" w:rsidRPr="003E3724" w:rsidRDefault="003E3724" w:rsidP="003E3724">
            <w:pPr>
              <w:keepNext/>
              <w:keepLines/>
              <w:spacing w:before="60" w:after="60"/>
              <w:jc w:val="center"/>
              <w:rPr>
                <w:b/>
                <w:color w:val="000000"/>
                <w:sz w:val="18"/>
                <w:szCs w:val="18"/>
              </w:rPr>
            </w:pPr>
          </w:p>
        </w:tc>
        <w:tc>
          <w:tcPr>
            <w:tcW w:w="1105" w:type="pct"/>
            <w:gridSpan w:val="2"/>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6F58F533" w14:textId="77777777" w:rsidR="003E3724" w:rsidRPr="003E3724" w:rsidRDefault="00270E87" w:rsidP="003E3724">
            <w:pPr>
              <w:pStyle w:val="TableCellCenter"/>
              <w:rPr>
                <w:b/>
                <w:bCs/>
                <w:sz w:val="18"/>
                <w:szCs w:val="18"/>
              </w:rPr>
            </w:pPr>
            <w:r w:rsidRPr="003E3724">
              <w:rPr>
                <w:b/>
                <w:bCs/>
                <w:sz w:val="18"/>
                <w:szCs w:val="18"/>
              </w:rPr>
              <w:t>4</w:t>
            </w:r>
          </w:p>
        </w:tc>
        <w:tc>
          <w:tcPr>
            <w:tcW w:w="1136" w:type="pct"/>
            <w:gridSpan w:val="2"/>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42C39B2A" w14:textId="77777777" w:rsidR="003E3724" w:rsidRPr="003E3724" w:rsidRDefault="00270E87" w:rsidP="003E3724">
            <w:pPr>
              <w:pStyle w:val="TableCellCenter"/>
              <w:rPr>
                <w:b/>
                <w:bCs/>
                <w:sz w:val="18"/>
                <w:szCs w:val="18"/>
              </w:rPr>
            </w:pPr>
            <w:r w:rsidRPr="003E3724">
              <w:rPr>
                <w:b/>
                <w:bCs/>
                <w:sz w:val="18"/>
                <w:szCs w:val="18"/>
              </w:rPr>
              <w:t>5</w:t>
            </w:r>
          </w:p>
        </w:tc>
        <w:tc>
          <w:tcPr>
            <w:tcW w:w="1105" w:type="pct"/>
            <w:gridSpan w:val="2"/>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65247AFD" w14:textId="77777777" w:rsidR="003E3724" w:rsidRPr="003E3724" w:rsidRDefault="00270E87" w:rsidP="003E3724">
            <w:pPr>
              <w:pStyle w:val="TableCellCenter"/>
              <w:rPr>
                <w:b/>
                <w:bCs/>
                <w:sz w:val="18"/>
                <w:szCs w:val="18"/>
              </w:rPr>
            </w:pPr>
            <w:r w:rsidRPr="003E3724">
              <w:rPr>
                <w:b/>
                <w:bCs/>
                <w:sz w:val="18"/>
                <w:szCs w:val="18"/>
              </w:rPr>
              <w:t>6</w:t>
            </w:r>
          </w:p>
        </w:tc>
        <w:tc>
          <w:tcPr>
            <w:tcW w:w="1136" w:type="pct"/>
            <w:gridSpan w:val="2"/>
            <w:tcBorders>
              <w:top w:val="single" w:sz="12" w:space="0" w:color="auto"/>
              <w:left w:val="single" w:sz="6" w:space="0" w:color="auto"/>
              <w:bottom w:val="single" w:sz="6" w:space="0" w:color="auto"/>
              <w:right w:val="nil"/>
            </w:tcBorders>
            <w:shd w:val="clear" w:color="auto" w:fill="auto"/>
            <w:tcMar>
              <w:left w:w="115" w:type="dxa"/>
              <w:right w:w="115" w:type="dxa"/>
            </w:tcMar>
            <w:vAlign w:val="center"/>
            <w:hideMark/>
          </w:tcPr>
          <w:p w14:paraId="438F28DB" w14:textId="77777777" w:rsidR="003E3724" w:rsidRPr="003E3724" w:rsidRDefault="00270E87" w:rsidP="003E3724">
            <w:pPr>
              <w:pStyle w:val="TableCellCenter"/>
              <w:rPr>
                <w:b/>
                <w:bCs/>
                <w:sz w:val="18"/>
                <w:szCs w:val="18"/>
              </w:rPr>
            </w:pPr>
            <w:r w:rsidRPr="003E3724">
              <w:rPr>
                <w:b/>
                <w:bCs/>
                <w:sz w:val="18"/>
                <w:szCs w:val="18"/>
              </w:rPr>
              <w:t>7</w:t>
            </w:r>
          </w:p>
        </w:tc>
      </w:tr>
      <w:tr w:rsidR="0054749D" w14:paraId="7100758B" w14:textId="77777777" w:rsidTr="003E3724">
        <w:tc>
          <w:tcPr>
            <w:tcW w:w="519" w:type="pct"/>
            <w:vMerge/>
            <w:tcBorders>
              <w:top w:val="single" w:sz="6" w:space="0" w:color="auto"/>
              <w:bottom w:val="single" w:sz="12" w:space="0" w:color="auto"/>
              <w:right w:val="single" w:sz="6" w:space="0" w:color="auto"/>
            </w:tcBorders>
            <w:shd w:val="clear" w:color="auto" w:fill="auto"/>
            <w:tcMar>
              <w:left w:w="115" w:type="dxa"/>
              <w:right w:w="115" w:type="dxa"/>
            </w:tcMar>
            <w:vAlign w:val="bottom"/>
            <w:hideMark/>
          </w:tcPr>
          <w:p w14:paraId="569EDABE" w14:textId="77777777" w:rsidR="003E3724" w:rsidRPr="003E3724" w:rsidRDefault="003E3724" w:rsidP="003E3724">
            <w:pPr>
              <w:keepNext/>
              <w:keepLines/>
              <w:spacing w:before="60" w:after="60"/>
              <w:jc w:val="center"/>
              <w:rPr>
                <w:b/>
                <w:color w:val="000000"/>
                <w:sz w:val="18"/>
                <w:szCs w:val="18"/>
              </w:rPr>
            </w:pPr>
          </w:p>
        </w:tc>
        <w:tc>
          <w:tcPr>
            <w:tcW w:w="1105" w:type="pct"/>
            <w:gridSpan w:val="2"/>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273A8C0F" w14:textId="77777777" w:rsidR="003E3724" w:rsidRPr="003E3724" w:rsidRDefault="00270E87" w:rsidP="003E3724">
            <w:pPr>
              <w:pStyle w:val="TableCellCenter"/>
              <w:rPr>
                <w:b/>
                <w:bCs/>
                <w:sz w:val="18"/>
                <w:szCs w:val="18"/>
              </w:rPr>
            </w:pPr>
            <w:r w:rsidRPr="003E3724">
              <w:rPr>
                <w:b/>
                <w:bCs/>
                <w:sz w:val="18"/>
                <w:szCs w:val="18"/>
              </w:rPr>
              <w:t>Not on oxygen</w:t>
            </w:r>
          </w:p>
        </w:tc>
        <w:tc>
          <w:tcPr>
            <w:tcW w:w="1136" w:type="pct"/>
            <w:gridSpan w:val="2"/>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0C1BD78C" w14:textId="77777777" w:rsidR="003E3724" w:rsidRPr="003E3724" w:rsidRDefault="00270E87" w:rsidP="003E3724">
            <w:pPr>
              <w:pStyle w:val="TableCellCenter"/>
              <w:rPr>
                <w:b/>
                <w:bCs/>
                <w:sz w:val="18"/>
                <w:szCs w:val="18"/>
              </w:rPr>
            </w:pPr>
            <w:r w:rsidRPr="003E3724">
              <w:rPr>
                <w:b/>
                <w:bCs/>
                <w:sz w:val="18"/>
                <w:szCs w:val="18"/>
              </w:rPr>
              <w:t>Requiring low-flow oxygen</w:t>
            </w:r>
          </w:p>
        </w:tc>
        <w:tc>
          <w:tcPr>
            <w:tcW w:w="1105" w:type="pct"/>
            <w:gridSpan w:val="2"/>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2328BCE6" w14:textId="77777777" w:rsidR="003E3724" w:rsidRPr="003E3724" w:rsidRDefault="00270E87" w:rsidP="003E3724">
            <w:pPr>
              <w:pStyle w:val="TableCellCenter"/>
              <w:rPr>
                <w:b/>
                <w:bCs/>
                <w:sz w:val="18"/>
                <w:szCs w:val="18"/>
              </w:rPr>
            </w:pPr>
            <w:r w:rsidRPr="003E3724">
              <w:rPr>
                <w:b/>
                <w:bCs/>
                <w:sz w:val="18"/>
                <w:szCs w:val="18"/>
              </w:rPr>
              <w:t>Requiring high-flow oxygen or non-invasive mechanical ventilation</w:t>
            </w:r>
          </w:p>
        </w:tc>
        <w:tc>
          <w:tcPr>
            <w:tcW w:w="1136" w:type="pct"/>
            <w:gridSpan w:val="2"/>
            <w:tcBorders>
              <w:top w:val="single" w:sz="6" w:space="0" w:color="auto"/>
              <w:left w:val="single" w:sz="6" w:space="0" w:color="auto"/>
              <w:bottom w:val="single" w:sz="6" w:space="0" w:color="auto"/>
              <w:right w:val="nil"/>
            </w:tcBorders>
            <w:shd w:val="clear" w:color="auto" w:fill="auto"/>
            <w:tcMar>
              <w:left w:w="115" w:type="dxa"/>
              <w:right w:w="115" w:type="dxa"/>
            </w:tcMar>
            <w:vAlign w:val="center"/>
            <w:hideMark/>
          </w:tcPr>
          <w:p w14:paraId="6CE38F61" w14:textId="77777777" w:rsidR="003E3724" w:rsidRPr="003E3724" w:rsidRDefault="00270E87" w:rsidP="003E3724">
            <w:pPr>
              <w:pStyle w:val="TableCellCenter"/>
              <w:rPr>
                <w:b/>
                <w:bCs/>
                <w:sz w:val="18"/>
                <w:szCs w:val="18"/>
              </w:rPr>
            </w:pPr>
            <w:r w:rsidRPr="003E3724">
              <w:rPr>
                <w:b/>
                <w:bCs/>
                <w:sz w:val="18"/>
                <w:szCs w:val="18"/>
              </w:rPr>
              <w:t>Requiring invasive mechanical ventilation or ECMO</w:t>
            </w:r>
          </w:p>
        </w:tc>
      </w:tr>
      <w:bookmarkEnd w:id="11"/>
      <w:tr w:rsidR="0054749D" w14:paraId="60FB1892" w14:textId="77777777" w:rsidTr="003E3724">
        <w:tc>
          <w:tcPr>
            <w:tcW w:w="519" w:type="pct"/>
            <w:vMerge/>
            <w:tcBorders>
              <w:top w:val="single" w:sz="12" w:space="0" w:color="auto"/>
              <w:bottom w:val="single" w:sz="12" w:space="0" w:color="auto"/>
              <w:right w:val="single" w:sz="6" w:space="0" w:color="auto"/>
            </w:tcBorders>
            <w:shd w:val="clear" w:color="auto" w:fill="auto"/>
            <w:tcMar>
              <w:left w:w="115" w:type="dxa"/>
              <w:right w:w="115" w:type="dxa"/>
            </w:tcMar>
            <w:vAlign w:val="bottom"/>
            <w:hideMark/>
          </w:tcPr>
          <w:p w14:paraId="39AA58B2" w14:textId="77777777" w:rsidR="003E3724" w:rsidRPr="003E3724" w:rsidRDefault="003E3724" w:rsidP="003E3724">
            <w:pPr>
              <w:spacing w:before="60" w:after="60"/>
              <w:rPr>
                <w:color w:val="000000"/>
                <w:sz w:val="18"/>
                <w:szCs w:val="18"/>
              </w:rPr>
            </w:pPr>
          </w:p>
        </w:tc>
        <w:tc>
          <w:tcPr>
            <w:tcW w:w="639"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5719809A" w14:textId="77777777" w:rsidR="003E3724" w:rsidRPr="003E3724" w:rsidRDefault="00270E87" w:rsidP="003E3724">
            <w:pPr>
              <w:pStyle w:val="TableCellCenter"/>
              <w:rPr>
                <w:b/>
                <w:bCs/>
                <w:sz w:val="18"/>
                <w:szCs w:val="18"/>
              </w:rPr>
            </w:pPr>
            <w:r w:rsidRPr="003E3724">
              <w:rPr>
                <w:b/>
                <w:bCs/>
                <w:sz w:val="18"/>
                <w:szCs w:val="18"/>
              </w:rPr>
              <w:t>VEKLURY</w:t>
            </w:r>
          </w:p>
          <w:p w14:paraId="086768EB" w14:textId="77777777" w:rsidR="003E3724" w:rsidRPr="003E3724" w:rsidRDefault="00270E87" w:rsidP="003E3724">
            <w:pPr>
              <w:pStyle w:val="TableCellCenter"/>
              <w:rPr>
                <w:b/>
                <w:bCs/>
                <w:sz w:val="18"/>
                <w:szCs w:val="18"/>
              </w:rPr>
            </w:pPr>
            <w:r w:rsidRPr="003E3724">
              <w:rPr>
                <w:b/>
                <w:bCs/>
                <w:sz w:val="18"/>
                <w:szCs w:val="18"/>
              </w:rPr>
              <w:t>(N=75)</w:t>
            </w:r>
          </w:p>
        </w:tc>
        <w:tc>
          <w:tcPr>
            <w:tcW w:w="466"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0230B21A" w14:textId="77777777" w:rsidR="003E3724" w:rsidRPr="003E3724" w:rsidRDefault="00270E87" w:rsidP="003E3724">
            <w:pPr>
              <w:pStyle w:val="TableCellCenter"/>
              <w:rPr>
                <w:b/>
                <w:bCs/>
                <w:sz w:val="18"/>
                <w:szCs w:val="18"/>
              </w:rPr>
            </w:pPr>
            <w:r w:rsidRPr="003E3724">
              <w:rPr>
                <w:b/>
                <w:bCs/>
                <w:sz w:val="18"/>
                <w:szCs w:val="18"/>
              </w:rPr>
              <w:t>Placebo</w:t>
            </w:r>
          </w:p>
          <w:p w14:paraId="212D41CD" w14:textId="77777777" w:rsidR="003E3724" w:rsidRPr="003E3724" w:rsidRDefault="00270E87" w:rsidP="003E3724">
            <w:pPr>
              <w:pStyle w:val="TableCellCenter"/>
              <w:rPr>
                <w:b/>
                <w:bCs/>
                <w:sz w:val="18"/>
                <w:szCs w:val="18"/>
              </w:rPr>
            </w:pPr>
            <w:r w:rsidRPr="003E3724">
              <w:rPr>
                <w:b/>
                <w:bCs/>
                <w:sz w:val="18"/>
                <w:szCs w:val="18"/>
              </w:rPr>
              <w:t>(N=63)</w:t>
            </w:r>
          </w:p>
        </w:tc>
        <w:tc>
          <w:tcPr>
            <w:tcW w:w="639"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60420B59" w14:textId="77777777" w:rsidR="003E3724" w:rsidRPr="003E3724" w:rsidRDefault="00270E87" w:rsidP="003E3724">
            <w:pPr>
              <w:pStyle w:val="TableCellCenter"/>
              <w:rPr>
                <w:b/>
                <w:bCs/>
                <w:sz w:val="18"/>
                <w:szCs w:val="18"/>
              </w:rPr>
            </w:pPr>
            <w:r w:rsidRPr="003E3724">
              <w:rPr>
                <w:b/>
                <w:bCs/>
                <w:sz w:val="18"/>
                <w:szCs w:val="18"/>
              </w:rPr>
              <w:t>VEKLURY</w:t>
            </w:r>
          </w:p>
          <w:p w14:paraId="60BA36D0" w14:textId="77777777" w:rsidR="003E3724" w:rsidRPr="003E3724" w:rsidRDefault="00270E87" w:rsidP="003E3724">
            <w:pPr>
              <w:pStyle w:val="TableCellCenter"/>
              <w:rPr>
                <w:b/>
                <w:bCs/>
                <w:sz w:val="18"/>
                <w:szCs w:val="18"/>
              </w:rPr>
            </w:pPr>
            <w:r w:rsidRPr="003E3724">
              <w:rPr>
                <w:b/>
                <w:bCs/>
                <w:sz w:val="18"/>
                <w:szCs w:val="18"/>
              </w:rPr>
              <w:t>(N=232)</w:t>
            </w:r>
          </w:p>
        </w:tc>
        <w:tc>
          <w:tcPr>
            <w:tcW w:w="497"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62D5AF77" w14:textId="77777777" w:rsidR="003E3724" w:rsidRPr="003E3724" w:rsidRDefault="00270E87" w:rsidP="003E3724">
            <w:pPr>
              <w:pStyle w:val="TableCellCenter"/>
              <w:rPr>
                <w:b/>
                <w:bCs/>
                <w:sz w:val="18"/>
                <w:szCs w:val="18"/>
              </w:rPr>
            </w:pPr>
            <w:r w:rsidRPr="003E3724">
              <w:rPr>
                <w:b/>
                <w:bCs/>
                <w:sz w:val="18"/>
                <w:szCs w:val="18"/>
              </w:rPr>
              <w:t>Placebo</w:t>
            </w:r>
          </w:p>
          <w:p w14:paraId="3AB94345" w14:textId="77777777" w:rsidR="003E3724" w:rsidRPr="003E3724" w:rsidRDefault="00270E87" w:rsidP="003E3724">
            <w:pPr>
              <w:pStyle w:val="TableCellCenter"/>
              <w:rPr>
                <w:b/>
                <w:bCs/>
                <w:sz w:val="18"/>
                <w:szCs w:val="18"/>
              </w:rPr>
            </w:pPr>
            <w:r w:rsidRPr="003E3724">
              <w:rPr>
                <w:b/>
                <w:bCs/>
                <w:sz w:val="18"/>
                <w:szCs w:val="18"/>
              </w:rPr>
              <w:t>(N=203)</w:t>
            </w:r>
          </w:p>
        </w:tc>
        <w:tc>
          <w:tcPr>
            <w:tcW w:w="639"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70567C24" w14:textId="77777777" w:rsidR="003E3724" w:rsidRPr="003E3724" w:rsidRDefault="00270E87" w:rsidP="003E3724">
            <w:pPr>
              <w:pStyle w:val="TableCellCenter"/>
              <w:rPr>
                <w:b/>
                <w:bCs/>
                <w:sz w:val="18"/>
                <w:szCs w:val="18"/>
              </w:rPr>
            </w:pPr>
            <w:r w:rsidRPr="003E3724">
              <w:rPr>
                <w:b/>
                <w:bCs/>
                <w:sz w:val="18"/>
                <w:szCs w:val="18"/>
              </w:rPr>
              <w:t>VEKLURY</w:t>
            </w:r>
          </w:p>
          <w:p w14:paraId="40E55542" w14:textId="77777777" w:rsidR="003E3724" w:rsidRPr="003E3724" w:rsidRDefault="00270E87" w:rsidP="003E3724">
            <w:pPr>
              <w:pStyle w:val="TableCellCenter"/>
              <w:rPr>
                <w:b/>
                <w:bCs/>
                <w:sz w:val="18"/>
                <w:szCs w:val="18"/>
              </w:rPr>
            </w:pPr>
            <w:r w:rsidRPr="003E3724">
              <w:rPr>
                <w:b/>
                <w:bCs/>
                <w:sz w:val="18"/>
                <w:szCs w:val="18"/>
              </w:rPr>
              <w:t>(N=95)</w:t>
            </w:r>
          </w:p>
        </w:tc>
        <w:tc>
          <w:tcPr>
            <w:tcW w:w="466"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39049946" w14:textId="77777777" w:rsidR="003E3724" w:rsidRPr="003E3724" w:rsidRDefault="00270E87" w:rsidP="003E3724">
            <w:pPr>
              <w:pStyle w:val="TableCellCenter"/>
              <w:rPr>
                <w:b/>
                <w:bCs/>
                <w:sz w:val="18"/>
                <w:szCs w:val="18"/>
              </w:rPr>
            </w:pPr>
            <w:r w:rsidRPr="003E3724">
              <w:rPr>
                <w:b/>
                <w:bCs/>
                <w:sz w:val="18"/>
                <w:szCs w:val="18"/>
              </w:rPr>
              <w:t>Placebo</w:t>
            </w:r>
          </w:p>
          <w:p w14:paraId="0078D32C" w14:textId="77777777" w:rsidR="003E3724" w:rsidRPr="003E3724" w:rsidRDefault="00270E87" w:rsidP="003E3724">
            <w:pPr>
              <w:pStyle w:val="TableCellCenter"/>
              <w:rPr>
                <w:b/>
                <w:bCs/>
                <w:sz w:val="18"/>
                <w:szCs w:val="18"/>
              </w:rPr>
            </w:pPr>
            <w:r w:rsidRPr="003E3724">
              <w:rPr>
                <w:b/>
                <w:bCs/>
                <w:sz w:val="18"/>
                <w:szCs w:val="18"/>
              </w:rPr>
              <w:t>(N=98)</w:t>
            </w:r>
          </w:p>
        </w:tc>
        <w:tc>
          <w:tcPr>
            <w:tcW w:w="639"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hideMark/>
          </w:tcPr>
          <w:p w14:paraId="3649F010" w14:textId="77777777" w:rsidR="003E3724" w:rsidRPr="003E3724" w:rsidRDefault="00270E87" w:rsidP="003E3724">
            <w:pPr>
              <w:pStyle w:val="TableCellCenter"/>
              <w:rPr>
                <w:b/>
                <w:bCs/>
                <w:sz w:val="18"/>
                <w:szCs w:val="18"/>
              </w:rPr>
            </w:pPr>
            <w:r w:rsidRPr="003E3724">
              <w:rPr>
                <w:b/>
                <w:bCs/>
                <w:sz w:val="18"/>
                <w:szCs w:val="18"/>
              </w:rPr>
              <w:t>VEKLURY</w:t>
            </w:r>
          </w:p>
          <w:p w14:paraId="4D8B6EAE" w14:textId="77777777" w:rsidR="003E3724" w:rsidRPr="003E3724" w:rsidRDefault="00270E87" w:rsidP="003E3724">
            <w:pPr>
              <w:pStyle w:val="TableCellCenter"/>
              <w:rPr>
                <w:b/>
                <w:bCs/>
                <w:sz w:val="18"/>
                <w:szCs w:val="18"/>
              </w:rPr>
            </w:pPr>
            <w:r w:rsidRPr="003E3724">
              <w:rPr>
                <w:b/>
                <w:bCs/>
                <w:sz w:val="18"/>
                <w:szCs w:val="18"/>
              </w:rPr>
              <w:t>(N=131)</w:t>
            </w:r>
          </w:p>
        </w:tc>
        <w:tc>
          <w:tcPr>
            <w:tcW w:w="497"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hideMark/>
          </w:tcPr>
          <w:p w14:paraId="7921D87B" w14:textId="77777777" w:rsidR="003E3724" w:rsidRPr="003E3724" w:rsidRDefault="00270E87" w:rsidP="003E3724">
            <w:pPr>
              <w:pStyle w:val="TableCellCenter"/>
              <w:rPr>
                <w:b/>
                <w:bCs/>
                <w:sz w:val="18"/>
                <w:szCs w:val="18"/>
              </w:rPr>
            </w:pPr>
            <w:r w:rsidRPr="003E3724">
              <w:rPr>
                <w:b/>
                <w:bCs/>
                <w:sz w:val="18"/>
                <w:szCs w:val="18"/>
              </w:rPr>
              <w:t>Placebo</w:t>
            </w:r>
          </w:p>
          <w:p w14:paraId="227AEDA2" w14:textId="77777777" w:rsidR="003E3724" w:rsidRPr="003E3724" w:rsidRDefault="00270E87" w:rsidP="003E3724">
            <w:pPr>
              <w:pStyle w:val="TableCellCenter"/>
              <w:rPr>
                <w:b/>
                <w:bCs/>
                <w:sz w:val="18"/>
                <w:szCs w:val="18"/>
              </w:rPr>
            </w:pPr>
            <w:r w:rsidRPr="003E3724">
              <w:rPr>
                <w:b/>
                <w:bCs/>
                <w:sz w:val="18"/>
                <w:szCs w:val="18"/>
              </w:rPr>
              <w:t>(N=154)</w:t>
            </w:r>
          </w:p>
        </w:tc>
      </w:tr>
      <w:tr w:rsidR="0054749D" w14:paraId="3578F501" w14:textId="77777777" w:rsidTr="003E3724">
        <w:trPr>
          <w:trHeight w:val="710"/>
        </w:trPr>
        <w:tc>
          <w:tcPr>
            <w:tcW w:w="519" w:type="pct"/>
            <w:tcBorders>
              <w:top w:val="single" w:sz="12" w:space="0" w:color="auto"/>
              <w:left w:val="nil"/>
              <w:bottom w:val="single" w:sz="6" w:space="0" w:color="auto"/>
              <w:right w:val="single" w:sz="6" w:space="0" w:color="auto"/>
            </w:tcBorders>
            <w:shd w:val="clear" w:color="auto" w:fill="auto"/>
            <w:tcMar>
              <w:left w:w="115" w:type="dxa"/>
              <w:right w:w="115" w:type="dxa"/>
            </w:tcMar>
            <w:vAlign w:val="center"/>
            <w:hideMark/>
          </w:tcPr>
          <w:p w14:paraId="1BEA8623" w14:textId="77777777" w:rsidR="003E3724" w:rsidRPr="003E3724" w:rsidRDefault="00270E87" w:rsidP="003E3724">
            <w:pPr>
              <w:pStyle w:val="TableCellLeft"/>
              <w:ind w:left="-120"/>
              <w:rPr>
                <w:b/>
                <w:bCs/>
                <w:sz w:val="18"/>
                <w:szCs w:val="18"/>
              </w:rPr>
            </w:pPr>
            <w:r w:rsidRPr="003E3724">
              <w:rPr>
                <w:b/>
                <w:bCs/>
                <w:sz w:val="18"/>
                <w:szCs w:val="18"/>
              </w:rPr>
              <w:t>29-day mortality</w:t>
            </w:r>
          </w:p>
        </w:tc>
        <w:tc>
          <w:tcPr>
            <w:tcW w:w="639"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tcPr>
          <w:p w14:paraId="0F28B22D" w14:textId="77777777" w:rsidR="003E3724" w:rsidRPr="003E3724" w:rsidRDefault="00270E87" w:rsidP="003E3724">
            <w:pPr>
              <w:pStyle w:val="TableCellCenter"/>
              <w:rPr>
                <w:sz w:val="18"/>
                <w:szCs w:val="18"/>
              </w:rPr>
            </w:pPr>
            <w:r w:rsidRPr="003E3724">
              <w:rPr>
                <w:sz w:val="18"/>
                <w:szCs w:val="18"/>
              </w:rPr>
              <w:t>4.1</w:t>
            </w:r>
          </w:p>
        </w:tc>
        <w:tc>
          <w:tcPr>
            <w:tcW w:w="466"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hideMark/>
          </w:tcPr>
          <w:p w14:paraId="27482A70" w14:textId="77777777" w:rsidR="003E3724" w:rsidRPr="003E3724" w:rsidRDefault="00270E87" w:rsidP="003E3724">
            <w:pPr>
              <w:pStyle w:val="TableCellCenter"/>
              <w:rPr>
                <w:sz w:val="18"/>
                <w:szCs w:val="18"/>
              </w:rPr>
            </w:pPr>
            <w:r w:rsidRPr="003E3724">
              <w:rPr>
                <w:sz w:val="18"/>
                <w:szCs w:val="18"/>
              </w:rPr>
              <w:t>4.8</w:t>
            </w:r>
          </w:p>
        </w:tc>
        <w:tc>
          <w:tcPr>
            <w:tcW w:w="639"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hideMark/>
          </w:tcPr>
          <w:p w14:paraId="1690C61C" w14:textId="77777777" w:rsidR="003E3724" w:rsidRPr="003E3724" w:rsidRDefault="00270E87" w:rsidP="003E3724">
            <w:pPr>
              <w:pStyle w:val="TableCellCenter"/>
              <w:rPr>
                <w:sz w:val="18"/>
                <w:szCs w:val="18"/>
              </w:rPr>
            </w:pPr>
            <w:r w:rsidRPr="003E3724">
              <w:rPr>
                <w:sz w:val="18"/>
                <w:szCs w:val="18"/>
              </w:rPr>
              <w:t xml:space="preserve">4.0 </w:t>
            </w:r>
          </w:p>
          <w:p w14:paraId="4B0CD539" w14:textId="77777777" w:rsidR="003E3724" w:rsidRPr="003E3724" w:rsidRDefault="003E3724" w:rsidP="003E3724">
            <w:pPr>
              <w:pStyle w:val="TableCellCenter"/>
              <w:rPr>
                <w:sz w:val="18"/>
                <w:szCs w:val="18"/>
              </w:rPr>
            </w:pPr>
          </w:p>
        </w:tc>
        <w:tc>
          <w:tcPr>
            <w:tcW w:w="497"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hideMark/>
          </w:tcPr>
          <w:p w14:paraId="465CB643" w14:textId="77777777" w:rsidR="003E3724" w:rsidRPr="003E3724" w:rsidRDefault="00270E87" w:rsidP="003E3724">
            <w:pPr>
              <w:pStyle w:val="TableCellCenter"/>
              <w:rPr>
                <w:sz w:val="18"/>
                <w:szCs w:val="18"/>
              </w:rPr>
            </w:pPr>
            <w:r w:rsidRPr="003E3724">
              <w:rPr>
                <w:sz w:val="18"/>
                <w:szCs w:val="18"/>
              </w:rPr>
              <w:t xml:space="preserve">12.7 </w:t>
            </w:r>
          </w:p>
          <w:p w14:paraId="6DC8F7E9" w14:textId="77777777" w:rsidR="003E3724" w:rsidRPr="003E3724" w:rsidRDefault="003E3724" w:rsidP="003E3724">
            <w:pPr>
              <w:pStyle w:val="TableCellCenter"/>
              <w:rPr>
                <w:sz w:val="18"/>
                <w:szCs w:val="18"/>
              </w:rPr>
            </w:pPr>
          </w:p>
        </w:tc>
        <w:tc>
          <w:tcPr>
            <w:tcW w:w="639"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hideMark/>
          </w:tcPr>
          <w:p w14:paraId="51DBA21A" w14:textId="77777777" w:rsidR="003E3724" w:rsidRPr="003E3724" w:rsidRDefault="00270E87" w:rsidP="003E3724">
            <w:pPr>
              <w:pStyle w:val="TableCellCenter"/>
              <w:rPr>
                <w:sz w:val="18"/>
                <w:szCs w:val="18"/>
              </w:rPr>
            </w:pPr>
            <w:r w:rsidRPr="003E3724">
              <w:rPr>
                <w:sz w:val="18"/>
                <w:szCs w:val="18"/>
              </w:rPr>
              <w:t xml:space="preserve">21.2 </w:t>
            </w:r>
          </w:p>
          <w:p w14:paraId="71E68E0B" w14:textId="77777777" w:rsidR="003E3724" w:rsidRPr="003E3724" w:rsidRDefault="003E3724" w:rsidP="003E3724">
            <w:pPr>
              <w:pStyle w:val="TableCellCenter"/>
              <w:rPr>
                <w:sz w:val="18"/>
                <w:szCs w:val="18"/>
              </w:rPr>
            </w:pPr>
          </w:p>
        </w:tc>
        <w:tc>
          <w:tcPr>
            <w:tcW w:w="466"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hideMark/>
          </w:tcPr>
          <w:p w14:paraId="34E42A97" w14:textId="77777777" w:rsidR="003E3724" w:rsidRPr="003E3724" w:rsidRDefault="00270E87" w:rsidP="003E3724">
            <w:pPr>
              <w:pStyle w:val="TableCellCenter"/>
              <w:rPr>
                <w:sz w:val="18"/>
                <w:szCs w:val="18"/>
              </w:rPr>
            </w:pPr>
            <w:r w:rsidRPr="003E3724">
              <w:rPr>
                <w:sz w:val="18"/>
                <w:szCs w:val="18"/>
              </w:rPr>
              <w:t>20.4</w:t>
            </w:r>
          </w:p>
          <w:p w14:paraId="3042C098" w14:textId="77777777" w:rsidR="003E3724" w:rsidRPr="003E3724" w:rsidRDefault="003E3724" w:rsidP="003E3724">
            <w:pPr>
              <w:pStyle w:val="TableCellCenter"/>
              <w:rPr>
                <w:sz w:val="18"/>
                <w:szCs w:val="18"/>
              </w:rPr>
            </w:pPr>
          </w:p>
        </w:tc>
        <w:tc>
          <w:tcPr>
            <w:tcW w:w="639" w:type="pct"/>
            <w:tcBorders>
              <w:top w:val="single" w:sz="6" w:space="0" w:color="auto"/>
              <w:left w:val="single" w:sz="6" w:space="0" w:color="auto"/>
              <w:bottom w:val="single" w:sz="4" w:space="0" w:color="auto"/>
              <w:right w:val="single" w:sz="6" w:space="0" w:color="auto"/>
            </w:tcBorders>
            <w:shd w:val="clear" w:color="auto" w:fill="auto"/>
            <w:tcMar>
              <w:left w:w="115" w:type="dxa"/>
              <w:right w:w="115" w:type="dxa"/>
            </w:tcMar>
            <w:vAlign w:val="center"/>
            <w:hideMark/>
          </w:tcPr>
          <w:p w14:paraId="0BE3439D" w14:textId="77777777" w:rsidR="003E3724" w:rsidRPr="003E3724" w:rsidRDefault="00270E87" w:rsidP="003E3724">
            <w:pPr>
              <w:pStyle w:val="TableCellCenter"/>
              <w:rPr>
                <w:sz w:val="18"/>
                <w:szCs w:val="18"/>
              </w:rPr>
            </w:pPr>
            <w:r w:rsidRPr="003E3724">
              <w:rPr>
                <w:sz w:val="18"/>
                <w:szCs w:val="18"/>
              </w:rPr>
              <w:t>21.9</w:t>
            </w:r>
          </w:p>
          <w:p w14:paraId="28A5A0F3" w14:textId="77777777" w:rsidR="003E3724" w:rsidRPr="003E3724" w:rsidRDefault="003E3724" w:rsidP="003E3724">
            <w:pPr>
              <w:pStyle w:val="TableCellCenter"/>
              <w:rPr>
                <w:sz w:val="18"/>
                <w:szCs w:val="18"/>
              </w:rPr>
            </w:pPr>
          </w:p>
        </w:tc>
        <w:tc>
          <w:tcPr>
            <w:tcW w:w="497" w:type="pct"/>
            <w:tcBorders>
              <w:top w:val="single" w:sz="6" w:space="0" w:color="auto"/>
              <w:left w:val="single" w:sz="6" w:space="0" w:color="auto"/>
              <w:bottom w:val="single" w:sz="4" w:space="0" w:color="auto"/>
              <w:right w:val="nil"/>
            </w:tcBorders>
            <w:shd w:val="clear" w:color="auto" w:fill="auto"/>
            <w:tcMar>
              <w:left w:w="115" w:type="dxa"/>
              <w:right w:w="115" w:type="dxa"/>
            </w:tcMar>
            <w:vAlign w:val="center"/>
            <w:hideMark/>
          </w:tcPr>
          <w:p w14:paraId="751C459E" w14:textId="77777777" w:rsidR="003E3724" w:rsidRPr="003E3724" w:rsidRDefault="00270E87" w:rsidP="003E3724">
            <w:pPr>
              <w:pStyle w:val="TableCellCenter"/>
              <w:rPr>
                <w:sz w:val="18"/>
                <w:szCs w:val="18"/>
              </w:rPr>
            </w:pPr>
            <w:r w:rsidRPr="003E3724">
              <w:rPr>
                <w:sz w:val="18"/>
                <w:szCs w:val="18"/>
              </w:rPr>
              <w:t xml:space="preserve">19.3 </w:t>
            </w:r>
          </w:p>
          <w:p w14:paraId="58A7B934" w14:textId="77777777" w:rsidR="003E3724" w:rsidRPr="003E3724" w:rsidRDefault="003E3724" w:rsidP="003E3724">
            <w:pPr>
              <w:pStyle w:val="TableCellCenter"/>
              <w:rPr>
                <w:sz w:val="18"/>
                <w:szCs w:val="18"/>
              </w:rPr>
            </w:pPr>
          </w:p>
        </w:tc>
      </w:tr>
      <w:tr w:rsidR="0054749D" w14:paraId="03F8D6FD" w14:textId="77777777" w:rsidTr="003E3724">
        <w:trPr>
          <w:trHeight w:val="710"/>
        </w:trPr>
        <w:tc>
          <w:tcPr>
            <w:tcW w:w="519" w:type="pct"/>
            <w:tcBorders>
              <w:top w:val="single" w:sz="6" w:space="0" w:color="auto"/>
              <w:left w:val="nil"/>
              <w:bottom w:val="single" w:sz="12" w:space="0" w:color="auto"/>
              <w:right w:val="single" w:sz="6" w:space="0" w:color="auto"/>
            </w:tcBorders>
            <w:shd w:val="clear" w:color="auto" w:fill="auto"/>
            <w:tcMar>
              <w:left w:w="115" w:type="dxa"/>
              <w:right w:w="115" w:type="dxa"/>
            </w:tcMar>
            <w:vAlign w:val="center"/>
            <w:hideMark/>
          </w:tcPr>
          <w:p w14:paraId="7C5BFD87" w14:textId="77777777" w:rsidR="003E3724" w:rsidRPr="003E3724" w:rsidRDefault="00270E87" w:rsidP="003E3724">
            <w:pPr>
              <w:pStyle w:val="TableCellLeft"/>
              <w:ind w:left="-120"/>
              <w:rPr>
                <w:b/>
                <w:bCs/>
                <w:sz w:val="18"/>
                <w:szCs w:val="18"/>
                <w:vertAlign w:val="superscript"/>
              </w:rPr>
            </w:pPr>
            <w:r w:rsidRPr="003E3724">
              <w:rPr>
                <w:b/>
                <w:bCs/>
                <w:sz w:val="18"/>
                <w:szCs w:val="18"/>
              </w:rPr>
              <w:t xml:space="preserve">Hazard </w:t>
            </w:r>
            <w:proofErr w:type="spellStart"/>
            <w:r w:rsidRPr="003E3724">
              <w:rPr>
                <w:b/>
                <w:bCs/>
                <w:sz w:val="18"/>
                <w:szCs w:val="18"/>
              </w:rPr>
              <w:t>ratio</w:t>
            </w:r>
            <w:r w:rsidRPr="003E3724">
              <w:rPr>
                <w:b/>
                <w:bCs/>
                <w:sz w:val="18"/>
                <w:szCs w:val="18"/>
                <w:vertAlign w:val="superscript"/>
              </w:rPr>
              <w:t>b</w:t>
            </w:r>
            <w:proofErr w:type="spellEnd"/>
          </w:p>
          <w:p w14:paraId="701A1FE6" w14:textId="77777777" w:rsidR="003E3724" w:rsidRPr="003E3724" w:rsidRDefault="00270E87" w:rsidP="003E3724">
            <w:pPr>
              <w:pStyle w:val="TableCellLeft"/>
              <w:ind w:left="-120"/>
              <w:rPr>
                <w:b/>
                <w:bCs/>
                <w:sz w:val="18"/>
                <w:szCs w:val="18"/>
              </w:rPr>
            </w:pPr>
            <w:r w:rsidRPr="003E3724">
              <w:rPr>
                <w:b/>
                <w:bCs/>
                <w:sz w:val="18"/>
                <w:szCs w:val="18"/>
              </w:rPr>
              <w:t>(95% CI)</w:t>
            </w:r>
          </w:p>
          <w:p w14:paraId="35469E23" w14:textId="77777777" w:rsidR="003E3724" w:rsidRPr="003E3724" w:rsidRDefault="003E3724" w:rsidP="003E3724">
            <w:pPr>
              <w:pStyle w:val="TableCellLeft"/>
              <w:rPr>
                <w:b/>
                <w:bCs/>
                <w:sz w:val="18"/>
                <w:szCs w:val="18"/>
              </w:rPr>
            </w:pPr>
          </w:p>
        </w:tc>
        <w:tc>
          <w:tcPr>
            <w:tcW w:w="1105" w:type="pct"/>
            <w:gridSpan w:val="2"/>
            <w:tcBorders>
              <w:left w:val="single" w:sz="6" w:space="0" w:color="auto"/>
              <w:bottom w:val="single" w:sz="12" w:space="0" w:color="auto"/>
              <w:right w:val="single" w:sz="6" w:space="0" w:color="auto"/>
            </w:tcBorders>
            <w:shd w:val="clear" w:color="auto" w:fill="auto"/>
            <w:tcMar>
              <w:left w:w="115" w:type="dxa"/>
              <w:right w:w="115" w:type="dxa"/>
            </w:tcMar>
            <w:vAlign w:val="center"/>
            <w:hideMark/>
          </w:tcPr>
          <w:p w14:paraId="712D67A0" w14:textId="77777777" w:rsidR="003E3724" w:rsidRPr="003E3724" w:rsidRDefault="00270E87" w:rsidP="003E3724">
            <w:pPr>
              <w:pStyle w:val="TableCellCenter"/>
              <w:rPr>
                <w:sz w:val="18"/>
                <w:szCs w:val="18"/>
              </w:rPr>
            </w:pPr>
            <w:r w:rsidRPr="003E3724">
              <w:rPr>
                <w:sz w:val="18"/>
                <w:szCs w:val="18"/>
              </w:rPr>
              <w:t>0.82 (0.17, 4.07)</w:t>
            </w:r>
          </w:p>
        </w:tc>
        <w:tc>
          <w:tcPr>
            <w:tcW w:w="1136" w:type="pct"/>
            <w:gridSpan w:val="2"/>
            <w:tcBorders>
              <w:left w:val="single" w:sz="6" w:space="0" w:color="auto"/>
              <w:bottom w:val="single" w:sz="12" w:space="0" w:color="auto"/>
              <w:right w:val="single" w:sz="6" w:space="0" w:color="auto"/>
            </w:tcBorders>
            <w:shd w:val="clear" w:color="auto" w:fill="auto"/>
            <w:tcMar>
              <w:left w:w="115" w:type="dxa"/>
              <w:right w:w="115" w:type="dxa"/>
            </w:tcMar>
            <w:vAlign w:val="center"/>
            <w:hideMark/>
          </w:tcPr>
          <w:p w14:paraId="75ED46D4" w14:textId="77777777" w:rsidR="003E3724" w:rsidRPr="003E3724" w:rsidRDefault="00270E87" w:rsidP="003E3724">
            <w:pPr>
              <w:pStyle w:val="TableCellCenter"/>
              <w:rPr>
                <w:sz w:val="18"/>
                <w:szCs w:val="18"/>
              </w:rPr>
            </w:pPr>
            <w:r w:rsidRPr="003E3724">
              <w:rPr>
                <w:sz w:val="18"/>
                <w:szCs w:val="18"/>
              </w:rPr>
              <w:t>0.30 (0.14, 0.64)</w:t>
            </w:r>
          </w:p>
          <w:p w14:paraId="2AC32DD3" w14:textId="77777777" w:rsidR="003E3724" w:rsidRPr="003E3724" w:rsidRDefault="003E3724" w:rsidP="003E3724">
            <w:pPr>
              <w:pStyle w:val="TableCellCenter"/>
              <w:rPr>
                <w:sz w:val="18"/>
                <w:szCs w:val="18"/>
              </w:rPr>
            </w:pPr>
          </w:p>
        </w:tc>
        <w:tc>
          <w:tcPr>
            <w:tcW w:w="1105" w:type="pct"/>
            <w:gridSpan w:val="2"/>
            <w:tcBorders>
              <w:left w:val="single" w:sz="6" w:space="0" w:color="auto"/>
              <w:bottom w:val="single" w:sz="12" w:space="0" w:color="auto"/>
              <w:right w:val="single" w:sz="6" w:space="0" w:color="auto"/>
            </w:tcBorders>
            <w:shd w:val="clear" w:color="auto" w:fill="auto"/>
            <w:tcMar>
              <w:left w:w="115" w:type="dxa"/>
              <w:right w:w="115" w:type="dxa"/>
            </w:tcMar>
            <w:vAlign w:val="center"/>
            <w:hideMark/>
          </w:tcPr>
          <w:p w14:paraId="1CC1C668" w14:textId="77777777" w:rsidR="003E3724" w:rsidRPr="003E3724" w:rsidRDefault="00270E87" w:rsidP="003E3724">
            <w:pPr>
              <w:pStyle w:val="TableCellCenter"/>
              <w:rPr>
                <w:sz w:val="18"/>
                <w:szCs w:val="18"/>
              </w:rPr>
            </w:pPr>
            <w:r w:rsidRPr="003E3724">
              <w:rPr>
                <w:sz w:val="18"/>
                <w:szCs w:val="18"/>
              </w:rPr>
              <w:t>1.02 (0.54, 1.91)</w:t>
            </w:r>
          </w:p>
        </w:tc>
        <w:tc>
          <w:tcPr>
            <w:tcW w:w="1136" w:type="pct"/>
            <w:gridSpan w:val="2"/>
            <w:tcBorders>
              <w:left w:val="single" w:sz="6" w:space="0" w:color="auto"/>
              <w:bottom w:val="single" w:sz="12" w:space="0" w:color="auto"/>
              <w:right w:val="nil"/>
            </w:tcBorders>
            <w:shd w:val="clear" w:color="auto" w:fill="auto"/>
            <w:tcMar>
              <w:left w:w="115" w:type="dxa"/>
              <w:right w:w="115" w:type="dxa"/>
            </w:tcMar>
            <w:vAlign w:val="center"/>
            <w:hideMark/>
          </w:tcPr>
          <w:p w14:paraId="50E53396" w14:textId="77777777" w:rsidR="003E3724" w:rsidRPr="003E3724" w:rsidRDefault="00270E87" w:rsidP="003E3724">
            <w:pPr>
              <w:pStyle w:val="TableCellCenter"/>
              <w:rPr>
                <w:sz w:val="18"/>
                <w:szCs w:val="18"/>
              </w:rPr>
            </w:pPr>
            <w:r w:rsidRPr="003E3724">
              <w:rPr>
                <w:sz w:val="18"/>
                <w:szCs w:val="18"/>
              </w:rPr>
              <w:t>1.13 (0.67, 1.89)</w:t>
            </w:r>
          </w:p>
        </w:tc>
      </w:tr>
    </w:tbl>
    <w:bookmarkEnd w:id="12"/>
    <w:p w14:paraId="794D8CA6" w14:textId="075F778D" w:rsidR="000713E6" w:rsidRPr="00937F47" w:rsidRDefault="00270E87" w:rsidP="006B3263">
      <w:pPr>
        <w:spacing w:after="0" w:line="240" w:lineRule="auto"/>
        <w:rPr>
          <w:rFonts w:ascii="Times New Roman" w:hAnsi="Times New Roman" w:cs="Times New Roman"/>
          <w:sz w:val="20"/>
          <w:szCs w:val="24"/>
        </w:rPr>
      </w:pPr>
      <w:r w:rsidRPr="00937F47">
        <w:rPr>
          <w:rFonts w:ascii="Times New Roman" w:hAnsi="Times New Roman" w:cs="Times New Roman"/>
          <w:sz w:val="20"/>
          <w:szCs w:val="24"/>
        </w:rPr>
        <w:t>ECMO = Extracorporeal membrane oxygenation</w:t>
      </w:r>
    </w:p>
    <w:p w14:paraId="794D8CA7" w14:textId="137A4706" w:rsidR="000713E6" w:rsidRPr="00937F47" w:rsidRDefault="00270E87" w:rsidP="000713E6">
      <w:pPr>
        <w:numPr>
          <w:ilvl w:val="0"/>
          <w:numId w:val="28"/>
        </w:numPr>
        <w:spacing w:before="180" w:after="60" w:line="240" w:lineRule="auto"/>
        <w:contextualSpacing/>
        <w:rPr>
          <w:rFonts w:ascii="Times New Roman" w:hAnsi="Times New Roman" w:cs="Times New Roman"/>
          <w:sz w:val="20"/>
        </w:rPr>
      </w:pPr>
      <w:r w:rsidRPr="00937F47">
        <w:rPr>
          <w:rFonts w:ascii="Times New Roman" w:hAnsi="Times New Roman" w:cs="Times New Roman"/>
          <w:sz w:val="20"/>
        </w:rPr>
        <w:t>Not a pre-specified analysis.</w:t>
      </w:r>
    </w:p>
    <w:p w14:paraId="794D8CA8" w14:textId="77777777" w:rsidR="000713E6" w:rsidRPr="00937F47" w:rsidRDefault="00270E87" w:rsidP="000713E6">
      <w:pPr>
        <w:numPr>
          <w:ilvl w:val="0"/>
          <w:numId w:val="28"/>
        </w:numPr>
        <w:spacing w:before="180" w:after="60" w:line="240" w:lineRule="auto"/>
        <w:contextualSpacing/>
        <w:rPr>
          <w:rFonts w:ascii="Times New Roman" w:hAnsi="Times New Roman" w:cs="Times New Roman"/>
          <w:sz w:val="20"/>
        </w:rPr>
      </w:pPr>
      <w:r w:rsidRPr="00937F47">
        <w:rPr>
          <w:rFonts w:ascii="Times New Roman" w:hAnsi="Times New Roman" w:cs="Times New Roman"/>
          <w:sz w:val="20"/>
        </w:rPr>
        <w:t>Hazard ratios for baseline ordinal score subgroups are from unstratified Cox proportional hazards models.</w:t>
      </w:r>
    </w:p>
    <w:p w14:paraId="794D8CC8" w14:textId="0494DEB3" w:rsidR="00D07F42" w:rsidRDefault="00270E87" w:rsidP="00D07F42">
      <w:pPr>
        <w:autoSpaceDE w:val="0"/>
        <w:autoSpaceDN w:val="0"/>
        <w:adjustRightInd w:val="0"/>
        <w:spacing w:after="0" w:line="240" w:lineRule="auto"/>
        <w:rPr>
          <w:rFonts w:ascii="Times New Roman" w:hAnsi="Times New Roman" w:cs="Times New Roman"/>
          <w:sz w:val="24"/>
          <w:szCs w:val="24"/>
          <w:u w:val="single"/>
        </w:rPr>
      </w:pPr>
      <w:bookmarkStart w:id="13" w:name="_Hlk102390599"/>
      <w:r w:rsidRPr="00772475">
        <w:rPr>
          <w:rFonts w:ascii="Times New Roman" w:hAnsi="Times New Roman" w:cs="Times New Roman"/>
          <w:sz w:val="24"/>
          <w:szCs w:val="24"/>
          <w:u w:val="single"/>
        </w:rPr>
        <w:lastRenderedPageBreak/>
        <w:t>Study GS-US-540-5773</w:t>
      </w:r>
      <w:r w:rsidR="00C10E73">
        <w:rPr>
          <w:rFonts w:ascii="Times New Roman" w:hAnsi="Times New Roman" w:cs="Times New Roman"/>
          <w:sz w:val="24"/>
          <w:szCs w:val="24"/>
          <w:u w:val="single"/>
        </w:rPr>
        <w:t xml:space="preserve"> </w:t>
      </w:r>
      <w:r w:rsidR="00D62FF4">
        <w:rPr>
          <w:rFonts w:ascii="Times New Roman" w:hAnsi="Times New Roman" w:cs="Times New Roman"/>
          <w:sz w:val="24"/>
          <w:szCs w:val="24"/>
          <w:u w:val="single"/>
        </w:rPr>
        <w:t>(</w:t>
      </w:r>
      <w:r w:rsidR="00923027">
        <w:rPr>
          <w:rFonts w:ascii="Times New Roman" w:hAnsi="Times New Roman" w:cs="Times New Roman"/>
          <w:sz w:val="24"/>
          <w:szCs w:val="24"/>
          <w:u w:val="single"/>
        </w:rPr>
        <w:t xml:space="preserve">hospitalised </w:t>
      </w:r>
      <w:r w:rsidRPr="00772475">
        <w:rPr>
          <w:rFonts w:ascii="Times New Roman" w:hAnsi="Times New Roman" w:cs="Times New Roman"/>
          <w:sz w:val="24"/>
          <w:szCs w:val="24"/>
          <w:u w:val="single"/>
        </w:rPr>
        <w:t>with severe COVID</w:t>
      </w:r>
      <w:r w:rsidR="000713E6">
        <w:rPr>
          <w:rFonts w:ascii="Times New Roman" w:hAnsi="Times New Roman" w:cs="Times New Roman"/>
          <w:sz w:val="24"/>
          <w:szCs w:val="24"/>
          <w:u w:val="single"/>
        </w:rPr>
        <w:t>-</w:t>
      </w:r>
      <w:r w:rsidRPr="00772475">
        <w:rPr>
          <w:rFonts w:ascii="Times New Roman" w:hAnsi="Times New Roman" w:cs="Times New Roman"/>
          <w:sz w:val="24"/>
          <w:szCs w:val="24"/>
          <w:u w:val="single"/>
        </w:rPr>
        <w:t>19</w:t>
      </w:r>
      <w:r w:rsidR="00D62FF4">
        <w:rPr>
          <w:rFonts w:ascii="Times New Roman" w:hAnsi="Times New Roman" w:cs="Times New Roman"/>
          <w:sz w:val="24"/>
          <w:szCs w:val="24"/>
          <w:u w:val="single"/>
        </w:rPr>
        <w:t>)</w:t>
      </w:r>
    </w:p>
    <w:bookmarkEnd w:id="13"/>
    <w:p w14:paraId="794D8CC9" w14:textId="77777777" w:rsidR="00AB75F6" w:rsidRPr="00772475" w:rsidRDefault="00AB75F6" w:rsidP="00D07F42">
      <w:pPr>
        <w:autoSpaceDE w:val="0"/>
        <w:autoSpaceDN w:val="0"/>
        <w:adjustRightInd w:val="0"/>
        <w:spacing w:after="0" w:line="240" w:lineRule="auto"/>
        <w:rPr>
          <w:rFonts w:ascii="Times New Roman" w:hAnsi="Times New Roman" w:cs="Times New Roman"/>
          <w:i/>
          <w:sz w:val="24"/>
          <w:szCs w:val="24"/>
        </w:rPr>
      </w:pPr>
    </w:p>
    <w:p w14:paraId="794D8CCA" w14:textId="374D0DE2" w:rsidR="00D07F42" w:rsidRPr="00772475" w:rsidRDefault="00270E87" w:rsidP="00D07F42">
      <w:pPr>
        <w:autoSpaceDE w:val="0"/>
        <w:autoSpaceDN w:val="0"/>
        <w:adjustRightInd w:val="0"/>
        <w:spacing w:after="0" w:line="240" w:lineRule="auto"/>
        <w:rPr>
          <w:rFonts w:ascii="Times New Roman" w:hAnsi="Times New Roman" w:cs="Times New Roman"/>
          <w:sz w:val="24"/>
          <w:szCs w:val="24"/>
        </w:rPr>
      </w:pPr>
      <w:r w:rsidRPr="00772475">
        <w:rPr>
          <w:rFonts w:ascii="Times New Roman" w:hAnsi="Times New Roman" w:cs="Times New Roman"/>
          <w:sz w:val="24"/>
          <w:szCs w:val="24"/>
        </w:rPr>
        <w:t>A randomised, open-label multi-centre clinical trial (Study GS-US-540-5773) of patients at least 12 years of age with confirmed SARS-CoV</w:t>
      </w:r>
      <w:r w:rsidR="000713E6">
        <w:rPr>
          <w:rFonts w:ascii="Times New Roman" w:hAnsi="Times New Roman" w:cs="Times New Roman"/>
          <w:sz w:val="24"/>
          <w:szCs w:val="24"/>
        </w:rPr>
        <w:t>-</w:t>
      </w:r>
      <w:r w:rsidRPr="00772475">
        <w:rPr>
          <w:rFonts w:ascii="Times New Roman" w:hAnsi="Times New Roman" w:cs="Times New Roman"/>
          <w:sz w:val="24"/>
          <w:szCs w:val="24"/>
        </w:rPr>
        <w:t>2 infection, oxygen saturation ≤</w:t>
      </w:r>
      <w:r w:rsidR="006B3263">
        <w:rPr>
          <w:rFonts w:ascii="Times New Roman" w:hAnsi="Times New Roman" w:cs="Times New Roman"/>
          <w:sz w:val="24"/>
          <w:szCs w:val="24"/>
        </w:rPr>
        <w:t xml:space="preserve"> </w:t>
      </w:r>
      <w:r w:rsidRPr="00772475">
        <w:rPr>
          <w:rFonts w:ascii="Times New Roman" w:hAnsi="Times New Roman" w:cs="Times New Roman"/>
          <w:sz w:val="24"/>
          <w:szCs w:val="24"/>
        </w:rPr>
        <w:t xml:space="preserve">94% on room air, and radiological evidence of pneumonia compared 197 patients who received VEKLURY for </w:t>
      </w:r>
      <w:r>
        <w:rPr>
          <w:rFonts w:ascii="Times New Roman" w:hAnsi="Times New Roman" w:cs="Times New Roman"/>
          <w:sz w:val="24"/>
          <w:szCs w:val="24"/>
        </w:rPr>
        <w:t>10</w:t>
      </w:r>
      <w:r w:rsidRPr="00772475">
        <w:rPr>
          <w:rFonts w:ascii="Times New Roman" w:hAnsi="Times New Roman" w:cs="Times New Roman"/>
          <w:sz w:val="24"/>
          <w:szCs w:val="24"/>
        </w:rPr>
        <w:t xml:space="preserve"> days with 200 patients who received VEKLURY for </w:t>
      </w:r>
      <w:r>
        <w:rPr>
          <w:rFonts w:ascii="Times New Roman" w:hAnsi="Times New Roman" w:cs="Times New Roman"/>
          <w:sz w:val="24"/>
          <w:szCs w:val="24"/>
        </w:rPr>
        <w:t>5</w:t>
      </w:r>
      <w:r w:rsidRPr="00772475">
        <w:rPr>
          <w:rFonts w:ascii="Times New Roman" w:hAnsi="Times New Roman" w:cs="Times New Roman"/>
          <w:sz w:val="24"/>
          <w:szCs w:val="24"/>
        </w:rPr>
        <w:t xml:space="preserve"> days. Patients on mechanical ventilation at screening were excluded.</w:t>
      </w:r>
      <w:r w:rsidR="000713E6">
        <w:rPr>
          <w:rFonts w:ascii="Times New Roman" w:hAnsi="Times New Roman" w:cs="Times New Roman"/>
          <w:sz w:val="24"/>
          <w:szCs w:val="24"/>
        </w:rPr>
        <w:t xml:space="preserve"> </w:t>
      </w:r>
      <w:r w:rsidR="000713E6" w:rsidRPr="001968E7">
        <w:rPr>
          <w:rFonts w:ascii="Times New Roman" w:hAnsi="Times New Roman" w:cs="Times New Roman"/>
          <w:sz w:val="24"/>
          <w:szCs w:val="24"/>
        </w:rPr>
        <w:t>All patients received 200 mg of VEKLURY on Day 1 and 100 mg once daily on subsequent days, plus standard of care. The primary endpoint was clinical status on Day 14 assessed on a 7-point ordinal scale ranging from hospital discharge to increasing levels of oxygen and ventilatory support to death.</w:t>
      </w:r>
    </w:p>
    <w:p w14:paraId="794D8CCB" w14:textId="77777777" w:rsidR="00D07F42" w:rsidRPr="00772475" w:rsidRDefault="00D07F42" w:rsidP="00D07F42">
      <w:pPr>
        <w:autoSpaceDE w:val="0"/>
        <w:autoSpaceDN w:val="0"/>
        <w:adjustRightInd w:val="0"/>
        <w:spacing w:after="0" w:line="240" w:lineRule="auto"/>
        <w:rPr>
          <w:rFonts w:ascii="Times New Roman" w:hAnsi="Times New Roman" w:cs="Times New Roman"/>
          <w:sz w:val="24"/>
          <w:szCs w:val="24"/>
        </w:rPr>
      </w:pPr>
    </w:p>
    <w:p w14:paraId="794D8CCC" w14:textId="688BC054" w:rsidR="00D07F42" w:rsidRPr="007D2CAB" w:rsidRDefault="00270E87"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 xml:space="preserve">At baseline, the median age of patients was 61 years (range, 20 to 98 years); 64% were male, 75% were White, 12% were Black, and 12% were Asian. More patients in the 10-day group than the 5-day group required invasive mechanical ventilation or ECMO (5% vs 2%), or high-flow oxygen support (30% vs 25%), at baseline. Median duration of symptoms and </w:t>
      </w:r>
      <w:r w:rsidR="000713E6" w:rsidRPr="007D2CAB">
        <w:rPr>
          <w:rFonts w:ascii="Times New Roman" w:hAnsi="Times New Roman" w:cs="Times New Roman"/>
          <w:sz w:val="24"/>
          <w:szCs w:val="24"/>
        </w:rPr>
        <w:t>hospitali</w:t>
      </w:r>
      <w:r w:rsidR="000713E6">
        <w:rPr>
          <w:rFonts w:ascii="Times New Roman" w:hAnsi="Times New Roman" w:cs="Times New Roman"/>
          <w:sz w:val="24"/>
          <w:szCs w:val="24"/>
        </w:rPr>
        <w:t>s</w:t>
      </w:r>
      <w:r w:rsidR="000713E6" w:rsidRPr="007D2CAB">
        <w:rPr>
          <w:rFonts w:ascii="Times New Roman" w:hAnsi="Times New Roman" w:cs="Times New Roman"/>
          <w:sz w:val="24"/>
          <w:szCs w:val="24"/>
        </w:rPr>
        <w:t xml:space="preserve">ation </w:t>
      </w:r>
      <w:r w:rsidRPr="007D2CAB">
        <w:rPr>
          <w:rFonts w:ascii="Times New Roman" w:hAnsi="Times New Roman" w:cs="Times New Roman"/>
          <w:sz w:val="24"/>
          <w:szCs w:val="24"/>
        </w:rPr>
        <w:t>prior to first dose of VEKLURY were similar across treatment groups.</w:t>
      </w:r>
    </w:p>
    <w:p w14:paraId="794D8CCD"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794D8CCE" w14:textId="69529811" w:rsidR="000713E6" w:rsidRDefault="00270E87" w:rsidP="000713E6">
      <w:pPr>
        <w:autoSpaceDE w:val="0"/>
        <w:autoSpaceDN w:val="0"/>
        <w:adjustRightInd w:val="0"/>
        <w:spacing w:after="0" w:line="240" w:lineRule="auto"/>
        <w:rPr>
          <w:rFonts w:ascii="Times New Roman" w:hAnsi="Times New Roman" w:cs="Times New Roman"/>
          <w:sz w:val="24"/>
          <w:szCs w:val="24"/>
        </w:rPr>
      </w:pPr>
      <w:r w:rsidRPr="006B3263">
        <w:rPr>
          <w:rFonts w:ascii="Times New Roman" w:hAnsi="Times New Roman" w:cs="Times New Roman"/>
          <w:sz w:val="24"/>
          <w:szCs w:val="24"/>
        </w:rPr>
        <w:t xml:space="preserve">The odds of improvement at Day 14 for patients randomized to a 10-day course of </w:t>
      </w:r>
      <w:r w:rsidR="00384733">
        <w:rPr>
          <w:rFonts w:ascii="Times New Roman" w:hAnsi="Times New Roman" w:cs="Times New Roman"/>
          <w:sz w:val="24"/>
          <w:szCs w:val="24"/>
        </w:rPr>
        <w:t>VEKLURY</w:t>
      </w:r>
      <w:r w:rsidRPr="006B3263">
        <w:rPr>
          <w:rFonts w:ascii="Times New Roman" w:hAnsi="Times New Roman" w:cs="Times New Roman"/>
          <w:sz w:val="24"/>
          <w:szCs w:val="24"/>
        </w:rPr>
        <w:t xml:space="preserve"> compared with those randomized to a 5-day course was 0.67 (odds ratio); [95% CI</w:t>
      </w:r>
      <w:r w:rsidR="00A85B84">
        <w:rPr>
          <w:rFonts w:ascii="Times New Roman" w:hAnsi="Times New Roman" w:cs="Times New Roman"/>
          <w:sz w:val="24"/>
          <w:szCs w:val="24"/>
        </w:rPr>
        <w:t>,</w:t>
      </w:r>
      <w:r w:rsidRPr="006B3263">
        <w:rPr>
          <w:rFonts w:ascii="Times New Roman" w:hAnsi="Times New Roman" w:cs="Times New Roman"/>
          <w:sz w:val="24"/>
          <w:szCs w:val="24"/>
        </w:rPr>
        <w:t xml:space="preserve"> 0.46 to 0.98]. Statistically significant imbalances in baseline clinical status were observed in this study.</w:t>
      </w:r>
      <w:r w:rsidR="00DD1EEA" w:rsidRPr="007D2CAB">
        <w:rPr>
          <w:rFonts w:ascii="Times New Roman" w:hAnsi="Times New Roman" w:cs="Times New Roman"/>
          <w:sz w:val="24"/>
          <w:szCs w:val="24"/>
        </w:rPr>
        <w:t xml:space="preserve">, </w:t>
      </w:r>
      <w:r>
        <w:rPr>
          <w:rFonts w:ascii="Times New Roman" w:hAnsi="Times New Roman" w:cs="Times New Roman"/>
          <w:sz w:val="24"/>
          <w:szCs w:val="24"/>
        </w:rPr>
        <w:t>A</w:t>
      </w:r>
      <w:r w:rsidR="00DD1EEA" w:rsidRPr="007D2CAB">
        <w:rPr>
          <w:rFonts w:ascii="Times New Roman" w:hAnsi="Times New Roman" w:cs="Times New Roman"/>
          <w:sz w:val="24"/>
          <w:szCs w:val="24"/>
        </w:rPr>
        <w:t>fter adjusting for between-group differences at baseline, patients receiving a 5-day course of VEKLURY had similar clinical status at Day 14 as those receiving a 10-day course (odds ratio for improvement: 0.75; [95% CI</w:t>
      </w:r>
      <w:r w:rsidR="00A85B84">
        <w:rPr>
          <w:rFonts w:ascii="Times New Roman" w:hAnsi="Times New Roman" w:cs="Times New Roman"/>
          <w:sz w:val="24"/>
          <w:szCs w:val="24"/>
        </w:rPr>
        <w:t>,</w:t>
      </w:r>
      <w:r w:rsidR="00DD1EEA" w:rsidRPr="007D2CAB">
        <w:rPr>
          <w:rFonts w:ascii="Times New Roman" w:hAnsi="Times New Roman" w:cs="Times New Roman"/>
          <w:sz w:val="24"/>
          <w:szCs w:val="24"/>
        </w:rPr>
        <w:t xml:space="preserve"> 0.51 to 1.12]). In addition, </w:t>
      </w:r>
      <w:r>
        <w:rPr>
          <w:rFonts w:ascii="Times New Roman" w:hAnsi="Times New Roman" w:cs="Times New Roman"/>
          <w:sz w:val="24"/>
          <w:szCs w:val="24"/>
        </w:rPr>
        <w:t>t</w:t>
      </w:r>
      <w:r w:rsidR="00DD1EEA" w:rsidRPr="007D2CAB">
        <w:rPr>
          <w:rFonts w:ascii="Times New Roman" w:hAnsi="Times New Roman" w:cs="Times New Roman"/>
          <w:sz w:val="24"/>
          <w:szCs w:val="24"/>
        </w:rPr>
        <w:t xml:space="preserve">here were no </w:t>
      </w:r>
      <w:r>
        <w:rPr>
          <w:rFonts w:ascii="Times New Roman" w:hAnsi="Times New Roman" w:cs="Times New Roman"/>
          <w:sz w:val="24"/>
          <w:szCs w:val="24"/>
        </w:rPr>
        <w:t>statistically</w:t>
      </w:r>
      <w:r w:rsidRPr="007D2CAB">
        <w:rPr>
          <w:rFonts w:ascii="Times New Roman" w:hAnsi="Times New Roman" w:cs="Times New Roman"/>
          <w:sz w:val="24"/>
          <w:szCs w:val="24"/>
        </w:rPr>
        <w:t xml:space="preserve"> </w:t>
      </w:r>
      <w:r w:rsidR="00DD1EEA" w:rsidRPr="007D2CAB">
        <w:rPr>
          <w:rFonts w:ascii="Times New Roman" w:hAnsi="Times New Roman" w:cs="Times New Roman"/>
          <w:sz w:val="24"/>
          <w:szCs w:val="24"/>
        </w:rPr>
        <w:t xml:space="preserve">significant differences </w:t>
      </w:r>
      <w:r w:rsidRPr="008219B4">
        <w:rPr>
          <w:rFonts w:ascii="Times New Roman" w:hAnsi="Times New Roman" w:cs="Times New Roman"/>
          <w:sz w:val="24"/>
          <w:szCs w:val="24"/>
        </w:rPr>
        <w:t xml:space="preserve">in recovery rates or mortality rates in the 5-day and 10-day groups </w:t>
      </w:r>
      <w:r w:rsidR="00DD1EEA" w:rsidRPr="007D2CAB">
        <w:rPr>
          <w:rFonts w:ascii="Times New Roman" w:hAnsi="Times New Roman" w:cs="Times New Roman"/>
          <w:sz w:val="24"/>
          <w:szCs w:val="24"/>
        </w:rPr>
        <w:t>once adjusted for between group differences at baseline.</w:t>
      </w:r>
      <w:r w:rsidRPr="000713E6">
        <w:rPr>
          <w:rFonts w:ascii="Times New Roman" w:hAnsi="Times New Roman" w:cs="Times New Roman"/>
          <w:sz w:val="24"/>
          <w:szCs w:val="24"/>
        </w:rPr>
        <w:t xml:space="preserve"> </w:t>
      </w:r>
      <w:r w:rsidRPr="008219B4">
        <w:rPr>
          <w:rFonts w:ascii="Times New Roman" w:hAnsi="Times New Roman" w:cs="Times New Roman"/>
          <w:sz w:val="24"/>
          <w:szCs w:val="24"/>
        </w:rPr>
        <w:t>All-cause 28-day mortality was 12% vs 14% in the 5- and 10-day treatment groups, respectively.</w:t>
      </w:r>
    </w:p>
    <w:p w14:paraId="794D8CD0" w14:textId="77777777" w:rsidR="00D07F42" w:rsidRDefault="00D07F42" w:rsidP="00D07F42">
      <w:pPr>
        <w:autoSpaceDE w:val="0"/>
        <w:autoSpaceDN w:val="0"/>
        <w:adjustRightInd w:val="0"/>
        <w:spacing w:after="0" w:line="240" w:lineRule="auto"/>
        <w:rPr>
          <w:rFonts w:ascii="Times New Roman" w:hAnsi="Times New Roman" w:cs="Times New Roman"/>
          <w:sz w:val="24"/>
          <w:szCs w:val="24"/>
        </w:rPr>
      </w:pPr>
    </w:p>
    <w:p w14:paraId="794D8CD1" w14:textId="015959E5" w:rsidR="00D07F42" w:rsidRDefault="00270E87" w:rsidP="00D07F42">
      <w:pPr>
        <w:autoSpaceDE w:val="0"/>
        <w:autoSpaceDN w:val="0"/>
        <w:adjustRightInd w:val="0"/>
        <w:spacing w:after="0" w:line="240" w:lineRule="auto"/>
        <w:rPr>
          <w:rFonts w:ascii="Times New Roman" w:hAnsi="Times New Roman" w:cs="Times New Roman"/>
          <w:sz w:val="24"/>
          <w:szCs w:val="24"/>
          <w:u w:val="single"/>
        </w:rPr>
      </w:pPr>
      <w:bookmarkStart w:id="14" w:name="_Hlk102390611"/>
      <w:r w:rsidRPr="00772475">
        <w:rPr>
          <w:rFonts w:ascii="Times New Roman" w:hAnsi="Times New Roman" w:cs="Times New Roman"/>
          <w:sz w:val="24"/>
          <w:szCs w:val="24"/>
          <w:u w:val="single"/>
        </w:rPr>
        <w:t>Study GS-US-540-577</w:t>
      </w:r>
      <w:r>
        <w:rPr>
          <w:rFonts w:ascii="Times New Roman" w:hAnsi="Times New Roman" w:cs="Times New Roman"/>
          <w:sz w:val="24"/>
          <w:szCs w:val="24"/>
          <w:u w:val="single"/>
        </w:rPr>
        <w:t>4</w:t>
      </w:r>
      <w:r w:rsidR="000713E6">
        <w:rPr>
          <w:rFonts w:ascii="Times New Roman" w:hAnsi="Times New Roman" w:cs="Times New Roman"/>
          <w:sz w:val="24"/>
          <w:szCs w:val="24"/>
          <w:u w:val="single"/>
        </w:rPr>
        <w:t xml:space="preserve"> </w:t>
      </w:r>
      <w:r w:rsidR="00D62FF4">
        <w:rPr>
          <w:rFonts w:ascii="Times New Roman" w:hAnsi="Times New Roman" w:cs="Times New Roman"/>
          <w:sz w:val="24"/>
          <w:szCs w:val="24"/>
          <w:u w:val="single"/>
        </w:rPr>
        <w:t>(</w:t>
      </w:r>
      <w:r w:rsidR="00923027">
        <w:rPr>
          <w:rFonts w:ascii="Times New Roman" w:hAnsi="Times New Roman" w:cs="Times New Roman"/>
          <w:sz w:val="24"/>
          <w:szCs w:val="24"/>
          <w:u w:val="single"/>
        </w:rPr>
        <w:t>hospitalised</w:t>
      </w:r>
      <w:r w:rsidR="000713E6" w:rsidRPr="00460C40">
        <w:rPr>
          <w:rFonts w:ascii="Times New Roman" w:hAnsi="Times New Roman" w:cs="Times New Roman"/>
          <w:sz w:val="24"/>
          <w:szCs w:val="24"/>
          <w:u w:val="single"/>
        </w:rPr>
        <w:t xml:space="preserve"> with </w:t>
      </w:r>
      <w:r w:rsidR="00152C09">
        <w:rPr>
          <w:rFonts w:ascii="Times New Roman" w:hAnsi="Times New Roman" w:cs="Times New Roman"/>
          <w:sz w:val="24"/>
          <w:szCs w:val="24"/>
          <w:u w:val="single"/>
        </w:rPr>
        <w:t>m</w:t>
      </w:r>
      <w:r w:rsidR="000713E6" w:rsidRPr="00460C40">
        <w:rPr>
          <w:rFonts w:ascii="Times New Roman" w:hAnsi="Times New Roman" w:cs="Times New Roman"/>
          <w:sz w:val="24"/>
          <w:szCs w:val="24"/>
          <w:u w:val="single"/>
        </w:rPr>
        <w:t>oderate COVID-19</w:t>
      </w:r>
      <w:r w:rsidR="00D62FF4">
        <w:rPr>
          <w:rFonts w:ascii="Times New Roman" w:hAnsi="Times New Roman" w:cs="Times New Roman"/>
          <w:sz w:val="24"/>
          <w:szCs w:val="24"/>
          <w:u w:val="single"/>
        </w:rPr>
        <w:t>)</w:t>
      </w:r>
    </w:p>
    <w:bookmarkEnd w:id="14"/>
    <w:p w14:paraId="794D8CD2" w14:textId="77777777" w:rsidR="00AB75F6" w:rsidRDefault="00AB75F6" w:rsidP="00D07F42">
      <w:pPr>
        <w:autoSpaceDE w:val="0"/>
        <w:autoSpaceDN w:val="0"/>
        <w:adjustRightInd w:val="0"/>
        <w:spacing w:after="0" w:line="240" w:lineRule="auto"/>
        <w:rPr>
          <w:rFonts w:ascii="Times New Roman" w:hAnsi="Times New Roman" w:cs="Times New Roman"/>
          <w:sz w:val="24"/>
          <w:szCs w:val="24"/>
        </w:rPr>
      </w:pPr>
    </w:p>
    <w:p w14:paraId="794D8CD3" w14:textId="646518A5" w:rsidR="00D07F42" w:rsidRDefault="00270E87"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 randomized, open-label multi-cent</w:t>
      </w:r>
      <w:r w:rsidR="00D42968">
        <w:rPr>
          <w:rFonts w:ascii="Times New Roman" w:hAnsi="Times New Roman" w:cs="Times New Roman"/>
          <w:sz w:val="24"/>
          <w:szCs w:val="24"/>
        </w:rPr>
        <w:t>r</w:t>
      </w:r>
      <w:r w:rsidRPr="007D2CAB">
        <w:rPr>
          <w:rFonts w:ascii="Times New Roman" w:hAnsi="Times New Roman" w:cs="Times New Roman"/>
          <w:sz w:val="24"/>
          <w:szCs w:val="24"/>
        </w:rPr>
        <w:t xml:space="preserve">e clinical trial (Study GS-US-540-5774) of </w:t>
      </w:r>
      <w:r w:rsidR="000713E6" w:rsidRPr="007D2CAB">
        <w:rPr>
          <w:rFonts w:ascii="Times New Roman" w:hAnsi="Times New Roman" w:cs="Times New Roman"/>
          <w:sz w:val="24"/>
          <w:szCs w:val="24"/>
        </w:rPr>
        <w:t>hospitali</w:t>
      </w:r>
      <w:r w:rsidR="000713E6">
        <w:rPr>
          <w:rFonts w:ascii="Times New Roman" w:hAnsi="Times New Roman" w:cs="Times New Roman"/>
          <w:sz w:val="24"/>
          <w:szCs w:val="24"/>
        </w:rPr>
        <w:t>s</w:t>
      </w:r>
      <w:r w:rsidR="000713E6" w:rsidRPr="007D2CAB">
        <w:rPr>
          <w:rFonts w:ascii="Times New Roman" w:hAnsi="Times New Roman" w:cs="Times New Roman"/>
          <w:sz w:val="24"/>
          <w:szCs w:val="24"/>
        </w:rPr>
        <w:t xml:space="preserve">ed </w:t>
      </w:r>
      <w:r w:rsidRPr="007D2CAB">
        <w:rPr>
          <w:rFonts w:ascii="Times New Roman" w:hAnsi="Times New Roman" w:cs="Times New Roman"/>
          <w:sz w:val="24"/>
          <w:szCs w:val="24"/>
        </w:rPr>
        <w:t>patients at least 12 years of age with confirmed SARS-CoV-2 infection and radiological evidence of pneumonia without reduced oxygen levels compared treatment with VEKLURY for 5 days (n=191) and treatment with VEKLURY for 10 days (n=193) with standard of care (n=200). Patients treated with VEKLURY received 200 mg on Day 1 and 100 mg once daily on subsequent days. The primary endpoint was clinical status on Day 11 assessed on a 7-point</w:t>
      </w:r>
      <w:r>
        <w:rPr>
          <w:rFonts w:ascii="Times New Roman" w:hAnsi="Times New Roman" w:cs="Times New Roman"/>
          <w:sz w:val="24"/>
          <w:szCs w:val="24"/>
        </w:rPr>
        <w:t xml:space="preserve"> </w:t>
      </w:r>
      <w:r w:rsidRPr="007D2CAB">
        <w:rPr>
          <w:rFonts w:ascii="Times New Roman" w:hAnsi="Times New Roman" w:cs="Times New Roman"/>
          <w:sz w:val="24"/>
          <w:szCs w:val="24"/>
        </w:rPr>
        <w:t>ordinal scale ranging from hospital discharge to increasing levels of oxygen and ventilatory support to death.</w:t>
      </w:r>
    </w:p>
    <w:p w14:paraId="794D8CD4" w14:textId="77777777" w:rsidR="00D07F42" w:rsidRPr="007D2CAB" w:rsidRDefault="00D07F42" w:rsidP="00D07F42">
      <w:pPr>
        <w:autoSpaceDE w:val="0"/>
        <w:autoSpaceDN w:val="0"/>
        <w:adjustRightInd w:val="0"/>
        <w:spacing w:after="0" w:line="240" w:lineRule="auto"/>
        <w:rPr>
          <w:rFonts w:ascii="Times New Roman" w:hAnsi="Times New Roman" w:cs="Times New Roman"/>
          <w:sz w:val="24"/>
          <w:szCs w:val="24"/>
        </w:rPr>
      </w:pPr>
    </w:p>
    <w:p w14:paraId="794D8CD5" w14:textId="77777777" w:rsidR="00D07F42" w:rsidRDefault="00270E87"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At baseline, the median age of patients was 57 years (range, 12 to 95 years); 61% were male, 61% were White, 19% were Black, and 19% were Asian. Baseline clinical status, oxygen support status, and median duration of symptoms and hospitalization prior to first dose of VEKLURY were similar across treatment groups.</w:t>
      </w:r>
    </w:p>
    <w:p w14:paraId="794D8CD6" w14:textId="77777777" w:rsidR="00D07F42" w:rsidRPr="007D2CAB" w:rsidRDefault="00D07F42" w:rsidP="00D07F42">
      <w:pPr>
        <w:autoSpaceDE w:val="0"/>
        <w:autoSpaceDN w:val="0"/>
        <w:adjustRightInd w:val="0"/>
        <w:spacing w:after="0" w:line="240" w:lineRule="auto"/>
        <w:rPr>
          <w:rFonts w:ascii="Times New Roman" w:hAnsi="Times New Roman" w:cs="Times New Roman"/>
          <w:sz w:val="24"/>
          <w:szCs w:val="24"/>
        </w:rPr>
      </w:pPr>
    </w:p>
    <w:p w14:paraId="2EF2B4C3" w14:textId="77777777" w:rsidR="007E50B0" w:rsidRDefault="00270E87"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Overall, the odds of improvement in the ordinal scale were higher in the 5-day VEKLURY group at Day 11 when compared to those receiving only standard of care (odds ratio, 1.65; [95% CI, 1.09 to 2.48], p=0.017). The odds of improvement in clinical status with the 10-day treatment group when compared to those receiving only standard of care were not statistically</w:t>
      </w:r>
    </w:p>
    <w:p w14:paraId="0BA66FE4" w14:textId="402D7058" w:rsidR="007E50B0" w:rsidRDefault="00270E87"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t xml:space="preserve"> significant (odds ratio 1.31; [95% CI</w:t>
      </w:r>
      <w:r w:rsidR="00A85B84">
        <w:rPr>
          <w:rFonts w:ascii="Times New Roman" w:hAnsi="Times New Roman" w:cs="Times New Roman"/>
          <w:sz w:val="24"/>
          <w:szCs w:val="24"/>
        </w:rPr>
        <w:t>,</w:t>
      </w:r>
      <w:r w:rsidRPr="007D2CAB">
        <w:rPr>
          <w:rFonts w:ascii="Times New Roman" w:hAnsi="Times New Roman" w:cs="Times New Roman"/>
          <w:sz w:val="24"/>
          <w:szCs w:val="24"/>
        </w:rPr>
        <w:t xml:space="preserve"> 0.88 to 1.95]; p=0.18). At Day 11 observed mortality</w:t>
      </w:r>
    </w:p>
    <w:p w14:paraId="794D8CD7" w14:textId="0B1F3F8B" w:rsidR="00D07F42" w:rsidRDefault="00270E87" w:rsidP="00D07F42">
      <w:pPr>
        <w:autoSpaceDE w:val="0"/>
        <w:autoSpaceDN w:val="0"/>
        <w:adjustRightInd w:val="0"/>
        <w:spacing w:after="0" w:line="240" w:lineRule="auto"/>
        <w:rPr>
          <w:rFonts w:ascii="Times New Roman" w:hAnsi="Times New Roman" w:cs="Times New Roman"/>
          <w:sz w:val="24"/>
          <w:szCs w:val="24"/>
        </w:rPr>
      </w:pPr>
      <w:r w:rsidRPr="007D2CAB">
        <w:rPr>
          <w:rFonts w:ascii="Times New Roman" w:hAnsi="Times New Roman" w:cs="Times New Roman"/>
          <w:sz w:val="24"/>
          <w:szCs w:val="24"/>
        </w:rPr>
        <w:lastRenderedPageBreak/>
        <w:t>rates for the 5-day, 10-day, and standard of care groups were 0, 1%, and 2%, respectively.</w:t>
      </w:r>
    </w:p>
    <w:p w14:paraId="794D8CDA" w14:textId="5D4ECAE5" w:rsidR="00B14788" w:rsidRDefault="00B14788" w:rsidP="000713E6">
      <w:pPr>
        <w:autoSpaceDE w:val="0"/>
        <w:autoSpaceDN w:val="0"/>
        <w:adjustRightInd w:val="0"/>
        <w:spacing w:after="0" w:line="240" w:lineRule="auto"/>
        <w:rPr>
          <w:rFonts w:ascii="Times New Roman" w:hAnsi="Times New Roman" w:cs="Times New Roman"/>
          <w:sz w:val="24"/>
          <w:szCs w:val="24"/>
        </w:rPr>
      </w:pPr>
    </w:p>
    <w:p w14:paraId="794D8CDB" w14:textId="70FC2091" w:rsidR="00B14788" w:rsidRPr="00B14788" w:rsidRDefault="00270E87" w:rsidP="000713E6">
      <w:pPr>
        <w:autoSpaceDE w:val="0"/>
        <w:autoSpaceDN w:val="0"/>
        <w:adjustRightInd w:val="0"/>
        <w:spacing w:after="0" w:line="240" w:lineRule="auto"/>
        <w:rPr>
          <w:rFonts w:ascii="Times New Roman" w:hAnsi="Times New Roman" w:cs="Times New Roman"/>
          <w:sz w:val="24"/>
          <w:szCs w:val="24"/>
          <w:u w:val="single"/>
        </w:rPr>
      </w:pPr>
      <w:bookmarkStart w:id="15" w:name="_Hlk102390628"/>
      <w:r w:rsidRPr="00B14788">
        <w:rPr>
          <w:rFonts w:ascii="Times New Roman" w:hAnsi="Times New Roman" w:cs="Times New Roman"/>
          <w:sz w:val="24"/>
          <w:szCs w:val="24"/>
          <w:u w:val="single"/>
        </w:rPr>
        <w:t xml:space="preserve">Study GS-US-540-9012 </w:t>
      </w:r>
      <w:r w:rsidR="00114304">
        <w:rPr>
          <w:rFonts w:ascii="Times New Roman" w:hAnsi="Times New Roman" w:cs="Times New Roman"/>
          <w:sz w:val="24"/>
          <w:szCs w:val="24"/>
          <w:u w:val="single"/>
        </w:rPr>
        <w:t>(</w:t>
      </w:r>
      <w:r w:rsidR="00DD29E1">
        <w:rPr>
          <w:rFonts w:ascii="Times New Roman" w:hAnsi="Times New Roman" w:cs="Times New Roman"/>
          <w:sz w:val="24"/>
          <w:szCs w:val="24"/>
          <w:u w:val="single"/>
        </w:rPr>
        <w:t>n</w:t>
      </w:r>
      <w:r w:rsidR="00923027">
        <w:rPr>
          <w:rFonts w:ascii="Times New Roman" w:hAnsi="Times New Roman" w:cs="Times New Roman"/>
          <w:sz w:val="24"/>
          <w:szCs w:val="24"/>
          <w:u w:val="single"/>
        </w:rPr>
        <w:t xml:space="preserve">on-hospitalised </w:t>
      </w:r>
      <w:r w:rsidRPr="00B14788">
        <w:rPr>
          <w:rFonts w:ascii="Times New Roman" w:hAnsi="Times New Roman" w:cs="Times New Roman"/>
          <w:sz w:val="24"/>
          <w:szCs w:val="24"/>
          <w:u w:val="single"/>
        </w:rPr>
        <w:t xml:space="preserve">with </w:t>
      </w:r>
      <w:r w:rsidR="00923027">
        <w:rPr>
          <w:rFonts w:ascii="Times New Roman" w:hAnsi="Times New Roman" w:cs="Times New Roman"/>
          <w:sz w:val="24"/>
          <w:szCs w:val="24"/>
          <w:u w:val="single"/>
        </w:rPr>
        <w:t>mild</w:t>
      </w:r>
      <w:r w:rsidR="00DD29E1">
        <w:rPr>
          <w:rFonts w:ascii="Times New Roman" w:hAnsi="Times New Roman" w:cs="Times New Roman"/>
          <w:sz w:val="24"/>
          <w:szCs w:val="24"/>
          <w:u w:val="single"/>
        </w:rPr>
        <w:t>/</w:t>
      </w:r>
      <w:r w:rsidR="00923027">
        <w:rPr>
          <w:rFonts w:ascii="Times New Roman" w:hAnsi="Times New Roman" w:cs="Times New Roman"/>
          <w:sz w:val="24"/>
          <w:szCs w:val="24"/>
          <w:u w:val="single"/>
        </w:rPr>
        <w:t xml:space="preserve">moderate </w:t>
      </w:r>
      <w:r w:rsidR="00DD29E1">
        <w:rPr>
          <w:rFonts w:ascii="Times New Roman" w:hAnsi="Times New Roman" w:cs="Times New Roman"/>
          <w:sz w:val="24"/>
          <w:szCs w:val="24"/>
          <w:u w:val="single"/>
        </w:rPr>
        <w:t>C</w:t>
      </w:r>
      <w:r w:rsidRPr="00B14788">
        <w:rPr>
          <w:rFonts w:ascii="Times New Roman" w:hAnsi="Times New Roman" w:cs="Times New Roman"/>
          <w:sz w:val="24"/>
          <w:szCs w:val="24"/>
          <w:u w:val="single"/>
        </w:rPr>
        <w:t xml:space="preserve">OVID-19 </w:t>
      </w:r>
      <w:r w:rsidR="00D62FF4">
        <w:rPr>
          <w:rFonts w:ascii="Times New Roman" w:hAnsi="Times New Roman" w:cs="Times New Roman"/>
          <w:sz w:val="24"/>
          <w:szCs w:val="24"/>
          <w:u w:val="single"/>
        </w:rPr>
        <w:t xml:space="preserve">and </w:t>
      </w:r>
      <w:r w:rsidRPr="00B14788">
        <w:rPr>
          <w:rFonts w:ascii="Times New Roman" w:hAnsi="Times New Roman" w:cs="Times New Roman"/>
          <w:sz w:val="24"/>
          <w:szCs w:val="24"/>
          <w:u w:val="single"/>
        </w:rPr>
        <w:t xml:space="preserve">at </w:t>
      </w:r>
      <w:r w:rsidR="00173F84">
        <w:rPr>
          <w:rFonts w:ascii="Times New Roman" w:hAnsi="Times New Roman" w:cs="Times New Roman"/>
          <w:sz w:val="24"/>
          <w:szCs w:val="24"/>
          <w:u w:val="single"/>
        </w:rPr>
        <w:t>h</w:t>
      </w:r>
      <w:r w:rsidRPr="00B14788">
        <w:rPr>
          <w:rFonts w:ascii="Times New Roman" w:hAnsi="Times New Roman" w:cs="Times New Roman"/>
          <w:sz w:val="24"/>
          <w:szCs w:val="24"/>
          <w:u w:val="single"/>
        </w:rPr>
        <w:t xml:space="preserve">igh </w:t>
      </w:r>
      <w:r w:rsidR="00173F84">
        <w:rPr>
          <w:rFonts w:ascii="Times New Roman" w:hAnsi="Times New Roman" w:cs="Times New Roman"/>
          <w:sz w:val="24"/>
          <w:szCs w:val="24"/>
          <w:u w:val="single"/>
        </w:rPr>
        <w:t>r</w:t>
      </w:r>
      <w:r w:rsidRPr="00B14788">
        <w:rPr>
          <w:rFonts w:ascii="Times New Roman" w:hAnsi="Times New Roman" w:cs="Times New Roman"/>
          <w:sz w:val="24"/>
          <w:szCs w:val="24"/>
          <w:u w:val="single"/>
        </w:rPr>
        <w:t xml:space="preserve">isk for </w:t>
      </w:r>
      <w:r w:rsidR="00DD29E1">
        <w:rPr>
          <w:rFonts w:ascii="Times New Roman" w:hAnsi="Times New Roman" w:cs="Times New Roman"/>
          <w:sz w:val="24"/>
          <w:szCs w:val="24"/>
          <w:u w:val="single"/>
        </w:rPr>
        <w:t>p</w:t>
      </w:r>
      <w:r w:rsidR="00DD29E1" w:rsidRPr="00B14788">
        <w:rPr>
          <w:rFonts w:ascii="Times New Roman" w:hAnsi="Times New Roman" w:cs="Times New Roman"/>
          <w:sz w:val="24"/>
          <w:szCs w:val="24"/>
          <w:u w:val="single"/>
        </w:rPr>
        <w:t>rogression</w:t>
      </w:r>
      <w:r w:rsidR="00DD29E1">
        <w:rPr>
          <w:rFonts w:ascii="Times New Roman" w:hAnsi="Times New Roman" w:cs="Times New Roman"/>
          <w:sz w:val="24"/>
          <w:szCs w:val="24"/>
          <w:u w:val="single"/>
        </w:rPr>
        <w:t xml:space="preserve"> to severe </w:t>
      </w:r>
      <w:r w:rsidR="00173F84">
        <w:rPr>
          <w:rFonts w:ascii="Times New Roman" w:hAnsi="Times New Roman" w:cs="Times New Roman"/>
          <w:sz w:val="24"/>
          <w:szCs w:val="24"/>
          <w:u w:val="single"/>
        </w:rPr>
        <w:t>d</w:t>
      </w:r>
      <w:r w:rsidRPr="00B14788">
        <w:rPr>
          <w:rFonts w:ascii="Times New Roman" w:hAnsi="Times New Roman" w:cs="Times New Roman"/>
          <w:sz w:val="24"/>
          <w:szCs w:val="24"/>
          <w:u w:val="single"/>
        </w:rPr>
        <w:t>isease</w:t>
      </w:r>
      <w:r w:rsidR="00114304">
        <w:rPr>
          <w:rFonts w:ascii="Times New Roman" w:hAnsi="Times New Roman" w:cs="Times New Roman"/>
          <w:sz w:val="24"/>
          <w:szCs w:val="24"/>
          <w:u w:val="single"/>
        </w:rPr>
        <w:t>)</w:t>
      </w:r>
    </w:p>
    <w:bookmarkEnd w:id="15"/>
    <w:p w14:paraId="794D8CDC" w14:textId="77777777" w:rsidR="00B14788" w:rsidRDefault="00B14788" w:rsidP="000713E6">
      <w:pPr>
        <w:autoSpaceDE w:val="0"/>
        <w:autoSpaceDN w:val="0"/>
        <w:adjustRightInd w:val="0"/>
        <w:spacing w:after="0" w:line="240" w:lineRule="auto"/>
        <w:rPr>
          <w:rFonts w:ascii="Times New Roman" w:hAnsi="Times New Roman" w:cs="Times New Roman"/>
          <w:sz w:val="24"/>
          <w:szCs w:val="24"/>
        </w:rPr>
      </w:pPr>
    </w:p>
    <w:p w14:paraId="794D8CDD" w14:textId="2BDA4E57" w:rsidR="005B7471" w:rsidRPr="005B7471" w:rsidRDefault="00270E87" w:rsidP="005B7471">
      <w:pPr>
        <w:autoSpaceDE w:val="0"/>
        <w:autoSpaceDN w:val="0"/>
        <w:adjustRightInd w:val="0"/>
        <w:spacing w:after="0" w:line="240" w:lineRule="auto"/>
        <w:rPr>
          <w:rFonts w:ascii="Times New Roman" w:hAnsi="Times New Roman" w:cs="Times New Roman"/>
          <w:sz w:val="24"/>
          <w:szCs w:val="24"/>
        </w:rPr>
      </w:pPr>
      <w:r w:rsidRPr="005B7471">
        <w:rPr>
          <w:rFonts w:ascii="Times New Roman" w:hAnsi="Times New Roman" w:cs="Times New Roman"/>
          <w:sz w:val="24"/>
          <w:szCs w:val="24"/>
        </w:rPr>
        <w:t>A randomised, double-blind, placebo-controlled, multi-centre clinical trial evaluate</w:t>
      </w:r>
      <w:r w:rsidR="00C00368">
        <w:rPr>
          <w:rFonts w:ascii="Times New Roman" w:hAnsi="Times New Roman" w:cs="Times New Roman"/>
          <w:sz w:val="24"/>
          <w:szCs w:val="24"/>
        </w:rPr>
        <w:t>d</w:t>
      </w:r>
      <w:r w:rsidRPr="005B7471">
        <w:rPr>
          <w:rFonts w:ascii="Times New Roman" w:hAnsi="Times New Roman" w:cs="Times New Roman"/>
          <w:sz w:val="24"/>
          <w:szCs w:val="24"/>
        </w:rPr>
        <w:t xml:space="preserve"> treatment with </w:t>
      </w:r>
      <w:r w:rsidR="00152C09">
        <w:rPr>
          <w:rFonts w:ascii="Times New Roman" w:hAnsi="Times New Roman" w:cs="Times New Roman"/>
          <w:sz w:val="24"/>
          <w:szCs w:val="24"/>
        </w:rPr>
        <w:t>VEKLURY</w:t>
      </w:r>
      <w:r w:rsidRPr="005B7471">
        <w:rPr>
          <w:rFonts w:ascii="Times New Roman" w:hAnsi="Times New Roman" w:cs="Times New Roman"/>
          <w:sz w:val="24"/>
          <w:szCs w:val="24"/>
        </w:rPr>
        <w:t xml:space="preserve"> in an outpatient setting in 562 adult and adolescent (12 years of age and older and weighing at least 40 kg) patients with confirmed COVID-19 and at least one risk factor for disease progression to hospitalisation. Risk factors for disease progression </w:t>
      </w:r>
      <w:proofErr w:type="gramStart"/>
      <w:r w:rsidRPr="005B7471">
        <w:rPr>
          <w:rFonts w:ascii="Times New Roman" w:hAnsi="Times New Roman" w:cs="Times New Roman"/>
          <w:sz w:val="24"/>
          <w:szCs w:val="24"/>
        </w:rPr>
        <w:t>were:</w:t>
      </w:r>
      <w:proofErr w:type="gramEnd"/>
      <w:r w:rsidRPr="005B7471">
        <w:rPr>
          <w:rFonts w:ascii="Times New Roman" w:hAnsi="Times New Roman" w:cs="Times New Roman"/>
          <w:sz w:val="24"/>
          <w:szCs w:val="24"/>
        </w:rPr>
        <w:t xml:space="preserve"> aged ≥60 years, chronic lung disease, hypertension, cardiovascular or cerebrovascular disease, diabetes mellitus, obesity, immunocompromised state, chronic mild or moderate kidney disease, chronic liver disease, current cancer, or sickle cell disease. Vaccinated patients were excluded from the study.</w:t>
      </w:r>
    </w:p>
    <w:p w14:paraId="794D8CDE" w14:textId="77777777" w:rsidR="005B7471" w:rsidRPr="005B7471" w:rsidRDefault="005B7471" w:rsidP="005B7471">
      <w:pPr>
        <w:autoSpaceDE w:val="0"/>
        <w:autoSpaceDN w:val="0"/>
        <w:adjustRightInd w:val="0"/>
        <w:spacing w:after="0" w:line="240" w:lineRule="auto"/>
        <w:rPr>
          <w:rFonts w:ascii="Times New Roman" w:hAnsi="Times New Roman" w:cs="Times New Roman"/>
          <w:sz w:val="24"/>
          <w:szCs w:val="24"/>
        </w:rPr>
      </w:pPr>
    </w:p>
    <w:p w14:paraId="794D8CDF" w14:textId="72AACB61" w:rsidR="005B7471" w:rsidRPr="005B7471" w:rsidRDefault="00270E87" w:rsidP="005B7471">
      <w:pPr>
        <w:autoSpaceDE w:val="0"/>
        <w:autoSpaceDN w:val="0"/>
        <w:adjustRightInd w:val="0"/>
        <w:spacing w:after="0" w:line="240" w:lineRule="auto"/>
        <w:rPr>
          <w:rFonts w:ascii="Times New Roman" w:hAnsi="Times New Roman" w:cs="Times New Roman"/>
          <w:sz w:val="24"/>
          <w:szCs w:val="24"/>
        </w:rPr>
      </w:pPr>
      <w:r w:rsidRPr="005B7471">
        <w:rPr>
          <w:rFonts w:ascii="Times New Roman" w:hAnsi="Times New Roman" w:cs="Times New Roman"/>
          <w:sz w:val="24"/>
          <w:szCs w:val="24"/>
        </w:rPr>
        <w:t xml:space="preserve">Patients treated with </w:t>
      </w:r>
      <w:r w:rsidR="00152C09">
        <w:rPr>
          <w:rFonts w:ascii="Times New Roman" w:hAnsi="Times New Roman" w:cs="Times New Roman"/>
          <w:sz w:val="24"/>
          <w:szCs w:val="24"/>
        </w:rPr>
        <w:t>VEKLURY</w:t>
      </w:r>
      <w:r w:rsidRPr="005B7471">
        <w:rPr>
          <w:rFonts w:ascii="Times New Roman" w:hAnsi="Times New Roman" w:cs="Times New Roman"/>
          <w:sz w:val="24"/>
          <w:szCs w:val="24"/>
        </w:rPr>
        <w:t xml:space="preserve"> received 200 mg on Day 1 and 100 mg once daily on subsequent days for a total of 3 days of intravenously administered therapy. Patients were randomized in a 1:1 manner, stratified by residence in a skilled nursing facility (yes/no), age (&lt;60 vs ≥60 years), and region (US vs ex-US) to receive </w:t>
      </w:r>
      <w:r w:rsidR="00152C09">
        <w:rPr>
          <w:rFonts w:ascii="Times New Roman" w:hAnsi="Times New Roman" w:cs="Times New Roman"/>
          <w:sz w:val="24"/>
          <w:szCs w:val="24"/>
        </w:rPr>
        <w:t>VEKLURY</w:t>
      </w:r>
      <w:r w:rsidRPr="005B7471">
        <w:rPr>
          <w:rFonts w:ascii="Times New Roman" w:hAnsi="Times New Roman" w:cs="Times New Roman"/>
          <w:sz w:val="24"/>
          <w:szCs w:val="24"/>
        </w:rPr>
        <w:t xml:space="preserve"> (n=279) or placebo (n=283), plus standard of care.</w:t>
      </w:r>
    </w:p>
    <w:p w14:paraId="794D8CE0" w14:textId="77777777" w:rsidR="005B7471" w:rsidRPr="005B7471" w:rsidRDefault="005B7471" w:rsidP="005B7471">
      <w:pPr>
        <w:autoSpaceDE w:val="0"/>
        <w:autoSpaceDN w:val="0"/>
        <w:adjustRightInd w:val="0"/>
        <w:spacing w:after="0" w:line="240" w:lineRule="auto"/>
        <w:rPr>
          <w:rFonts w:ascii="Times New Roman" w:hAnsi="Times New Roman" w:cs="Times New Roman"/>
          <w:sz w:val="24"/>
          <w:szCs w:val="24"/>
        </w:rPr>
      </w:pPr>
    </w:p>
    <w:p w14:paraId="794D8CE1" w14:textId="29C19AF5" w:rsidR="005B7471" w:rsidRPr="005B7471" w:rsidRDefault="00270E87" w:rsidP="005B7471">
      <w:pPr>
        <w:autoSpaceDE w:val="0"/>
        <w:autoSpaceDN w:val="0"/>
        <w:adjustRightInd w:val="0"/>
        <w:spacing w:after="0" w:line="240" w:lineRule="auto"/>
        <w:rPr>
          <w:rFonts w:ascii="Times New Roman" w:hAnsi="Times New Roman" w:cs="Times New Roman"/>
          <w:sz w:val="24"/>
          <w:szCs w:val="24"/>
        </w:rPr>
      </w:pPr>
      <w:r w:rsidRPr="005B7471">
        <w:rPr>
          <w:rFonts w:ascii="Times New Roman" w:hAnsi="Times New Roman" w:cs="Times New Roman"/>
          <w:sz w:val="24"/>
          <w:szCs w:val="24"/>
        </w:rPr>
        <w:t>At baseline, mean age was 50 years (with 30% of patients aged 60 or older); 52% were male, 80% were White, 8% were Black, 2% were Asian, 44% were Hispanic or Latino; median body mass index was 30.7 kg/m</w:t>
      </w:r>
      <w:r w:rsidRPr="00A53599">
        <w:rPr>
          <w:rFonts w:ascii="Times New Roman" w:hAnsi="Times New Roman" w:cs="Times New Roman"/>
          <w:sz w:val="24"/>
          <w:szCs w:val="24"/>
          <w:vertAlign w:val="superscript"/>
        </w:rPr>
        <w:t>2</w:t>
      </w:r>
      <w:r w:rsidRPr="005B7471">
        <w:rPr>
          <w:rFonts w:ascii="Times New Roman" w:hAnsi="Times New Roman" w:cs="Times New Roman"/>
          <w:sz w:val="24"/>
          <w:szCs w:val="24"/>
        </w:rPr>
        <w:t>. The most common comorbidities were diabetes mellitus (62%), obesity (56%), and hypertension (48%). Median (Q1, Q3) duration of symptoms prior to treatment was 5 (3,6) days; median viral load was 6.3 log</w:t>
      </w:r>
      <w:r w:rsidRPr="00A53599">
        <w:rPr>
          <w:rFonts w:ascii="Times New Roman" w:hAnsi="Times New Roman" w:cs="Times New Roman"/>
          <w:sz w:val="24"/>
          <w:szCs w:val="24"/>
          <w:vertAlign w:val="subscript"/>
        </w:rPr>
        <w:t>10</w:t>
      </w:r>
      <w:r w:rsidRPr="005B7471">
        <w:rPr>
          <w:rFonts w:ascii="Times New Roman" w:hAnsi="Times New Roman" w:cs="Times New Roman"/>
          <w:sz w:val="24"/>
          <w:szCs w:val="24"/>
        </w:rPr>
        <w:t xml:space="preserve"> copies/mL at baseline. The baseline demographics and disease characteristics were balanced across the </w:t>
      </w:r>
      <w:r w:rsidR="00152C09">
        <w:rPr>
          <w:rFonts w:ascii="Times New Roman" w:hAnsi="Times New Roman" w:cs="Times New Roman"/>
          <w:sz w:val="24"/>
          <w:szCs w:val="24"/>
        </w:rPr>
        <w:t>VEKLURY</w:t>
      </w:r>
      <w:r w:rsidRPr="005B7471">
        <w:rPr>
          <w:rFonts w:ascii="Times New Roman" w:hAnsi="Times New Roman" w:cs="Times New Roman"/>
          <w:sz w:val="24"/>
          <w:szCs w:val="24"/>
        </w:rPr>
        <w:t xml:space="preserve"> and placebo treatment groups.</w:t>
      </w:r>
    </w:p>
    <w:p w14:paraId="794D8CE2" w14:textId="77777777" w:rsidR="005B7471" w:rsidRPr="005B7471" w:rsidRDefault="005B7471" w:rsidP="005B7471">
      <w:pPr>
        <w:autoSpaceDE w:val="0"/>
        <w:autoSpaceDN w:val="0"/>
        <w:adjustRightInd w:val="0"/>
        <w:spacing w:after="0" w:line="240" w:lineRule="auto"/>
        <w:rPr>
          <w:rFonts w:ascii="Times New Roman" w:hAnsi="Times New Roman" w:cs="Times New Roman"/>
          <w:sz w:val="24"/>
          <w:szCs w:val="24"/>
        </w:rPr>
      </w:pPr>
    </w:p>
    <w:p w14:paraId="794D8CE3" w14:textId="23A34A36" w:rsidR="005B7471" w:rsidRDefault="00270E87" w:rsidP="005B7471">
      <w:pPr>
        <w:autoSpaceDE w:val="0"/>
        <w:autoSpaceDN w:val="0"/>
        <w:adjustRightInd w:val="0"/>
        <w:spacing w:after="0" w:line="240" w:lineRule="auto"/>
        <w:rPr>
          <w:rFonts w:ascii="Times New Roman" w:hAnsi="Times New Roman" w:cs="Times New Roman"/>
          <w:sz w:val="24"/>
          <w:szCs w:val="24"/>
        </w:rPr>
      </w:pPr>
      <w:r w:rsidRPr="005B7471">
        <w:rPr>
          <w:rFonts w:ascii="Times New Roman" w:hAnsi="Times New Roman" w:cs="Times New Roman"/>
          <w:sz w:val="24"/>
          <w:szCs w:val="24"/>
        </w:rPr>
        <w:t>The primary endpoint was the proportion of patients with COVID-19 related hospitalisation (defined as at least 24 hours of acute care) or all-cause 28-day mortality. Events (COVID-19</w:t>
      </w:r>
      <w:r w:rsidR="00663CA2">
        <w:rPr>
          <w:rFonts w:ascii="Times New Roman" w:hAnsi="Times New Roman" w:cs="Times New Roman"/>
          <w:sz w:val="24"/>
          <w:szCs w:val="24"/>
        </w:rPr>
        <w:t xml:space="preserve"> </w:t>
      </w:r>
      <w:r w:rsidRPr="005B7471">
        <w:rPr>
          <w:rFonts w:ascii="Times New Roman" w:hAnsi="Times New Roman" w:cs="Times New Roman"/>
          <w:sz w:val="24"/>
          <w:szCs w:val="24"/>
        </w:rPr>
        <w:t xml:space="preserve">related hospitalisation or all-cause 28-day mortality) occurred in 2 (0.7%) patients treated with </w:t>
      </w:r>
      <w:r w:rsidR="00152C09">
        <w:rPr>
          <w:rFonts w:ascii="Times New Roman" w:hAnsi="Times New Roman" w:cs="Times New Roman"/>
          <w:sz w:val="24"/>
          <w:szCs w:val="24"/>
        </w:rPr>
        <w:t>VEKLURY</w:t>
      </w:r>
      <w:r w:rsidRPr="005B7471">
        <w:rPr>
          <w:rFonts w:ascii="Times New Roman" w:hAnsi="Times New Roman" w:cs="Times New Roman"/>
          <w:sz w:val="24"/>
          <w:szCs w:val="24"/>
        </w:rPr>
        <w:t xml:space="preserve"> compared to 15 (5.3%) patients concurrently randomized to placebo, demonstrating an 87% reduction in COVID-19-related hospitalisation or all-cause mortality compared to placebo (hazard ratio, 0.134 [95% CI, 0.031 to 0.586]; p=0.0076). The absolute risk reduction was 4.6% (95% CI, 1.8% to 7.5%). No deaths were observed at Day 28.</w:t>
      </w:r>
    </w:p>
    <w:p w14:paraId="794D8CE4" w14:textId="61A01931" w:rsidR="005B7471" w:rsidRDefault="005B7471" w:rsidP="000713E6">
      <w:pPr>
        <w:autoSpaceDE w:val="0"/>
        <w:autoSpaceDN w:val="0"/>
        <w:adjustRightInd w:val="0"/>
        <w:spacing w:after="0" w:line="240" w:lineRule="auto"/>
        <w:rPr>
          <w:rFonts w:ascii="Times New Roman" w:hAnsi="Times New Roman" w:cs="Times New Roman"/>
          <w:sz w:val="24"/>
          <w:szCs w:val="24"/>
        </w:rPr>
      </w:pPr>
    </w:p>
    <w:p w14:paraId="65BAEA4C" w14:textId="27018E5D" w:rsidR="00DD29E1" w:rsidRPr="006C30C7" w:rsidRDefault="00270E87" w:rsidP="00DD29E1">
      <w:pPr>
        <w:autoSpaceDE w:val="0"/>
        <w:autoSpaceDN w:val="0"/>
        <w:adjustRightInd w:val="0"/>
        <w:spacing w:after="0" w:line="240" w:lineRule="auto"/>
        <w:rPr>
          <w:rFonts w:ascii="Times New Roman" w:hAnsi="Times New Roman" w:cs="Times New Roman"/>
          <w:sz w:val="24"/>
          <w:szCs w:val="24"/>
          <w:u w:val="single"/>
        </w:rPr>
      </w:pPr>
      <w:bookmarkStart w:id="16" w:name="_Hlk102391704"/>
      <w:r w:rsidRPr="006C30C7">
        <w:rPr>
          <w:rFonts w:ascii="Times New Roman" w:hAnsi="Times New Roman" w:cs="Times New Roman"/>
          <w:sz w:val="24"/>
          <w:szCs w:val="24"/>
          <w:u w:val="single"/>
        </w:rPr>
        <w:t xml:space="preserve">Study GS-US-540-5823 </w:t>
      </w:r>
      <w:r w:rsidR="00D62FF4" w:rsidRPr="006C30C7">
        <w:rPr>
          <w:rFonts w:ascii="Times New Roman" w:hAnsi="Times New Roman" w:cs="Times New Roman"/>
          <w:sz w:val="24"/>
          <w:szCs w:val="24"/>
          <w:u w:val="single"/>
        </w:rPr>
        <w:t>(</w:t>
      </w:r>
      <w:r w:rsidR="006B4C47" w:rsidRPr="006C30C7">
        <w:rPr>
          <w:rFonts w:ascii="Times New Roman" w:hAnsi="Times New Roman" w:cs="Times New Roman"/>
          <w:sz w:val="24"/>
          <w:szCs w:val="24"/>
          <w:u w:val="single"/>
        </w:rPr>
        <w:t>hospitalised p</w:t>
      </w:r>
      <w:r w:rsidR="00434A7E" w:rsidRPr="006C30C7">
        <w:rPr>
          <w:rFonts w:ascii="Times New Roman" w:hAnsi="Times New Roman" w:cs="Times New Roman"/>
          <w:sz w:val="24"/>
          <w:szCs w:val="24"/>
          <w:u w:val="single"/>
        </w:rPr>
        <w:t>a</w:t>
      </w:r>
      <w:r w:rsidR="006B4C47" w:rsidRPr="006C30C7">
        <w:rPr>
          <w:rFonts w:ascii="Times New Roman" w:hAnsi="Times New Roman" w:cs="Times New Roman"/>
          <w:sz w:val="24"/>
          <w:szCs w:val="24"/>
          <w:u w:val="single"/>
        </w:rPr>
        <w:t xml:space="preserve">ediatric </w:t>
      </w:r>
      <w:r w:rsidR="00787208" w:rsidRPr="006C30C7">
        <w:rPr>
          <w:rFonts w:ascii="Times New Roman" w:hAnsi="Times New Roman" w:cs="Times New Roman"/>
          <w:sz w:val="24"/>
          <w:szCs w:val="24"/>
          <w:u w:val="single"/>
        </w:rPr>
        <w:t>patients</w:t>
      </w:r>
      <w:r w:rsidR="006B4C47" w:rsidRPr="006C30C7">
        <w:rPr>
          <w:rFonts w:ascii="Times New Roman" w:hAnsi="Times New Roman" w:cs="Times New Roman"/>
          <w:sz w:val="24"/>
          <w:szCs w:val="24"/>
          <w:u w:val="single"/>
        </w:rPr>
        <w:t xml:space="preserve"> 28 days to &lt;18 years of age and weighing at least 3 kg with COVID-19</w:t>
      </w:r>
      <w:r w:rsidR="00D62FF4" w:rsidRPr="006C30C7">
        <w:rPr>
          <w:rFonts w:ascii="Times New Roman" w:hAnsi="Times New Roman" w:cs="Times New Roman"/>
          <w:sz w:val="24"/>
          <w:szCs w:val="24"/>
          <w:u w:val="single"/>
        </w:rPr>
        <w:t>)</w:t>
      </w:r>
    </w:p>
    <w:bookmarkEnd w:id="16"/>
    <w:p w14:paraId="24B7E8C0" w14:textId="77777777" w:rsidR="00DD29E1" w:rsidRDefault="00DD29E1" w:rsidP="00DD29E1">
      <w:pPr>
        <w:autoSpaceDE w:val="0"/>
        <w:autoSpaceDN w:val="0"/>
        <w:adjustRightInd w:val="0"/>
        <w:spacing w:after="0" w:line="240" w:lineRule="auto"/>
        <w:rPr>
          <w:rFonts w:ascii="Times New Roman" w:hAnsi="Times New Roman" w:cs="Times New Roman"/>
          <w:sz w:val="24"/>
          <w:szCs w:val="24"/>
        </w:rPr>
      </w:pPr>
    </w:p>
    <w:p w14:paraId="4EBB4119" w14:textId="1D559F74" w:rsidR="00DD29E1" w:rsidRDefault="00270E87" w:rsidP="00DD29E1">
      <w:pPr>
        <w:autoSpaceDE w:val="0"/>
        <w:autoSpaceDN w:val="0"/>
        <w:adjustRightInd w:val="0"/>
        <w:spacing w:after="0" w:line="240" w:lineRule="auto"/>
        <w:rPr>
          <w:rFonts w:ascii="Times New Roman" w:hAnsi="Times New Roman" w:cs="Times New Roman"/>
          <w:sz w:val="24"/>
          <w:szCs w:val="24"/>
        </w:rPr>
      </w:pPr>
      <w:r w:rsidRPr="00DD29E1">
        <w:rPr>
          <w:rFonts w:ascii="Times New Roman" w:hAnsi="Times New Roman" w:cs="Times New Roman"/>
          <w:sz w:val="24"/>
          <w:szCs w:val="24"/>
        </w:rPr>
        <w:t>The primary objectives of this Phase 2/3 single-arm, open-label clinical study (Study GS-US-540-5823) were to evaluate pharmacokinetics and safety of up to 10 days of treatment with VEKLURY in p</w:t>
      </w:r>
      <w:r w:rsidR="00434A7E">
        <w:rPr>
          <w:rFonts w:ascii="Times New Roman" w:hAnsi="Times New Roman" w:cs="Times New Roman"/>
          <w:sz w:val="24"/>
          <w:szCs w:val="24"/>
        </w:rPr>
        <w:t>a</w:t>
      </w:r>
      <w:r w:rsidRPr="00DD29E1">
        <w:rPr>
          <w:rFonts w:ascii="Times New Roman" w:hAnsi="Times New Roman" w:cs="Times New Roman"/>
          <w:sz w:val="24"/>
          <w:szCs w:val="24"/>
        </w:rPr>
        <w:t xml:space="preserve">ediatric </w:t>
      </w:r>
      <w:r w:rsidR="00787208">
        <w:rPr>
          <w:rFonts w:ascii="Times New Roman" w:hAnsi="Times New Roman" w:cs="Times New Roman"/>
          <w:sz w:val="24"/>
          <w:szCs w:val="24"/>
        </w:rPr>
        <w:t>patients</w:t>
      </w:r>
      <w:r w:rsidRPr="00DD29E1">
        <w:rPr>
          <w:rFonts w:ascii="Times New Roman" w:hAnsi="Times New Roman" w:cs="Times New Roman"/>
          <w:sz w:val="24"/>
          <w:szCs w:val="24"/>
        </w:rPr>
        <w:t>. A total of 53 p</w:t>
      </w:r>
      <w:r w:rsidR="00434A7E">
        <w:rPr>
          <w:rFonts w:ascii="Times New Roman" w:hAnsi="Times New Roman" w:cs="Times New Roman"/>
          <w:sz w:val="24"/>
          <w:szCs w:val="24"/>
        </w:rPr>
        <w:t>a</w:t>
      </w:r>
      <w:r w:rsidRPr="00DD29E1">
        <w:rPr>
          <w:rFonts w:ascii="Times New Roman" w:hAnsi="Times New Roman" w:cs="Times New Roman"/>
          <w:sz w:val="24"/>
          <w:szCs w:val="24"/>
        </w:rPr>
        <w:t xml:space="preserve">ediatric </w:t>
      </w:r>
      <w:r w:rsidR="00787208">
        <w:rPr>
          <w:rFonts w:ascii="Times New Roman" w:hAnsi="Times New Roman" w:cs="Times New Roman"/>
          <w:sz w:val="24"/>
          <w:szCs w:val="24"/>
        </w:rPr>
        <w:t>patients</w:t>
      </w:r>
      <w:r w:rsidRPr="00DD29E1">
        <w:rPr>
          <w:rFonts w:ascii="Times New Roman" w:hAnsi="Times New Roman" w:cs="Times New Roman"/>
          <w:sz w:val="24"/>
          <w:szCs w:val="24"/>
        </w:rPr>
        <w:t xml:space="preserve"> at least 28 days of age and weighing at least 3 kg with confirmed SARS-CoV-2 infection and mild, moderate, or severe COVID-19 was evaluated in five cohorts: subjects ≥12 years and weighing ≥40 kg (n=12); subjects &lt;12 years and weighing ≥40 kg (n=5); subjects ≥28 days and weighing ≥20 to &lt;40 kg (n=12); subjects ≥28 days and weighing ≥12 to &lt;20 kg (n=12); and subjects ≥28 days and weighing ≥3 to &lt;12 kg (n=12). Subjects weighing ≥40 kg received 200 mg of VEKLURY on Day 1 followed by VEKLURY 100 mg once daily on subsequent days; subjects weighing ≥3 </w:t>
      </w:r>
      <w:r w:rsidRPr="00DD29E1">
        <w:rPr>
          <w:rFonts w:ascii="Times New Roman" w:hAnsi="Times New Roman" w:cs="Times New Roman"/>
          <w:sz w:val="24"/>
          <w:szCs w:val="24"/>
        </w:rPr>
        <w:lastRenderedPageBreak/>
        <w:t xml:space="preserve">kg to &lt;40 kg received VEKLURY 5 mg/kg on Day 1 followed by VEKLURY 2.5 mg/kg once daily on subsequent days. Assessments occurred at the following intervals: Screening; Day 1 (Baseline); Days 2-10, or until discharge, whichever came earlier; Follow-Up on Day 30 (±5). Treatment with VEKLURY was stopped in </w:t>
      </w:r>
      <w:r w:rsidR="00B7658A">
        <w:rPr>
          <w:rFonts w:ascii="Times New Roman" w:hAnsi="Times New Roman" w:cs="Times New Roman"/>
          <w:sz w:val="24"/>
          <w:szCs w:val="24"/>
        </w:rPr>
        <w:t>patients</w:t>
      </w:r>
      <w:r w:rsidRPr="00DD29E1">
        <w:rPr>
          <w:rFonts w:ascii="Times New Roman" w:hAnsi="Times New Roman" w:cs="Times New Roman"/>
          <w:sz w:val="24"/>
          <w:szCs w:val="24"/>
        </w:rPr>
        <w:t xml:space="preserve"> who were discharged from the hospital prior to the completion of 10 days of treatment.</w:t>
      </w:r>
    </w:p>
    <w:p w14:paraId="35DF89F8" w14:textId="77777777" w:rsidR="00D62FF4" w:rsidRPr="00DD29E1" w:rsidRDefault="00D62FF4" w:rsidP="00DD29E1">
      <w:pPr>
        <w:autoSpaceDE w:val="0"/>
        <w:autoSpaceDN w:val="0"/>
        <w:adjustRightInd w:val="0"/>
        <w:spacing w:after="0" w:line="240" w:lineRule="auto"/>
        <w:rPr>
          <w:rFonts w:ascii="Times New Roman" w:hAnsi="Times New Roman" w:cs="Times New Roman"/>
          <w:sz w:val="24"/>
          <w:szCs w:val="24"/>
        </w:rPr>
      </w:pPr>
    </w:p>
    <w:p w14:paraId="00BD2D9C" w14:textId="04655CBD" w:rsidR="00DD29E1" w:rsidRDefault="00270E87" w:rsidP="00DD29E1">
      <w:pPr>
        <w:autoSpaceDE w:val="0"/>
        <w:autoSpaceDN w:val="0"/>
        <w:adjustRightInd w:val="0"/>
        <w:spacing w:after="0" w:line="240" w:lineRule="auto"/>
        <w:rPr>
          <w:rFonts w:ascii="Times New Roman" w:hAnsi="Times New Roman" w:cs="Times New Roman"/>
          <w:sz w:val="24"/>
          <w:szCs w:val="24"/>
        </w:rPr>
      </w:pPr>
      <w:r w:rsidRPr="00DD29E1">
        <w:rPr>
          <w:rFonts w:ascii="Times New Roman" w:hAnsi="Times New Roman" w:cs="Times New Roman"/>
          <w:sz w:val="24"/>
          <w:szCs w:val="24"/>
        </w:rPr>
        <w:t xml:space="preserve">At baseline, median age was 7 years (Q1, Q3: 2 years, 12 years); 57% were female, 70% were White, 30% were Black, and 44% were Hispanic or Latino; median weight was 25 kg (range: 4 to 192 kg). </w:t>
      </w:r>
      <w:r w:rsidR="005D48C8">
        <w:rPr>
          <w:rFonts w:ascii="Times New Roman" w:hAnsi="Times New Roman" w:cs="Times New Roman"/>
          <w:sz w:val="24"/>
          <w:szCs w:val="24"/>
        </w:rPr>
        <w:t>Patients</w:t>
      </w:r>
      <w:r w:rsidRPr="00DD29E1">
        <w:rPr>
          <w:rFonts w:ascii="Times New Roman" w:hAnsi="Times New Roman" w:cs="Times New Roman"/>
          <w:sz w:val="24"/>
          <w:szCs w:val="24"/>
        </w:rPr>
        <w:t xml:space="preserve"> in this trial were unvaccinated. A total of 12 </w:t>
      </w:r>
      <w:r w:rsidR="005D48C8">
        <w:rPr>
          <w:rFonts w:ascii="Times New Roman" w:hAnsi="Times New Roman" w:cs="Times New Roman"/>
          <w:sz w:val="24"/>
          <w:szCs w:val="24"/>
        </w:rPr>
        <w:t>patients</w:t>
      </w:r>
      <w:r w:rsidRPr="00DD29E1">
        <w:rPr>
          <w:rFonts w:ascii="Times New Roman" w:hAnsi="Times New Roman" w:cs="Times New Roman"/>
          <w:sz w:val="24"/>
          <w:szCs w:val="24"/>
        </w:rPr>
        <w:t xml:space="preserve"> (23%) were on invasive mechanical ventilation, 18 (34%) were on non-invasive ventilation or high-flow oxygen; 10 (19%) were on low-flow oxygen; and 13 (25%) were on room air, at baseline. The overall median (Q1, Q3) duration of symptoms and hospitalization prior to first dose of VEKLURY was 5 (3, 7) days and 1 (1, 3) day, respectively.</w:t>
      </w:r>
    </w:p>
    <w:p w14:paraId="73F9B00E" w14:textId="77777777" w:rsidR="00D62FF4" w:rsidRPr="00DD29E1" w:rsidRDefault="00D62FF4" w:rsidP="00DD29E1">
      <w:pPr>
        <w:autoSpaceDE w:val="0"/>
        <w:autoSpaceDN w:val="0"/>
        <w:adjustRightInd w:val="0"/>
        <w:spacing w:after="0" w:line="240" w:lineRule="auto"/>
        <w:rPr>
          <w:rFonts w:ascii="Times New Roman" w:hAnsi="Times New Roman" w:cs="Times New Roman"/>
          <w:sz w:val="24"/>
          <w:szCs w:val="24"/>
        </w:rPr>
      </w:pPr>
    </w:p>
    <w:p w14:paraId="748B5EC2" w14:textId="4CE3FA3A" w:rsidR="00DD29E1" w:rsidRDefault="00270E87" w:rsidP="00DD29E1">
      <w:pPr>
        <w:autoSpaceDE w:val="0"/>
        <w:autoSpaceDN w:val="0"/>
        <w:adjustRightInd w:val="0"/>
        <w:spacing w:after="0" w:line="240" w:lineRule="auto"/>
        <w:rPr>
          <w:rFonts w:ascii="Times New Roman" w:hAnsi="Times New Roman" w:cs="Times New Roman"/>
          <w:sz w:val="24"/>
          <w:szCs w:val="24"/>
        </w:rPr>
      </w:pPr>
      <w:r w:rsidRPr="00DD29E1">
        <w:rPr>
          <w:rFonts w:ascii="Times New Roman" w:hAnsi="Times New Roman" w:cs="Times New Roman"/>
          <w:sz w:val="24"/>
          <w:szCs w:val="24"/>
        </w:rPr>
        <w:t>The descriptive outcome analyses showed treatment with VEKLURY for up to 10 days resulted in an overall median (Q1, Q3) change from baseline in clinical status (assessed on a 7-point ordinal scale ranging from death [score of 1] to ventilatory support and decreasing levels of oxygen to hospital discharge [score of 7]) of +2.0 (1.0, 4.0) points on Day 10.</w:t>
      </w:r>
    </w:p>
    <w:p w14:paraId="610367B3" w14:textId="77777777" w:rsidR="00D62FF4" w:rsidRPr="00DD29E1" w:rsidRDefault="00D62FF4" w:rsidP="00DD29E1">
      <w:pPr>
        <w:autoSpaceDE w:val="0"/>
        <w:autoSpaceDN w:val="0"/>
        <w:adjustRightInd w:val="0"/>
        <w:spacing w:after="0" w:line="240" w:lineRule="auto"/>
        <w:rPr>
          <w:rFonts w:ascii="Times New Roman" w:hAnsi="Times New Roman" w:cs="Times New Roman"/>
          <w:sz w:val="24"/>
          <w:szCs w:val="24"/>
        </w:rPr>
      </w:pPr>
    </w:p>
    <w:p w14:paraId="21BF354F" w14:textId="5AAE15B1" w:rsidR="00DD29E1" w:rsidRDefault="00270E87" w:rsidP="00DD29E1">
      <w:pPr>
        <w:autoSpaceDE w:val="0"/>
        <w:autoSpaceDN w:val="0"/>
        <w:adjustRightInd w:val="0"/>
        <w:spacing w:after="0" w:line="240" w:lineRule="auto"/>
        <w:rPr>
          <w:rFonts w:ascii="Times New Roman" w:hAnsi="Times New Roman" w:cs="Times New Roman"/>
          <w:sz w:val="24"/>
          <w:szCs w:val="24"/>
        </w:rPr>
      </w:pPr>
      <w:r w:rsidRPr="00DD29E1">
        <w:rPr>
          <w:rFonts w:ascii="Times New Roman" w:hAnsi="Times New Roman" w:cs="Times New Roman"/>
          <w:sz w:val="24"/>
          <w:szCs w:val="24"/>
        </w:rPr>
        <w:t xml:space="preserve">Recovery (defined as an improvement from a baseline clinical status score of 2 through 5 to a score of 6 or 7, or an improvement from a baseline score of 6 to a score of 7) was reported for 62% of subjects on Day 10; median (Q1, Q3) time to recovery was 7 (5, 16) days. </w:t>
      </w:r>
    </w:p>
    <w:p w14:paraId="63831512" w14:textId="77777777" w:rsidR="00D62FF4" w:rsidRPr="00DD29E1" w:rsidRDefault="00D62FF4" w:rsidP="00DD29E1">
      <w:pPr>
        <w:autoSpaceDE w:val="0"/>
        <w:autoSpaceDN w:val="0"/>
        <w:adjustRightInd w:val="0"/>
        <w:spacing w:after="0" w:line="240" w:lineRule="auto"/>
        <w:rPr>
          <w:rFonts w:ascii="Times New Roman" w:hAnsi="Times New Roman" w:cs="Times New Roman"/>
          <w:sz w:val="24"/>
          <w:szCs w:val="24"/>
        </w:rPr>
      </w:pPr>
    </w:p>
    <w:p w14:paraId="55F35FAA" w14:textId="260EBA32" w:rsidR="00DD29E1" w:rsidRDefault="00270E87" w:rsidP="00DD29E1">
      <w:pPr>
        <w:autoSpaceDE w:val="0"/>
        <w:autoSpaceDN w:val="0"/>
        <w:adjustRightInd w:val="0"/>
        <w:spacing w:after="0" w:line="240" w:lineRule="auto"/>
        <w:rPr>
          <w:rFonts w:ascii="Times New Roman" w:hAnsi="Times New Roman" w:cs="Times New Roman"/>
          <w:sz w:val="24"/>
          <w:szCs w:val="24"/>
        </w:rPr>
      </w:pPr>
      <w:r w:rsidRPr="00DD29E1">
        <w:rPr>
          <w:rFonts w:ascii="Times New Roman" w:hAnsi="Times New Roman" w:cs="Times New Roman"/>
          <w:sz w:val="24"/>
          <w:szCs w:val="24"/>
        </w:rPr>
        <w:t xml:space="preserve">Overall, 60% of </w:t>
      </w:r>
      <w:r w:rsidR="005D48C8">
        <w:rPr>
          <w:rFonts w:ascii="Times New Roman" w:hAnsi="Times New Roman" w:cs="Times New Roman"/>
          <w:sz w:val="24"/>
          <w:szCs w:val="24"/>
        </w:rPr>
        <w:t>patients</w:t>
      </w:r>
      <w:r w:rsidRPr="00DD29E1">
        <w:rPr>
          <w:rFonts w:ascii="Times New Roman" w:hAnsi="Times New Roman" w:cs="Times New Roman"/>
          <w:sz w:val="24"/>
          <w:szCs w:val="24"/>
        </w:rPr>
        <w:t xml:space="preserve"> were discharged by Day 10, and 83% of </w:t>
      </w:r>
      <w:r w:rsidR="005D48C8">
        <w:rPr>
          <w:rFonts w:ascii="Times New Roman" w:hAnsi="Times New Roman" w:cs="Times New Roman"/>
          <w:sz w:val="24"/>
          <w:szCs w:val="24"/>
        </w:rPr>
        <w:t>patients</w:t>
      </w:r>
      <w:r w:rsidRPr="00DD29E1">
        <w:rPr>
          <w:rFonts w:ascii="Times New Roman" w:hAnsi="Times New Roman" w:cs="Times New Roman"/>
          <w:sz w:val="24"/>
          <w:szCs w:val="24"/>
        </w:rPr>
        <w:t xml:space="preserve"> were discharged by Day 30. Three </w:t>
      </w:r>
      <w:r w:rsidR="005D48C8">
        <w:rPr>
          <w:rFonts w:ascii="Times New Roman" w:hAnsi="Times New Roman" w:cs="Times New Roman"/>
          <w:sz w:val="24"/>
          <w:szCs w:val="24"/>
        </w:rPr>
        <w:t>patients</w:t>
      </w:r>
      <w:r w:rsidRPr="00DD29E1">
        <w:rPr>
          <w:rFonts w:ascii="Times New Roman" w:hAnsi="Times New Roman" w:cs="Times New Roman"/>
          <w:sz w:val="24"/>
          <w:szCs w:val="24"/>
        </w:rPr>
        <w:t xml:space="preserve"> (6%) died during the study.</w:t>
      </w:r>
    </w:p>
    <w:p w14:paraId="59B8D3B4" w14:textId="77777777" w:rsidR="00DD29E1" w:rsidRDefault="00DD29E1" w:rsidP="000713E6">
      <w:pPr>
        <w:autoSpaceDE w:val="0"/>
        <w:autoSpaceDN w:val="0"/>
        <w:adjustRightInd w:val="0"/>
        <w:spacing w:after="0" w:line="240" w:lineRule="auto"/>
        <w:rPr>
          <w:rFonts w:ascii="Times New Roman" w:hAnsi="Times New Roman" w:cs="Times New Roman"/>
          <w:sz w:val="24"/>
          <w:szCs w:val="24"/>
        </w:rPr>
      </w:pPr>
    </w:p>
    <w:p w14:paraId="794D8CE5" w14:textId="77777777" w:rsidR="00C755A9" w:rsidRPr="00AB75F6" w:rsidRDefault="00270E87" w:rsidP="00C755A9">
      <w:pPr>
        <w:autoSpaceDE w:val="0"/>
        <w:autoSpaceDN w:val="0"/>
        <w:adjustRightInd w:val="0"/>
        <w:spacing w:after="0" w:line="240" w:lineRule="auto"/>
        <w:rPr>
          <w:rFonts w:ascii="Times New Roman" w:hAnsi="Times New Roman" w:cs="Times New Roman"/>
          <w:sz w:val="24"/>
          <w:szCs w:val="24"/>
          <w:u w:val="single"/>
        </w:rPr>
      </w:pPr>
      <w:r w:rsidRPr="00AB75F6">
        <w:rPr>
          <w:rFonts w:ascii="Times New Roman" w:hAnsi="Times New Roman" w:cs="Times New Roman"/>
          <w:sz w:val="24"/>
          <w:szCs w:val="24"/>
          <w:u w:val="single"/>
        </w:rPr>
        <w:t>QT</w:t>
      </w:r>
    </w:p>
    <w:p w14:paraId="794D8CE6" w14:textId="77777777" w:rsidR="00C755A9" w:rsidRDefault="00270E87" w:rsidP="00C755A9">
      <w:pPr>
        <w:autoSpaceDE w:val="0"/>
        <w:autoSpaceDN w:val="0"/>
        <w:adjustRightInd w:val="0"/>
        <w:spacing w:after="0" w:line="240" w:lineRule="auto"/>
        <w:rPr>
          <w:rFonts w:ascii="Times New Roman" w:hAnsi="Times New Roman" w:cs="Times New Roman"/>
          <w:sz w:val="24"/>
          <w:szCs w:val="24"/>
        </w:rPr>
      </w:pPr>
      <w:r w:rsidRPr="00A67A4D">
        <w:rPr>
          <w:rFonts w:ascii="Times New Roman" w:hAnsi="Times New Roman" w:cs="Times New Roman"/>
          <w:sz w:val="24"/>
          <w:szCs w:val="24"/>
        </w:rPr>
        <w:t>Current non-clinical and clinical data do not suggest a risk of QT prolongation, but QT prolongation has not been fully evaluated in humans.</w:t>
      </w:r>
    </w:p>
    <w:p w14:paraId="794D8CE7" w14:textId="77777777" w:rsidR="00B14788" w:rsidRPr="00A67A4D" w:rsidRDefault="00B14788" w:rsidP="000713E6">
      <w:pPr>
        <w:autoSpaceDE w:val="0"/>
        <w:autoSpaceDN w:val="0"/>
        <w:adjustRightInd w:val="0"/>
        <w:spacing w:after="0" w:line="240" w:lineRule="auto"/>
        <w:rPr>
          <w:rFonts w:ascii="Times New Roman" w:hAnsi="Times New Roman" w:cs="Times New Roman"/>
          <w:sz w:val="24"/>
          <w:szCs w:val="24"/>
        </w:rPr>
      </w:pPr>
    </w:p>
    <w:p w14:paraId="794D8CF8" w14:textId="77777777" w:rsidR="00D07F42" w:rsidRPr="00772475" w:rsidRDefault="00270E87" w:rsidP="00F92515">
      <w:pPr>
        <w:pStyle w:val="Heading2"/>
        <w:keepNext/>
        <w:numPr>
          <w:ilvl w:val="1"/>
          <w:numId w:val="11"/>
        </w:numPr>
        <w:spacing w:before="0" w:after="120"/>
        <w:ind w:left="578" w:hanging="578"/>
        <w:rPr>
          <w:rFonts w:ascii="Times New Roman" w:hAnsi="Times New Roman" w:cs="Times New Roman"/>
          <w:lang w:val="en-US"/>
        </w:rPr>
      </w:pPr>
      <w:bookmarkStart w:id="17" w:name="_Hlk93936110"/>
      <w:r w:rsidRPr="00772475">
        <w:rPr>
          <w:rFonts w:ascii="Times New Roman" w:hAnsi="Times New Roman" w:cs="Times New Roman"/>
          <w:lang w:val="en-US"/>
        </w:rPr>
        <w:t xml:space="preserve">Pharmacokinetic properties </w:t>
      </w:r>
    </w:p>
    <w:bookmarkEnd w:id="17"/>
    <w:p w14:paraId="794D8CF9" w14:textId="2D28123A" w:rsidR="00D07F42" w:rsidRPr="00AC13F4" w:rsidRDefault="00270E87" w:rsidP="00D07F42">
      <w:pPr>
        <w:pStyle w:val="Heading3"/>
        <w:spacing w:before="0" w:after="120"/>
        <w:ind w:left="0"/>
        <w:rPr>
          <w:rFonts w:ascii="Times New Roman" w:hAnsi="Times New Roman" w:cs="Times New Roman"/>
          <w:b w:val="0"/>
          <w:sz w:val="24"/>
          <w:szCs w:val="24"/>
        </w:rPr>
      </w:pPr>
      <w:r w:rsidRPr="00AC13F4">
        <w:rPr>
          <w:rFonts w:ascii="Times New Roman" w:hAnsi="Times New Roman" w:cs="Times New Roman"/>
          <w:b w:val="0"/>
          <w:sz w:val="24"/>
          <w:szCs w:val="24"/>
        </w:rPr>
        <w:t xml:space="preserve">The pharmacokinetic properties of VEKLURY </w:t>
      </w:r>
      <w:r w:rsidR="000713E6" w:rsidRPr="00AC13F4">
        <w:rPr>
          <w:rFonts w:ascii="Times New Roman" w:hAnsi="Times New Roman" w:cs="Times New Roman"/>
          <w:b w:val="0"/>
          <w:sz w:val="24"/>
          <w:szCs w:val="24"/>
        </w:rPr>
        <w:t>ha</w:t>
      </w:r>
      <w:r w:rsidR="000713E6">
        <w:rPr>
          <w:rFonts w:ascii="Times New Roman" w:hAnsi="Times New Roman" w:cs="Times New Roman"/>
          <w:b w:val="0"/>
          <w:sz w:val="24"/>
          <w:szCs w:val="24"/>
        </w:rPr>
        <w:t>ve</w:t>
      </w:r>
      <w:r w:rsidR="000713E6" w:rsidRPr="00AC13F4">
        <w:rPr>
          <w:rFonts w:ascii="Times New Roman" w:hAnsi="Times New Roman" w:cs="Times New Roman"/>
          <w:b w:val="0"/>
          <w:sz w:val="24"/>
          <w:szCs w:val="24"/>
        </w:rPr>
        <w:t xml:space="preserve"> </w:t>
      </w:r>
      <w:r w:rsidRPr="00AC13F4">
        <w:rPr>
          <w:rFonts w:ascii="Times New Roman" w:hAnsi="Times New Roman" w:cs="Times New Roman"/>
          <w:b w:val="0"/>
          <w:sz w:val="24"/>
          <w:szCs w:val="24"/>
        </w:rPr>
        <w:t>been investigated in healthy volunteers. No pharmacokinetic data is available from patients with COVID</w:t>
      </w:r>
      <w:r w:rsidR="001C118E">
        <w:rPr>
          <w:rFonts w:ascii="Times New Roman" w:hAnsi="Times New Roman" w:cs="Times New Roman"/>
          <w:b w:val="0"/>
          <w:sz w:val="24"/>
          <w:szCs w:val="24"/>
        </w:rPr>
        <w:t>-</w:t>
      </w:r>
      <w:r w:rsidRPr="00AC13F4">
        <w:rPr>
          <w:rFonts w:ascii="Times New Roman" w:hAnsi="Times New Roman" w:cs="Times New Roman"/>
          <w:b w:val="0"/>
          <w:sz w:val="24"/>
          <w:szCs w:val="24"/>
        </w:rPr>
        <w:t>19</w:t>
      </w:r>
      <w:r w:rsidR="00D42968">
        <w:rPr>
          <w:rFonts w:ascii="Times New Roman" w:hAnsi="Times New Roman" w:cs="Times New Roman"/>
          <w:b w:val="0"/>
          <w:sz w:val="24"/>
          <w:szCs w:val="24"/>
        </w:rPr>
        <w:t>.</w:t>
      </w:r>
    </w:p>
    <w:p w14:paraId="794D8CFA" w14:textId="77777777" w:rsidR="00D07F42" w:rsidRPr="00AB75F6" w:rsidRDefault="00270E87"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 xml:space="preserve">Absorption </w:t>
      </w:r>
    </w:p>
    <w:p w14:paraId="794D8CFB" w14:textId="77777777" w:rsidR="00D07F42" w:rsidRDefault="00270E87"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 properties of remdesivir and the predominant circulating metabolite GS-441524 have been evaluated in healthy adult subjects. Following intravenous administration of VEKLURY adult dosage regimen, remdesivir was absorbed with a peak plasma concentration observed at end of infusion, regardless of dose level. Peak plasma concentrations of GS-441524 were observed at 1.51 to 2.00 hours post start of </w:t>
      </w:r>
      <w:r w:rsidR="007F1BC3">
        <w:rPr>
          <w:rFonts w:ascii="Times New Roman" w:hAnsi="Times New Roman" w:cs="Times New Roman"/>
          <w:sz w:val="24"/>
          <w:szCs w:val="24"/>
        </w:rPr>
        <w:t xml:space="preserve">a 30 </w:t>
      </w:r>
      <w:proofErr w:type="gramStart"/>
      <w:r w:rsidR="007F1BC3">
        <w:rPr>
          <w:rFonts w:ascii="Times New Roman" w:hAnsi="Times New Roman" w:cs="Times New Roman"/>
          <w:sz w:val="24"/>
          <w:szCs w:val="24"/>
        </w:rPr>
        <w:t>minutes</w:t>
      </w:r>
      <w:proofErr w:type="gramEnd"/>
      <w:r w:rsidR="007F1BC3">
        <w:rPr>
          <w:rFonts w:ascii="Times New Roman" w:hAnsi="Times New Roman" w:cs="Times New Roman"/>
          <w:sz w:val="24"/>
          <w:szCs w:val="24"/>
        </w:rPr>
        <w:t xml:space="preserve"> </w:t>
      </w:r>
      <w:r w:rsidRPr="00772475">
        <w:rPr>
          <w:rFonts w:ascii="Times New Roman" w:hAnsi="Times New Roman" w:cs="Times New Roman"/>
          <w:sz w:val="24"/>
          <w:szCs w:val="24"/>
        </w:rPr>
        <w:t>infusion</w:t>
      </w:r>
      <w:r w:rsidR="007F1BC3">
        <w:rPr>
          <w:rFonts w:ascii="Times New Roman" w:hAnsi="Times New Roman" w:cs="Times New Roman"/>
          <w:sz w:val="24"/>
          <w:szCs w:val="24"/>
        </w:rPr>
        <w:t>.</w:t>
      </w:r>
    </w:p>
    <w:p w14:paraId="794D8CFD" w14:textId="6ED63C75" w:rsidR="00D07F42" w:rsidRPr="00AB75F6" w:rsidRDefault="00270E87"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Distribution</w:t>
      </w:r>
    </w:p>
    <w:p w14:paraId="794D8CFE" w14:textId="77777777" w:rsidR="00D07F42" w:rsidRPr="00772475" w:rsidRDefault="00270E87" w:rsidP="00D07F42">
      <w:pPr>
        <w:numPr>
          <w:ilvl w:val="12"/>
          <w:numId w:val="0"/>
        </w:numPr>
        <w:spacing w:line="240" w:lineRule="auto"/>
        <w:ind w:right="-2"/>
        <w:rPr>
          <w:rFonts w:ascii="Times New Roman" w:hAnsi="Times New Roman" w:cs="Times New Roman"/>
          <w:sz w:val="24"/>
          <w:szCs w:val="24"/>
        </w:rPr>
      </w:pPr>
      <w:r w:rsidRPr="00772475">
        <w:rPr>
          <w:rFonts w:ascii="Times New Roman" w:hAnsi="Times New Roman" w:cs="Times New Roman"/>
          <w:sz w:val="24"/>
          <w:szCs w:val="24"/>
        </w:rPr>
        <w:t>Remdesivir is approximately 88% bound to human plasma proteins. Protein binding of GS-441524 was low (2% bound) in human plasma. After a single 150 mg dose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 xml:space="preserve">C]-remdesivir in healthy subjects, the blood to plasma ratio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 xml:space="preserve">C-radioactivity was approximately 0.68 at 15 minutes from start of infusion, increased over time reaching ratio of 1.0 at 5 hours, indicating </w:t>
      </w:r>
      <w:r w:rsidRPr="00772475">
        <w:rPr>
          <w:rFonts w:ascii="Times New Roman" w:hAnsi="Times New Roman" w:cs="Times New Roman"/>
          <w:sz w:val="24"/>
          <w:szCs w:val="24"/>
        </w:rPr>
        <w:lastRenderedPageBreak/>
        <w:t>differential distribution of remdesivir and its metabolites to plasma or cellular components of blood.</w:t>
      </w:r>
    </w:p>
    <w:p w14:paraId="794D8CFF" w14:textId="77777777" w:rsidR="00D07F42" w:rsidRPr="00AB75F6" w:rsidRDefault="00270E87" w:rsidP="00D07F42">
      <w:pPr>
        <w:pStyle w:val="Heading3"/>
        <w:spacing w:before="0" w:after="120"/>
        <w:ind w:left="0"/>
        <w:rPr>
          <w:rFonts w:ascii="Times New Roman" w:hAnsi="Times New Roman" w:cs="Times New Roman"/>
          <w:b w:val="0"/>
          <w:sz w:val="24"/>
          <w:szCs w:val="24"/>
        </w:rPr>
      </w:pPr>
      <w:r w:rsidRPr="00AB75F6">
        <w:rPr>
          <w:rFonts w:ascii="Times New Roman" w:hAnsi="Times New Roman" w:cs="Times New Roman"/>
          <w:sz w:val="24"/>
          <w:szCs w:val="24"/>
        </w:rPr>
        <w:t>Metabolism</w:t>
      </w:r>
    </w:p>
    <w:p w14:paraId="01FF53B3" w14:textId="744CF429" w:rsidR="00CD79D4" w:rsidRPr="007E50B0" w:rsidRDefault="00270E87" w:rsidP="007E50B0">
      <w:pPr>
        <w:spacing w:after="120" w:line="240" w:lineRule="auto"/>
        <w:rPr>
          <w:rFonts w:ascii="Times New Roman" w:hAnsi="Times New Roman" w:cs="Times New Roman"/>
          <w:sz w:val="24"/>
          <w:szCs w:val="24"/>
        </w:rPr>
      </w:pPr>
      <w:r w:rsidRPr="00225FA9">
        <w:rPr>
          <w:rFonts w:ascii="Times New Roman" w:hAnsi="Times New Roman" w:cs="Times New Roman"/>
          <w:sz w:val="24"/>
          <w:szCs w:val="24"/>
        </w:rPr>
        <w:t>Remdesivir is extensively metabolized into the pharmacologically active nucleoside analog</w:t>
      </w:r>
      <w:r w:rsidR="0048260C" w:rsidRPr="00225FA9">
        <w:rPr>
          <w:rFonts w:ascii="Times New Roman" w:hAnsi="Times New Roman" w:cs="Times New Roman"/>
          <w:sz w:val="24"/>
          <w:szCs w:val="24"/>
        </w:rPr>
        <w:t>ue</w:t>
      </w:r>
      <w:r w:rsidRPr="00225FA9">
        <w:rPr>
          <w:rFonts w:ascii="Times New Roman" w:hAnsi="Times New Roman" w:cs="Times New Roman"/>
          <w:sz w:val="24"/>
          <w:szCs w:val="24"/>
        </w:rPr>
        <w:t xml:space="preserve"> triphosphate GS-443902. The metabolic activation pathway involves hydrolysis by </w:t>
      </w:r>
      <w:proofErr w:type="spellStart"/>
      <w:r w:rsidRPr="00225FA9">
        <w:rPr>
          <w:rFonts w:ascii="Times New Roman" w:hAnsi="Times New Roman" w:cs="Times New Roman"/>
          <w:sz w:val="24"/>
          <w:szCs w:val="24"/>
        </w:rPr>
        <w:t>esterases</w:t>
      </w:r>
      <w:proofErr w:type="spellEnd"/>
      <w:r w:rsidRPr="00225FA9">
        <w:rPr>
          <w:rFonts w:ascii="Times New Roman" w:hAnsi="Times New Roman" w:cs="Times New Roman"/>
          <w:sz w:val="24"/>
          <w:szCs w:val="24"/>
        </w:rPr>
        <w:t xml:space="preserve">, which leads to the formation of the intermediate metabolite, GS-704277. </w:t>
      </w:r>
      <w:proofErr w:type="spellStart"/>
      <w:r w:rsidRPr="00225FA9">
        <w:rPr>
          <w:rFonts w:ascii="Times New Roman" w:hAnsi="Times New Roman" w:cs="Times New Roman"/>
          <w:sz w:val="24"/>
          <w:szCs w:val="24"/>
        </w:rPr>
        <w:t>Phosphoramidate</w:t>
      </w:r>
      <w:proofErr w:type="spellEnd"/>
      <w:r w:rsidRPr="00225FA9">
        <w:rPr>
          <w:rFonts w:ascii="Times New Roman" w:hAnsi="Times New Roman" w:cs="Times New Roman"/>
          <w:sz w:val="24"/>
          <w:szCs w:val="24"/>
        </w:rPr>
        <w:t xml:space="preserve"> cleavage followed by phosphorylation forms the active triphosphate, GS-443902. Dephosphorylation results in the formation of nucleoside metabolite GS-441524</w:t>
      </w:r>
      <w:r w:rsidR="009E6200">
        <w:rPr>
          <w:rFonts w:ascii="Times New Roman" w:hAnsi="Times New Roman" w:cs="Times New Roman"/>
          <w:sz w:val="24"/>
          <w:szCs w:val="24"/>
        </w:rPr>
        <w:t xml:space="preserve"> </w:t>
      </w:r>
      <w:r w:rsidRPr="00DA7926">
        <w:rPr>
          <w:rFonts w:ascii="Times New Roman" w:hAnsi="Times New Roman" w:cs="Times New Roman"/>
          <w:sz w:val="24"/>
          <w:szCs w:val="24"/>
        </w:rPr>
        <w:t>that itself is not efficiently re-phosphorylated.</w:t>
      </w:r>
      <w:r w:rsidR="00663CA2" w:rsidRPr="00DA7926">
        <w:rPr>
          <w:rFonts w:ascii="Times New Roman" w:hAnsi="Times New Roman" w:cs="Times New Roman"/>
          <w:sz w:val="24"/>
          <w:szCs w:val="24"/>
        </w:rPr>
        <w:t xml:space="preserve"> </w:t>
      </w:r>
      <w:proofErr w:type="spellStart"/>
      <w:r w:rsidR="00663CA2" w:rsidRPr="00DA7926">
        <w:rPr>
          <w:rFonts w:ascii="Times New Roman" w:hAnsi="Times New Roman" w:cs="Times New Roman"/>
          <w:sz w:val="24"/>
          <w:szCs w:val="24"/>
        </w:rPr>
        <w:t>Decyanation</w:t>
      </w:r>
      <w:proofErr w:type="spellEnd"/>
      <w:r w:rsidR="00663CA2" w:rsidRPr="00DA7926">
        <w:rPr>
          <w:rFonts w:ascii="Times New Roman" w:hAnsi="Times New Roman" w:cs="Times New Roman"/>
          <w:sz w:val="24"/>
          <w:szCs w:val="24"/>
        </w:rPr>
        <w:t xml:space="preserve"> of </w:t>
      </w:r>
      <w:proofErr w:type="spellStart"/>
      <w:r w:rsidR="00663CA2" w:rsidRPr="00DA7926">
        <w:rPr>
          <w:rFonts w:ascii="Times New Roman" w:hAnsi="Times New Roman" w:cs="Times New Roman"/>
          <w:sz w:val="24"/>
          <w:szCs w:val="24"/>
        </w:rPr>
        <w:t>remdesivir</w:t>
      </w:r>
      <w:proofErr w:type="spellEnd"/>
      <w:r w:rsidR="00663CA2" w:rsidRPr="00DA7926">
        <w:rPr>
          <w:rFonts w:ascii="Times New Roman" w:hAnsi="Times New Roman" w:cs="Times New Roman"/>
          <w:sz w:val="24"/>
          <w:szCs w:val="24"/>
        </w:rPr>
        <w:t xml:space="preserve"> and/or its metabolites, followed by subsequent rhodanese mediated conversion generates thiocyanate anion. The levels of thiocyanate detected following administration of 100 mg and 200 mg VEKLURY were observed to be significantly below endogenous levels in human plasma.</w:t>
      </w:r>
    </w:p>
    <w:p w14:paraId="794D8D06" w14:textId="54682F93" w:rsidR="00D07F42" w:rsidRPr="00AB75F6" w:rsidRDefault="00270E87" w:rsidP="006C30C7">
      <w:pPr>
        <w:pStyle w:val="Heading3"/>
        <w:spacing w:before="0"/>
        <w:ind w:left="0"/>
        <w:rPr>
          <w:rFonts w:ascii="Times New Roman" w:hAnsi="Times New Roman" w:cs="Times New Roman"/>
          <w:b w:val="0"/>
          <w:sz w:val="24"/>
          <w:szCs w:val="24"/>
        </w:rPr>
      </w:pPr>
      <w:r w:rsidRPr="00AB75F6">
        <w:rPr>
          <w:rFonts w:ascii="Times New Roman" w:hAnsi="Times New Roman" w:cs="Times New Roman"/>
          <w:sz w:val="24"/>
          <w:szCs w:val="24"/>
        </w:rPr>
        <w:t>Excretion</w:t>
      </w:r>
    </w:p>
    <w:p w14:paraId="794D8D07" w14:textId="77777777" w:rsidR="00D07F42" w:rsidRPr="00772475" w:rsidRDefault="00270E87" w:rsidP="006C30C7">
      <w:pPr>
        <w:numPr>
          <w:ilvl w:val="12"/>
          <w:numId w:val="0"/>
        </w:num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Following a single 150 mg IV dose of [</w:t>
      </w:r>
      <w:r w:rsidRPr="00772475">
        <w:rPr>
          <w:rFonts w:ascii="Times New Roman" w:hAnsi="Times New Roman" w:cs="Times New Roman"/>
          <w:sz w:val="24"/>
          <w:szCs w:val="24"/>
          <w:vertAlign w:val="superscript"/>
        </w:rPr>
        <w:t>14</w:t>
      </w:r>
      <w:r w:rsidRPr="00772475">
        <w:rPr>
          <w:rFonts w:ascii="Times New Roman" w:hAnsi="Times New Roman" w:cs="Times New Roman"/>
          <w:sz w:val="24"/>
          <w:szCs w:val="24"/>
        </w:rPr>
        <w:t>C]-remdesivir, mean total recovery of the dose was 92%, consisting of approximately 74% and 18% recovered in urine and faeces, respectively. The majority of the remdesivir dose recovered in urine was GS-441524 (49%), while 10% was recovered as remdesivir. These data indicate that renal clearance is the major elimination pathway for GS-441524. The median terminal half-lives of remdesivir and GS-441524 were approximately 1 and 27 hours, respectively.</w:t>
      </w:r>
    </w:p>
    <w:p w14:paraId="794D8D09" w14:textId="77777777" w:rsidR="00E54FF6" w:rsidRDefault="00E54FF6" w:rsidP="00D07F42">
      <w:pPr>
        <w:spacing w:after="0" w:line="240" w:lineRule="auto"/>
        <w:rPr>
          <w:rFonts w:ascii="Times New Roman" w:hAnsi="Times New Roman" w:cs="Times New Roman"/>
          <w:sz w:val="24"/>
          <w:szCs w:val="24"/>
          <w:u w:val="single"/>
        </w:rPr>
      </w:pPr>
    </w:p>
    <w:p w14:paraId="794D8D0A" w14:textId="77777777" w:rsidR="00D07F42" w:rsidRPr="00772475" w:rsidRDefault="00270E87" w:rsidP="00D07F42">
      <w:pPr>
        <w:spacing w:after="0" w:line="240" w:lineRule="auto"/>
        <w:rPr>
          <w:rFonts w:ascii="Times New Roman" w:hAnsi="Times New Roman" w:cs="Times New Roman"/>
          <w:sz w:val="24"/>
          <w:szCs w:val="24"/>
          <w:u w:val="single"/>
        </w:rPr>
      </w:pPr>
      <w:r w:rsidRPr="00772475">
        <w:rPr>
          <w:rFonts w:ascii="Times New Roman" w:hAnsi="Times New Roman" w:cs="Times New Roman"/>
          <w:sz w:val="24"/>
          <w:szCs w:val="24"/>
          <w:u w:val="single"/>
        </w:rPr>
        <w:t>Other special populations</w:t>
      </w:r>
    </w:p>
    <w:p w14:paraId="794D8D0B" w14:textId="77777777" w:rsidR="00D07F42" w:rsidRPr="00772475" w:rsidRDefault="00D07F42" w:rsidP="00D07F42">
      <w:pPr>
        <w:spacing w:after="0" w:line="240" w:lineRule="auto"/>
        <w:rPr>
          <w:rFonts w:ascii="Times New Roman" w:hAnsi="Times New Roman" w:cs="Times New Roman"/>
          <w:iCs/>
          <w:noProof/>
          <w:sz w:val="24"/>
          <w:szCs w:val="24"/>
          <w:u w:val="single"/>
        </w:rPr>
      </w:pPr>
    </w:p>
    <w:p w14:paraId="794D8D0C" w14:textId="77777777" w:rsidR="00D07F42" w:rsidRPr="00772475" w:rsidRDefault="00270E87" w:rsidP="00D07F42">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Gender, Race and Age</w:t>
      </w:r>
    </w:p>
    <w:p w14:paraId="794D8D0D" w14:textId="77777777" w:rsidR="006B5EE4" w:rsidRDefault="00270E87" w:rsidP="00D07F42">
      <w:pPr>
        <w:pStyle w:val="Default"/>
      </w:pPr>
      <w:r w:rsidRPr="00772475">
        <w:t>Pharmacokinetic differences for age, gender, or race on the exposures of remdesivir have not been evaluated</w:t>
      </w:r>
      <w:r>
        <w:t>.</w:t>
      </w:r>
    </w:p>
    <w:p w14:paraId="794D8D0E" w14:textId="553E303F" w:rsidR="006B5EE4" w:rsidRDefault="006B5EE4" w:rsidP="00D07F42">
      <w:pPr>
        <w:pStyle w:val="Default"/>
      </w:pPr>
    </w:p>
    <w:p w14:paraId="794D8D0F" w14:textId="466752E6" w:rsidR="006B5EE4" w:rsidRPr="00772475" w:rsidRDefault="00270E87" w:rsidP="006B5EE4">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P</w:t>
      </w:r>
      <w:r w:rsidR="00663CA2">
        <w:rPr>
          <w:rFonts w:ascii="Times New Roman" w:hAnsi="Times New Roman" w:cs="Times New Roman"/>
          <w:i/>
          <w:noProof/>
          <w:sz w:val="24"/>
          <w:szCs w:val="24"/>
        </w:rPr>
        <w:t>a</w:t>
      </w:r>
      <w:r w:rsidRPr="00772475">
        <w:rPr>
          <w:rFonts w:ascii="Times New Roman" w:hAnsi="Times New Roman" w:cs="Times New Roman"/>
          <w:i/>
          <w:noProof/>
          <w:sz w:val="24"/>
          <w:szCs w:val="24"/>
        </w:rPr>
        <w:t xml:space="preserve">ediatric </w:t>
      </w:r>
      <w:r>
        <w:rPr>
          <w:rFonts w:ascii="Times New Roman" w:hAnsi="Times New Roman" w:cs="Times New Roman"/>
          <w:i/>
          <w:noProof/>
          <w:sz w:val="24"/>
          <w:szCs w:val="24"/>
        </w:rPr>
        <w:t>p</w:t>
      </w:r>
      <w:r w:rsidRPr="00772475">
        <w:rPr>
          <w:rFonts w:ascii="Times New Roman" w:hAnsi="Times New Roman" w:cs="Times New Roman"/>
          <w:i/>
          <w:noProof/>
          <w:sz w:val="24"/>
          <w:szCs w:val="24"/>
        </w:rPr>
        <w:t>atients</w:t>
      </w:r>
    </w:p>
    <w:p w14:paraId="794D8D11" w14:textId="70A683BF" w:rsidR="00AD08CF" w:rsidRPr="00F66771" w:rsidRDefault="00270E87" w:rsidP="00D07F42">
      <w:pPr>
        <w:pStyle w:val="Default"/>
        <w:rPr>
          <w:color w:val="auto"/>
        </w:rPr>
      </w:pPr>
      <w:r w:rsidRPr="00F66771">
        <w:rPr>
          <w:color w:val="auto"/>
        </w:rPr>
        <w:t>Population pharmacokinetic models for remdesivir and its circulating metabolites (GS-704277 and GS-441524), developed using pooled data from studies in healthy subjects and in adult and p</w:t>
      </w:r>
      <w:r w:rsidR="00DA2FB5" w:rsidRPr="00F66771">
        <w:rPr>
          <w:color w:val="auto"/>
        </w:rPr>
        <w:t>a</w:t>
      </w:r>
      <w:r w:rsidRPr="00F66771">
        <w:rPr>
          <w:color w:val="auto"/>
        </w:rPr>
        <w:t>ediatric patients with COVID-19, were used to predict pharmacokinetic exposures in 50 p</w:t>
      </w:r>
      <w:r w:rsidR="00DA2FB5" w:rsidRPr="00F66771">
        <w:rPr>
          <w:color w:val="auto"/>
        </w:rPr>
        <w:t>a</w:t>
      </w:r>
      <w:r w:rsidRPr="00F66771">
        <w:rPr>
          <w:color w:val="auto"/>
        </w:rPr>
        <w:t>ediatric patients aged ≥28 days to &lt;18 years and weighing ≥3 kg (Study GS-US-540-5823). Mean exposures (AUC</w:t>
      </w:r>
      <w:r w:rsidRPr="00BC6383">
        <w:rPr>
          <w:color w:val="auto"/>
          <w:vertAlign w:val="subscript"/>
        </w:rPr>
        <w:t>t</w:t>
      </w:r>
      <w:r w:rsidRPr="00F66771">
        <w:rPr>
          <w:color w:val="auto"/>
          <w:vertAlign w:val="subscript"/>
        </w:rPr>
        <w:t>au</w:t>
      </w:r>
      <w:r w:rsidRPr="00F66771">
        <w:rPr>
          <w:color w:val="auto"/>
        </w:rPr>
        <w:t xml:space="preserve"> and </w:t>
      </w:r>
      <w:proofErr w:type="spellStart"/>
      <w:r w:rsidRPr="00F66771">
        <w:rPr>
          <w:color w:val="auto"/>
        </w:rPr>
        <w:t>C</w:t>
      </w:r>
      <w:r w:rsidRPr="00F66771">
        <w:rPr>
          <w:color w:val="auto"/>
          <w:vertAlign w:val="subscript"/>
        </w:rPr>
        <w:t>max</w:t>
      </w:r>
      <w:proofErr w:type="spellEnd"/>
      <w:r w:rsidRPr="00F66771">
        <w:rPr>
          <w:color w:val="auto"/>
        </w:rPr>
        <w:t xml:space="preserve">) of </w:t>
      </w:r>
      <w:proofErr w:type="spellStart"/>
      <w:r w:rsidRPr="00F66771">
        <w:rPr>
          <w:color w:val="auto"/>
        </w:rPr>
        <w:t>remdesivir</w:t>
      </w:r>
      <w:proofErr w:type="spellEnd"/>
      <w:r w:rsidRPr="00F66771">
        <w:rPr>
          <w:color w:val="auto"/>
        </w:rPr>
        <w:t>, GS-704277, and GS-441524 predicted for these patients at the doses administered were higher as compared to those in adult patients with COVID-19; however, the increase</w:t>
      </w:r>
      <w:r w:rsidR="00384733">
        <w:rPr>
          <w:color w:val="auto"/>
        </w:rPr>
        <w:t>s</w:t>
      </w:r>
      <w:r w:rsidRPr="00F66771">
        <w:rPr>
          <w:color w:val="auto"/>
        </w:rPr>
        <w:t xml:space="preserve"> w</w:t>
      </w:r>
      <w:r w:rsidR="00384733">
        <w:rPr>
          <w:color w:val="auto"/>
        </w:rPr>
        <w:t>ere</w:t>
      </w:r>
      <w:r w:rsidRPr="00F66771">
        <w:rPr>
          <w:color w:val="auto"/>
        </w:rPr>
        <w:t xml:space="preserve"> not considered clinically significant.</w:t>
      </w:r>
    </w:p>
    <w:p w14:paraId="794D8D12" w14:textId="77777777" w:rsidR="00D07F42" w:rsidRPr="00772475" w:rsidRDefault="00D07F42" w:rsidP="00D07F42">
      <w:pPr>
        <w:spacing w:after="0" w:line="240" w:lineRule="auto"/>
        <w:rPr>
          <w:rFonts w:ascii="Times New Roman" w:hAnsi="Times New Roman" w:cs="Times New Roman"/>
          <w:noProof/>
          <w:sz w:val="24"/>
          <w:szCs w:val="24"/>
        </w:rPr>
      </w:pPr>
    </w:p>
    <w:p w14:paraId="794D8D16" w14:textId="21D5E493" w:rsidR="00D07F42" w:rsidRPr="00772475" w:rsidRDefault="00270E87" w:rsidP="00D07F42">
      <w:pPr>
        <w:spacing w:after="0" w:line="240" w:lineRule="auto"/>
        <w:rPr>
          <w:rFonts w:ascii="Times New Roman" w:hAnsi="Times New Roman" w:cs="Times New Roman"/>
          <w:i/>
          <w:noProof/>
          <w:sz w:val="24"/>
          <w:szCs w:val="24"/>
        </w:rPr>
      </w:pPr>
      <w:r w:rsidRPr="00772475">
        <w:rPr>
          <w:rFonts w:ascii="Times New Roman" w:hAnsi="Times New Roman" w:cs="Times New Roman"/>
          <w:i/>
          <w:noProof/>
          <w:sz w:val="24"/>
          <w:szCs w:val="24"/>
        </w:rPr>
        <w:t xml:space="preserve">Renal </w:t>
      </w:r>
      <w:r w:rsidR="00BB1A9A">
        <w:rPr>
          <w:rFonts w:ascii="Times New Roman" w:hAnsi="Times New Roman" w:cs="Times New Roman"/>
          <w:i/>
          <w:noProof/>
          <w:sz w:val="24"/>
          <w:szCs w:val="24"/>
        </w:rPr>
        <w:t>i</w:t>
      </w:r>
      <w:r w:rsidRPr="00772475">
        <w:rPr>
          <w:rFonts w:ascii="Times New Roman" w:hAnsi="Times New Roman" w:cs="Times New Roman"/>
          <w:i/>
          <w:noProof/>
          <w:sz w:val="24"/>
          <w:szCs w:val="24"/>
        </w:rPr>
        <w:t xml:space="preserve">mpairment </w:t>
      </w:r>
    </w:p>
    <w:p w14:paraId="794D8D17" w14:textId="25AEAE0D" w:rsidR="00D07F42" w:rsidRPr="00772475" w:rsidRDefault="00270E87"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 xml:space="preserve">The pharmacokinetics of remdesivir and GS-441524 in renal impairment has not been evaluated. </w:t>
      </w:r>
      <w:r w:rsidRPr="00037892">
        <w:rPr>
          <w:rFonts w:ascii="Times New Roman" w:hAnsi="Times New Roman" w:cs="Times New Roman"/>
          <w:sz w:val="24"/>
          <w:szCs w:val="24"/>
        </w:rPr>
        <w:t>Remdesivir is not cleared unchanged in urine to any substantial extent, but its main metabolite GS</w:t>
      </w:r>
      <w:r w:rsidR="00BB1A9A">
        <w:rPr>
          <w:rFonts w:ascii="Times New Roman" w:hAnsi="Times New Roman" w:cs="Times New Roman"/>
          <w:sz w:val="24"/>
          <w:szCs w:val="24"/>
        </w:rPr>
        <w:t>-</w:t>
      </w:r>
      <w:r w:rsidRPr="00037892">
        <w:rPr>
          <w:rFonts w:ascii="Times New Roman" w:hAnsi="Times New Roman" w:cs="Times New Roman"/>
          <w:sz w:val="24"/>
          <w:szCs w:val="24"/>
        </w:rPr>
        <w:t xml:space="preserve">441524 is renally cleared and the metabolite levels in plasma may theoretically increase in patients with impaired renal function. The excipient </w:t>
      </w:r>
      <w:bookmarkStart w:id="18" w:name="_Hlk45116169"/>
      <w:proofErr w:type="spellStart"/>
      <w:r w:rsidR="00EA0F80" w:rsidRPr="00EA0F80">
        <w:rPr>
          <w:rFonts w:ascii="Times New Roman" w:hAnsi="Times New Roman" w:cs="Times New Roman"/>
          <w:sz w:val="24"/>
          <w:szCs w:val="24"/>
        </w:rPr>
        <w:t>sulfobutyl</w:t>
      </w:r>
      <w:proofErr w:type="spellEnd"/>
      <w:r w:rsidR="00EA0F80" w:rsidRPr="00EA0F80">
        <w:rPr>
          <w:rFonts w:ascii="Times New Roman" w:hAnsi="Times New Roman" w:cs="Times New Roman"/>
          <w:sz w:val="24"/>
          <w:szCs w:val="24"/>
        </w:rPr>
        <w:t xml:space="preserve"> </w:t>
      </w:r>
      <w:proofErr w:type="spellStart"/>
      <w:r w:rsidR="00EA0F80" w:rsidRPr="00EA0F80">
        <w:rPr>
          <w:rFonts w:ascii="Times New Roman" w:hAnsi="Times New Roman" w:cs="Times New Roman"/>
          <w:sz w:val="24"/>
          <w:szCs w:val="24"/>
        </w:rPr>
        <w:t>betadex</w:t>
      </w:r>
      <w:proofErr w:type="spellEnd"/>
      <w:r w:rsidR="00EA0F80" w:rsidRPr="00EA0F80">
        <w:rPr>
          <w:rFonts w:ascii="Times New Roman" w:hAnsi="Times New Roman" w:cs="Times New Roman"/>
          <w:sz w:val="24"/>
          <w:szCs w:val="24"/>
        </w:rPr>
        <w:t xml:space="preserve"> sodium</w:t>
      </w:r>
      <w:bookmarkEnd w:id="18"/>
      <w:r w:rsidR="00EA0F80" w:rsidRPr="00EA0F80">
        <w:rPr>
          <w:rFonts w:ascii="Times New Roman" w:hAnsi="Times New Roman" w:cs="Times New Roman"/>
          <w:sz w:val="24"/>
          <w:szCs w:val="24"/>
        </w:rPr>
        <w:t xml:space="preserve"> </w:t>
      </w:r>
      <w:r w:rsidRPr="00037892">
        <w:rPr>
          <w:rFonts w:ascii="Times New Roman" w:hAnsi="Times New Roman" w:cs="Times New Roman"/>
          <w:sz w:val="24"/>
          <w:szCs w:val="24"/>
        </w:rPr>
        <w:t xml:space="preserve">is renally cleared and accumulates in patients with decreased renal function. </w:t>
      </w:r>
      <w:r w:rsidR="00A7178C">
        <w:rPr>
          <w:rFonts w:ascii="Times New Roman" w:hAnsi="Times New Roman" w:cs="Times New Roman"/>
          <w:sz w:val="24"/>
          <w:szCs w:val="24"/>
        </w:rPr>
        <w:t>VEKLURY</w:t>
      </w:r>
      <w:r w:rsidR="00A7178C" w:rsidRPr="00037892">
        <w:rPr>
          <w:rFonts w:ascii="Times New Roman" w:hAnsi="Times New Roman" w:cs="Times New Roman"/>
          <w:sz w:val="24"/>
          <w:szCs w:val="24"/>
        </w:rPr>
        <w:t xml:space="preserve"> </w:t>
      </w:r>
      <w:r w:rsidRPr="00037892">
        <w:rPr>
          <w:rFonts w:ascii="Times New Roman" w:hAnsi="Times New Roman" w:cs="Times New Roman"/>
          <w:sz w:val="24"/>
          <w:szCs w:val="24"/>
        </w:rPr>
        <w:t>should not be used in patients with eGFR &lt;30 mL/min.</w:t>
      </w:r>
    </w:p>
    <w:p w14:paraId="794D8D18" w14:textId="77777777" w:rsidR="00D07F42" w:rsidRPr="00772475" w:rsidRDefault="00D07F42" w:rsidP="00D07F42">
      <w:pPr>
        <w:spacing w:after="0" w:line="240" w:lineRule="auto"/>
        <w:rPr>
          <w:rFonts w:ascii="Times New Roman" w:hAnsi="Times New Roman" w:cs="Times New Roman"/>
          <w:noProof/>
          <w:sz w:val="24"/>
          <w:szCs w:val="24"/>
        </w:rPr>
      </w:pPr>
    </w:p>
    <w:p w14:paraId="794D8D19" w14:textId="77777777" w:rsidR="00D07F42" w:rsidRPr="00772475" w:rsidRDefault="00270E87" w:rsidP="00D07F42">
      <w:pPr>
        <w:spacing w:after="0" w:line="240" w:lineRule="auto"/>
        <w:rPr>
          <w:rFonts w:ascii="Times New Roman" w:hAnsi="Times New Roman" w:cs="Times New Roman"/>
          <w:i/>
          <w:sz w:val="24"/>
          <w:szCs w:val="24"/>
        </w:rPr>
      </w:pPr>
      <w:r w:rsidRPr="00772475">
        <w:rPr>
          <w:rFonts w:ascii="Times New Roman" w:hAnsi="Times New Roman" w:cs="Times New Roman"/>
          <w:i/>
          <w:sz w:val="24"/>
          <w:szCs w:val="24"/>
        </w:rPr>
        <w:t>Hepatic Impairment</w:t>
      </w:r>
    </w:p>
    <w:p w14:paraId="794D8D1A" w14:textId="77777777" w:rsidR="00D07F42" w:rsidRPr="00772475" w:rsidRDefault="00270E87" w:rsidP="00D07F42">
      <w:pPr>
        <w:spacing w:after="0" w:line="240" w:lineRule="auto"/>
        <w:rPr>
          <w:rFonts w:ascii="Times New Roman" w:hAnsi="Times New Roman" w:cs="Times New Roman"/>
          <w:sz w:val="24"/>
          <w:szCs w:val="24"/>
        </w:rPr>
      </w:pPr>
      <w:r w:rsidRPr="00772475">
        <w:rPr>
          <w:rFonts w:ascii="Times New Roman" w:hAnsi="Times New Roman" w:cs="Times New Roman"/>
          <w:sz w:val="24"/>
          <w:szCs w:val="24"/>
        </w:rPr>
        <w:t>The pharmacokinetics of remdesivir and GS-441524 in hepatic impairment has not been evaluated.</w:t>
      </w:r>
      <w:r>
        <w:rPr>
          <w:rFonts w:ascii="Times New Roman" w:hAnsi="Times New Roman" w:cs="Times New Roman"/>
          <w:sz w:val="24"/>
          <w:szCs w:val="24"/>
        </w:rPr>
        <w:t xml:space="preserve">  </w:t>
      </w:r>
      <w:r w:rsidRPr="00037892">
        <w:rPr>
          <w:rFonts w:ascii="Times New Roman" w:hAnsi="Times New Roman" w:cs="Times New Roman"/>
          <w:sz w:val="24"/>
          <w:szCs w:val="24"/>
        </w:rPr>
        <w:t>The role of the liver in the metabolism of remdesivir is unknown.</w:t>
      </w:r>
    </w:p>
    <w:p w14:paraId="794D8D1C" w14:textId="77777777" w:rsidR="00B33DEB" w:rsidRPr="00772475" w:rsidRDefault="00B33DEB" w:rsidP="00D07F42">
      <w:pPr>
        <w:numPr>
          <w:ilvl w:val="12"/>
          <w:numId w:val="0"/>
        </w:numPr>
        <w:spacing w:after="0" w:line="240" w:lineRule="auto"/>
        <w:ind w:right="-2"/>
        <w:rPr>
          <w:rFonts w:ascii="Times New Roman" w:hAnsi="Times New Roman" w:cs="Times New Roman"/>
          <w:sz w:val="24"/>
          <w:szCs w:val="24"/>
        </w:rPr>
      </w:pPr>
    </w:p>
    <w:p w14:paraId="794D8D1D" w14:textId="77777777" w:rsidR="00D07F42" w:rsidRPr="00037892" w:rsidRDefault="00270E87" w:rsidP="00D07F42">
      <w:pPr>
        <w:numPr>
          <w:ilvl w:val="12"/>
          <w:numId w:val="0"/>
        </w:numPr>
        <w:spacing w:after="0" w:line="240" w:lineRule="auto"/>
        <w:ind w:right="-2"/>
        <w:rPr>
          <w:rFonts w:ascii="Times New Roman" w:hAnsi="Times New Roman" w:cs="Times New Roman"/>
          <w:i/>
          <w:sz w:val="24"/>
          <w:szCs w:val="24"/>
        </w:rPr>
      </w:pPr>
      <w:r w:rsidRPr="00037892">
        <w:rPr>
          <w:rFonts w:ascii="Times New Roman" w:hAnsi="Times New Roman" w:cs="Times New Roman"/>
          <w:i/>
          <w:sz w:val="24"/>
          <w:szCs w:val="24"/>
        </w:rPr>
        <w:t>Interactions</w:t>
      </w:r>
    </w:p>
    <w:p w14:paraId="794D8D1E" w14:textId="77777777" w:rsidR="00D07F42" w:rsidRPr="00037892" w:rsidRDefault="00270E87"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The potential of interaction of remdesivir as a victim was not studied with regards to the inhibition of the hydrolytic pathway (esterase). The risk of clinically relevant interaction is unknown.</w:t>
      </w:r>
    </w:p>
    <w:p w14:paraId="794D8D20" w14:textId="108C3B93" w:rsidR="00D07F42" w:rsidRPr="00037892" w:rsidRDefault="00270E87"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 xml:space="preserve">Remdesivir inhibited CYP3A4 </w:t>
      </w:r>
      <w:r w:rsidRPr="00F66771">
        <w:rPr>
          <w:rFonts w:ascii="Times New Roman" w:hAnsi="Times New Roman" w:cs="Times New Roman"/>
          <w:i/>
          <w:iCs/>
          <w:sz w:val="24"/>
          <w:szCs w:val="24"/>
        </w:rPr>
        <w:t>in vitro</w:t>
      </w:r>
      <w:r w:rsidRPr="00037892">
        <w:rPr>
          <w:rFonts w:ascii="Times New Roman" w:hAnsi="Times New Roman" w:cs="Times New Roman"/>
          <w:sz w:val="24"/>
          <w:szCs w:val="24"/>
        </w:rPr>
        <w:t xml:space="preserve"> (see section 4.5). At physiologically relevant concentrations (steady-state), remdesivir or its metabolites GS</w:t>
      </w:r>
      <w:r w:rsidR="00BB1A9A">
        <w:rPr>
          <w:rFonts w:ascii="Times New Roman" w:hAnsi="Times New Roman" w:cs="Times New Roman"/>
          <w:sz w:val="24"/>
          <w:szCs w:val="24"/>
        </w:rPr>
        <w:t>-</w:t>
      </w:r>
      <w:r w:rsidRPr="00037892">
        <w:rPr>
          <w:rFonts w:ascii="Times New Roman" w:hAnsi="Times New Roman" w:cs="Times New Roman"/>
          <w:sz w:val="24"/>
          <w:szCs w:val="24"/>
        </w:rPr>
        <w:t>441524 and GS</w:t>
      </w:r>
      <w:r w:rsidR="00BB1A9A">
        <w:rPr>
          <w:rFonts w:ascii="Times New Roman" w:hAnsi="Times New Roman" w:cs="Times New Roman"/>
          <w:sz w:val="24"/>
          <w:szCs w:val="24"/>
        </w:rPr>
        <w:t>-</w:t>
      </w:r>
      <w:r w:rsidRPr="00037892">
        <w:rPr>
          <w:rFonts w:ascii="Times New Roman" w:hAnsi="Times New Roman" w:cs="Times New Roman"/>
          <w:sz w:val="24"/>
          <w:szCs w:val="24"/>
        </w:rPr>
        <w:t xml:space="preserve">704277 did not inhibit CYP1A2, 2B6, 2C8, 2C9, 2C19, and 2D6 </w:t>
      </w:r>
      <w:r w:rsidRPr="00A53599">
        <w:rPr>
          <w:rFonts w:ascii="Times New Roman" w:hAnsi="Times New Roman" w:cs="Times New Roman"/>
          <w:i/>
          <w:iCs/>
          <w:sz w:val="24"/>
          <w:szCs w:val="24"/>
        </w:rPr>
        <w:t>in vitro</w:t>
      </w:r>
      <w:r w:rsidRPr="00037892">
        <w:rPr>
          <w:rFonts w:ascii="Times New Roman" w:hAnsi="Times New Roman" w:cs="Times New Roman"/>
          <w:sz w:val="24"/>
          <w:szCs w:val="24"/>
        </w:rPr>
        <w:t>. Remdesivir may however transiently inhibit CYP2B6, 2C8, 2C9</w:t>
      </w:r>
      <w:r w:rsidR="00BB1A9A">
        <w:rPr>
          <w:rFonts w:ascii="Times New Roman" w:hAnsi="Times New Roman" w:cs="Times New Roman"/>
          <w:sz w:val="24"/>
          <w:szCs w:val="24"/>
        </w:rPr>
        <w:t>, 2C19</w:t>
      </w:r>
      <w:r w:rsidRPr="00037892">
        <w:rPr>
          <w:rFonts w:ascii="Times New Roman" w:hAnsi="Times New Roman" w:cs="Times New Roman"/>
          <w:sz w:val="24"/>
          <w:szCs w:val="24"/>
        </w:rPr>
        <w:t xml:space="preserve"> and 2D6 on the first day of administration. The clinical relevance of this inhibition was not studied. </w:t>
      </w:r>
      <w:r w:rsidR="00761CD7">
        <w:rPr>
          <w:rFonts w:ascii="Times New Roman" w:hAnsi="Times New Roman" w:cs="Times New Roman"/>
          <w:sz w:val="24"/>
          <w:szCs w:val="24"/>
        </w:rPr>
        <w:t xml:space="preserve">The </w:t>
      </w:r>
      <w:r w:rsidR="00465C76" w:rsidRPr="00465C76">
        <w:rPr>
          <w:rFonts w:ascii="Times New Roman" w:hAnsi="Times New Roman" w:cs="Times New Roman"/>
          <w:sz w:val="24"/>
          <w:szCs w:val="24"/>
        </w:rPr>
        <w:t>lack of clinical relevance of this inhibition was confirmed using modelling and simulation. Remdesivir is not a time-dependent inhibitor of CYP450 enzymes</w:t>
      </w:r>
      <w:r w:rsidR="00465C76">
        <w:rPr>
          <w:rFonts w:ascii="Times New Roman" w:hAnsi="Times New Roman" w:cs="Times New Roman"/>
          <w:sz w:val="24"/>
          <w:szCs w:val="24"/>
        </w:rPr>
        <w:t xml:space="preserve"> </w:t>
      </w:r>
      <w:r w:rsidR="00465C76" w:rsidRPr="00465C76">
        <w:rPr>
          <w:rFonts w:ascii="Times New Roman" w:hAnsi="Times New Roman" w:cs="Times New Roman"/>
          <w:i/>
          <w:iCs/>
          <w:sz w:val="24"/>
          <w:szCs w:val="24"/>
        </w:rPr>
        <w:t>in vitro</w:t>
      </w:r>
      <w:r w:rsidR="00465C76" w:rsidRPr="00465C76">
        <w:rPr>
          <w:rFonts w:ascii="Times New Roman" w:hAnsi="Times New Roman" w:cs="Times New Roman"/>
          <w:sz w:val="24"/>
          <w:szCs w:val="24"/>
        </w:rPr>
        <w:t>.</w:t>
      </w:r>
    </w:p>
    <w:p w14:paraId="794D8D21"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794D8D22" w14:textId="495174E4" w:rsidR="00D07F42" w:rsidRPr="00037892" w:rsidRDefault="00270E87"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Remdesivir induced CYP1A2</w:t>
      </w:r>
      <w:r w:rsidR="001B6FA7">
        <w:rPr>
          <w:rFonts w:ascii="Times New Roman" w:hAnsi="Times New Roman" w:cs="Times New Roman"/>
          <w:sz w:val="24"/>
          <w:szCs w:val="24"/>
        </w:rPr>
        <w:t>, CYP2B6</w:t>
      </w:r>
      <w:r w:rsidRPr="00037892">
        <w:rPr>
          <w:rFonts w:ascii="Times New Roman" w:hAnsi="Times New Roman" w:cs="Times New Roman"/>
          <w:sz w:val="24"/>
          <w:szCs w:val="24"/>
        </w:rPr>
        <w:t xml:space="preserve"> and potentially CYP3A4 </w:t>
      </w:r>
      <w:r w:rsidRPr="00F66771">
        <w:rPr>
          <w:rFonts w:ascii="Times New Roman" w:hAnsi="Times New Roman" w:cs="Times New Roman"/>
          <w:i/>
          <w:iCs/>
          <w:sz w:val="24"/>
          <w:szCs w:val="24"/>
        </w:rPr>
        <w:t>in vitro</w:t>
      </w:r>
      <w:r w:rsidRPr="00037892">
        <w:rPr>
          <w:rFonts w:ascii="Times New Roman" w:hAnsi="Times New Roman" w:cs="Times New Roman"/>
          <w:sz w:val="24"/>
          <w:szCs w:val="24"/>
        </w:rPr>
        <w:t xml:space="preserve"> (see section 4.5).</w:t>
      </w:r>
    </w:p>
    <w:p w14:paraId="101F7E3E" w14:textId="77777777" w:rsidR="0046752B" w:rsidRPr="00037892" w:rsidRDefault="0046752B" w:rsidP="00D07F42">
      <w:pPr>
        <w:numPr>
          <w:ilvl w:val="12"/>
          <w:numId w:val="0"/>
        </w:numPr>
        <w:spacing w:after="0" w:line="240" w:lineRule="auto"/>
        <w:ind w:right="-2"/>
        <w:rPr>
          <w:rFonts w:ascii="Times New Roman" w:hAnsi="Times New Roman" w:cs="Times New Roman"/>
          <w:sz w:val="24"/>
          <w:szCs w:val="24"/>
        </w:rPr>
      </w:pPr>
    </w:p>
    <w:p w14:paraId="794D8D26" w14:textId="6B8EE3D3" w:rsidR="00D07F42" w:rsidRPr="00037892" w:rsidRDefault="00270E87" w:rsidP="00D07F42">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 xml:space="preserve">Remdesivir inhibited </w:t>
      </w:r>
      <w:r w:rsidR="00405C1C">
        <w:rPr>
          <w:rFonts w:ascii="Times New Roman" w:hAnsi="Times New Roman" w:cs="Times New Roman"/>
          <w:sz w:val="24"/>
          <w:szCs w:val="24"/>
        </w:rPr>
        <w:t xml:space="preserve">OCT1, </w:t>
      </w:r>
      <w:r w:rsidR="005F30C3">
        <w:rPr>
          <w:rFonts w:ascii="Times New Roman" w:hAnsi="Times New Roman" w:cs="Times New Roman"/>
          <w:sz w:val="24"/>
          <w:szCs w:val="24"/>
        </w:rPr>
        <w:t xml:space="preserve">OAT3, </w:t>
      </w:r>
      <w:r w:rsidR="00405C1C">
        <w:rPr>
          <w:rFonts w:ascii="Times New Roman" w:hAnsi="Times New Roman" w:cs="Times New Roman"/>
          <w:sz w:val="24"/>
          <w:szCs w:val="24"/>
        </w:rPr>
        <w:t>MATE1</w:t>
      </w:r>
      <w:r w:rsidR="001A6DC4">
        <w:rPr>
          <w:rFonts w:ascii="Times New Roman" w:hAnsi="Times New Roman" w:cs="Times New Roman"/>
          <w:sz w:val="24"/>
          <w:szCs w:val="24"/>
        </w:rPr>
        <w:t xml:space="preserve">, </w:t>
      </w:r>
      <w:r w:rsidRPr="00037892">
        <w:rPr>
          <w:rFonts w:ascii="Times New Roman" w:hAnsi="Times New Roman" w:cs="Times New Roman"/>
          <w:sz w:val="24"/>
          <w:szCs w:val="24"/>
        </w:rPr>
        <w:t xml:space="preserve">OATP1B1 and OATP1B3 </w:t>
      </w:r>
      <w:r w:rsidRPr="00F66771">
        <w:rPr>
          <w:rFonts w:ascii="Times New Roman" w:hAnsi="Times New Roman" w:cs="Times New Roman"/>
          <w:i/>
          <w:iCs/>
          <w:sz w:val="24"/>
          <w:szCs w:val="24"/>
        </w:rPr>
        <w:t>in vitro</w:t>
      </w:r>
      <w:r w:rsidRPr="00037892">
        <w:rPr>
          <w:rFonts w:ascii="Times New Roman" w:hAnsi="Times New Roman" w:cs="Times New Roman"/>
          <w:sz w:val="24"/>
          <w:szCs w:val="24"/>
        </w:rPr>
        <w:t xml:space="preserve"> (see section 4.5</w:t>
      </w:r>
      <w:proofErr w:type="gramStart"/>
      <w:r w:rsidRPr="00037892">
        <w:rPr>
          <w:rFonts w:ascii="Times New Roman" w:hAnsi="Times New Roman" w:cs="Times New Roman"/>
          <w:sz w:val="24"/>
          <w:szCs w:val="24"/>
        </w:rPr>
        <w:t>).</w:t>
      </w:r>
      <w:r w:rsidR="001A6DC4" w:rsidRPr="001A6DC4">
        <w:rPr>
          <w:rFonts w:ascii="Times New Roman" w:hAnsi="Times New Roman" w:cs="Times New Roman"/>
          <w:sz w:val="24"/>
          <w:szCs w:val="24"/>
        </w:rPr>
        <w:t>The</w:t>
      </w:r>
      <w:proofErr w:type="gramEnd"/>
      <w:r w:rsidR="001A6DC4" w:rsidRPr="001A6DC4">
        <w:rPr>
          <w:rFonts w:ascii="Times New Roman" w:hAnsi="Times New Roman" w:cs="Times New Roman"/>
          <w:sz w:val="24"/>
          <w:szCs w:val="24"/>
        </w:rPr>
        <w:t xml:space="preserve"> lack of clinical relevance of this inhibition was confirmed using modelling and simulation.</w:t>
      </w:r>
    </w:p>
    <w:p w14:paraId="794D8D27" w14:textId="77777777" w:rsidR="00D07F42" w:rsidRPr="00037892" w:rsidRDefault="00D07F42" w:rsidP="00D07F42">
      <w:pPr>
        <w:numPr>
          <w:ilvl w:val="12"/>
          <w:numId w:val="0"/>
        </w:numPr>
        <w:spacing w:after="0" w:line="240" w:lineRule="auto"/>
        <w:ind w:right="-2"/>
        <w:rPr>
          <w:rFonts w:ascii="Times New Roman" w:hAnsi="Times New Roman" w:cs="Times New Roman"/>
          <w:sz w:val="24"/>
          <w:szCs w:val="24"/>
        </w:rPr>
      </w:pPr>
    </w:p>
    <w:p w14:paraId="794D8D29" w14:textId="37D66291" w:rsidR="00DD7DA8" w:rsidRDefault="00270E87">
      <w:pPr>
        <w:numPr>
          <w:ilvl w:val="12"/>
          <w:numId w:val="0"/>
        </w:numPr>
        <w:spacing w:after="0" w:line="240" w:lineRule="auto"/>
        <w:ind w:right="-2"/>
        <w:rPr>
          <w:rFonts w:ascii="Times New Roman" w:hAnsi="Times New Roman" w:cs="Times New Roman"/>
          <w:sz w:val="24"/>
          <w:szCs w:val="24"/>
        </w:rPr>
      </w:pPr>
      <w:r w:rsidRPr="00037892">
        <w:rPr>
          <w:rFonts w:ascii="Times New Roman" w:hAnsi="Times New Roman" w:cs="Times New Roman"/>
          <w:sz w:val="24"/>
          <w:szCs w:val="24"/>
        </w:rPr>
        <w:t xml:space="preserve">At physiologically relevant concentrations, </w:t>
      </w:r>
      <w:r w:rsidR="00297DF0" w:rsidRPr="00037892">
        <w:rPr>
          <w:rFonts w:ascii="Times New Roman" w:hAnsi="Times New Roman" w:cs="Times New Roman"/>
          <w:sz w:val="24"/>
          <w:szCs w:val="24"/>
        </w:rPr>
        <w:t>remdesivir</w:t>
      </w:r>
      <w:r w:rsidR="00297DF0">
        <w:rPr>
          <w:rFonts w:ascii="Times New Roman" w:hAnsi="Times New Roman" w:cs="Times New Roman"/>
          <w:sz w:val="24"/>
          <w:szCs w:val="24"/>
        </w:rPr>
        <w:t xml:space="preserve">, </w:t>
      </w:r>
      <w:r w:rsidR="00BE1BFC" w:rsidRPr="00037892">
        <w:rPr>
          <w:rFonts w:ascii="Times New Roman" w:hAnsi="Times New Roman" w:cs="Times New Roman"/>
          <w:sz w:val="24"/>
          <w:szCs w:val="24"/>
        </w:rPr>
        <w:t xml:space="preserve">and its metabolites </w:t>
      </w:r>
      <w:r w:rsidRPr="00037892">
        <w:rPr>
          <w:rFonts w:ascii="Times New Roman" w:hAnsi="Times New Roman" w:cs="Times New Roman"/>
          <w:sz w:val="24"/>
          <w:szCs w:val="24"/>
        </w:rPr>
        <w:t>did not inhibit P</w:t>
      </w:r>
      <w:r w:rsidR="008203EC">
        <w:rPr>
          <w:rFonts w:ascii="Times New Roman" w:hAnsi="Times New Roman" w:cs="Times New Roman"/>
          <w:sz w:val="24"/>
          <w:szCs w:val="24"/>
        </w:rPr>
        <w:t>-</w:t>
      </w:r>
      <w:proofErr w:type="spellStart"/>
      <w:r w:rsidR="008203EC" w:rsidRPr="00037892">
        <w:rPr>
          <w:rFonts w:ascii="Times New Roman" w:hAnsi="Times New Roman" w:cs="Times New Roman"/>
          <w:sz w:val="24"/>
          <w:szCs w:val="24"/>
        </w:rPr>
        <w:t>g</w:t>
      </w:r>
      <w:r w:rsidR="008203EC">
        <w:rPr>
          <w:rFonts w:ascii="Times New Roman" w:hAnsi="Times New Roman" w:cs="Times New Roman"/>
          <w:sz w:val="24"/>
          <w:szCs w:val="24"/>
        </w:rPr>
        <w:t>p</w:t>
      </w:r>
      <w:proofErr w:type="spellEnd"/>
      <w:r w:rsidR="008203EC" w:rsidRPr="00037892">
        <w:rPr>
          <w:rFonts w:ascii="Times New Roman" w:hAnsi="Times New Roman" w:cs="Times New Roman"/>
          <w:sz w:val="24"/>
          <w:szCs w:val="24"/>
        </w:rPr>
        <w:t xml:space="preserve"> </w:t>
      </w:r>
      <w:r w:rsidR="005E3586">
        <w:rPr>
          <w:rFonts w:ascii="Times New Roman" w:hAnsi="Times New Roman" w:cs="Times New Roman"/>
          <w:sz w:val="24"/>
          <w:szCs w:val="24"/>
        </w:rPr>
        <w:t>nor</w:t>
      </w:r>
      <w:r w:rsidR="005E3586" w:rsidRPr="00037892">
        <w:rPr>
          <w:rFonts w:ascii="Times New Roman" w:hAnsi="Times New Roman" w:cs="Times New Roman"/>
          <w:sz w:val="24"/>
          <w:szCs w:val="24"/>
        </w:rPr>
        <w:t xml:space="preserve"> </w:t>
      </w:r>
      <w:r w:rsidRPr="00037892">
        <w:rPr>
          <w:rFonts w:ascii="Times New Roman" w:hAnsi="Times New Roman" w:cs="Times New Roman"/>
          <w:sz w:val="24"/>
          <w:szCs w:val="24"/>
        </w:rPr>
        <w:t xml:space="preserve">BCRP </w:t>
      </w:r>
      <w:r w:rsidRPr="00BB1A9A">
        <w:rPr>
          <w:rFonts w:ascii="Times New Roman" w:hAnsi="Times New Roman" w:cs="Times New Roman"/>
          <w:i/>
          <w:iCs/>
          <w:sz w:val="24"/>
          <w:szCs w:val="24"/>
        </w:rPr>
        <w:t>in vitro.</w:t>
      </w:r>
    </w:p>
    <w:p w14:paraId="345A0196" w14:textId="77777777" w:rsidR="00384733" w:rsidRDefault="00384733" w:rsidP="00DD7DA8">
      <w:pPr>
        <w:numPr>
          <w:ilvl w:val="12"/>
          <w:numId w:val="0"/>
        </w:numPr>
        <w:spacing w:after="0" w:line="240" w:lineRule="auto"/>
        <w:ind w:right="-2"/>
        <w:rPr>
          <w:rFonts w:ascii="Times New Roman" w:hAnsi="Times New Roman" w:cs="Times New Roman"/>
          <w:sz w:val="24"/>
          <w:szCs w:val="24"/>
        </w:rPr>
      </w:pPr>
    </w:p>
    <w:p w14:paraId="794D8D2C" w14:textId="36903868" w:rsidR="00D07F42" w:rsidRPr="00F66771" w:rsidRDefault="00270E87" w:rsidP="00F66771">
      <w:pPr>
        <w:pStyle w:val="Heading3"/>
        <w:spacing w:before="0" w:line="240" w:lineRule="auto"/>
        <w:ind w:left="0"/>
        <w:rPr>
          <w:rFonts w:ascii="Times New Roman" w:hAnsi="Times New Roman" w:cs="Times New Roman"/>
          <w:sz w:val="24"/>
          <w:szCs w:val="24"/>
        </w:rPr>
      </w:pPr>
      <w:r w:rsidRPr="00F66771">
        <w:rPr>
          <w:rFonts w:ascii="Times New Roman" w:hAnsi="Times New Roman" w:cs="Times New Roman"/>
          <w:sz w:val="24"/>
          <w:szCs w:val="24"/>
        </w:rPr>
        <w:t>Preclinical safety data</w:t>
      </w:r>
    </w:p>
    <w:p w14:paraId="794D8D2E" w14:textId="457A9EF2" w:rsidR="00D07F42" w:rsidRPr="00772475" w:rsidRDefault="00D07F42" w:rsidP="00D07F42">
      <w:pPr>
        <w:pStyle w:val="Heading3"/>
        <w:spacing w:before="0" w:line="240" w:lineRule="auto"/>
        <w:ind w:left="0"/>
        <w:rPr>
          <w:rFonts w:ascii="Times New Roman" w:hAnsi="Times New Roman" w:cs="Times New Roman"/>
          <w:sz w:val="24"/>
          <w:szCs w:val="24"/>
        </w:rPr>
      </w:pPr>
    </w:p>
    <w:p w14:paraId="794D8D2F" w14:textId="77777777" w:rsidR="00D07F42" w:rsidRPr="00772475" w:rsidRDefault="00270E87" w:rsidP="00D07F42">
      <w:pPr>
        <w:pStyle w:val="Heading3"/>
        <w:spacing w:before="0" w:line="240" w:lineRule="auto"/>
        <w:ind w:left="0"/>
        <w:rPr>
          <w:sz w:val="24"/>
          <w:szCs w:val="24"/>
        </w:rPr>
      </w:pPr>
      <w:r w:rsidRPr="00772475">
        <w:rPr>
          <w:rFonts w:ascii="Times New Roman" w:hAnsi="Times New Roman" w:cs="Times New Roman"/>
          <w:sz w:val="24"/>
          <w:szCs w:val="24"/>
        </w:rPr>
        <w:t>Genotoxicity</w:t>
      </w:r>
    </w:p>
    <w:p w14:paraId="794D8D30" w14:textId="4ACA6FA8" w:rsidR="00D07F42" w:rsidRPr="00772475" w:rsidRDefault="00270E87" w:rsidP="00D07F42">
      <w:pPr>
        <w:pStyle w:val="Default"/>
      </w:pPr>
      <w:r w:rsidRPr="00772475">
        <w:t>Remdesivir was not genotoxic in a bacterial mutagenicity</w:t>
      </w:r>
      <w:r w:rsidR="00DD7DA8">
        <w:t xml:space="preserve"> assay and a</w:t>
      </w:r>
      <w:r w:rsidR="00DD7DA8" w:rsidRPr="00772475">
        <w:t xml:space="preserve"> </w:t>
      </w:r>
      <w:r w:rsidRPr="00772475">
        <w:t xml:space="preserve">chromosome aberration </w:t>
      </w:r>
      <w:r w:rsidR="00DD7DA8">
        <w:t xml:space="preserve">assay </w:t>
      </w:r>
      <w:r w:rsidRPr="00772475">
        <w:t>using human peripheral blood lymphocytes</w:t>
      </w:r>
      <w:r w:rsidR="00DD7DA8">
        <w:t>.</w:t>
      </w:r>
      <w:r w:rsidRPr="00772475">
        <w:t xml:space="preserve"> </w:t>
      </w:r>
      <w:r w:rsidR="00DD7DA8" w:rsidRPr="009F18BC">
        <w:t>Negative results were seen in an</w:t>
      </w:r>
      <w:r w:rsidR="00DD7DA8" w:rsidRPr="00772475">
        <w:t xml:space="preserve"> </w:t>
      </w:r>
      <w:r w:rsidRPr="00772475">
        <w:rPr>
          <w:i/>
        </w:rPr>
        <w:t>in vivo</w:t>
      </w:r>
      <w:r w:rsidRPr="00772475">
        <w:t xml:space="preserve"> rat micronucleus assay</w:t>
      </w:r>
      <w:r w:rsidR="00DD7DA8">
        <w:t xml:space="preserve"> </w:t>
      </w:r>
      <w:r w:rsidR="00DD7DA8" w:rsidRPr="009F18BC">
        <w:t>where exposures to remdesivir were unquantifiable, but exposures to GS</w:t>
      </w:r>
      <w:r w:rsidR="00DD7DA8">
        <w:t>-</w:t>
      </w:r>
      <w:r w:rsidR="00DD7DA8" w:rsidRPr="009F18BC">
        <w:t>441524 and GS</w:t>
      </w:r>
      <w:r w:rsidR="00DD7DA8">
        <w:t>-</w:t>
      </w:r>
      <w:r w:rsidR="00DD7DA8" w:rsidRPr="009F18BC">
        <w:t>704277 were significantly above the exposures in adult human subjects at a dose of 200 mg/day.</w:t>
      </w:r>
      <w:r w:rsidRPr="00772475">
        <w:t xml:space="preserve"> </w:t>
      </w:r>
    </w:p>
    <w:p w14:paraId="794D8D31" w14:textId="77777777" w:rsidR="00D07F42" w:rsidRPr="00772475" w:rsidRDefault="00D07F42" w:rsidP="00D07F42">
      <w:pPr>
        <w:pStyle w:val="Heading3"/>
        <w:spacing w:before="0" w:line="240" w:lineRule="auto"/>
        <w:ind w:left="0"/>
        <w:rPr>
          <w:rFonts w:ascii="Times New Roman" w:eastAsiaTheme="minorHAnsi" w:hAnsi="Times New Roman" w:cs="Times New Roman"/>
          <w:b w:val="0"/>
          <w:bCs w:val="0"/>
          <w:i/>
          <w:iCs/>
          <w:color w:val="000000"/>
          <w:sz w:val="24"/>
          <w:szCs w:val="24"/>
        </w:rPr>
      </w:pPr>
    </w:p>
    <w:p w14:paraId="794D8D32" w14:textId="77777777" w:rsidR="00D07F42" w:rsidRPr="00772475" w:rsidRDefault="00270E87" w:rsidP="00D07F42">
      <w:pPr>
        <w:pStyle w:val="Heading3"/>
        <w:spacing w:before="0" w:line="240" w:lineRule="auto"/>
        <w:ind w:left="0"/>
        <w:rPr>
          <w:rFonts w:ascii="Times New Roman" w:hAnsi="Times New Roman" w:cs="Times New Roman"/>
          <w:sz w:val="24"/>
          <w:szCs w:val="24"/>
          <w:lang w:val="en-US"/>
        </w:rPr>
      </w:pPr>
      <w:proofErr w:type="spellStart"/>
      <w:r w:rsidRPr="00772475">
        <w:rPr>
          <w:rFonts w:ascii="Times New Roman" w:hAnsi="Times New Roman" w:cs="Times New Roman"/>
          <w:sz w:val="24"/>
          <w:szCs w:val="24"/>
        </w:rPr>
        <w:t>Carcin</w:t>
      </w:r>
      <w:r w:rsidRPr="00772475">
        <w:rPr>
          <w:rFonts w:ascii="Times New Roman" w:hAnsi="Times New Roman" w:cs="Times New Roman"/>
          <w:sz w:val="24"/>
          <w:szCs w:val="24"/>
          <w:lang w:val="en-US"/>
        </w:rPr>
        <w:t>ogenicity</w:t>
      </w:r>
      <w:proofErr w:type="spellEnd"/>
    </w:p>
    <w:p w14:paraId="794D8D33" w14:textId="77777777" w:rsidR="00D07F42" w:rsidRPr="00772475" w:rsidRDefault="00270E87" w:rsidP="00D07F42">
      <w:pPr>
        <w:pStyle w:val="Default"/>
      </w:pPr>
      <w:r w:rsidRPr="000D3E89">
        <w:t xml:space="preserve">Long-term animal studies to evaluate the carcinogenic potential of remdesivir have not been </w:t>
      </w:r>
      <w:r w:rsidRPr="000D3E89">
        <w:rPr>
          <w:lang w:val="en-US"/>
        </w:rPr>
        <w:t>perform</w:t>
      </w:r>
      <w:r w:rsidRPr="000D3E89">
        <w:t>e</w:t>
      </w:r>
      <w:r w:rsidRPr="000D3E89">
        <w:rPr>
          <w:lang w:val="en-US"/>
        </w:rPr>
        <w:t>d</w:t>
      </w:r>
      <w:r w:rsidR="00FA05AE">
        <w:rPr>
          <w:lang w:val="en-US"/>
        </w:rPr>
        <w:t>.</w:t>
      </w:r>
    </w:p>
    <w:p w14:paraId="794D8D3E" w14:textId="4F71B0FA" w:rsidR="00D07F42" w:rsidRPr="00772475" w:rsidRDefault="00270E87" w:rsidP="00D07F42">
      <w:pPr>
        <w:pStyle w:val="Heading3"/>
        <w:spacing w:line="240" w:lineRule="auto"/>
        <w:ind w:left="0"/>
        <w:rPr>
          <w:rFonts w:ascii="Times New Roman" w:hAnsi="Times New Roman" w:cs="Times New Roman"/>
          <w:b w:val="0"/>
          <w:i/>
          <w:sz w:val="24"/>
          <w:szCs w:val="24"/>
        </w:rPr>
      </w:pPr>
      <w:r w:rsidRPr="00772475">
        <w:rPr>
          <w:rFonts w:ascii="Times New Roman" w:hAnsi="Times New Roman" w:cs="Times New Roman"/>
          <w:b w:val="0"/>
          <w:i/>
          <w:sz w:val="24"/>
          <w:szCs w:val="24"/>
        </w:rPr>
        <w:t>Animal Toxicology</w:t>
      </w:r>
    </w:p>
    <w:p w14:paraId="794D8D40" w14:textId="72F1DE4C" w:rsidR="00D07F42" w:rsidRPr="007E50B0" w:rsidRDefault="00270E87" w:rsidP="007E50B0">
      <w:pPr>
        <w:spacing w:after="120" w:line="240" w:lineRule="auto"/>
        <w:rPr>
          <w:rFonts w:ascii="Times New Roman" w:hAnsi="Times New Roman" w:cs="Times New Roman"/>
          <w:noProof/>
          <w:sz w:val="24"/>
          <w:szCs w:val="24"/>
        </w:rPr>
      </w:pPr>
      <w:r w:rsidRPr="00AB75F6">
        <w:rPr>
          <w:rFonts w:ascii="Times New Roman" w:hAnsi="Times New Roman" w:cs="Times New Roman"/>
          <w:sz w:val="24"/>
          <w:szCs w:val="24"/>
        </w:rPr>
        <w:t xml:space="preserve">Following intravenous administration (slow bolus) of remdesivir to rhesus monkeys and rats, severe renal toxicity occurred after short treatment durations. In male rhesus </w:t>
      </w:r>
      <w:proofErr w:type="gramStart"/>
      <w:r w:rsidRPr="00AB75F6">
        <w:rPr>
          <w:rFonts w:ascii="Times New Roman" w:hAnsi="Times New Roman" w:cs="Times New Roman"/>
          <w:sz w:val="24"/>
          <w:szCs w:val="24"/>
        </w:rPr>
        <w:t>monkeys</w:t>
      </w:r>
      <w:proofErr w:type="gramEnd"/>
      <w:r w:rsidRPr="00AB75F6">
        <w:rPr>
          <w:rFonts w:ascii="Times New Roman" w:hAnsi="Times New Roman" w:cs="Times New Roman"/>
          <w:sz w:val="24"/>
          <w:szCs w:val="24"/>
        </w:rPr>
        <w:t xml:space="preserve"> dosage levels of</w:t>
      </w:r>
      <w:r w:rsidR="00636445">
        <w:rPr>
          <w:rFonts w:ascii="Times New Roman" w:hAnsi="Times New Roman" w:cs="Times New Roman"/>
          <w:sz w:val="24"/>
          <w:szCs w:val="24"/>
        </w:rPr>
        <w:t xml:space="preserve"> </w:t>
      </w:r>
      <w:r w:rsidR="00636445">
        <w:t>≥</w:t>
      </w:r>
      <w:r w:rsidRPr="00AB75F6">
        <w:rPr>
          <w:rFonts w:ascii="Times New Roman" w:hAnsi="Times New Roman" w:cs="Times New Roman"/>
          <w:sz w:val="24"/>
          <w:szCs w:val="24"/>
        </w:rPr>
        <w:t xml:space="preserve"> </w:t>
      </w:r>
      <w:r w:rsidR="00F84F35">
        <w:rPr>
          <w:rFonts w:ascii="Times New Roman" w:hAnsi="Times New Roman" w:cs="Times New Roman"/>
          <w:sz w:val="24"/>
          <w:szCs w:val="24"/>
        </w:rPr>
        <w:t xml:space="preserve">5 </w:t>
      </w:r>
      <w:r w:rsidRPr="00AB75F6">
        <w:rPr>
          <w:rFonts w:ascii="Times New Roman" w:hAnsi="Times New Roman" w:cs="Times New Roman"/>
          <w:sz w:val="24"/>
          <w:szCs w:val="24"/>
        </w:rPr>
        <w:t>mg/kg/day for 7 days resulted</w:t>
      </w:r>
      <w:r w:rsidR="00F84F35">
        <w:rPr>
          <w:rFonts w:ascii="Times New Roman" w:hAnsi="Times New Roman" w:cs="Times New Roman"/>
          <w:sz w:val="24"/>
          <w:szCs w:val="24"/>
        </w:rPr>
        <w:t xml:space="preserve"> </w:t>
      </w:r>
      <w:r w:rsidRPr="00AB75F6">
        <w:rPr>
          <w:rFonts w:ascii="Times New Roman" w:hAnsi="Times New Roman" w:cs="Times New Roman"/>
          <w:sz w:val="24"/>
          <w:szCs w:val="24"/>
        </w:rPr>
        <w:t>in increased mean urea nitrogen and increased mean creatinine, renal tubular atrophy, and basophilia and casts, and an unscheduled death of one animal at 20 mg/kg/day</w:t>
      </w:r>
      <w:r w:rsidR="00636445">
        <w:rPr>
          <w:rFonts w:ascii="Times New Roman" w:hAnsi="Times New Roman" w:cs="Times New Roman"/>
          <w:sz w:val="24"/>
          <w:szCs w:val="24"/>
        </w:rPr>
        <w:t>.</w:t>
      </w:r>
      <w:r w:rsidRPr="00AB75F6">
        <w:rPr>
          <w:rFonts w:ascii="Times New Roman" w:hAnsi="Times New Roman" w:cs="Times New Roman"/>
          <w:sz w:val="24"/>
          <w:szCs w:val="24"/>
        </w:rPr>
        <w:t xml:space="preserve"> </w:t>
      </w:r>
      <w:r w:rsidR="00636445" w:rsidRPr="00F97442">
        <w:rPr>
          <w:rFonts w:ascii="Times New Roman" w:hAnsi="Times New Roman" w:cs="Times New Roman"/>
          <w:sz w:val="24"/>
          <w:szCs w:val="24"/>
        </w:rPr>
        <w:t>A no adverse effect level was not established in this species</w:t>
      </w:r>
      <w:r w:rsidRPr="00AB75F6">
        <w:rPr>
          <w:rFonts w:ascii="Times New Roman" w:hAnsi="Times New Roman" w:cs="Times New Roman"/>
          <w:sz w:val="24"/>
          <w:szCs w:val="24"/>
        </w:rPr>
        <w:t xml:space="preserve">. In rats, dosage levels of </w:t>
      </w:r>
      <w:r w:rsidR="00636445">
        <w:t>≥</w:t>
      </w:r>
      <w:r w:rsidRPr="00AB75F6">
        <w:rPr>
          <w:rFonts w:ascii="Times New Roman" w:hAnsi="Times New Roman" w:cs="Times New Roman"/>
          <w:sz w:val="24"/>
          <w:szCs w:val="24"/>
        </w:rPr>
        <w:t>3 mg/kg/day for up to 4 weeks resulted in findings indicative of kidney injury and/or dysfunction. Systemic exposures (AUC) of the predominant circulating metabolite</w:t>
      </w:r>
      <w:r>
        <w:rPr>
          <w:rFonts w:ascii="Times New Roman" w:hAnsi="Times New Roman" w:cs="Times New Roman"/>
          <w:sz w:val="24"/>
          <w:szCs w:val="24"/>
        </w:rPr>
        <w:t>s</w:t>
      </w:r>
      <w:r w:rsidRPr="00AB75F6">
        <w:rPr>
          <w:rFonts w:ascii="Times New Roman" w:hAnsi="Times New Roman" w:cs="Times New Roman"/>
          <w:sz w:val="24"/>
          <w:szCs w:val="24"/>
        </w:rPr>
        <w:t xml:space="preserve"> of remdesivir (GS</w:t>
      </w:r>
      <w:r w:rsidR="00636445">
        <w:rPr>
          <w:rFonts w:ascii="Times New Roman" w:hAnsi="Times New Roman" w:cs="Times New Roman"/>
          <w:sz w:val="24"/>
          <w:szCs w:val="24"/>
        </w:rPr>
        <w:t>-</w:t>
      </w:r>
      <w:r w:rsidRPr="00AB75F6">
        <w:rPr>
          <w:rFonts w:ascii="Times New Roman" w:hAnsi="Times New Roman" w:cs="Times New Roman"/>
          <w:sz w:val="24"/>
          <w:szCs w:val="24"/>
        </w:rPr>
        <w:t>441524</w:t>
      </w:r>
      <w:r w:rsidR="00F84F35">
        <w:rPr>
          <w:rFonts w:ascii="Times New Roman" w:hAnsi="Times New Roman" w:cs="Times New Roman"/>
          <w:sz w:val="24"/>
          <w:szCs w:val="24"/>
        </w:rPr>
        <w:t xml:space="preserve"> and GS-704277</w:t>
      </w:r>
      <w:r w:rsidRPr="00AB75F6">
        <w:rPr>
          <w:rFonts w:ascii="Times New Roman" w:hAnsi="Times New Roman" w:cs="Times New Roman"/>
          <w:sz w:val="24"/>
          <w:szCs w:val="24"/>
        </w:rPr>
        <w:t>) were 0.</w:t>
      </w:r>
      <w:r w:rsidR="00636445">
        <w:rPr>
          <w:rFonts w:ascii="Times New Roman" w:hAnsi="Times New Roman" w:cs="Times New Roman"/>
          <w:sz w:val="24"/>
          <w:szCs w:val="24"/>
        </w:rPr>
        <w:t>6 and 0.9</w:t>
      </w:r>
      <w:r w:rsidR="00636445" w:rsidRPr="00AB75F6">
        <w:rPr>
          <w:rFonts w:ascii="Times New Roman" w:hAnsi="Times New Roman" w:cs="Times New Roman"/>
          <w:sz w:val="24"/>
          <w:szCs w:val="24"/>
        </w:rPr>
        <w:t xml:space="preserve"> </w:t>
      </w:r>
      <w:r w:rsidRPr="00AB75F6">
        <w:rPr>
          <w:rFonts w:ascii="Times New Roman" w:hAnsi="Times New Roman" w:cs="Times New Roman"/>
          <w:sz w:val="24"/>
          <w:szCs w:val="24"/>
        </w:rPr>
        <w:t>times (monkeys at 5 mg/kg/day) and 0.3</w:t>
      </w:r>
      <w:r w:rsidR="00636445">
        <w:rPr>
          <w:rFonts w:ascii="Times New Roman" w:hAnsi="Times New Roman" w:cs="Times New Roman"/>
          <w:sz w:val="24"/>
          <w:szCs w:val="24"/>
        </w:rPr>
        <w:t xml:space="preserve"> and 0.4</w:t>
      </w:r>
      <w:r w:rsidRPr="00AB75F6">
        <w:rPr>
          <w:rFonts w:ascii="Times New Roman" w:hAnsi="Times New Roman" w:cs="Times New Roman"/>
          <w:sz w:val="24"/>
          <w:szCs w:val="24"/>
        </w:rPr>
        <w:t xml:space="preserve"> </w:t>
      </w:r>
      <w:proofErr w:type="gramStart"/>
      <w:r w:rsidRPr="00AB75F6">
        <w:rPr>
          <w:rFonts w:ascii="Times New Roman" w:hAnsi="Times New Roman" w:cs="Times New Roman"/>
          <w:sz w:val="24"/>
          <w:szCs w:val="24"/>
        </w:rPr>
        <w:t>times(</w:t>
      </w:r>
      <w:proofErr w:type="gramEnd"/>
      <w:r w:rsidRPr="00AB75F6">
        <w:rPr>
          <w:rFonts w:ascii="Times New Roman" w:hAnsi="Times New Roman" w:cs="Times New Roman"/>
          <w:sz w:val="24"/>
          <w:szCs w:val="24"/>
        </w:rPr>
        <w:t>rat</w:t>
      </w:r>
      <w:r w:rsidR="00636445">
        <w:rPr>
          <w:rFonts w:ascii="Times New Roman" w:hAnsi="Times New Roman" w:cs="Times New Roman"/>
          <w:sz w:val="24"/>
          <w:szCs w:val="24"/>
        </w:rPr>
        <w:t>s</w:t>
      </w:r>
      <w:r w:rsidRPr="00AB75F6">
        <w:rPr>
          <w:rFonts w:ascii="Times New Roman" w:hAnsi="Times New Roman" w:cs="Times New Roman"/>
          <w:sz w:val="24"/>
          <w:szCs w:val="24"/>
        </w:rPr>
        <w:t xml:space="preserve"> at 3 mg/kg/day)</w:t>
      </w:r>
      <w:r w:rsidR="00B970A2">
        <w:rPr>
          <w:rFonts w:ascii="Times New Roman" w:hAnsi="Times New Roman" w:cs="Times New Roman"/>
          <w:sz w:val="24"/>
          <w:szCs w:val="24"/>
        </w:rPr>
        <w:t>, respectively,</w:t>
      </w:r>
      <w:r w:rsidRPr="00AB75F6">
        <w:rPr>
          <w:rFonts w:ascii="Times New Roman" w:hAnsi="Times New Roman" w:cs="Times New Roman"/>
          <w:sz w:val="24"/>
          <w:szCs w:val="24"/>
        </w:rPr>
        <w:t xml:space="preserve"> the exposure in</w:t>
      </w:r>
      <w:r w:rsidR="00636445">
        <w:rPr>
          <w:rFonts w:ascii="Times New Roman" w:hAnsi="Times New Roman" w:cs="Times New Roman"/>
          <w:sz w:val="24"/>
          <w:szCs w:val="24"/>
        </w:rPr>
        <w:t xml:space="preserve"> adult</w:t>
      </w:r>
      <w:r w:rsidRPr="00AB75F6">
        <w:rPr>
          <w:rFonts w:ascii="Times New Roman" w:hAnsi="Times New Roman" w:cs="Times New Roman"/>
          <w:sz w:val="24"/>
          <w:szCs w:val="24"/>
        </w:rPr>
        <w:t xml:space="preserve"> humans at </w:t>
      </w:r>
      <w:r w:rsidR="00636445">
        <w:rPr>
          <w:rFonts w:ascii="Times New Roman" w:hAnsi="Times New Roman" w:cs="Times New Roman"/>
          <w:sz w:val="24"/>
          <w:szCs w:val="24"/>
        </w:rPr>
        <w:t>the 200 mg dose</w:t>
      </w:r>
      <w:r w:rsidR="00636445" w:rsidRPr="00AB75F6">
        <w:rPr>
          <w:rFonts w:ascii="Times New Roman" w:hAnsi="Times New Roman" w:cs="Times New Roman"/>
          <w:sz w:val="24"/>
          <w:szCs w:val="24"/>
        </w:rPr>
        <w:t>.</w:t>
      </w:r>
    </w:p>
    <w:p w14:paraId="794D8D41" w14:textId="77777777" w:rsidR="00D07F42" w:rsidRPr="00772475" w:rsidRDefault="00270E87" w:rsidP="00F92515">
      <w:pPr>
        <w:pStyle w:val="Heading1"/>
        <w:numPr>
          <w:ilvl w:val="0"/>
          <w:numId w:val="11"/>
        </w:numPr>
        <w:spacing w:before="0" w:after="120"/>
        <w:rPr>
          <w:rFonts w:ascii="Times New Roman" w:hAnsi="Times New Roman" w:cs="Times New Roman"/>
          <w:lang w:val="en-US"/>
        </w:rPr>
      </w:pPr>
      <w:r w:rsidRPr="00772475">
        <w:rPr>
          <w:rFonts w:ascii="Times New Roman" w:hAnsi="Times New Roman" w:cs="Times New Roman"/>
          <w:lang w:val="en-US"/>
        </w:rPr>
        <w:lastRenderedPageBreak/>
        <w:t>Pharmaceutical particulars</w:t>
      </w:r>
    </w:p>
    <w:p w14:paraId="794D8D42" w14:textId="1CC089BD" w:rsidR="00D07F42" w:rsidRPr="00772475" w:rsidRDefault="00270E87"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List of excipients</w:t>
      </w:r>
    </w:p>
    <w:p w14:paraId="794D8D43" w14:textId="77777777" w:rsidR="00D07F42" w:rsidRPr="00772475" w:rsidRDefault="00270E87" w:rsidP="00D07F42">
      <w:pPr>
        <w:pStyle w:val="EMEAEnBodyText"/>
        <w:autoSpaceDE w:val="0"/>
        <w:autoSpaceDN w:val="0"/>
        <w:adjustRightInd w:val="0"/>
        <w:spacing w:before="0" w:after="0"/>
        <w:jc w:val="left"/>
        <w:rPr>
          <w:noProof/>
          <w:sz w:val="24"/>
          <w:szCs w:val="24"/>
          <w:u w:val="single"/>
        </w:rPr>
      </w:pPr>
      <w:r w:rsidRPr="00772475">
        <w:rPr>
          <w:noProof/>
          <w:sz w:val="24"/>
          <w:szCs w:val="24"/>
          <w:u w:val="single"/>
        </w:rPr>
        <w:t>VEKLURY 100 mg powder for injection</w:t>
      </w:r>
    </w:p>
    <w:p w14:paraId="794D8D44" w14:textId="77777777" w:rsidR="00D07F42" w:rsidRPr="00772475" w:rsidRDefault="00D07F42" w:rsidP="00D07F42">
      <w:pPr>
        <w:pStyle w:val="EMEAEnBodyText"/>
        <w:autoSpaceDE w:val="0"/>
        <w:autoSpaceDN w:val="0"/>
        <w:adjustRightInd w:val="0"/>
        <w:spacing w:before="0" w:after="0"/>
        <w:jc w:val="left"/>
        <w:rPr>
          <w:noProof/>
          <w:sz w:val="24"/>
          <w:szCs w:val="24"/>
          <w:u w:val="single"/>
        </w:rPr>
      </w:pPr>
    </w:p>
    <w:p w14:paraId="794D8D45" w14:textId="77777777" w:rsidR="00D07F42" w:rsidRPr="00772475" w:rsidRDefault="00270E87" w:rsidP="00D07F42">
      <w:pPr>
        <w:pStyle w:val="NormalKeep"/>
        <w:rPr>
          <w:sz w:val="24"/>
          <w:szCs w:val="24"/>
        </w:rPr>
      </w:pPr>
      <w:proofErr w:type="spellStart"/>
      <w:r>
        <w:rPr>
          <w:sz w:val="24"/>
          <w:szCs w:val="24"/>
        </w:rPr>
        <w:t>S</w:t>
      </w:r>
      <w:r w:rsidRPr="005321B5">
        <w:rPr>
          <w:sz w:val="24"/>
          <w:szCs w:val="24"/>
        </w:rPr>
        <w:t>ulfobutyl</w:t>
      </w:r>
      <w:proofErr w:type="spellEnd"/>
      <w:r w:rsidRPr="005321B5">
        <w:rPr>
          <w:sz w:val="24"/>
          <w:szCs w:val="24"/>
        </w:rPr>
        <w:t xml:space="preserve"> </w:t>
      </w:r>
      <w:proofErr w:type="spellStart"/>
      <w:r w:rsidRPr="005321B5">
        <w:rPr>
          <w:sz w:val="24"/>
          <w:szCs w:val="24"/>
        </w:rPr>
        <w:t>betadex</w:t>
      </w:r>
      <w:proofErr w:type="spellEnd"/>
      <w:r w:rsidRPr="005321B5">
        <w:rPr>
          <w:sz w:val="24"/>
          <w:szCs w:val="24"/>
        </w:rPr>
        <w:t xml:space="preserve"> sodium</w:t>
      </w:r>
    </w:p>
    <w:p w14:paraId="794D8D46" w14:textId="77777777" w:rsidR="00D07F42" w:rsidRPr="00772475" w:rsidRDefault="00270E87" w:rsidP="00D07F42">
      <w:pPr>
        <w:pStyle w:val="NormalKeep"/>
        <w:rPr>
          <w:sz w:val="24"/>
          <w:szCs w:val="24"/>
        </w:rPr>
      </w:pPr>
      <w:r w:rsidRPr="00772475">
        <w:rPr>
          <w:sz w:val="24"/>
          <w:szCs w:val="24"/>
        </w:rPr>
        <w:t>Hydrochloric acid</w:t>
      </w:r>
    </w:p>
    <w:p w14:paraId="794D8D47" w14:textId="77777777" w:rsidR="00D07F42" w:rsidRPr="00772475" w:rsidRDefault="00270E87" w:rsidP="00AB75F6">
      <w:pPr>
        <w:rPr>
          <w:rFonts w:ascii="Times New Roman" w:hAnsi="Times New Roman" w:cs="Times New Roman"/>
          <w:noProof/>
          <w:sz w:val="24"/>
          <w:szCs w:val="24"/>
        </w:rPr>
      </w:pPr>
      <w:r w:rsidRPr="00772475">
        <w:rPr>
          <w:rFonts w:ascii="Times New Roman" w:hAnsi="Times New Roman" w:cs="Times New Roman"/>
          <w:sz w:val="24"/>
          <w:szCs w:val="24"/>
        </w:rPr>
        <w:t>Sodium hydroxide</w:t>
      </w:r>
    </w:p>
    <w:p w14:paraId="794D8D49" w14:textId="77777777" w:rsidR="00D07F42" w:rsidRPr="00772475" w:rsidRDefault="00270E87" w:rsidP="00F92515">
      <w:pPr>
        <w:pStyle w:val="Heading2"/>
        <w:keepNext/>
        <w:keepLines/>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Incompatibilities </w:t>
      </w:r>
    </w:p>
    <w:p w14:paraId="794D8D4A" w14:textId="77777777" w:rsidR="00D07F42" w:rsidRDefault="00270E87" w:rsidP="00D07F42">
      <w:pPr>
        <w:pStyle w:val="Default"/>
      </w:pPr>
      <w:r w:rsidRPr="00772475">
        <w:rPr>
          <w:noProof/>
        </w:rPr>
        <w:t>This medicinal product must not be mixed with other medicinal products except those mentioned in section 6.</w:t>
      </w:r>
      <w:r w:rsidR="00EC1F86">
        <w:rPr>
          <w:noProof/>
        </w:rPr>
        <w:t>1</w:t>
      </w:r>
      <w:r w:rsidRPr="00772475">
        <w:rPr>
          <w:noProof/>
        </w:rPr>
        <w:t>.</w:t>
      </w:r>
      <w:r w:rsidRPr="00772475">
        <w:t xml:space="preserve"> The compatibility of VEKLURY concentrate for infusion with IV solutions and medications other than saline is not known.</w:t>
      </w:r>
    </w:p>
    <w:p w14:paraId="794D8D4C" w14:textId="77777777" w:rsidR="00D07F42" w:rsidRPr="00772475" w:rsidRDefault="00D07F42" w:rsidP="00D07F42">
      <w:pPr>
        <w:pStyle w:val="Default"/>
        <w:rPr>
          <w:noProof/>
        </w:rPr>
      </w:pPr>
    </w:p>
    <w:p w14:paraId="794D8D4D" w14:textId="6133D6B3" w:rsidR="00D07F42" w:rsidRPr="00772475" w:rsidRDefault="00270E87"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Shelf life</w:t>
      </w:r>
    </w:p>
    <w:p w14:paraId="794D8D4E" w14:textId="7D83CDE9" w:rsidR="00D07F42" w:rsidRDefault="00270E87" w:rsidP="007E50B0">
      <w:pPr>
        <w:pStyle w:val="Default"/>
        <w:spacing w:after="120"/>
        <w:rPr>
          <w:lang w:val="en"/>
        </w:rPr>
      </w:pPr>
      <w:r w:rsidRPr="00772475">
        <w:rPr>
          <w:lang w:val="en"/>
        </w:rPr>
        <w:t>In Australia, information on the shelf life can be found on the public summary of the Australian Register of Therapeutic Goods (ARTG). The expiry date can be found on the packaging.</w:t>
      </w:r>
    </w:p>
    <w:p w14:paraId="794D8D51" w14:textId="552EBFE0" w:rsidR="00D07F42" w:rsidRDefault="00270E87" w:rsidP="00F92515">
      <w:pPr>
        <w:pStyle w:val="Heading2"/>
        <w:keepNext/>
        <w:keepLines/>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Special precautions for storage</w:t>
      </w:r>
    </w:p>
    <w:p w14:paraId="794D8D52" w14:textId="77777777" w:rsidR="0015163C" w:rsidRPr="0015163C" w:rsidRDefault="00270E87" w:rsidP="0015163C">
      <w:pPr>
        <w:rPr>
          <w:rFonts w:ascii="Times New Roman" w:hAnsi="Times New Roman" w:cs="Times New Roman"/>
          <w:sz w:val="24"/>
          <w:szCs w:val="24"/>
          <w:lang w:val="en-US"/>
        </w:rPr>
      </w:pPr>
      <w:r w:rsidRPr="0015163C">
        <w:rPr>
          <w:rFonts w:ascii="Times New Roman" w:hAnsi="Times New Roman" w:cs="Times New Roman"/>
          <w:sz w:val="24"/>
          <w:szCs w:val="24"/>
          <w:lang w:val="en-US"/>
        </w:rPr>
        <w:t>Do not reuse or save unused</w:t>
      </w:r>
      <w:r>
        <w:rPr>
          <w:rFonts w:ascii="Times New Roman" w:hAnsi="Times New Roman" w:cs="Times New Roman"/>
          <w:sz w:val="24"/>
          <w:szCs w:val="24"/>
          <w:lang w:val="en-US"/>
        </w:rPr>
        <w:t xml:space="preserve"> VEKLURY</w:t>
      </w:r>
      <w:r w:rsidRPr="0015163C">
        <w:t xml:space="preserve"> </w:t>
      </w:r>
      <w:r w:rsidRPr="0015163C">
        <w:rPr>
          <w:rFonts w:ascii="Times New Roman" w:hAnsi="Times New Roman" w:cs="Times New Roman"/>
          <w:sz w:val="24"/>
          <w:szCs w:val="24"/>
          <w:lang w:val="en-US"/>
        </w:rPr>
        <w:t>for future use. This product contains no preservative; therefore, partially used vials should be discarded.</w:t>
      </w:r>
    </w:p>
    <w:p w14:paraId="794D8D53" w14:textId="77777777" w:rsidR="00D07F42" w:rsidRPr="00772475" w:rsidRDefault="00270E87" w:rsidP="00D07F42">
      <w:pPr>
        <w:pStyle w:val="HeadingUnderlined"/>
        <w:rPr>
          <w:sz w:val="24"/>
          <w:szCs w:val="24"/>
        </w:rPr>
      </w:pPr>
      <w:r w:rsidRPr="00772475">
        <w:rPr>
          <w:sz w:val="24"/>
          <w:szCs w:val="24"/>
        </w:rPr>
        <w:t>VEKLURY 100 mg powder for injection</w:t>
      </w:r>
    </w:p>
    <w:p w14:paraId="794D8D54" w14:textId="77777777" w:rsidR="00D07F42" w:rsidRPr="00772475" w:rsidRDefault="00D07F42" w:rsidP="00D07F42">
      <w:pPr>
        <w:pStyle w:val="NormalKeep"/>
        <w:rPr>
          <w:sz w:val="24"/>
          <w:szCs w:val="24"/>
        </w:rPr>
      </w:pPr>
    </w:p>
    <w:p w14:paraId="794D8D55" w14:textId="77777777" w:rsidR="00D07F42" w:rsidRPr="00772475" w:rsidRDefault="00270E87" w:rsidP="00D07F42">
      <w:pPr>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rPr>
        <w:t>Store below 30 °C.</w:t>
      </w:r>
    </w:p>
    <w:p w14:paraId="20EB3908" w14:textId="77777777" w:rsidR="00BB2DFC" w:rsidRDefault="00BB2DFC" w:rsidP="00D07F42">
      <w:pPr>
        <w:pStyle w:val="HeadingUnderlined"/>
        <w:rPr>
          <w:sz w:val="24"/>
          <w:szCs w:val="24"/>
        </w:rPr>
      </w:pPr>
    </w:p>
    <w:p w14:paraId="794D8D57" w14:textId="54822C52" w:rsidR="00D07F42" w:rsidRPr="00772475" w:rsidRDefault="00270E87" w:rsidP="00D07F42">
      <w:pPr>
        <w:pStyle w:val="HeadingUnderlined"/>
        <w:rPr>
          <w:sz w:val="24"/>
          <w:szCs w:val="24"/>
        </w:rPr>
      </w:pPr>
      <w:r w:rsidRPr="00772475">
        <w:rPr>
          <w:sz w:val="24"/>
          <w:szCs w:val="24"/>
        </w:rPr>
        <w:t>Reconstituted powder for concentrate for solution for infusion</w:t>
      </w:r>
    </w:p>
    <w:p w14:paraId="794D8D58" w14:textId="77777777" w:rsidR="00D07F42" w:rsidRPr="00772475" w:rsidRDefault="00270E87" w:rsidP="00D07F42">
      <w:pPr>
        <w:rPr>
          <w:rFonts w:ascii="Times New Roman" w:hAnsi="Times New Roman" w:cs="Times New Roman"/>
          <w:sz w:val="24"/>
          <w:szCs w:val="24"/>
        </w:rPr>
      </w:pPr>
      <w:r w:rsidRPr="00772475">
        <w:rPr>
          <w:rFonts w:ascii="Times New Roman" w:hAnsi="Times New Roman" w:cs="Times New Roman"/>
          <w:sz w:val="24"/>
          <w:szCs w:val="24"/>
        </w:rPr>
        <w:t>After reconstitution dilute immediately.</w:t>
      </w:r>
    </w:p>
    <w:p w14:paraId="794D8D59" w14:textId="77777777" w:rsidR="00D07F42" w:rsidRPr="00772475" w:rsidRDefault="00270E87" w:rsidP="00D07F42">
      <w:pPr>
        <w:pStyle w:val="HeadingUnderlined"/>
        <w:rPr>
          <w:sz w:val="24"/>
          <w:szCs w:val="24"/>
        </w:rPr>
      </w:pPr>
      <w:r w:rsidRPr="00772475">
        <w:rPr>
          <w:sz w:val="24"/>
          <w:szCs w:val="24"/>
        </w:rPr>
        <w:t>Reconstituted and diluted solution for infusion</w:t>
      </w:r>
    </w:p>
    <w:p w14:paraId="794D8D5A" w14:textId="120A6743" w:rsidR="00D07F42" w:rsidRPr="00772475" w:rsidRDefault="00270E87" w:rsidP="00D07F42">
      <w:pPr>
        <w:rPr>
          <w:rFonts w:ascii="Times New Roman" w:hAnsi="Times New Roman" w:cs="Times New Roman"/>
          <w:sz w:val="24"/>
          <w:szCs w:val="24"/>
        </w:rPr>
      </w:pPr>
      <w:r w:rsidRPr="00772475">
        <w:rPr>
          <w:rFonts w:ascii="Times New Roman" w:hAnsi="Times New Roman" w:cs="Times New Roman"/>
          <w:sz w:val="24"/>
          <w:szCs w:val="24"/>
        </w:rPr>
        <w:t xml:space="preserve">Store diluted VEKLURY solution for infusion up to </w:t>
      </w:r>
      <w:r w:rsidR="00282E4F">
        <w:rPr>
          <w:rFonts w:ascii="Times New Roman" w:hAnsi="Times New Roman" w:cs="Times New Roman"/>
          <w:sz w:val="24"/>
          <w:szCs w:val="24"/>
        </w:rPr>
        <w:t>2</w:t>
      </w:r>
      <w:r w:rsidRPr="00772475">
        <w:rPr>
          <w:rFonts w:ascii="Times New Roman" w:hAnsi="Times New Roman" w:cs="Times New Roman"/>
          <w:sz w:val="24"/>
          <w:szCs w:val="24"/>
        </w:rPr>
        <w:t xml:space="preserve">4 hours at </w:t>
      </w:r>
      <w:r w:rsidR="0015163C">
        <w:rPr>
          <w:rFonts w:ascii="Times New Roman" w:hAnsi="Times New Roman" w:cs="Times New Roman"/>
          <w:sz w:val="24"/>
          <w:szCs w:val="24"/>
        </w:rPr>
        <w:t xml:space="preserve">below </w:t>
      </w:r>
      <w:r w:rsidRPr="00772475">
        <w:rPr>
          <w:rFonts w:ascii="Times New Roman" w:hAnsi="Times New Roman" w:cs="Times New Roman"/>
          <w:sz w:val="24"/>
          <w:szCs w:val="24"/>
        </w:rPr>
        <w:t xml:space="preserve">25 °C or </w:t>
      </w:r>
      <w:r w:rsidR="00282E4F">
        <w:rPr>
          <w:rFonts w:ascii="Times New Roman" w:hAnsi="Times New Roman" w:cs="Times New Roman"/>
          <w:sz w:val="24"/>
          <w:szCs w:val="24"/>
        </w:rPr>
        <w:t>48</w:t>
      </w:r>
      <w:r w:rsidR="00282E4F" w:rsidRPr="00772475">
        <w:rPr>
          <w:rFonts w:ascii="Times New Roman" w:hAnsi="Times New Roman" w:cs="Times New Roman"/>
          <w:sz w:val="24"/>
          <w:szCs w:val="24"/>
        </w:rPr>
        <w:t> </w:t>
      </w:r>
      <w:r w:rsidRPr="00772475">
        <w:rPr>
          <w:rFonts w:ascii="Times New Roman" w:hAnsi="Times New Roman" w:cs="Times New Roman"/>
          <w:sz w:val="24"/>
          <w:szCs w:val="24"/>
        </w:rPr>
        <w:t>hours in refrigerator (2 °C to 8 °C). Dilute within the same day as administration.</w:t>
      </w:r>
    </w:p>
    <w:p w14:paraId="794D8D5B" w14:textId="77777777" w:rsidR="00D07F42" w:rsidRPr="00772475" w:rsidRDefault="00270E87"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 xml:space="preserve">Nature and contents of container </w:t>
      </w:r>
    </w:p>
    <w:p w14:paraId="794D8D5C" w14:textId="77777777" w:rsidR="00D07F42" w:rsidRPr="00772475" w:rsidRDefault="00270E87" w:rsidP="00D07F42">
      <w:pPr>
        <w:spacing w:after="0" w:line="240" w:lineRule="auto"/>
        <w:rPr>
          <w:rFonts w:ascii="Times New Roman" w:hAnsi="Times New Roman" w:cs="Times New Roman"/>
          <w:noProof/>
          <w:sz w:val="24"/>
          <w:szCs w:val="24"/>
        </w:rPr>
      </w:pPr>
      <w:r w:rsidRPr="00772475">
        <w:rPr>
          <w:rFonts w:ascii="Times New Roman" w:hAnsi="Times New Roman" w:cs="Times New Roman"/>
          <w:noProof/>
          <w:sz w:val="24"/>
          <w:szCs w:val="24"/>
        </w:rPr>
        <w:t>Type I clear glass vial, an elastomeric closure, and an aluminium overseal with a flip-off cap.</w:t>
      </w:r>
    </w:p>
    <w:p w14:paraId="794D8D5D" w14:textId="77777777" w:rsidR="00D07F42" w:rsidRPr="00772475" w:rsidRDefault="00270E87" w:rsidP="00D07F42">
      <w:pPr>
        <w:spacing w:after="0" w:line="240" w:lineRule="auto"/>
        <w:rPr>
          <w:rFonts w:ascii="Times New Roman" w:hAnsi="Times New Roman" w:cs="Times New Roman"/>
          <w:noProof/>
          <w:sz w:val="24"/>
          <w:szCs w:val="24"/>
        </w:rPr>
      </w:pPr>
      <w:r w:rsidRPr="00772475">
        <w:rPr>
          <w:rFonts w:ascii="Times New Roman" w:hAnsi="Times New Roman" w:cs="Times New Roman"/>
          <w:sz w:val="24"/>
          <w:szCs w:val="24"/>
        </w:rPr>
        <w:t>Pack size: 1 vial</w:t>
      </w:r>
      <w:r w:rsidR="00FA05AE">
        <w:rPr>
          <w:rFonts w:ascii="Times New Roman" w:hAnsi="Times New Roman" w:cs="Times New Roman"/>
          <w:sz w:val="24"/>
          <w:szCs w:val="24"/>
        </w:rPr>
        <w:t>.</w:t>
      </w:r>
    </w:p>
    <w:p w14:paraId="794D8D5E" w14:textId="77777777" w:rsidR="00D07F42" w:rsidRPr="00772475" w:rsidRDefault="00D07F42" w:rsidP="00D07F42">
      <w:pPr>
        <w:rPr>
          <w:rFonts w:ascii="Times New Roman" w:hAnsi="Times New Roman" w:cs="Times New Roman"/>
          <w:sz w:val="24"/>
          <w:szCs w:val="24"/>
          <w:lang w:val="en-US"/>
        </w:rPr>
      </w:pPr>
    </w:p>
    <w:p w14:paraId="794D8D5F" w14:textId="6B23BDA1" w:rsidR="00D07F42" w:rsidRPr="00772475" w:rsidRDefault="00270E87"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Special precautions for disposal</w:t>
      </w:r>
    </w:p>
    <w:p w14:paraId="794D8D60" w14:textId="695E8BBD" w:rsidR="00D07F42" w:rsidRDefault="00270E87" w:rsidP="00D07F42">
      <w:pPr>
        <w:rPr>
          <w:rFonts w:ascii="Times New Roman" w:hAnsi="Times New Roman" w:cs="Times New Roman"/>
          <w:sz w:val="24"/>
          <w:szCs w:val="24"/>
          <w:lang w:val="en"/>
        </w:rPr>
      </w:pPr>
      <w:r w:rsidRPr="00772475">
        <w:rPr>
          <w:rFonts w:ascii="Times New Roman" w:hAnsi="Times New Roman" w:cs="Times New Roman"/>
          <w:sz w:val="24"/>
          <w:szCs w:val="24"/>
          <w:lang w:val="en"/>
        </w:rPr>
        <w:t>In Australia, any unused medicine or waste material should be disposed of by taking to your local pharmacy.</w:t>
      </w:r>
    </w:p>
    <w:p w14:paraId="794D8D62" w14:textId="77777777" w:rsidR="00D07F42" w:rsidRPr="00772475" w:rsidRDefault="00270E87" w:rsidP="00F92515">
      <w:pPr>
        <w:pStyle w:val="Heading2"/>
        <w:numPr>
          <w:ilvl w:val="1"/>
          <w:numId w:val="11"/>
        </w:numPr>
        <w:spacing w:before="0" w:after="120"/>
        <w:ind w:left="578" w:hanging="578"/>
        <w:rPr>
          <w:rFonts w:ascii="Times New Roman" w:hAnsi="Times New Roman" w:cs="Times New Roman"/>
          <w:lang w:val="en-US"/>
        </w:rPr>
      </w:pPr>
      <w:r w:rsidRPr="00772475">
        <w:rPr>
          <w:rFonts w:ascii="Times New Roman" w:hAnsi="Times New Roman" w:cs="Times New Roman"/>
          <w:lang w:val="en-US"/>
        </w:rPr>
        <w:t>Physicochemical properties</w:t>
      </w:r>
    </w:p>
    <w:p w14:paraId="794D8D63" w14:textId="77777777" w:rsidR="00D07F42" w:rsidRPr="00772475" w:rsidRDefault="00270E87" w:rsidP="00D07F42">
      <w:pPr>
        <w:pStyle w:val="Heading3"/>
        <w:spacing w:before="0" w:after="120"/>
        <w:ind w:left="0"/>
        <w:rPr>
          <w:rFonts w:ascii="Times New Roman" w:hAnsi="Times New Roman" w:cs="Times New Roman"/>
          <w:sz w:val="24"/>
          <w:szCs w:val="24"/>
          <w:lang w:val="en-US"/>
        </w:rPr>
      </w:pPr>
      <w:r w:rsidRPr="00772475">
        <w:rPr>
          <w:rFonts w:ascii="Times New Roman" w:hAnsi="Times New Roman" w:cs="Times New Roman"/>
          <w:sz w:val="24"/>
          <w:szCs w:val="24"/>
          <w:lang w:val="en-US"/>
        </w:rPr>
        <w:lastRenderedPageBreak/>
        <w:t>Chemical structure</w:t>
      </w:r>
    </w:p>
    <w:p w14:paraId="794D8D64" w14:textId="77777777" w:rsidR="00D07F42" w:rsidRPr="00772475" w:rsidRDefault="00270E87" w:rsidP="00D07F42">
      <w:pPr>
        <w:rPr>
          <w:rFonts w:ascii="Times New Roman" w:hAnsi="Times New Roman" w:cs="Times New Roman"/>
          <w:sz w:val="24"/>
          <w:szCs w:val="24"/>
          <w:lang w:val="en-US"/>
        </w:rPr>
      </w:pPr>
      <w:r w:rsidRPr="00772475">
        <w:rPr>
          <w:noProof/>
        </w:rPr>
        <w:drawing>
          <wp:inline distT="0" distB="0" distL="0" distR="0" wp14:anchorId="42CABCCD" wp14:editId="76B9CCC7">
            <wp:extent cx="2659380" cy="128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59380" cy="1280160"/>
                    </a:xfrm>
                    <a:prstGeom prst="rect">
                      <a:avLst/>
                    </a:prstGeom>
                    <a:noFill/>
                    <a:ln>
                      <a:noFill/>
                    </a:ln>
                  </pic:spPr>
                </pic:pic>
              </a:graphicData>
            </a:graphic>
          </wp:inline>
        </w:drawing>
      </w:r>
    </w:p>
    <w:p w14:paraId="794D8D65" w14:textId="77777777" w:rsidR="00D07F42" w:rsidRPr="00772475" w:rsidRDefault="00270E87" w:rsidP="00D07F42">
      <w:pPr>
        <w:pStyle w:val="Heading3"/>
        <w:spacing w:before="0" w:after="120"/>
        <w:ind w:left="0"/>
        <w:rPr>
          <w:rFonts w:ascii="Times New Roman" w:hAnsi="Times New Roman" w:cs="Times New Roman"/>
          <w:sz w:val="24"/>
          <w:szCs w:val="24"/>
          <w:lang w:val="en-US"/>
        </w:rPr>
      </w:pPr>
      <w:r w:rsidRPr="00772475">
        <w:rPr>
          <w:rFonts w:ascii="Times New Roman" w:hAnsi="Times New Roman" w:cs="Times New Roman"/>
          <w:sz w:val="24"/>
          <w:szCs w:val="24"/>
          <w:lang w:val="en-US"/>
        </w:rPr>
        <w:t>CAS number</w:t>
      </w:r>
    </w:p>
    <w:p w14:paraId="794D8D66" w14:textId="77777777" w:rsidR="00D07F42" w:rsidRPr="00772475" w:rsidRDefault="00270E87" w:rsidP="00D07F42">
      <w:pPr>
        <w:rPr>
          <w:rFonts w:ascii="Times New Roman" w:hAnsi="Times New Roman" w:cs="Times New Roman"/>
          <w:sz w:val="24"/>
          <w:szCs w:val="24"/>
          <w:lang w:val="en-US"/>
        </w:rPr>
      </w:pPr>
      <w:r w:rsidRPr="00772475">
        <w:rPr>
          <w:rFonts w:ascii="Times New Roman" w:hAnsi="Times New Roman" w:cs="Times New Roman"/>
          <w:sz w:val="24"/>
          <w:szCs w:val="24"/>
          <w:lang w:val="en-US"/>
        </w:rPr>
        <w:t>1809249-37-3</w:t>
      </w:r>
    </w:p>
    <w:p w14:paraId="794D8D67" w14:textId="77777777" w:rsidR="00D07F42" w:rsidRPr="00772475" w:rsidRDefault="00270E87" w:rsidP="00F92515">
      <w:pPr>
        <w:pStyle w:val="Heading1"/>
        <w:numPr>
          <w:ilvl w:val="0"/>
          <w:numId w:val="11"/>
        </w:numPr>
        <w:spacing w:before="0" w:after="120"/>
        <w:rPr>
          <w:rFonts w:ascii="Times New Roman" w:hAnsi="Times New Roman" w:cs="Times New Roman"/>
          <w:lang w:val="en-US"/>
        </w:rPr>
      </w:pPr>
      <w:r w:rsidRPr="00772475">
        <w:rPr>
          <w:rFonts w:ascii="Times New Roman" w:hAnsi="Times New Roman" w:cs="Times New Roman"/>
          <w:lang w:val="en-US"/>
        </w:rPr>
        <w:t>Medicine schedule (Poisons Standard)</w:t>
      </w:r>
    </w:p>
    <w:p w14:paraId="794D8D68" w14:textId="77777777" w:rsidR="00D07F42" w:rsidRPr="00772475" w:rsidRDefault="00270E87" w:rsidP="00D07F42">
      <w:pPr>
        <w:rPr>
          <w:rFonts w:ascii="Times New Roman" w:hAnsi="Times New Roman" w:cs="Times New Roman"/>
          <w:sz w:val="24"/>
          <w:szCs w:val="24"/>
        </w:rPr>
      </w:pPr>
      <w:r w:rsidRPr="00772475">
        <w:rPr>
          <w:rFonts w:ascii="Times New Roman" w:hAnsi="Times New Roman" w:cs="Times New Roman"/>
          <w:sz w:val="24"/>
          <w:szCs w:val="24"/>
        </w:rPr>
        <w:t>S4</w:t>
      </w:r>
    </w:p>
    <w:p w14:paraId="794D8D69" w14:textId="77777777" w:rsidR="00D07F42" w:rsidRPr="00772475" w:rsidRDefault="00270E87" w:rsidP="00F92515">
      <w:pPr>
        <w:pStyle w:val="Heading1"/>
        <w:numPr>
          <w:ilvl w:val="0"/>
          <w:numId w:val="11"/>
        </w:numPr>
        <w:spacing w:before="0" w:after="120"/>
        <w:rPr>
          <w:rFonts w:ascii="Times New Roman" w:hAnsi="Times New Roman" w:cs="Times New Roman"/>
          <w:lang w:val="en-US"/>
        </w:rPr>
      </w:pPr>
      <w:r w:rsidRPr="00772475">
        <w:rPr>
          <w:rFonts w:ascii="Times New Roman" w:hAnsi="Times New Roman" w:cs="Times New Roman"/>
          <w:lang w:val="en-US"/>
        </w:rPr>
        <w:t xml:space="preserve">Sponsor </w:t>
      </w:r>
    </w:p>
    <w:p w14:paraId="794D8D6A" w14:textId="77777777" w:rsidR="00D07F42" w:rsidRPr="00772475" w:rsidRDefault="00270E87" w:rsidP="00D07F42">
      <w:pPr>
        <w:spacing w:after="0"/>
        <w:rPr>
          <w:rFonts w:ascii="Times New Roman" w:hAnsi="Times New Roman" w:cs="Times New Roman"/>
          <w:sz w:val="24"/>
          <w:szCs w:val="24"/>
        </w:rPr>
      </w:pPr>
      <w:r w:rsidRPr="00772475">
        <w:rPr>
          <w:rFonts w:ascii="Times New Roman" w:hAnsi="Times New Roman" w:cs="Times New Roman"/>
          <w:sz w:val="24"/>
          <w:szCs w:val="24"/>
        </w:rPr>
        <w:t>Gilead Sciences Pty Ltd</w:t>
      </w:r>
    </w:p>
    <w:p w14:paraId="794D8D6B" w14:textId="77777777" w:rsidR="00D07F42" w:rsidRPr="00772475" w:rsidRDefault="00270E87" w:rsidP="00D07F42">
      <w:pPr>
        <w:spacing w:after="0"/>
        <w:rPr>
          <w:rFonts w:ascii="Times New Roman" w:hAnsi="Times New Roman" w:cs="Times New Roman"/>
          <w:sz w:val="24"/>
          <w:szCs w:val="24"/>
        </w:rPr>
      </w:pPr>
      <w:r w:rsidRPr="00772475">
        <w:rPr>
          <w:rFonts w:ascii="Times New Roman" w:hAnsi="Times New Roman" w:cs="Times New Roman"/>
          <w:sz w:val="24"/>
          <w:szCs w:val="24"/>
        </w:rPr>
        <w:t>Level 6, 417 St Kilda Road</w:t>
      </w:r>
    </w:p>
    <w:p w14:paraId="794D8D6C" w14:textId="77777777" w:rsidR="00D07F42" w:rsidRPr="00772475" w:rsidRDefault="00270E87" w:rsidP="00D07F42">
      <w:pPr>
        <w:spacing w:after="0"/>
        <w:rPr>
          <w:rFonts w:ascii="Times New Roman" w:hAnsi="Times New Roman" w:cs="Times New Roman"/>
          <w:sz w:val="24"/>
          <w:szCs w:val="24"/>
        </w:rPr>
      </w:pPr>
      <w:r w:rsidRPr="00772475">
        <w:rPr>
          <w:rFonts w:ascii="Times New Roman" w:hAnsi="Times New Roman" w:cs="Times New Roman"/>
          <w:sz w:val="24"/>
          <w:szCs w:val="24"/>
        </w:rPr>
        <w:t>Melbourne, Victoria 3004</w:t>
      </w:r>
    </w:p>
    <w:p w14:paraId="794D8D6D" w14:textId="77777777" w:rsidR="00D07F42" w:rsidRPr="00772475" w:rsidRDefault="00D07F42" w:rsidP="00D07F42">
      <w:pPr>
        <w:pStyle w:val="Default"/>
      </w:pPr>
    </w:p>
    <w:p w14:paraId="794D8D6E" w14:textId="77777777" w:rsidR="00D07F42" w:rsidRPr="00772475" w:rsidRDefault="00270E87" w:rsidP="00D07F42">
      <w:pPr>
        <w:pStyle w:val="Default"/>
      </w:pPr>
      <w:r w:rsidRPr="00772475">
        <w:t xml:space="preserve">Telephone: 1800 806 112 </w:t>
      </w:r>
    </w:p>
    <w:p w14:paraId="794D8D6F" w14:textId="77777777" w:rsidR="00D07F42" w:rsidRPr="00DF75B1" w:rsidRDefault="00270E87" w:rsidP="00D07F42">
      <w:pPr>
        <w:spacing w:after="0"/>
        <w:rPr>
          <w:rFonts w:ascii="Times New Roman" w:hAnsi="Times New Roman" w:cs="Times New Roman"/>
          <w:color w:val="0000FF"/>
          <w:sz w:val="24"/>
          <w:szCs w:val="24"/>
        </w:rPr>
      </w:pPr>
      <w:r w:rsidRPr="00772475">
        <w:rPr>
          <w:rFonts w:ascii="Times New Roman" w:hAnsi="Times New Roman" w:cs="Times New Roman"/>
          <w:sz w:val="24"/>
          <w:szCs w:val="24"/>
        </w:rPr>
        <w:t xml:space="preserve">Email: </w:t>
      </w:r>
      <w:hyperlink r:id="rId14" w:history="1">
        <w:r w:rsidRPr="00772475">
          <w:rPr>
            <w:rStyle w:val="Hyperlink"/>
            <w:rFonts w:ascii="Times New Roman" w:hAnsi="Times New Roman" w:cs="Times New Roman"/>
            <w:sz w:val="24"/>
            <w:szCs w:val="24"/>
          </w:rPr>
          <w:t>au.nz.medinfo@gilead.com</w:t>
        </w:r>
      </w:hyperlink>
    </w:p>
    <w:p w14:paraId="794D8D70" w14:textId="77777777" w:rsidR="00D07F42" w:rsidRPr="00EF7767" w:rsidRDefault="00D07F42" w:rsidP="00D07F42">
      <w:pPr>
        <w:spacing w:after="0"/>
        <w:rPr>
          <w:rFonts w:ascii="Times New Roman" w:hAnsi="Times New Roman" w:cs="Times New Roman"/>
          <w:sz w:val="24"/>
          <w:szCs w:val="24"/>
        </w:rPr>
      </w:pPr>
    </w:p>
    <w:p w14:paraId="794D8D71" w14:textId="02C2C623" w:rsidR="00D07F42" w:rsidRPr="00EF7767" w:rsidRDefault="00270E87" w:rsidP="00F92515">
      <w:pPr>
        <w:pStyle w:val="Heading1"/>
        <w:numPr>
          <w:ilvl w:val="0"/>
          <w:numId w:val="11"/>
        </w:numPr>
        <w:spacing w:before="0" w:after="120"/>
        <w:rPr>
          <w:rFonts w:ascii="Times New Roman" w:hAnsi="Times New Roman" w:cs="Times New Roman"/>
          <w:lang w:val="en-US"/>
        </w:rPr>
      </w:pPr>
      <w:r w:rsidRPr="00EF7767">
        <w:rPr>
          <w:rFonts w:ascii="Times New Roman" w:hAnsi="Times New Roman" w:cs="Times New Roman"/>
          <w:lang w:val="en-US"/>
        </w:rPr>
        <w:t>Date of first approval</w:t>
      </w:r>
    </w:p>
    <w:p w14:paraId="794D8D72" w14:textId="0537D57B" w:rsidR="00D07F42" w:rsidRPr="00EF7767" w:rsidRDefault="00270E87" w:rsidP="00D07F42">
      <w:pPr>
        <w:rPr>
          <w:rFonts w:ascii="Times New Roman" w:hAnsi="Times New Roman" w:cs="Times New Roman"/>
          <w:sz w:val="24"/>
          <w:szCs w:val="24"/>
        </w:rPr>
      </w:pPr>
      <w:r>
        <w:rPr>
          <w:rFonts w:ascii="Times New Roman" w:hAnsi="Times New Roman" w:cs="Times New Roman"/>
          <w:sz w:val="24"/>
          <w:szCs w:val="24"/>
        </w:rPr>
        <w:t>Not yet available</w:t>
      </w:r>
    </w:p>
    <w:p w14:paraId="794D8D73" w14:textId="4A057BF8" w:rsidR="00D07F42" w:rsidRPr="00EF7767" w:rsidRDefault="00270E87" w:rsidP="00F92515">
      <w:pPr>
        <w:pStyle w:val="Heading1"/>
        <w:numPr>
          <w:ilvl w:val="0"/>
          <w:numId w:val="11"/>
        </w:numPr>
        <w:spacing w:before="0" w:after="120"/>
        <w:rPr>
          <w:rFonts w:ascii="Times New Roman" w:hAnsi="Times New Roman" w:cs="Times New Roman"/>
          <w:lang w:val="en-US"/>
        </w:rPr>
      </w:pPr>
      <w:r w:rsidRPr="00EF7767">
        <w:rPr>
          <w:rFonts w:ascii="Times New Roman" w:hAnsi="Times New Roman" w:cs="Times New Roman"/>
          <w:lang w:val="en-US"/>
        </w:rPr>
        <w:t>Date of revision</w:t>
      </w:r>
    </w:p>
    <w:p w14:paraId="794D8D74" w14:textId="597CF4D0" w:rsidR="00D07F42" w:rsidRDefault="00B66322" w:rsidP="00D07F42">
      <w:pPr>
        <w:rPr>
          <w:rFonts w:ascii="Times New Roman" w:hAnsi="Times New Roman" w:cs="Times New Roman"/>
          <w:sz w:val="24"/>
          <w:szCs w:val="24"/>
        </w:rPr>
      </w:pPr>
      <w:r>
        <w:rPr>
          <w:rFonts w:ascii="Times New Roman" w:hAnsi="Times New Roman" w:cs="Times New Roman"/>
          <w:sz w:val="24"/>
          <w:szCs w:val="24"/>
        </w:rPr>
        <w:t>6 May 2022</w:t>
      </w:r>
    </w:p>
    <w:p w14:paraId="794D8D75" w14:textId="77777777" w:rsidR="00D07F42" w:rsidRPr="00EF7767" w:rsidRDefault="00270E87" w:rsidP="00D07F42">
      <w:pPr>
        <w:pStyle w:val="Heading2"/>
        <w:numPr>
          <w:ilvl w:val="0"/>
          <w:numId w:val="0"/>
        </w:numPr>
        <w:spacing w:before="0" w:after="120"/>
        <w:rPr>
          <w:rFonts w:ascii="Times New Roman" w:hAnsi="Times New Roman" w:cs="Times New Roman"/>
          <w:lang w:val="en-US"/>
        </w:rPr>
      </w:pPr>
      <w:r w:rsidRPr="00EF7767">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781"/>
        <w:gridCol w:w="7225"/>
      </w:tblGrid>
      <w:tr w:rsidR="0054749D" w14:paraId="794D8D78" w14:textId="77777777" w:rsidTr="00547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shd w:val="clear" w:color="auto" w:fill="F2F2F2" w:themeFill="background1" w:themeFillShade="F2"/>
            <w:vAlign w:val="center"/>
          </w:tcPr>
          <w:p w14:paraId="794D8D76" w14:textId="77777777" w:rsidR="00636445" w:rsidRPr="00EF7767" w:rsidRDefault="00270E87" w:rsidP="00CF66D1">
            <w:pPr>
              <w:rPr>
                <w:rFonts w:ascii="Times New Roman" w:hAnsi="Times New Roman" w:cs="Times New Roman"/>
                <w:sz w:val="20"/>
                <w:lang w:val="en-US"/>
              </w:rPr>
            </w:pPr>
            <w:r w:rsidRPr="00EF7767">
              <w:rPr>
                <w:rFonts w:ascii="Times New Roman" w:hAnsi="Times New Roman" w:cs="Times New Roman"/>
                <w:sz w:val="20"/>
                <w:lang w:val="en-US"/>
              </w:rPr>
              <w:t>Section Changed</w:t>
            </w:r>
          </w:p>
        </w:tc>
        <w:tc>
          <w:tcPr>
            <w:tcW w:w="7225" w:type="dxa"/>
            <w:shd w:val="clear" w:color="auto" w:fill="F2F2F2" w:themeFill="background1" w:themeFillShade="F2"/>
            <w:vAlign w:val="center"/>
          </w:tcPr>
          <w:p w14:paraId="794D8D77" w14:textId="77777777" w:rsidR="00636445" w:rsidRPr="00EF7767" w:rsidRDefault="00270E87" w:rsidP="00CF66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EF7767">
              <w:rPr>
                <w:rFonts w:ascii="Times New Roman" w:hAnsi="Times New Roman" w:cs="Times New Roman"/>
                <w:sz w:val="20"/>
                <w:lang w:val="en-US"/>
              </w:rPr>
              <w:t>Summary of new information</w:t>
            </w:r>
          </w:p>
        </w:tc>
      </w:tr>
      <w:tr w:rsidR="0054749D" w14:paraId="794D8D7B"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79" w14:textId="77777777" w:rsidR="004E16A5" w:rsidRPr="004977D0" w:rsidRDefault="00270E87" w:rsidP="00CF66D1">
            <w:pPr>
              <w:rPr>
                <w:rFonts w:ascii="Times New Roman" w:hAnsi="Times New Roman" w:cs="Times New Roman"/>
                <w:lang w:val="en-US"/>
              </w:rPr>
            </w:pPr>
            <w:r>
              <w:rPr>
                <w:rFonts w:ascii="Times New Roman" w:hAnsi="Times New Roman" w:cs="Times New Roman"/>
                <w:lang w:val="en-US"/>
              </w:rPr>
              <w:t>4.1</w:t>
            </w:r>
          </w:p>
        </w:tc>
        <w:tc>
          <w:tcPr>
            <w:tcW w:w="7225" w:type="dxa"/>
            <w:vAlign w:val="center"/>
          </w:tcPr>
          <w:p w14:paraId="794D8D7A" w14:textId="076509F5" w:rsidR="004E16A5"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Indication for p</w:t>
            </w:r>
            <w:r w:rsidR="00DA2FB5">
              <w:rPr>
                <w:rFonts w:ascii="Times New Roman" w:hAnsi="Times New Roman" w:cs="Times New Roman"/>
                <w:lang w:val="en-US"/>
              </w:rPr>
              <w:t>a</w:t>
            </w:r>
            <w:r>
              <w:rPr>
                <w:rFonts w:ascii="Times New Roman" w:hAnsi="Times New Roman" w:cs="Times New Roman"/>
                <w:lang w:val="en-US"/>
              </w:rPr>
              <w:t xml:space="preserve">ediatric patients – </w:t>
            </w:r>
            <w:r w:rsidR="00CC6E41">
              <w:rPr>
                <w:rFonts w:ascii="Times New Roman" w:hAnsi="Times New Roman" w:cs="Times New Roman"/>
                <w:lang w:val="en-US"/>
              </w:rPr>
              <w:t xml:space="preserve">based on Study </w:t>
            </w:r>
            <w:r>
              <w:rPr>
                <w:rFonts w:ascii="Times New Roman" w:hAnsi="Times New Roman" w:cs="Times New Roman"/>
                <w:lang w:val="en-US"/>
              </w:rPr>
              <w:t xml:space="preserve">GS-US-540-5823; </w:t>
            </w:r>
            <w:r w:rsidR="00CC6E41">
              <w:rPr>
                <w:rFonts w:ascii="Times New Roman" w:hAnsi="Times New Roman" w:cs="Times New Roman"/>
                <w:lang w:val="en-US"/>
              </w:rPr>
              <w:t>non-hospitalised patients – based on Study GS-US-540-9012</w:t>
            </w:r>
          </w:p>
        </w:tc>
      </w:tr>
      <w:tr w:rsidR="0054749D" w14:paraId="794D8D7E"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7C"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t xml:space="preserve">4.2 </w:t>
            </w:r>
          </w:p>
        </w:tc>
        <w:tc>
          <w:tcPr>
            <w:tcW w:w="7225" w:type="dxa"/>
            <w:vAlign w:val="center"/>
          </w:tcPr>
          <w:p w14:paraId="794D8D7D" w14:textId="7FB4BD9D" w:rsidR="00636445" w:rsidRPr="00CC6E41"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C6E41">
              <w:rPr>
                <w:rFonts w:ascii="Times New Roman" w:hAnsi="Times New Roman" w:cs="Times New Roman"/>
                <w:lang w:val="en-US"/>
              </w:rPr>
              <w:t>Dosing and Method of Administration</w:t>
            </w:r>
            <w:r w:rsidR="00CC6E41" w:rsidRPr="00CC6E41">
              <w:rPr>
                <w:rFonts w:ascii="Times New Roman" w:hAnsi="Times New Roman" w:cs="Times New Roman"/>
                <w:lang w:val="en-US"/>
              </w:rPr>
              <w:t xml:space="preserve"> (revised to align with indications)</w:t>
            </w:r>
            <w:r w:rsidRPr="00CC6E41">
              <w:rPr>
                <w:rFonts w:ascii="Times New Roman" w:hAnsi="Times New Roman" w:cs="Times New Roman"/>
                <w:lang w:val="en-US"/>
              </w:rPr>
              <w:t>, Testing Prior to and During</w:t>
            </w:r>
            <w:r w:rsidR="00CC6E41" w:rsidRPr="002A02BF">
              <w:rPr>
                <w:rFonts w:ascii="Times New Roman" w:hAnsi="Times New Roman" w:cs="Times New Roman"/>
                <w:lang w:val="en-US"/>
              </w:rPr>
              <w:t xml:space="preserve"> </w:t>
            </w:r>
            <w:r w:rsidRPr="002A02BF">
              <w:rPr>
                <w:rFonts w:ascii="Times New Roman" w:hAnsi="Times New Roman" w:cs="Times New Roman"/>
                <w:lang w:val="en-US"/>
              </w:rPr>
              <w:t>Use of VEKLURY; updated renal impairment section</w:t>
            </w:r>
            <w:r w:rsidR="00282E4F">
              <w:rPr>
                <w:rFonts w:ascii="Times New Roman" w:hAnsi="Times New Roman" w:cs="Times New Roman"/>
                <w:lang w:val="en-US"/>
              </w:rPr>
              <w:t>; Updated storage conditions for reconstituted and diluted solution for infusion</w:t>
            </w:r>
          </w:p>
        </w:tc>
      </w:tr>
      <w:tr w:rsidR="0054749D" w14:paraId="794D8D82"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7F"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t>4.5</w:t>
            </w:r>
          </w:p>
        </w:tc>
        <w:tc>
          <w:tcPr>
            <w:tcW w:w="7225" w:type="dxa"/>
            <w:vAlign w:val="center"/>
          </w:tcPr>
          <w:p w14:paraId="794D8D80" w14:textId="77777777" w:rsidR="00636445" w:rsidRPr="004977D0" w:rsidRDefault="00270E87" w:rsidP="00CF66D1">
            <w:pPr>
              <w:pStyle w:val="Default"/>
              <w:cnfStyle w:val="000000000000" w:firstRow="0" w:lastRow="0" w:firstColumn="0" w:lastColumn="0" w:oddVBand="0" w:evenVBand="0" w:oddHBand="0" w:evenHBand="0" w:firstRowFirstColumn="0" w:firstRowLastColumn="0" w:lastRowFirstColumn="0" w:lastRowLastColumn="0"/>
              <w:rPr>
                <w:iCs/>
                <w:sz w:val="22"/>
                <w:szCs w:val="22"/>
              </w:rPr>
            </w:pPr>
            <w:r w:rsidRPr="004977D0">
              <w:rPr>
                <w:sz w:val="22"/>
                <w:szCs w:val="22"/>
                <w:lang w:val="en-US"/>
              </w:rPr>
              <w:t xml:space="preserve">Interactions updated: Effects of other medicinal products on remdesivir, </w:t>
            </w:r>
            <w:r w:rsidRPr="004977D0">
              <w:rPr>
                <w:iCs/>
                <w:sz w:val="22"/>
                <w:szCs w:val="22"/>
              </w:rPr>
              <w:t xml:space="preserve">Effects of remdesivir on other medicinal products </w:t>
            </w:r>
          </w:p>
          <w:p w14:paraId="794D8D81" w14:textId="77777777" w:rsidR="00636445" w:rsidRPr="004977D0" w:rsidRDefault="00636445"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54749D" w14:paraId="794D8D85"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83"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t xml:space="preserve">4.6 </w:t>
            </w:r>
          </w:p>
        </w:tc>
        <w:tc>
          <w:tcPr>
            <w:tcW w:w="7225" w:type="dxa"/>
            <w:vAlign w:val="center"/>
          </w:tcPr>
          <w:p w14:paraId="794D8D84" w14:textId="77777777" w:rsidR="00636445"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7D0">
              <w:rPr>
                <w:rFonts w:ascii="Times New Roman" w:hAnsi="Times New Roman" w:cs="Times New Roman"/>
                <w:lang w:val="en-US"/>
              </w:rPr>
              <w:t xml:space="preserve">Updated text:  Effects on fertility and Use in Pregnancy </w:t>
            </w:r>
          </w:p>
        </w:tc>
      </w:tr>
      <w:tr w:rsidR="0054749D" w14:paraId="794D8D88"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86"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lastRenderedPageBreak/>
              <w:t xml:space="preserve">4.8  </w:t>
            </w:r>
          </w:p>
        </w:tc>
        <w:tc>
          <w:tcPr>
            <w:tcW w:w="7225" w:type="dxa"/>
            <w:vAlign w:val="center"/>
          </w:tcPr>
          <w:p w14:paraId="794D8D87" w14:textId="77777777" w:rsidR="00636445"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7D0">
              <w:rPr>
                <w:rFonts w:ascii="Times New Roman" w:hAnsi="Times New Roman" w:cs="Times New Roman"/>
                <w:lang w:val="en-US"/>
              </w:rPr>
              <w:t>Undesirable Effects, Experience from Clinical Studies</w:t>
            </w:r>
          </w:p>
        </w:tc>
      </w:tr>
      <w:tr w:rsidR="0054749D" w14:paraId="794D8D8B"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89"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t xml:space="preserve">5.1 </w:t>
            </w:r>
          </w:p>
        </w:tc>
        <w:tc>
          <w:tcPr>
            <w:tcW w:w="7225" w:type="dxa"/>
            <w:vAlign w:val="center"/>
          </w:tcPr>
          <w:p w14:paraId="794D8D8A" w14:textId="6EED5B08" w:rsidR="00636445"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7D0">
              <w:rPr>
                <w:rFonts w:ascii="Times New Roman" w:hAnsi="Times New Roman" w:cs="Times New Roman"/>
                <w:lang w:val="en-US"/>
              </w:rPr>
              <w:t>Clinical Experience - Addition of final safety and efficacy data from the three Phase 3 Studies - CO-US-540-5776 (NIAID ACTT-1), GS-US-540-5773, and GS-US-540-5774 in patients with COVID-19</w:t>
            </w:r>
            <w:r w:rsidR="00CC6E41">
              <w:rPr>
                <w:rFonts w:ascii="Times New Roman" w:hAnsi="Times New Roman" w:cs="Times New Roman"/>
                <w:lang w:val="en-US"/>
              </w:rPr>
              <w:t>; P</w:t>
            </w:r>
            <w:r w:rsidR="008C10C8">
              <w:rPr>
                <w:rFonts w:ascii="Times New Roman" w:hAnsi="Times New Roman" w:cs="Times New Roman"/>
                <w:lang w:val="en-US"/>
              </w:rPr>
              <w:t>a</w:t>
            </w:r>
            <w:r w:rsidR="00CC6E41">
              <w:rPr>
                <w:rFonts w:ascii="Times New Roman" w:hAnsi="Times New Roman" w:cs="Times New Roman"/>
                <w:lang w:val="en-US"/>
              </w:rPr>
              <w:t>ediatric patients on Study GS-US-540-5823; Non-hospitalised patients Study GS-US-540-9012</w:t>
            </w:r>
            <w:r w:rsidR="0046014D">
              <w:rPr>
                <w:rFonts w:ascii="Times New Roman" w:hAnsi="Times New Roman" w:cs="Times New Roman"/>
                <w:lang w:val="en-US"/>
              </w:rPr>
              <w:t xml:space="preserve">; updated text for Antiviral activity </w:t>
            </w:r>
          </w:p>
        </w:tc>
      </w:tr>
      <w:tr w:rsidR="0054749D" w14:paraId="794D8D8E"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8C"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t>5.2</w:t>
            </w:r>
          </w:p>
        </w:tc>
        <w:tc>
          <w:tcPr>
            <w:tcW w:w="7225" w:type="dxa"/>
            <w:vAlign w:val="center"/>
          </w:tcPr>
          <w:p w14:paraId="794D8D8D" w14:textId="77777777" w:rsidR="00636445"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7D0">
              <w:rPr>
                <w:rFonts w:ascii="Times New Roman" w:hAnsi="Times New Roman" w:cs="Times New Roman"/>
                <w:lang w:val="en-US"/>
              </w:rPr>
              <w:t xml:space="preserve">Updated text: Metabolism, Interactions </w:t>
            </w:r>
          </w:p>
        </w:tc>
      </w:tr>
      <w:tr w:rsidR="0054749D" w14:paraId="794D8D91"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94D8D8F" w14:textId="77777777" w:rsidR="00636445" w:rsidRPr="004977D0" w:rsidRDefault="00270E87" w:rsidP="00CF66D1">
            <w:pPr>
              <w:rPr>
                <w:rFonts w:ascii="Times New Roman" w:hAnsi="Times New Roman" w:cs="Times New Roman"/>
                <w:lang w:val="en-US"/>
              </w:rPr>
            </w:pPr>
            <w:r w:rsidRPr="004977D0">
              <w:rPr>
                <w:rFonts w:ascii="Times New Roman" w:hAnsi="Times New Roman" w:cs="Times New Roman"/>
                <w:lang w:val="en-US"/>
              </w:rPr>
              <w:t>5.3</w:t>
            </w:r>
          </w:p>
        </w:tc>
        <w:tc>
          <w:tcPr>
            <w:tcW w:w="7225" w:type="dxa"/>
            <w:vAlign w:val="center"/>
          </w:tcPr>
          <w:p w14:paraId="794D8D90" w14:textId="77777777" w:rsidR="00636445"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7D0">
              <w:rPr>
                <w:rFonts w:ascii="Times New Roman" w:hAnsi="Times New Roman" w:cs="Times New Roman"/>
                <w:lang w:val="en-US"/>
              </w:rPr>
              <w:t>Updated text: Genotoxicity, Animal Toxicology and/or Pharmacology</w:t>
            </w:r>
          </w:p>
        </w:tc>
      </w:tr>
      <w:tr w:rsidR="0054749D" w14:paraId="33B72666" w14:textId="77777777" w:rsidTr="0054749D">
        <w:tc>
          <w:tcPr>
            <w:cnfStyle w:val="001000000000" w:firstRow="0" w:lastRow="0" w:firstColumn="1" w:lastColumn="0" w:oddVBand="0" w:evenVBand="0" w:oddHBand="0" w:evenHBand="0" w:firstRowFirstColumn="0" w:firstRowLastColumn="0" w:lastRowFirstColumn="0" w:lastRowLastColumn="0"/>
            <w:tcW w:w="1781" w:type="dxa"/>
            <w:vAlign w:val="center"/>
          </w:tcPr>
          <w:p w14:paraId="7D78955F" w14:textId="3B9223FD" w:rsidR="00282E4F" w:rsidRPr="004977D0" w:rsidRDefault="00270E87" w:rsidP="00CF66D1">
            <w:pPr>
              <w:rPr>
                <w:rFonts w:ascii="Times New Roman" w:hAnsi="Times New Roman" w:cs="Times New Roman"/>
                <w:lang w:val="en-US"/>
              </w:rPr>
            </w:pPr>
            <w:r>
              <w:rPr>
                <w:rFonts w:ascii="Times New Roman" w:hAnsi="Times New Roman" w:cs="Times New Roman"/>
                <w:lang w:val="en-US"/>
              </w:rPr>
              <w:t>6.4</w:t>
            </w:r>
          </w:p>
        </w:tc>
        <w:tc>
          <w:tcPr>
            <w:tcW w:w="7225" w:type="dxa"/>
            <w:vAlign w:val="center"/>
          </w:tcPr>
          <w:p w14:paraId="16075E3E" w14:textId="430BA2C2" w:rsidR="00282E4F" w:rsidRPr="004977D0" w:rsidRDefault="00270E87" w:rsidP="00CF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Updated storage conditions for reconstituted and diluted solution for infusion</w:t>
            </w:r>
          </w:p>
        </w:tc>
      </w:tr>
    </w:tbl>
    <w:p w14:paraId="0C10F606" w14:textId="2BFC4AEC" w:rsidR="00F141E9" w:rsidRPr="00595836" w:rsidRDefault="00270E87" w:rsidP="00C10E73">
      <w:pPr>
        <w:rPr>
          <w:rFonts w:ascii="Times New Roman" w:hAnsi="Times New Roman" w:cs="Times New Roman"/>
          <w:sz w:val="24"/>
          <w:szCs w:val="24"/>
        </w:rPr>
      </w:pPr>
      <w:r w:rsidRPr="00794CEE">
        <w:rPr>
          <w:rFonts w:ascii="Times New Roman" w:hAnsi="Times New Roman" w:cs="Times New Roman"/>
          <w:sz w:val="20"/>
          <w:szCs w:val="20"/>
        </w:rPr>
        <w:t>VEKLURY and GILEAD are registered trademarks of Gilead Sciences, Inc., or its related companies. All other trademarks referenced herein are the property of their respective owners.</w:t>
      </w:r>
    </w:p>
    <w:sectPr w:rsidR="00F141E9" w:rsidRPr="00595836" w:rsidSect="004E07C6">
      <w:headerReference w:type="default" r:id="rId15"/>
      <w:footerReference w:type="default" r:id="rId16"/>
      <w:pgSz w:w="11906" w:h="16838"/>
      <w:pgMar w:top="1276" w:right="1274" w:bottom="1276" w:left="1440" w:header="708" w:footer="2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B0254" w14:textId="77777777" w:rsidR="007E50B0" w:rsidRDefault="007E50B0">
      <w:pPr>
        <w:spacing w:after="0" w:line="240" w:lineRule="auto"/>
      </w:pPr>
      <w:r>
        <w:separator/>
      </w:r>
    </w:p>
  </w:endnote>
  <w:endnote w:type="continuationSeparator" w:id="0">
    <w:p w14:paraId="7949757E" w14:textId="77777777" w:rsidR="007E50B0" w:rsidRDefault="007E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20DE2" w14:textId="77777777" w:rsidR="007E50B0" w:rsidRDefault="007E50B0" w:rsidP="00EF7767">
    <w:pPr>
      <w:pStyle w:val="Footer"/>
      <w:rPr>
        <w:rFonts w:ascii="Times New Roman" w:hAnsi="Times New Roman" w:cs="Times New Roman"/>
        <w:sz w:val="20"/>
        <w:szCs w:val="20"/>
      </w:rPr>
    </w:pPr>
  </w:p>
  <w:p w14:paraId="794D8EAE" w14:textId="413EB7E8" w:rsidR="007E50B0" w:rsidRPr="00EF7767" w:rsidRDefault="007E50B0" w:rsidP="00EF7767">
    <w:pPr>
      <w:pStyle w:val="Footer"/>
      <w:rPr>
        <w:rFonts w:ascii="Times New Roman" w:hAnsi="Times New Roman" w:cs="Times New Roman"/>
        <w:sz w:val="20"/>
        <w:szCs w:val="20"/>
      </w:rPr>
    </w:pPr>
    <w:r>
      <w:rPr>
        <w:rFonts w:ascii="Times New Roman" w:hAnsi="Times New Roman" w:cs="Times New Roman"/>
        <w:sz w:val="20"/>
        <w:szCs w:val="20"/>
      </w:rPr>
      <w:t>VEKLURY</w:t>
    </w:r>
    <w:r w:rsidRPr="00EF7767">
      <w:rPr>
        <w:rFonts w:ascii="Times New Roman" w:hAnsi="Times New Roman" w:cs="Times New Roman"/>
        <w:sz w:val="20"/>
        <w:szCs w:val="20"/>
      </w:rPr>
      <w:t xml:space="preserve"> </w:t>
    </w:r>
    <w:r>
      <w:rPr>
        <w:rFonts w:ascii="Times New Roman" w:hAnsi="Times New Roman" w:cs="Times New Roman"/>
        <w:sz w:val="20"/>
        <w:szCs w:val="20"/>
      </w:rPr>
      <w:t xml:space="preserve">Powder for Injection </w:t>
    </w:r>
    <w:r w:rsidRPr="00EF7767">
      <w:rPr>
        <w:rFonts w:ascii="Times New Roman" w:hAnsi="Times New Roman" w:cs="Times New Roman"/>
        <w:sz w:val="20"/>
        <w:szCs w:val="20"/>
      </w:rPr>
      <w:t>Product Information v</w:t>
    </w:r>
    <w:r>
      <w:rPr>
        <w:rFonts w:ascii="Times New Roman" w:hAnsi="Times New Roman" w:cs="Times New Roman"/>
        <w:sz w:val="20"/>
        <w:szCs w:val="20"/>
      </w:rPr>
      <w:t>4.0 (06 May 2022</w:t>
    </w:r>
    <w:r w:rsidRPr="00EF776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7767">
      <w:rPr>
        <w:rFonts w:ascii="Times New Roman" w:hAnsi="Times New Roman" w:cs="Times New Roman"/>
        <w:sz w:val="20"/>
        <w:szCs w:val="20"/>
      </w:rPr>
      <w:t xml:space="preserve">    </w:t>
    </w:r>
    <w:sdt>
      <w:sdtPr>
        <w:rPr>
          <w:rFonts w:ascii="Times New Roman" w:hAnsi="Times New Roman" w:cs="Times New Roman"/>
          <w:sz w:val="20"/>
          <w:szCs w:val="20"/>
        </w:rPr>
        <w:id w:val="-780568948"/>
        <w:docPartObj>
          <w:docPartGallery w:val="Page Numbers (Bottom of Page)"/>
          <w:docPartUnique/>
        </w:docPartObj>
      </w:sdtPr>
      <w:sdtEndPr>
        <w:rPr>
          <w:noProof/>
        </w:rPr>
      </w:sdtEndPr>
      <w:sdtContent>
        <w:r w:rsidRPr="00EF7767">
          <w:rPr>
            <w:rFonts w:ascii="Times New Roman" w:hAnsi="Times New Roman" w:cs="Times New Roman"/>
            <w:sz w:val="20"/>
            <w:szCs w:val="20"/>
          </w:rPr>
          <w:fldChar w:fldCharType="begin"/>
        </w:r>
        <w:r w:rsidRPr="00EF7767">
          <w:rPr>
            <w:rFonts w:ascii="Times New Roman" w:hAnsi="Times New Roman" w:cs="Times New Roman"/>
            <w:sz w:val="20"/>
            <w:szCs w:val="20"/>
          </w:rPr>
          <w:instrText xml:space="preserve"> PAGE   \* MERGEFORMAT </w:instrText>
        </w:r>
        <w:r w:rsidRPr="00EF7767">
          <w:rPr>
            <w:rFonts w:ascii="Times New Roman" w:hAnsi="Times New Roman" w:cs="Times New Roman"/>
            <w:sz w:val="20"/>
            <w:szCs w:val="20"/>
          </w:rPr>
          <w:fldChar w:fldCharType="separate"/>
        </w:r>
        <w:r>
          <w:rPr>
            <w:rFonts w:ascii="Times New Roman" w:hAnsi="Times New Roman" w:cs="Times New Roman"/>
            <w:noProof/>
            <w:sz w:val="20"/>
            <w:szCs w:val="20"/>
          </w:rPr>
          <w:t>4</w:t>
        </w:r>
        <w:r w:rsidRPr="00EF7767">
          <w:rPr>
            <w:rFonts w:ascii="Times New Roman" w:hAnsi="Times New Roman" w:cs="Times New Roman"/>
            <w:noProof/>
            <w:sz w:val="20"/>
            <w:szCs w:val="20"/>
          </w:rPr>
          <w:fldChar w:fldCharType="end"/>
        </w:r>
      </w:sdtContent>
    </w:sdt>
  </w:p>
  <w:p w14:paraId="794D8EAF" w14:textId="77777777" w:rsidR="007E50B0" w:rsidRPr="00EF7767" w:rsidRDefault="007E50B0" w:rsidP="00EF7767">
    <w:pPr>
      <w:pStyle w:val="Footer"/>
      <w:rPr>
        <w:rFonts w:ascii="Times New Roman" w:hAnsi="Times New Roman" w:cs="Times New Roman"/>
        <w:sz w:val="20"/>
        <w:szCs w:val="20"/>
      </w:rPr>
    </w:pPr>
  </w:p>
  <w:p w14:paraId="794D8EB0" w14:textId="77777777" w:rsidR="007E50B0" w:rsidRDefault="007E50B0" w:rsidP="0089047F">
    <w:pPr>
      <w:pStyle w:val="Footer"/>
      <w:jc w:val="right"/>
    </w:pPr>
  </w:p>
  <w:p w14:paraId="794D8EB1" w14:textId="77777777" w:rsidR="007E50B0" w:rsidRDefault="007E50B0" w:rsidP="00890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12FE8" w14:textId="77777777" w:rsidR="007E50B0" w:rsidRDefault="007E50B0">
      <w:pPr>
        <w:spacing w:after="0" w:line="240" w:lineRule="auto"/>
      </w:pPr>
      <w:r>
        <w:separator/>
      </w:r>
    </w:p>
  </w:footnote>
  <w:footnote w:type="continuationSeparator" w:id="0">
    <w:p w14:paraId="66541E1D" w14:textId="77777777" w:rsidR="007E50B0" w:rsidRDefault="007E5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7E50B0" w:rsidRPr="000B2145" w14:paraId="14C61A14" w14:textId="77777777" w:rsidTr="007E50B0">
      <w:trPr>
        <w:trHeight w:val="1012"/>
        <w:jc w:val="center"/>
      </w:trPr>
      <w:tc>
        <w:tcPr>
          <w:tcW w:w="9039" w:type="dxa"/>
          <w:shd w:val="clear" w:color="auto" w:fill="E4F2E0"/>
        </w:tcPr>
        <w:p w14:paraId="078BAF05" w14:textId="77777777" w:rsidR="007E50B0" w:rsidRPr="000E4791" w:rsidRDefault="007E50B0" w:rsidP="007E50B0">
          <w:pPr>
            <w:pStyle w:val="Footer"/>
            <w:rPr>
              <w:b/>
              <w:sz w:val="18"/>
              <w:szCs w:val="18"/>
            </w:rPr>
          </w:pPr>
          <w:bookmarkStart w:id="19" w:name="_Hlk80611440"/>
          <w:r w:rsidRPr="000E4791">
            <w:rPr>
              <w:b/>
              <w:sz w:val="18"/>
              <w:szCs w:val="18"/>
            </w:rPr>
            <w:t>Attachment 1</w:t>
          </w:r>
          <w:r>
            <w:t xml:space="preserve"> </w:t>
          </w:r>
          <w:proofErr w:type="spellStart"/>
          <w:r w:rsidRPr="00B55A76">
            <w:rPr>
              <w:b/>
              <w:sz w:val="18"/>
              <w:szCs w:val="18"/>
            </w:rPr>
            <w:t>AusPAR</w:t>
          </w:r>
          <w:proofErr w:type="spellEnd"/>
          <w:r w:rsidRPr="00B55A76">
            <w:rPr>
              <w:b/>
              <w:sz w:val="18"/>
              <w:szCs w:val="18"/>
            </w:rPr>
            <w:t xml:space="preserve"> – </w:t>
          </w:r>
          <w:proofErr w:type="spellStart"/>
          <w:r w:rsidRPr="00B55A76">
            <w:rPr>
              <w:b/>
              <w:sz w:val="18"/>
              <w:szCs w:val="18"/>
            </w:rPr>
            <w:t>Veklury</w:t>
          </w:r>
          <w:proofErr w:type="spellEnd"/>
          <w:r w:rsidRPr="00B55A76">
            <w:rPr>
              <w:b/>
              <w:sz w:val="18"/>
              <w:szCs w:val="18"/>
            </w:rPr>
            <w:t xml:space="preserve"> - </w:t>
          </w:r>
          <w:proofErr w:type="spellStart"/>
          <w:r w:rsidRPr="00B55A76">
            <w:rPr>
              <w:b/>
              <w:sz w:val="18"/>
              <w:szCs w:val="18"/>
            </w:rPr>
            <w:t>remdesivir</w:t>
          </w:r>
          <w:proofErr w:type="spellEnd"/>
          <w:r w:rsidRPr="00B55A76">
            <w:rPr>
              <w:b/>
              <w:sz w:val="18"/>
              <w:szCs w:val="18"/>
            </w:rPr>
            <w:t xml:space="preserve"> - Gilead Sciences Pty Ltd PM-2022-00260-1-2</w:t>
          </w:r>
          <w:r>
            <w:rPr>
              <w:b/>
              <w:sz w:val="18"/>
              <w:szCs w:val="18"/>
            </w:rPr>
            <w:t xml:space="preserve"> </w:t>
          </w:r>
          <w:r w:rsidRPr="00B55A76">
            <w:rPr>
              <w:b/>
              <w:sz w:val="18"/>
              <w:szCs w:val="18"/>
            </w:rPr>
            <w:t>FINAL 6 May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9"/>
  </w:tbl>
  <w:p w14:paraId="51AA7D3A" w14:textId="77777777" w:rsidR="007E50B0" w:rsidRDefault="007E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9E9"/>
    <w:multiLevelType w:val="hybridMultilevel"/>
    <w:tmpl w:val="DB862AC6"/>
    <w:lvl w:ilvl="0" w:tplc="C94AB72C">
      <w:numFmt w:val="bullet"/>
      <w:lvlText w:val="•"/>
      <w:lvlJc w:val="left"/>
      <w:pPr>
        <w:ind w:left="720" w:hanging="360"/>
      </w:pPr>
      <w:rPr>
        <w:rFonts w:ascii="Times New Roman" w:eastAsiaTheme="minorHAnsi" w:hAnsi="Times New Roman" w:cs="Times New Roman" w:hint="default"/>
      </w:rPr>
    </w:lvl>
    <w:lvl w:ilvl="1" w:tplc="CC7EA260" w:tentative="1">
      <w:start w:val="1"/>
      <w:numFmt w:val="bullet"/>
      <w:lvlText w:val="o"/>
      <w:lvlJc w:val="left"/>
      <w:pPr>
        <w:ind w:left="1440" w:hanging="360"/>
      </w:pPr>
      <w:rPr>
        <w:rFonts w:ascii="Courier New" w:hAnsi="Courier New" w:cs="Courier New" w:hint="default"/>
      </w:rPr>
    </w:lvl>
    <w:lvl w:ilvl="2" w:tplc="B6EE5D08" w:tentative="1">
      <w:start w:val="1"/>
      <w:numFmt w:val="bullet"/>
      <w:lvlText w:val=""/>
      <w:lvlJc w:val="left"/>
      <w:pPr>
        <w:ind w:left="2160" w:hanging="360"/>
      </w:pPr>
      <w:rPr>
        <w:rFonts w:ascii="Wingdings" w:hAnsi="Wingdings" w:hint="default"/>
      </w:rPr>
    </w:lvl>
    <w:lvl w:ilvl="3" w:tplc="5AB2FB56" w:tentative="1">
      <w:start w:val="1"/>
      <w:numFmt w:val="bullet"/>
      <w:lvlText w:val=""/>
      <w:lvlJc w:val="left"/>
      <w:pPr>
        <w:ind w:left="2880" w:hanging="360"/>
      </w:pPr>
      <w:rPr>
        <w:rFonts w:ascii="Symbol" w:hAnsi="Symbol" w:hint="default"/>
      </w:rPr>
    </w:lvl>
    <w:lvl w:ilvl="4" w:tplc="D41A6C5E" w:tentative="1">
      <w:start w:val="1"/>
      <w:numFmt w:val="bullet"/>
      <w:lvlText w:val="o"/>
      <w:lvlJc w:val="left"/>
      <w:pPr>
        <w:ind w:left="3600" w:hanging="360"/>
      </w:pPr>
      <w:rPr>
        <w:rFonts w:ascii="Courier New" w:hAnsi="Courier New" w:cs="Courier New" w:hint="default"/>
      </w:rPr>
    </w:lvl>
    <w:lvl w:ilvl="5" w:tplc="C5FCEB78" w:tentative="1">
      <w:start w:val="1"/>
      <w:numFmt w:val="bullet"/>
      <w:lvlText w:val=""/>
      <w:lvlJc w:val="left"/>
      <w:pPr>
        <w:ind w:left="4320" w:hanging="360"/>
      </w:pPr>
      <w:rPr>
        <w:rFonts w:ascii="Wingdings" w:hAnsi="Wingdings" w:hint="default"/>
      </w:rPr>
    </w:lvl>
    <w:lvl w:ilvl="6" w:tplc="DD0222FE" w:tentative="1">
      <w:start w:val="1"/>
      <w:numFmt w:val="bullet"/>
      <w:lvlText w:val=""/>
      <w:lvlJc w:val="left"/>
      <w:pPr>
        <w:ind w:left="5040" w:hanging="360"/>
      </w:pPr>
      <w:rPr>
        <w:rFonts w:ascii="Symbol" w:hAnsi="Symbol" w:hint="default"/>
      </w:rPr>
    </w:lvl>
    <w:lvl w:ilvl="7" w:tplc="B3F679CE" w:tentative="1">
      <w:start w:val="1"/>
      <w:numFmt w:val="bullet"/>
      <w:lvlText w:val="o"/>
      <w:lvlJc w:val="left"/>
      <w:pPr>
        <w:ind w:left="5760" w:hanging="360"/>
      </w:pPr>
      <w:rPr>
        <w:rFonts w:ascii="Courier New" w:hAnsi="Courier New" w:cs="Courier New" w:hint="default"/>
      </w:rPr>
    </w:lvl>
    <w:lvl w:ilvl="8" w:tplc="4ED246EE" w:tentative="1">
      <w:start w:val="1"/>
      <w:numFmt w:val="bullet"/>
      <w:lvlText w:val=""/>
      <w:lvlJc w:val="left"/>
      <w:pPr>
        <w:ind w:left="6480" w:hanging="360"/>
      </w:pPr>
      <w:rPr>
        <w:rFonts w:ascii="Wingdings" w:hAnsi="Wingdings" w:hint="default"/>
      </w:rPr>
    </w:lvl>
  </w:abstractNum>
  <w:abstractNum w:abstractNumId="1" w15:restartNumberingAfterBreak="0">
    <w:nsid w:val="0B2654A2"/>
    <w:multiLevelType w:val="hybridMultilevel"/>
    <w:tmpl w:val="FD00A930"/>
    <w:lvl w:ilvl="0" w:tplc="8E0008AA">
      <w:start w:val="1"/>
      <w:numFmt w:val="decimal"/>
      <w:lvlText w:val="%1."/>
      <w:lvlJc w:val="left"/>
      <w:pPr>
        <w:ind w:left="360" w:hanging="360"/>
      </w:pPr>
    </w:lvl>
    <w:lvl w:ilvl="1" w:tplc="CA0479F6">
      <w:start w:val="1"/>
      <w:numFmt w:val="lowerLetter"/>
      <w:lvlText w:val="%2."/>
      <w:lvlJc w:val="left"/>
      <w:pPr>
        <w:ind w:left="1080" w:hanging="360"/>
      </w:pPr>
    </w:lvl>
    <w:lvl w:ilvl="2" w:tplc="360AAEE0">
      <w:start w:val="1"/>
      <w:numFmt w:val="lowerRoman"/>
      <w:lvlText w:val="%3."/>
      <w:lvlJc w:val="right"/>
      <w:pPr>
        <w:ind w:left="1800" w:hanging="180"/>
      </w:pPr>
    </w:lvl>
    <w:lvl w:ilvl="3" w:tplc="50789AA4">
      <w:start w:val="1"/>
      <w:numFmt w:val="decimal"/>
      <w:lvlText w:val="%4."/>
      <w:lvlJc w:val="left"/>
      <w:pPr>
        <w:ind w:left="2520" w:hanging="360"/>
      </w:pPr>
    </w:lvl>
    <w:lvl w:ilvl="4" w:tplc="244CCE86">
      <w:start w:val="1"/>
      <w:numFmt w:val="lowerLetter"/>
      <w:lvlText w:val="%5."/>
      <w:lvlJc w:val="left"/>
      <w:pPr>
        <w:ind w:left="3240" w:hanging="360"/>
      </w:pPr>
    </w:lvl>
    <w:lvl w:ilvl="5" w:tplc="5FCC6920">
      <w:start w:val="1"/>
      <w:numFmt w:val="lowerRoman"/>
      <w:lvlText w:val="%6."/>
      <w:lvlJc w:val="right"/>
      <w:pPr>
        <w:ind w:left="3960" w:hanging="180"/>
      </w:pPr>
    </w:lvl>
    <w:lvl w:ilvl="6" w:tplc="51D01634">
      <w:start w:val="1"/>
      <w:numFmt w:val="decimal"/>
      <w:lvlText w:val="%7."/>
      <w:lvlJc w:val="left"/>
      <w:pPr>
        <w:ind w:left="4680" w:hanging="360"/>
      </w:pPr>
    </w:lvl>
    <w:lvl w:ilvl="7" w:tplc="1CDC9D4A">
      <w:start w:val="1"/>
      <w:numFmt w:val="lowerLetter"/>
      <w:lvlText w:val="%8."/>
      <w:lvlJc w:val="left"/>
      <w:pPr>
        <w:ind w:left="5400" w:hanging="360"/>
      </w:pPr>
    </w:lvl>
    <w:lvl w:ilvl="8" w:tplc="858269D2">
      <w:start w:val="1"/>
      <w:numFmt w:val="lowerRoman"/>
      <w:lvlText w:val="%9."/>
      <w:lvlJc w:val="right"/>
      <w:pPr>
        <w:ind w:left="6120" w:hanging="180"/>
      </w:pPr>
    </w:lvl>
  </w:abstractNum>
  <w:abstractNum w:abstractNumId="2" w15:restartNumberingAfterBreak="0">
    <w:nsid w:val="12766979"/>
    <w:multiLevelType w:val="hybridMultilevel"/>
    <w:tmpl w:val="132CD4EC"/>
    <w:lvl w:ilvl="0" w:tplc="E19A93EE">
      <w:start w:val="1"/>
      <w:numFmt w:val="bullet"/>
      <w:lvlText w:val=""/>
      <w:lvlJc w:val="left"/>
      <w:pPr>
        <w:ind w:left="720" w:hanging="360"/>
      </w:pPr>
      <w:rPr>
        <w:rFonts w:ascii="Symbol" w:hAnsi="Symbol" w:hint="default"/>
      </w:rPr>
    </w:lvl>
    <w:lvl w:ilvl="1" w:tplc="B8982786" w:tentative="1">
      <w:start w:val="1"/>
      <w:numFmt w:val="bullet"/>
      <w:lvlText w:val="o"/>
      <w:lvlJc w:val="left"/>
      <w:pPr>
        <w:ind w:left="1440" w:hanging="360"/>
      </w:pPr>
      <w:rPr>
        <w:rFonts w:ascii="Courier New" w:hAnsi="Courier New" w:cs="Courier New" w:hint="default"/>
      </w:rPr>
    </w:lvl>
    <w:lvl w:ilvl="2" w:tplc="C75A6F58" w:tentative="1">
      <w:start w:val="1"/>
      <w:numFmt w:val="bullet"/>
      <w:lvlText w:val=""/>
      <w:lvlJc w:val="left"/>
      <w:pPr>
        <w:ind w:left="2160" w:hanging="360"/>
      </w:pPr>
      <w:rPr>
        <w:rFonts w:ascii="Wingdings" w:hAnsi="Wingdings" w:hint="default"/>
      </w:rPr>
    </w:lvl>
    <w:lvl w:ilvl="3" w:tplc="EE1C38B4" w:tentative="1">
      <w:start w:val="1"/>
      <w:numFmt w:val="bullet"/>
      <w:lvlText w:val=""/>
      <w:lvlJc w:val="left"/>
      <w:pPr>
        <w:ind w:left="2880" w:hanging="360"/>
      </w:pPr>
      <w:rPr>
        <w:rFonts w:ascii="Symbol" w:hAnsi="Symbol" w:hint="default"/>
      </w:rPr>
    </w:lvl>
    <w:lvl w:ilvl="4" w:tplc="9E3A8CEE" w:tentative="1">
      <w:start w:val="1"/>
      <w:numFmt w:val="bullet"/>
      <w:lvlText w:val="o"/>
      <w:lvlJc w:val="left"/>
      <w:pPr>
        <w:ind w:left="3600" w:hanging="360"/>
      </w:pPr>
      <w:rPr>
        <w:rFonts w:ascii="Courier New" w:hAnsi="Courier New" w:cs="Courier New" w:hint="default"/>
      </w:rPr>
    </w:lvl>
    <w:lvl w:ilvl="5" w:tplc="321A7EC4" w:tentative="1">
      <w:start w:val="1"/>
      <w:numFmt w:val="bullet"/>
      <w:lvlText w:val=""/>
      <w:lvlJc w:val="left"/>
      <w:pPr>
        <w:ind w:left="4320" w:hanging="360"/>
      </w:pPr>
      <w:rPr>
        <w:rFonts w:ascii="Wingdings" w:hAnsi="Wingdings" w:hint="default"/>
      </w:rPr>
    </w:lvl>
    <w:lvl w:ilvl="6" w:tplc="CC8A6032" w:tentative="1">
      <w:start w:val="1"/>
      <w:numFmt w:val="bullet"/>
      <w:lvlText w:val=""/>
      <w:lvlJc w:val="left"/>
      <w:pPr>
        <w:ind w:left="5040" w:hanging="360"/>
      </w:pPr>
      <w:rPr>
        <w:rFonts w:ascii="Symbol" w:hAnsi="Symbol" w:hint="default"/>
      </w:rPr>
    </w:lvl>
    <w:lvl w:ilvl="7" w:tplc="B142E858" w:tentative="1">
      <w:start w:val="1"/>
      <w:numFmt w:val="bullet"/>
      <w:lvlText w:val="o"/>
      <w:lvlJc w:val="left"/>
      <w:pPr>
        <w:ind w:left="5760" w:hanging="360"/>
      </w:pPr>
      <w:rPr>
        <w:rFonts w:ascii="Courier New" w:hAnsi="Courier New" w:cs="Courier New" w:hint="default"/>
      </w:rPr>
    </w:lvl>
    <w:lvl w:ilvl="8" w:tplc="371A69EA" w:tentative="1">
      <w:start w:val="1"/>
      <w:numFmt w:val="bullet"/>
      <w:lvlText w:val=""/>
      <w:lvlJc w:val="left"/>
      <w:pPr>
        <w:ind w:left="6480" w:hanging="360"/>
      </w:pPr>
      <w:rPr>
        <w:rFonts w:ascii="Wingdings" w:hAnsi="Wingdings" w:hint="default"/>
      </w:rPr>
    </w:lvl>
  </w:abstractNum>
  <w:abstractNum w:abstractNumId="3" w15:restartNumberingAfterBreak="0">
    <w:nsid w:val="15D53A13"/>
    <w:multiLevelType w:val="hybridMultilevel"/>
    <w:tmpl w:val="555076CE"/>
    <w:lvl w:ilvl="0" w:tplc="8D3841D8">
      <w:start w:val="1"/>
      <w:numFmt w:val="lowerLetter"/>
      <w:lvlText w:val="%1."/>
      <w:lvlJc w:val="left"/>
      <w:pPr>
        <w:ind w:left="360" w:hanging="360"/>
      </w:pPr>
    </w:lvl>
    <w:lvl w:ilvl="1" w:tplc="568EF488" w:tentative="1">
      <w:start w:val="1"/>
      <w:numFmt w:val="lowerLetter"/>
      <w:lvlText w:val="%2."/>
      <w:lvlJc w:val="left"/>
      <w:pPr>
        <w:ind w:left="1080" w:hanging="360"/>
      </w:pPr>
    </w:lvl>
    <w:lvl w:ilvl="2" w:tplc="8FAE92CC" w:tentative="1">
      <w:start w:val="1"/>
      <w:numFmt w:val="lowerRoman"/>
      <w:lvlText w:val="%3."/>
      <w:lvlJc w:val="right"/>
      <w:pPr>
        <w:ind w:left="1800" w:hanging="180"/>
      </w:pPr>
    </w:lvl>
    <w:lvl w:ilvl="3" w:tplc="2BE07F9C" w:tentative="1">
      <w:start w:val="1"/>
      <w:numFmt w:val="decimal"/>
      <w:lvlText w:val="%4."/>
      <w:lvlJc w:val="left"/>
      <w:pPr>
        <w:ind w:left="2520" w:hanging="360"/>
      </w:pPr>
    </w:lvl>
    <w:lvl w:ilvl="4" w:tplc="00AC356E" w:tentative="1">
      <w:start w:val="1"/>
      <w:numFmt w:val="lowerLetter"/>
      <w:lvlText w:val="%5."/>
      <w:lvlJc w:val="left"/>
      <w:pPr>
        <w:ind w:left="3240" w:hanging="360"/>
      </w:pPr>
    </w:lvl>
    <w:lvl w:ilvl="5" w:tplc="308E31C8" w:tentative="1">
      <w:start w:val="1"/>
      <w:numFmt w:val="lowerRoman"/>
      <w:lvlText w:val="%6."/>
      <w:lvlJc w:val="right"/>
      <w:pPr>
        <w:ind w:left="3960" w:hanging="180"/>
      </w:pPr>
    </w:lvl>
    <w:lvl w:ilvl="6" w:tplc="1E8421DE" w:tentative="1">
      <w:start w:val="1"/>
      <w:numFmt w:val="decimal"/>
      <w:lvlText w:val="%7."/>
      <w:lvlJc w:val="left"/>
      <w:pPr>
        <w:ind w:left="4680" w:hanging="360"/>
      </w:pPr>
    </w:lvl>
    <w:lvl w:ilvl="7" w:tplc="A92A2D6C" w:tentative="1">
      <w:start w:val="1"/>
      <w:numFmt w:val="lowerLetter"/>
      <w:lvlText w:val="%8."/>
      <w:lvlJc w:val="left"/>
      <w:pPr>
        <w:ind w:left="5400" w:hanging="360"/>
      </w:pPr>
    </w:lvl>
    <w:lvl w:ilvl="8" w:tplc="CF207488" w:tentative="1">
      <w:start w:val="1"/>
      <w:numFmt w:val="lowerRoman"/>
      <w:lvlText w:val="%9."/>
      <w:lvlJc w:val="right"/>
      <w:pPr>
        <w:ind w:left="6120" w:hanging="180"/>
      </w:pPr>
    </w:lvl>
  </w:abstractNum>
  <w:abstractNum w:abstractNumId="4" w15:restartNumberingAfterBreak="0">
    <w:nsid w:val="1BE12A97"/>
    <w:multiLevelType w:val="hybridMultilevel"/>
    <w:tmpl w:val="12FCB966"/>
    <w:lvl w:ilvl="0" w:tplc="CF523DAE">
      <w:start w:val="1"/>
      <w:numFmt w:val="bullet"/>
      <w:lvlText w:val=""/>
      <w:lvlJc w:val="left"/>
      <w:pPr>
        <w:ind w:left="360" w:hanging="360"/>
      </w:pPr>
      <w:rPr>
        <w:rFonts w:ascii="Symbol" w:hAnsi="Symbol" w:hint="default"/>
      </w:rPr>
    </w:lvl>
    <w:lvl w:ilvl="1" w:tplc="A1467D36" w:tentative="1">
      <w:start w:val="1"/>
      <w:numFmt w:val="bullet"/>
      <w:lvlText w:val="o"/>
      <w:lvlJc w:val="left"/>
      <w:pPr>
        <w:ind w:left="1080" w:hanging="360"/>
      </w:pPr>
      <w:rPr>
        <w:rFonts w:ascii="Courier New" w:hAnsi="Courier New" w:cs="Courier New" w:hint="default"/>
      </w:rPr>
    </w:lvl>
    <w:lvl w:ilvl="2" w:tplc="1AD6CA74" w:tentative="1">
      <w:start w:val="1"/>
      <w:numFmt w:val="bullet"/>
      <w:lvlText w:val=""/>
      <w:lvlJc w:val="left"/>
      <w:pPr>
        <w:ind w:left="1800" w:hanging="360"/>
      </w:pPr>
      <w:rPr>
        <w:rFonts w:ascii="Wingdings" w:hAnsi="Wingdings" w:hint="default"/>
      </w:rPr>
    </w:lvl>
    <w:lvl w:ilvl="3" w:tplc="7F464240" w:tentative="1">
      <w:start w:val="1"/>
      <w:numFmt w:val="bullet"/>
      <w:lvlText w:val=""/>
      <w:lvlJc w:val="left"/>
      <w:pPr>
        <w:ind w:left="2520" w:hanging="360"/>
      </w:pPr>
      <w:rPr>
        <w:rFonts w:ascii="Symbol" w:hAnsi="Symbol" w:hint="default"/>
      </w:rPr>
    </w:lvl>
    <w:lvl w:ilvl="4" w:tplc="05FCD87C" w:tentative="1">
      <w:start w:val="1"/>
      <w:numFmt w:val="bullet"/>
      <w:lvlText w:val="o"/>
      <w:lvlJc w:val="left"/>
      <w:pPr>
        <w:ind w:left="3240" w:hanging="360"/>
      </w:pPr>
      <w:rPr>
        <w:rFonts w:ascii="Courier New" w:hAnsi="Courier New" w:cs="Courier New" w:hint="default"/>
      </w:rPr>
    </w:lvl>
    <w:lvl w:ilvl="5" w:tplc="BF9652F2" w:tentative="1">
      <w:start w:val="1"/>
      <w:numFmt w:val="bullet"/>
      <w:lvlText w:val=""/>
      <w:lvlJc w:val="left"/>
      <w:pPr>
        <w:ind w:left="3960" w:hanging="360"/>
      </w:pPr>
      <w:rPr>
        <w:rFonts w:ascii="Wingdings" w:hAnsi="Wingdings" w:hint="default"/>
      </w:rPr>
    </w:lvl>
    <w:lvl w:ilvl="6" w:tplc="90B022CC" w:tentative="1">
      <w:start w:val="1"/>
      <w:numFmt w:val="bullet"/>
      <w:lvlText w:val=""/>
      <w:lvlJc w:val="left"/>
      <w:pPr>
        <w:ind w:left="4680" w:hanging="360"/>
      </w:pPr>
      <w:rPr>
        <w:rFonts w:ascii="Symbol" w:hAnsi="Symbol" w:hint="default"/>
      </w:rPr>
    </w:lvl>
    <w:lvl w:ilvl="7" w:tplc="6B5290F4" w:tentative="1">
      <w:start w:val="1"/>
      <w:numFmt w:val="bullet"/>
      <w:lvlText w:val="o"/>
      <w:lvlJc w:val="left"/>
      <w:pPr>
        <w:ind w:left="5400" w:hanging="360"/>
      </w:pPr>
      <w:rPr>
        <w:rFonts w:ascii="Courier New" w:hAnsi="Courier New" w:cs="Courier New" w:hint="default"/>
      </w:rPr>
    </w:lvl>
    <w:lvl w:ilvl="8" w:tplc="63426E2C" w:tentative="1">
      <w:start w:val="1"/>
      <w:numFmt w:val="bullet"/>
      <w:lvlText w:val=""/>
      <w:lvlJc w:val="left"/>
      <w:pPr>
        <w:ind w:left="6120" w:hanging="360"/>
      </w:pPr>
      <w:rPr>
        <w:rFonts w:ascii="Wingdings" w:hAnsi="Wingdings" w:hint="default"/>
      </w:rPr>
    </w:lvl>
  </w:abstractNum>
  <w:abstractNum w:abstractNumId="5" w15:restartNumberingAfterBreak="0">
    <w:nsid w:val="24062992"/>
    <w:multiLevelType w:val="hybridMultilevel"/>
    <w:tmpl w:val="FD00A930"/>
    <w:lvl w:ilvl="0" w:tplc="5C769B3A">
      <w:start w:val="1"/>
      <w:numFmt w:val="decimal"/>
      <w:lvlText w:val="%1."/>
      <w:lvlJc w:val="left"/>
      <w:pPr>
        <w:ind w:left="360" w:hanging="360"/>
      </w:pPr>
    </w:lvl>
    <w:lvl w:ilvl="1" w:tplc="73A89516">
      <w:start w:val="1"/>
      <w:numFmt w:val="lowerLetter"/>
      <w:lvlText w:val="%2."/>
      <w:lvlJc w:val="left"/>
      <w:pPr>
        <w:ind w:left="1080" w:hanging="360"/>
      </w:pPr>
    </w:lvl>
    <w:lvl w:ilvl="2" w:tplc="EFB4769A">
      <w:start w:val="1"/>
      <w:numFmt w:val="lowerRoman"/>
      <w:lvlText w:val="%3."/>
      <w:lvlJc w:val="right"/>
      <w:pPr>
        <w:ind w:left="1800" w:hanging="180"/>
      </w:pPr>
    </w:lvl>
    <w:lvl w:ilvl="3" w:tplc="75F84A20">
      <w:start w:val="1"/>
      <w:numFmt w:val="decimal"/>
      <w:lvlText w:val="%4."/>
      <w:lvlJc w:val="left"/>
      <w:pPr>
        <w:ind w:left="2520" w:hanging="360"/>
      </w:pPr>
    </w:lvl>
    <w:lvl w:ilvl="4" w:tplc="2AB24ED2">
      <w:start w:val="1"/>
      <w:numFmt w:val="lowerLetter"/>
      <w:lvlText w:val="%5."/>
      <w:lvlJc w:val="left"/>
      <w:pPr>
        <w:ind w:left="3240" w:hanging="360"/>
      </w:pPr>
    </w:lvl>
    <w:lvl w:ilvl="5" w:tplc="6264F9B8">
      <w:start w:val="1"/>
      <w:numFmt w:val="lowerRoman"/>
      <w:lvlText w:val="%6."/>
      <w:lvlJc w:val="right"/>
      <w:pPr>
        <w:ind w:left="3960" w:hanging="180"/>
      </w:pPr>
    </w:lvl>
    <w:lvl w:ilvl="6" w:tplc="BDEED756">
      <w:start w:val="1"/>
      <w:numFmt w:val="decimal"/>
      <w:lvlText w:val="%7."/>
      <w:lvlJc w:val="left"/>
      <w:pPr>
        <w:ind w:left="4680" w:hanging="360"/>
      </w:pPr>
    </w:lvl>
    <w:lvl w:ilvl="7" w:tplc="AFB8ACCE">
      <w:start w:val="1"/>
      <w:numFmt w:val="lowerLetter"/>
      <w:lvlText w:val="%8."/>
      <w:lvlJc w:val="left"/>
      <w:pPr>
        <w:ind w:left="5400" w:hanging="360"/>
      </w:pPr>
    </w:lvl>
    <w:lvl w:ilvl="8" w:tplc="DDC0D17E">
      <w:start w:val="1"/>
      <w:numFmt w:val="lowerRoman"/>
      <w:lvlText w:val="%9."/>
      <w:lvlJc w:val="right"/>
      <w:pPr>
        <w:ind w:left="6120" w:hanging="180"/>
      </w:pPr>
    </w:lvl>
  </w:abstractNum>
  <w:abstractNum w:abstractNumId="6" w15:restartNumberingAfterBreak="0">
    <w:nsid w:val="273731AB"/>
    <w:multiLevelType w:val="hybridMultilevel"/>
    <w:tmpl w:val="9C0CDFC8"/>
    <w:lvl w:ilvl="0" w:tplc="D4100198">
      <w:start w:val="1"/>
      <w:numFmt w:val="bullet"/>
      <w:lvlText w:val=""/>
      <w:lvlJc w:val="left"/>
      <w:pPr>
        <w:ind w:left="720" w:hanging="360"/>
      </w:pPr>
      <w:rPr>
        <w:rFonts w:ascii="Symbol" w:hAnsi="Symbol" w:hint="default"/>
      </w:rPr>
    </w:lvl>
    <w:lvl w:ilvl="1" w:tplc="666E00F6" w:tentative="1">
      <w:start w:val="1"/>
      <w:numFmt w:val="bullet"/>
      <w:lvlText w:val="o"/>
      <w:lvlJc w:val="left"/>
      <w:pPr>
        <w:ind w:left="1440" w:hanging="360"/>
      </w:pPr>
      <w:rPr>
        <w:rFonts w:ascii="Courier New" w:hAnsi="Courier New" w:cs="Courier New" w:hint="default"/>
      </w:rPr>
    </w:lvl>
    <w:lvl w:ilvl="2" w:tplc="424604BE" w:tentative="1">
      <w:start w:val="1"/>
      <w:numFmt w:val="bullet"/>
      <w:lvlText w:val=""/>
      <w:lvlJc w:val="left"/>
      <w:pPr>
        <w:ind w:left="2160" w:hanging="360"/>
      </w:pPr>
      <w:rPr>
        <w:rFonts w:ascii="Wingdings" w:hAnsi="Wingdings" w:hint="default"/>
      </w:rPr>
    </w:lvl>
    <w:lvl w:ilvl="3" w:tplc="25161AA2" w:tentative="1">
      <w:start w:val="1"/>
      <w:numFmt w:val="bullet"/>
      <w:lvlText w:val=""/>
      <w:lvlJc w:val="left"/>
      <w:pPr>
        <w:ind w:left="2880" w:hanging="360"/>
      </w:pPr>
      <w:rPr>
        <w:rFonts w:ascii="Symbol" w:hAnsi="Symbol" w:hint="default"/>
      </w:rPr>
    </w:lvl>
    <w:lvl w:ilvl="4" w:tplc="31F84E66" w:tentative="1">
      <w:start w:val="1"/>
      <w:numFmt w:val="bullet"/>
      <w:lvlText w:val="o"/>
      <w:lvlJc w:val="left"/>
      <w:pPr>
        <w:ind w:left="3600" w:hanging="360"/>
      </w:pPr>
      <w:rPr>
        <w:rFonts w:ascii="Courier New" w:hAnsi="Courier New" w:cs="Courier New" w:hint="default"/>
      </w:rPr>
    </w:lvl>
    <w:lvl w:ilvl="5" w:tplc="2406688E" w:tentative="1">
      <w:start w:val="1"/>
      <w:numFmt w:val="bullet"/>
      <w:lvlText w:val=""/>
      <w:lvlJc w:val="left"/>
      <w:pPr>
        <w:ind w:left="4320" w:hanging="360"/>
      </w:pPr>
      <w:rPr>
        <w:rFonts w:ascii="Wingdings" w:hAnsi="Wingdings" w:hint="default"/>
      </w:rPr>
    </w:lvl>
    <w:lvl w:ilvl="6" w:tplc="8C96C9DC" w:tentative="1">
      <w:start w:val="1"/>
      <w:numFmt w:val="bullet"/>
      <w:lvlText w:val=""/>
      <w:lvlJc w:val="left"/>
      <w:pPr>
        <w:ind w:left="5040" w:hanging="360"/>
      </w:pPr>
      <w:rPr>
        <w:rFonts w:ascii="Symbol" w:hAnsi="Symbol" w:hint="default"/>
      </w:rPr>
    </w:lvl>
    <w:lvl w:ilvl="7" w:tplc="85A6D0CC" w:tentative="1">
      <w:start w:val="1"/>
      <w:numFmt w:val="bullet"/>
      <w:lvlText w:val="o"/>
      <w:lvlJc w:val="left"/>
      <w:pPr>
        <w:ind w:left="5760" w:hanging="360"/>
      </w:pPr>
      <w:rPr>
        <w:rFonts w:ascii="Courier New" w:hAnsi="Courier New" w:cs="Courier New" w:hint="default"/>
      </w:rPr>
    </w:lvl>
    <w:lvl w:ilvl="8" w:tplc="ADC88544" w:tentative="1">
      <w:start w:val="1"/>
      <w:numFmt w:val="bullet"/>
      <w:lvlText w:val=""/>
      <w:lvlJc w:val="left"/>
      <w:pPr>
        <w:ind w:left="6480" w:hanging="360"/>
      </w:pPr>
      <w:rPr>
        <w:rFonts w:ascii="Wingdings" w:hAnsi="Wingdings" w:hint="default"/>
      </w:rPr>
    </w:lvl>
  </w:abstractNum>
  <w:abstractNum w:abstractNumId="7" w15:restartNumberingAfterBreak="0">
    <w:nsid w:val="283949DB"/>
    <w:multiLevelType w:val="hybridMultilevel"/>
    <w:tmpl w:val="029ED626"/>
    <w:lvl w:ilvl="0" w:tplc="22E046FE">
      <w:numFmt w:val="bullet"/>
      <w:lvlText w:val="•"/>
      <w:lvlJc w:val="left"/>
      <w:pPr>
        <w:ind w:left="720" w:hanging="360"/>
      </w:pPr>
      <w:rPr>
        <w:rFonts w:ascii="Times New Roman" w:eastAsiaTheme="minorHAnsi" w:hAnsi="Times New Roman" w:cs="Times New Roman" w:hint="default"/>
      </w:rPr>
    </w:lvl>
    <w:lvl w:ilvl="1" w:tplc="F7424870">
      <w:start w:val="1"/>
      <w:numFmt w:val="bullet"/>
      <w:lvlText w:val="o"/>
      <w:lvlJc w:val="left"/>
      <w:pPr>
        <w:ind w:left="1440" w:hanging="360"/>
      </w:pPr>
      <w:rPr>
        <w:rFonts w:ascii="Courier New" w:hAnsi="Courier New" w:cs="Courier New" w:hint="default"/>
      </w:rPr>
    </w:lvl>
    <w:lvl w:ilvl="2" w:tplc="4ED25434" w:tentative="1">
      <w:start w:val="1"/>
      <w:numFmt w:val="bullet"/>
      <w:lvlText w:val=""/>
      <w:lvlJc w:val="left"/>
      <w:pPr>
        <w:ind w:left="2160" w:hanging="360"/>
      </w:pPr>
      <w:rPr>
        <w:rFonts w:ascii="Wingdings" w:hAnsi="Wingdings" w:hint="default"/>
      </w:rPr>
    </w:lvl>
    <w:lvl w:ilvl="3" w:tplc="EA0C8698" w:tentative="1">
      <w:start w:val="1"/>
      <w:numFmt w:val="bullet"/>
      <w:lvlText w:val=""/>
      <w:lvlJc w:val="left"/>
      <w:pPr>
        <w:ind w:left="2880" w:hanging="360"/>
      </w:pPr>
      <w:rPr>
        <w:rFonts w:ascii="Symbol" w:hAnsi="Symbol" w:hint="default"/>
      </w:rPr>
    </w:lvl>
    <w:lvl w:ilvl="4" w:tplc="064E3DA4" w:tentative="1">
      <w:start w:val="1"/>
      <w:numFmt w:val="bullet"/>
      <w:lvlText w:val="o"/>
      <w:lvlJc w:val="left"/>
      <w:pPr>
        <w:ind w:left="3600" w:hanging="360"/>
      </w:pPr>
      <w:rPr>
        <w:rFonts w:ascii="Courier New" w:hAnsi="Courier New" w:cs="Courier New" w:hint="default"/>
      </w:rPr>
    </w:lvl>
    <w:lvl w:ilvl="5" w:tplc="2BCA6B54" w:tentative="1">
      <w:start w:val="1"/>
      <w:numFmt w:val="bullet"/>
      <w:lvlText w:val=""/>
      <w:lvlJc w:val="left"/>
      <w:pPr>
        <w:ind w:left="4320" w:hanging="360"/>
      </w:pPr>
      <w:rPr>
        <w:rFonts w:ascii="Wingdings" w:hAnsi="Wingdings" w:hint="default"/>
      </w:rPr>
    </w:lvl>
    <w:lvl w:ilvl="6" w:tplc="DA487C2C" w:tentative="1">
      <w:start w:val="1"/>
      <w:numFmt w:val="bullet"/>
      <w:lvlText w:val=""/>
      <w:lvlJc w:val="left"/>
      <w:pPr>
        <w:ind w:left="5040" w:hanging="360"/>
      </w:pPr>
      <w:rPr>
        <w:rFonts w:ascii="Symbol" w:hAnsi="Symbol" w:hint="default"/>
      </w:rPr>
    </w:lvl>
    <w:lvl w:ilvl="7" w:tplc="368866BE" w:tentative="1">
      <w:start w:val="1"/>
      <w:numFmt w:val="bullet"/>
      <w:lvlText w:val="o"/>
      <w:lvlJc w:val="left"/>
      <w:pPr>
        <w:ind w:left="5760" w:hanging="360"/>
      </w:pPr>
      <w:rPr>
        <w:rFonts w:ascii="Courier New" w:hAnsi="Courier New" w:cs="Courier New" w:hint="default"/>
      </w:rPr>
    </w:lvl>
    <w:lvl w:ilvl="8" w:tplc="0DE2EF9E" w:tentative="1">
      <w:start w:val="1"/>
      <w:numFmt w:val="bullet"/>
      <w:lvlText w:val=""/>
      <w:lvlJc w:val="left"/>
      <w:pPr>
        <w:ind w:left="6480" w:hanging="360"/>
      </w:pPr>
      <w:rPr>
        <w:rFonts w:ascii="Wingdings" w:hAnsi="Wingdings" w:hint="default"/>
      </w:rPr>
    </w:lvl>
  </w:abstractNum>
  <w:abstractNum w:abstractNumId="8" w15:restartNumberingAfterBreak="0">
    <w:nsid w:val="284C230A"/>
    <w:multiLevelType w:val="hybridMultilevel"/>
    <w:tmpl w:val="DBAE5436"/>
    <w:lvl w:ilvl="0" w:tplc="C408129C">
      <w:start w:val="1"/>
      <w:numFmt w:val="bullet"/>
      <w:lvlText w:val=""/>
      <w:lvlJc w:val="left"/>
      <w:pPr>
        <w:ind w:left="780" w:hanging="360"/>
      </w:pPr>
      <w:rPr>
        <w:rFonts w:ascii="Symbol" w:hAnsi="Symbol" w:hint="default"/>
      </w:rPr>
    </w:lvl>
    <w:lvl w:ilvl="1" w:tplc="4C8C2A9A" w:tentative="1">
      <w:start w:val="1"/>
      <w:numFmt w:val="bullet"/>
      <w:lvlText w:val="o"/>
      <w:lvlJc w:val="left"/>
      <w:pPr>
        <w:ind w:left="1500" w:hanging="360"/>
      </w:pPr>
      <w:rPr>
        <w:rFonts w:ascii="Courier New" w:hAnsi="Courier New" w:cs="Courier New" w:hint="default"/>
      </w:rPr>
    </w:lvl>
    <w:lvl w:ilvl="2" w:tplc="A92A2D8C" w:tentative="1">
      <w:start w:val="1"/>
      <w:numFmt w:val="bullet"/>
      <w:lvlText w:val=""/>
      <w:lvlJc w:val="left"/>
      <w:pPr>
        <w:ind w:left="2220" w:hanging="360"/>
      </w:pPr>
      <w:rPr>
        <w:rFonts w:ascii="Wingdings" w:hAnsi="Wingdings" w:hint="default"/>
      </w:rPr>
    </w:lvl>
    <w:lvl w:ilvl="3" w:tplc="B8226432" w:tentative="1">
      <w:start w:val="1"/>
      <w:numFmt w:val="bullet"/>
      <w:lvlText w:val=""/>
      <w:lvlJc w:val="left"/>
      <w:pPr>
        <w:ind w:left="2940" w:hanging="360"/>
      </w:pPr>
      <w:rPr>
        <w:rFonts w:ascii="Symbol" w:hAnsi="Symbol" w:hint="default"/>
      </w:rPr>
    </w:lvl>
    <w:lvl w:ilvl="4" w:tplc="3F3C6A28" w:tentative="1">
      <w:start w:val="1"/>
      <w:numFmt w:val="bullet"/>
      <w:lvlText w:val="o"/>
      <w:lvlJc w:val="left"/>
      <w:pPr>
        <w:ind w:left="3660" w:hanging="360"/>
      </w:pPr>
      <w:rPr>
        <w:rFonts w:ascii="Courier New" w:hAnsi="Courier New" w:cs="Courier New" w:hint="default"/>
      </w:rPr>
    </w:lvl>
    <w:lvl w:ilvl="5" w:tplc="DDE433D4" w:tentative="1">
      <w:start w:val="1"/>
      <w:numFmt w:val="bullet"/>
      <w:lvlText w:val=""/>
      <w:lvlJc w:val="left"/>
      <w:pPr>
        <w:ind w:left="4380" w:hanging="360"/>
      </w:pPr>
      <w:rPr>
        <w:rFonts w:ascii="Wingdings" w:hAnsi="Wingdings" w:hint="default"/>
      </w:rPr>
    </w:lvl>
    <w:lvl w:ilvl="6" w:tplc="CF8A69F0" w:tentative="1">
      <w:start w:val="1"/>
      <w:numFmt w:val="bullet"/>
      <w:lvlText w:val=""/>
      <w:lvlJc w:val="left"/>
      <w:pPr>
        <w:ind w:left="5100" w:hanging="360"/>
      </w:pPr>
      <w:rPr>
        <w:rFonts w:ascii="Symbol" w:hAnsi="Symbol" w:hint="default"/>
      </w:rPr>
    </w:lvl>
    <w:lvl w:ilvl="7" w:tplc="BCD27D2E" w:tentative="1">
      <w:start w:val="1"/>
      <w:numFmt w:val="bullet"/>
      <w:lvlText w:val="o"/>
      <w:lvlJc w:val="left"/>
      <w:pPr>
        <w:ind w:left="5820" w:hanging="360"/>
      </w:pPr>
      <w:rPr>
        <w:rFonts w:ascii="Courier New" w:hAnsi="Courier New" w:cs="Courier New" w:hint="default"/>
      </w:rPr>
    </w:lvl>
    <w:lvl w:ilvl="8" w:tplc="D068D8B6" w:tentative="1">
      <w:start w:val="1"/>
      <w:numFmt w:val="bullet"/>
      <w:lvlText w:val=""/>
      <w:lvlJc w:val="left"/>
      <w:pPr>
        <w:ind w:left="6540" w:hanging="360"/>
      </w:pPr>
      <w:rPr>
        <w:rFonts w:ascii="Wingdings" w:hAnsi="Wingdings" w:hint="default"/>
      </w:rPr>
    </w:lvl>
  </w:abstractNum>
  <w:abstractNum w:abstractNumId="9" w15:restartNumberingAfterBreak="0">
    <w:nsid w:val="2A47247D"/>
    <w:multiLevelType w:val="hybridMultilevel"/>
    <w:tmpl w:val="FD00A930"/>
    <w:lvl w:ilvl="0" w:tplc="0DC6E21A">
      <w:start w:val="1"/>
      <w:numFmt w:val="decimal"/>
      <w:lvlText w:val="%1."/>
      <w:lvlJc w:val="left"/>
      <w:pPr>
        <w:ind w:left="360" w:hanging="360"/>
      </w:pPr>
    </w:lvl>
    <w:lvl w:ilvl="1" w:tplc="7ADE39FE">
      <w:start w:val="1"/>
      <w:numFmt w:val="lowerLetter"/>
      <w:lvlText w:val="%2."/>
      <w:lvlJc w:val="left"/>
      <w:pPr>
        <w:ind w:left="1080" w:hanging="360"/>
      </w:pPr>
    </w:lvl>
    <w:lvl w:ilvl="2" w:tplc="36BEA804">
      <w:start w:val="1"/>
      <w:numFmt w:val="lowerRoman"/>
      <w:lvlText w:val="%3."/>
      <w:lvlJc w:val="right"/>
      <w:pPr>
        <w:ind w:left="1800" w:hanging="180"/>
      </w:pPr>
    </w:lvl>
    <w:lvl w:ilvl="3" w:tplc="19226F94">
      <w:start w:val="1"/>
      <w:numFmt w:val="decimal"/>
      <w:lvlText w:val="%4."/>
      <w:lvlJc w:val="left"/>
      <w:pPr>
        <w:ind w:left="2520" w:hanging="360"/>
      </w:pPr>
    </w:lvl>
    <w:lvl w:ilvl="4" w:tplc="13B8EBBA">
      <w:start w:val="1"/>
      <w:numFmt w:val="lowerLetter"/>
      <w:lvlText w:val="%5."/>
      <w:lvlJc w:val="left"/>
      <w:pPr>
        <w:ind w:left="3240" w:hanging="360"/>
      </w:pPr>
    </w:lvl>
    <w:lvl w:ilvl="5" w:tplc="E30857FE">
      <w:start w:val="1"/>
      <w:numFmt w:val="lowerRoman"/>
      <w:lvlText w:val="%6."/>
      <w:lvlJc w:val="right"/>
      <w:pPr>
        <w:ind w:left="3960" w:hanging="180"/>
      </w:pPr>
    </w:lvl>
    <w:lvl w:ilvl="6" w:tplc="24CC168A">
      <w:start w:val="1"/>
      <w:numFmt w:val="decimal"/>
      <w:lvlText w:val="%7."/>
      <w:lvlJc w:val="left"/>
      <w:pPr>
        <w:ind w:left="4680" w:hanging="360"/>
      </w:pPr>
    </w:lvl>
    <w:lvl w:ilvl="7" w:tplc="2BF81610">
      <w:start w:val="1"/>
      <w:numFmt w:val="lowerLetter"/>
      <w:lvlText w:val="%8."/>
      <w:lvlJc w:val="left"/>
      <w:pPr>
        <w:ind w:left="5400" w:hanging="360"/>
      </w:pPr>
    </w:lvl>
    <w:lvl w:ilvl="8" w:tplc="DF4E57CA">
      <w:start w:val="1"/>
      <w:numFmt w:val="lowerRoman"/>
      <w:lvlText w:val="%9."/>
      <w:lvlJc w:val="right"/>
      <w:pPr>
        <w:ind w:left="6120" w:hanging="180"/>
      </w:pPr>
    </w:lvl>
  </w:abstractNum>
  <w:abstractNum w:abstractNumId="10" w15:restartNumberingAfterBreak="0">
    <w:nsid w:val="2B1A3920"/>
    <w:multiLevelType w:val="hybridMultilevel"/>
    <w:tmpl w:val="58FC30FE"/>
    <w:lvl w:ilvl="0" w:tplc="7626FDA2">
      <w:start w:val="1"/>
      <w:numFmt w:val="bullet"/>
      <w:pStyle w:val="Bullet2"/>
      <w:lvlText w:val="◦"/>
      <w:lvlJc w:val="left"/>
      <w:pPr>
        <w:ind w:left="1134" w:hanging="567"/>
      </w:pPr>
      <w:rPr>
        <w:rFonts w:ascii="Times New Roman" w:hAnsi="Times New Roman" w:cs="Times New Roman" w:hint="default"/>
      </w:rPr>
    </w:lvl>
    <w:lvl w:ilvl="1" w:tplc="C65C50D4" w:tentative="1">
      <w:start w:val="1"/>
      <w:numFmt w:val="bullet"/>
      <w:lvlText w:val="o"/>
      <w:lvlJc w:val="left"/>
      <w:pPr>
        <w:ind w:left="1440" w:hanging="360"/>
      </w:pPr>
      <w:rPr>
        <w:rFonts w:ascii="Courier New" w:hAnsi="Courier New" w:cs="Courier New" w:hint="default"/>
      </w:rPr>
    </w:lvl>
    <w:lvl w:ilvl="2" w:tplc="5F46640A" w:tentative="1">
      <w:start w:val="1"/>
      <w:numFmt w:val="bullet"/>
      <w:lvlText w:val=""/>
      <w:lvlJc w:val="left"/>
      <w:pPr>
        <w:ind w:left="2160" w:hanging="360"/>
      </w:pPr>
      <w:rPr>
        <w:rFonts w:ascii="Wingdings" w:hAnsi="Wingdings" w:hint="default"/>
      </w:rPr>
    </w:lvl>
    <w:lvl w:ilvl="3" w:tplc="468857C8" w:tentative="1">
      <w:start w:val="1"/>
      <w:numFmt w:val="bullet"/>
      <w:lvlText w:val=""/>
      <w:lvlJc w:val="left"/>
      <w:pPr>
        <w:ind w:left="2880" w:hanging="360"/>
      </w:pPr>
      <w:rPr>
        <w:rFonts w:ascii="Symbol" w:hAnsi="Symbol" w:hint="default"/>
      </w:rPr>
    </w:lvl>
    <w:lvl w:ilvl="4" w:tplc="EB9ED3D4" w:tentative="1">
      <w:start w:val="1"/>
      <w:numFmt w:val="bullet"/>
      <w:lvlText w:val="o"/>
      <w:lvlJc w:val="left"/>
      <w:pPr>
        <w:ind w:left="3600" w:hanging="360"/>
      </w:pPr>
      <w:rPr>
        <w:rFonts w:ascii="Courier New" w:hAnsi="Courier New" w:cs="Courier New" w:hint="default"/>
      </w:rPr>
    </w:lvl>
    <w:lvl w:ilvl="5" w:tplc="EF342D4C" w:tentative="1">
      <w:start w:val="1"/>
      <w:numFmt w:val="bullet"/>
      <w:lvlText w:val=""/>
      <w:lvlJc w:val="left"/>
      <w:pPr>
        <w:ind w:left="4320" w:hanging="360"/>
      </w:pPr>
      <w:rPr>
        <w:rFonts w:ascii="Wingdings" w:hAnsi="Wingdings" w:hint="default"/>
      </w:rPr>
    </w:lvl>
    <w:lvl w:ilvl="6" w:tplc="3C363EB0" w:tentative="1">
      <w:start w:val="1"/>
      <w:numFmt w:val="bullet"/>
      <w:lvlText w:val=""/>
      <w:lvlJc w:val="left"/>
      <w:pPr>
        <w:ind w:left="5040" w:hanging="360"/>
      </w:pPr>
      <w:rPr>
        <w:rFonts w:ascii="Symbol" w:hAnsi="Symbol" w:hint="default"/>
      </w:rPr>
    </w:lvl>
    <w:lvl w:ilvl="7" w:tplc="71BE2788" w:tentative="1">
      <w:start w:val="1"/>
      <w:numFmt w:val="bullet"/>
      <w:lvlText w:val="o"/>
      <w:lvlJc w:val="left"/>
      <w:pPr>
        <w:ind w:left="5760" w:hanging="360"/>
      </w:pPr>
      <w:rPr>
        <w:rFonts w:ascii="Courier New" w:hAnsi="Courier New" w:cs="Courier New" w:hint="default"/>
      </w:rPr>
    </w:lvl>
    <w:lvl w:ilvl="8" w:tplc="D7D6B16E" w:tentative="1">
      <w:start w:val="1"/>
      <w:numFmt w:val="bullet"/>
      <w:lvlText w:val=""/>
      <w:lvlJc w:val="left"/>
      <w:pPr>
        <w:ind w:left="6480" w:hanging="360"/>
      </w:pPr>
      <w:rPr>
        <w:rFonts w:ascii="Wingdings" w:hAnsi="Wingdings" w:hint="default"/>
      </w:rPr>
    </w:lvl>
  </w:abstractNum>
  <w:abstractNum w:abstractNumId="11" w15:restartNumberingAfterBreak="0">
    <w:nsid w:val="30AD156F"/>
    <w:multiLevelType w:val="hybridMultilevel"/>
    <w:tmpl w:val="00A4CDA6"/>
    <w:lvl w:ilvl="0" w:tplc="4436531E">
      <w:start w:val="1"/>
      <w:numFmt w:val="bullet"/>
      <w:lvlText w:val=""/>
      <w:lvlJc w:val="left"/>
      <w:pPr>
        <w:ind w:left="720" w:hanging="360"/>
      </w:pPr>
      <w:rPr>
        <w:rFonts w:ascii="Symbol" w:hAnsi="Symbol" w:hint="default"/>
      </w:rPr>
    </w:lvl>
    <w:lvl w:ilvl="1" w:tplc="F7F06BCA" w:tentative="1">
      <w:start w:val="1"/>
      <w:numFmt w:val="bullet"/>
      <w:lvlText w:val="o"/>
      <w:lvlJc w:val="left"/>
      <w:pPr>
        <w:ind w:left="1440" w:hanging="360"/>
      </w:pPr>
      <w:rPr>
        <w:rFonts w:ascii="Courier New" w:hAnsi="Courier New" w:cs="Courier New" w:hint="default"/>
      </w:rPr>
    </w:lvl>
    <w:lvl w:ilvl="2" w:tplc="807CB8E0" w:tentative="1">
      <w:start w:val="1"/>
      <w:numFmt w:val="bullet"/>
      <w:lvlText w:val=""/>
      <w:lvlJc w:val="left"/>
      <w:pPr>
        <w:ind w:left="2160" w:hanging="360"/>
      </w:pPr>
      <w:rPr>
        <w:rFonts w:ascii="Wingdings" w:hAnsi="Wingdings" w:hint="default"/>
      </w:rPr>
    </w:lvl>
    <w:lvl w:ilvl="3" w:tplc="0B203758" w:tentative="1">
      <w:start w:val="1"/>
      <w:numFmt w:val="bullet"/>
      <w:lvlText w:val=""/>
      <w:lvlJc w:val="left"/>
      <w:pPr>
        <w:ind w:left="2880" w:hanging="360"/>
      </w:pPr>
      <w:rPr>
        <w:rFonts w:ascii="Symbol" w:hAnsi="Symbol" w:hint="default"/>
      </w:rPr>
    </w:lvl>
    <w:lvl w:ilvl="4" w:tplc="B8E23EFE" w:tentative="1">
      <w:start w:val="1"/>
      <w:numFmt w:val="bullet"/>
      <w:lvlText w:val="o"/>
      <w:lvlJc w:val="left"/>
      <w:pPr>
        <w:ind w:left="3600" w:hanging="360"/>
      </w:pPr>
      <w:rPr>
        <w:rFonts w:ascii="Courier New" w:hAnsi="Courier New" w:cs="Courier New" w:hint="default"/>
      </w:rPr>
    </w:lvl>
    <w:lvl w:ilvl="5" w:tplc="F79016B4" w:tentative="1">
      <w:start w:val="1"/>
      <w:numFmt w:val="bullet"/>
      <w:lvlText w:val=""/>
      <w:lvlJc w:val="left"/>
      <w:pPr>
        <w:ind w:left="4320" w:hanging="360"/>
      </w:pPr>
      <w:rPr>
        <w:rFonts w:ascii="Wingdings" w:hAnsi="Wingdings" w:hint="default"/>
      </w:rPr>
    </w:lvl>
    <w:lvl w:ilvl="6" w:tplc="6A469828" w:tentative="1">
      <w:start w:val="1"/>
      <w:numFmt w:val="bullet"/>
      <w:lvlText w:val=""/>
      <w:lvlJc w:val="left"/>
      <w:pPr>
        <w:ind w:left="5040" w:hanging="360"/>
      </w:pPr>
      <w:rPr>
        <w:rFonts w:ascii="Symbol" w:hAnsi="Symbol" w:hint="default"/>
      </w:rPr>
    </w:lvl>
    <w:lvl w:ilvl="7" w:tplc="9E8CC8D4" w:tentative="1">
      <w:start w:val="1"/>
      <w:numFmt w:val="bullet"/>
      <w:lvlText w:val="o"/>
      <w:lvlJc w:val="left"/>
      <w:pPr>
        <w:ind w:left="5760" w:hanging="360"/>
      </w:pPr>
      <w:rPr>
        <w:rFonts w:ascii="Courier New" w:hAnsi="Courier New" w:cs="Courier New" w:hint="default"/>
      </w:rPr>
    </w:lvl>
    <w:lvl w:ilvl="8" w:tplc="0B38A27C" w:tentative="1">
      <w:start w:val="1"/>
      <w:numFmt w:val="bullet"/>
      <w:lvlText w:val=""/>
      <w:lvlJc w:val="left"/>
      <w:pPr>
        <w:ind w:left="6480" w:hanging="360"/>
      </w:pPr>
      <w:rPr>
        <w:rFonts w:ascii="Wingdings" w:hAnsi="Wingdings" w:hint="default"/>
      </w:rPr>
    </w:lvl>
  </w:abstractNum>
  <w:abstractNum w:abstractNumId="12" w15:restartNumberingAfterBreak="0">
    <w:nsid w:val="31247639"/>
    <w:multiLevelType w:val="hybridMultilevel"/>
    <w:tmpl w:val="9B06E402"/>
    <w:lvl w:ilvl="0" w:tplc="92B6F314">
      <w:start w:val="1"/>
      <w:numFmt w:val="lowerLetter"/>
      <w:lvlText w:val="%1."/>
      <w:lvlJc w:val="left"/>
      <w:pPr>
        <w:ind w:left="360" w:hanging="360"/>
      </w:pPr>
      <w:rPr>
        <w:rFonts w:hint="default"/>
      </w:rPr>
    </w:lvl>
    <w:lvl w:ilvl="1" w:tplc="033A2928" w:tentative="1">
      <w:start w:val="1"/>
      <w:numFmt w:val="lowerLetter"/>
      <w:lvlText w:val="%2."/>
      <w:lvlJc w:val="left"/>
      <w:pPr>
        <w:ind w:left="1440" w:hanging="360"/>
      </w:pPr>
    </w:lvl>
    <w:lvl w:ilvl="2" w:tplc="711CAC68" w:tentative="1">
      <w:start w:val="1"/>
      <w:numFmt w:val="lowerRoman"/>
      <w:lvlText w:val="%3."/>
      <w:lvlJc w:val="right"/>
      <w:pPr>
        <w:ind w:left="2160" w:hanging="180"/>
      </w:pPr>
    </w:lvl>
    <w:lvl w:ilvl="3" w:tplc="C08C4646" w:tentative="1">
      <w:start w:val="1"/>
      <w:numFmt w:val="decimal"/>
      <w:lvlText w:val="%4."/>
      <w:lvlJc w:val="left"/>
      <w:pPr>
        <w:ind w:left="2880" w:hanging="360"/>
      </w:pPr>
    </w:lvl>
    <w:lvl w:ilvl="4" w:tplc="73B0C81C" w:tentative="1">
      <w:start w:val="1"/>
      <w:numFmt w:val="lowerLetter"/>
      <w:lvlText w:val="%5."/>
      <w:lvlJc w:val="left"/>
      <w:pPr>
        <w:ind w:left="3600" w:hanging="360"/>
      </w:pPr>
    </w:lvl>
    <w:lvl w:ilvl="5" w:tplc="977AAA64" w:tentative="1">
      <w:start w:val="1"/>
      <w:numFmt w:val="lowerRoman"/>
      <w:lvlText w:val="%6."/>
      <w:lvlJc w:val="right"/>
      <w:pPr>
        <w:ind w:left="4320" w:hanging="180"/>
      </w:pPr>
    </w:lvl>
    <w:lvl w:ilvl="6" w:tplc="6E8425FE" w:tentative="1">
      <w:start w:val="1"/>
      <w:numFmt w:val="decimal"/>
      <w:lvlText w:val="%7."/>
      <w:lvlJc w:val="left"/>
      <w:pPr>
        <w:ind w:left="5040" w:hanging="360"/>
      </w:pPr>
    </w:lvl>
    <w:lvl w:ilvl="7" w:tplc="02FE0806" w:tentative="1">
      <w:start w:val="1"/>
      <w:numFmt w:val="lowerLetter"/>
      <w:lvlText w:val="%8."/>
      <w:lvlJc w:val="left"/>
      <w:pPr>
        <w:ind w:left="5760" w:hanging="360"/>
      </w:pPr>
    </w:lvl>
    <w:lvl w:ilvl="8" w:tplc="49DE3CF8" w:tentative="1">
      <w:start w:val="1"/>
      <w:numFmt w:val="lowerRoman"/>
      <w:lvlText w:val="%9."/>
      <w:lvlJc w:val="right"/>
      <w:pPr>
        <w:ind w:left="6480" w:hanging="180"/>
      </w:pPr>
    </w:lvl>
  </w:abstractNum>
  <w:abstractNum w:abstractNumId="13" w15:restartNumberingAfterBreak="0">
    <w:nsid w:val="36F516A4"/>
    <w:multiLevelType w:val="hybridMultilevel"/>
    <w:tmpl w:val="B2086816"/>
    <w:lvl w:ilvl="0" w:tplc="A94C7DC0">
      <w:numFmt w:val="bullet"/>
      <w:lvlText w:val="•"/>
      <w:lvlJc w:val="left"/>
      <w:pPr>
        <w:ind w:left="720" w:hanging="360"/>
      </w:pPr>
      <w:rPr>
        <w:rFonts w:ascii="Times New Roman" w:eastAsiaTheme="minorHAnsi" w:hAnsi="Times New Roman" w:cs="Times New Roman" w:hint="default"/>
      </w:rPr>
    </w:lvl>
    <w:lvl w:ilvl="1" w:tplc="8AAC5FF6" w:tentative="1">
      <w:start w:val="1"/>
      <w:numFmt w:val="bullet"/>
      <w:lvlText w:val="o"/>
      <w:lvlJc w:val="left"/>
      <w:pPr>
        <w:ind w:left="1440" w:hanging="360"/>
      </w:pPr>
      <w:rPr>
        <w:rFonts w:ascii="Courier New" w:hAnsi="Courier New" w:cs="Courier New" w:hint="default"/>
      </w:rPr>
    </w:lvl>
    <w:lvl w:ilvl="2" w:tplc="CDFE314C" w:tentative="1">
      <w:start w:val="1"/>
      <w:numFmt w:val="bullet"/>
      <w:lvlText w:val=""/>
      <w:lvlJc w:val="left"/>
      <w:pPr>
        <w:ind w:left="2160" w:hanging="360"/>
      </w:pPr>
      <w:rPr>
        <w:rFonts w:ascii="Wingdings" w:hAnsi="Wingdings" w:hint="default"/>
      </w:rPr>
    </w:lvl>
    <w:lvl w:ilvl="3" w:tplc="7BEA29AC" w:tentative="1">
      <w:start w:val="1"/>
      <w:numFmt w:val="bullet"/>
      <w:lvlText w:val=""/>
      <w:lvlJc w:val="left"/>
      <w:pPr>
        <w:ind w:left="2880" w:hanging="360"/>
      </w:pPr>
      <w:rPr>
        <w:rFonts w:ascii="Symbol" w:hAnsi="Symbol" w:hint="default"/>
      </w:rPr>
    </w:lvl>
    <w:lvl w:ilvl="4" w:tplc="19540B08" w:tentative="1">
      <w:start w:val="1"/>
      <w:numFmt w:val="bullet"/>
      <w:lvlText w:val="o"/>
      <w:lvlJc w:val="left"/>
      <w:pPr>
        <w:ind w:left="3600" w:hanging="360"/>
      </w:pPr>
      <w:rPr>
        <w:rFonts w:ascii="Courier New" w:hAnsi="Courier New" w:cs="Courier New" w:hint="default"/>
      </w:rPr>
    </w:lvl>
    <w:lvl w:ilvl="5" w:tplc="6E1ECF60" w:tentative="1">
      <w:start w:val="1"/>
      <w:numFmt w:val="bullet"/>
      <w:lvlText w:val=""/>
      <w:lvlJc w:val="left"/>
      <w:pPr>
        <w:ind w:left="4320" w:hanging="360"/>
      </w:pPr>
      <w:rPr>
        <w:rFonts w:ascii="Wingdings" w:hAnsi="Wingdings" w:hint="default"/>
      </w:rPr>
    </w:lvl>
    <w:lvl w:ilvl="6" w:tplc="275C567A" w:tentative="1">
      <w:start w:val="1"/>
      <w:numFmt w:val="bullet"/>
      <w:lvlText w:val=""/>
      <w:lvlJc w:val="left"/>
      <w:pPr>
        <w:ind w:left="5040" w:hanging="360"/>
      </w:pPr>
      <w:rPr>
        <w:rFonts w:ascii="Symbol" w:hAnsi="Symbol" w:hint="default"/>
      </w:rPr>
    </w:lvl>
    <w:lvl w:ilvl="7" w:tplc="E5382AFC" w:tentative="1">
      <w:start w:val="1"/>
      <w:numFmt w:val="bullet"/>
      <w:lvlText w:val="o"/>
      <w:lvlJc w:val="left"/>
      <w:pPr>
        <w:ind w:left="5760" w:hanging="360"/>
      </w:pPr>
      <w:rPr>
        <w:rFonts w:ascii="Courier New" w:hAnsi="Courier New" w:cs="Courier New" w:hint="default"/>
      </w:rPr>
    </w:lvl>
    <w:lvl w:ilvl="8" w:tplc="83D8552C" w:tentative="1">
      <w:start w:val="1"/>
      <w:numFmt w:val="bullet"/>
      <w:lvlText w:val=""/>
      <w:lvlJc w:val="left"/>
      <w:pPr>
        <w:ind w:left="6480" w:hanging="360"/>
      </w:pPr>
      <w:rPr>
        <w:rFonts w:ascii="Wingdings" w:hAnsi="Wingdings" w:hint="default"/>
      </w:rPr>
    </w:lvl>
  </w:abstractNum>
  <w:abstractNum w:abstractNumId="14" w15:restartNumberingAfterBreak="0">
    <w:nsid w:val="3C4A308E"/>
    <w:multiLevelType w:val="hybridMultilevel"/>
    <w:tmpl w:val="FD00A930"/>
    <w:lvl w:ilvl="0" w:tplc="69869CAA">
      <w:start w:val="1"/>
      <w:numFmt w:val="decimal"/>
      <w:lvlText w:val="%1."/>
      <w:lvlJc w:val="left"/>
      <w:pPr>
        <w:ind w:left="360" w:hanging="360"/>
      </w:pPr>
    </w:lvl>
    <w:lvl w:ilvl="1" w:tplc="D6922C28">
      <w:start w:val="1"/>
      <w:numFmt w:val="lowerLetter"/>
      <w:lvlText w:val="%2."/>
      <w:lvlJc w:val="left"/>
      <w:pPr>
        <w:ind w:left="1080" w:hanging="360"/>
      </w:pPr>
    </w:lvl>
    <w:lvl w:ilvl="2" w:tplc="661834FE">
      <w:start w:val="1"/>
      <w:numFmt w:val="lowerRoman"/>
      <w:lvlText w:val="%3."/>
      <w:lvlJc w:val="right"/>
      <w:pPr>
        <w:ind w:left="1800" w:hanging="180"/>
      </w:pPr>
    </w:lvl>
    <w:lvl w:ilvl="3" w:tplc="5BBC9B26">
      <w:start w:val="1"/>
      <w:numFmt w:val="decimal"/>
      <w:lvlText w:val="%4."/>
      <w:lvlJc w:val="left"/>
      <w:pPr>
        <w:ind w:left="2520" w:hanging="360"/>
      </w:pPr>
    </w:lvl>
    <w:lvl w:ilvl="4" w:tplc="B08216F6">
      <w:start w:val="1"/>
      <w:numFmt w:val="lowerLetter"/>
      <w:lvlText w:val="%5."/>
      <w:lvlJc w:val="left"/>
      <w:pPr>
        <w:ind w:left="3240" w:hanging="360"/>
      </w:pPr>
    </w:lvl>
    <w:lvl w:ilvl="5" w:tplc="2C483B68">
      <w:start w:val="1"/>
      <w:numFmt w:val="lowerRoman"/>
      <w:lvlText w:val="%6."/>
      <w:lvlJc w:val="right"/>
      <w:pPr>
        <w:ind w:left="3960" w:hanging="180"/>
      </w:pPr>
    </w:lvl>
    <w:lvl w:ilvl="6" w:tplc="7A46461A">
      <w:start w:val="1"/>
      <w:numFmt w:val="decimal"/>
      <w:lvlText w:val="%7."/>
      <w:lvlJc w:val="left"/>
      <w:pPr>
        <w:ind w:left="4680" w:hanging="360"/>
      </w:pPr>
    </w:lvl>
    <w:lvl w:ilvl="7" w:tplc="AADC4742">
      <w:start w:val="1"/>
      <w:numFmt w:val="lowerLetter"/>
      <w:lvlText w:val="%8."/>
      <w:lvlJc w:val="left"/>
      <w:pPr>
        <w:ind w:left="5400" w:hanging="360"/>
      </w:pPr>
    </w:lvl>
    <w:lvl w:ilvl="8" w:tplc="1F1CBC0C">
      <w:start w:val="1"/>
      <w:numFmt w:val="lowerRoman"/>
      <w:lvlText w:val="%9."/>
      <w:lvlJc w:val="right"/>
      <w:pPr>
        <w:ind w:left="6120" w:hanging="180"/>
      </w:pPr>
    </w:lvl>
  </w:abstractNum>
  <w:abstractNum w:abstractNumId="15" w15:restartNumberingAfterBreak="0">
    <w:nsid w:val="3CC3491B"/>
    <w:multiLevelType w:val="hybridMultilevel"/>
    <w:tmpl w:val="C0EEF85A"/>
    <w:lvl w:ilvl="0" w:tplc="7A4C3494">
      <w:start w:val="1"/>
      <w:numFmt w:val="bullet"/>
      <w:lvlText w:val=""/>
      <w:lvlJc w:val="left"/>
      <w:pPr>
        <w:ind w:left="720" w:hanging="360"/>
      </w:pPr>
      <w:rPr>
        <w:rFonts w:ascii="Symbol" w:hAnsi="Symbol" w:hint="default"/>
      </w:rPr>
    </w:lvl>
    <w:lvl w:ilvl="1" w:tplc="A34AB986" w:tentative="1">
      <w:start w:val="1"/>
      <w:numFmt w:val="bullet"/>
      <w:lvlText w:val="o"/>
      <w:lvlJc w:val="left"/>
      <w:pPr>
        <w:ind w:left="1440" w:hanging="360"/>
      </w:pPr>
      <w:rPr>
        <w:rFonts w:ascii="Courier New" w:hAnsi="Courier New" w:cs="Courier New" w:hint="default"/>
      </w:rPr>
    </w:lvl>
    <w:lvl w:ilvl="2" w:tplc="C79AE1DA" w:tentative="1">
      <w:start w:val="1"/>
      <w:numFmt w:val="bullet"/>
      <w:lvlText w:val=""/>
      <w:lvlJc w:val="left"/>
      <w:pPr>
        <w:ind w:left="2160" w:hanging="360"/>
      </w:pPr>
      <w:rPr>
        <w:rFonts w:ascii="Wingdings" w:hAnsi="Wingdings" w:hint="default"/>
      </w:rPr>
    </w:lvl>
    <w:lvl w:ilvl="3" w:tplc="1F927C42" w:tentative="1">
      <w:start w:val="1"/>
      <w:numFmt w:val="bullet"/>
      <w:lvlText w:val=""/>
      <w:lvlJc w:val="left"/>
      <w:pPr>
        <w:ind w:left="2880" w:hanging="360"/>
      </w:pPr>
      <w:rPr>
        <w:rFonts w:ascii="Symbol" w:hAnsi="Symbol" w:hint="default"/>
      </w:rPr>
    </w:lvl>
    <w:lvl w:ilvl="4" w:tplc="938029F2" w:tentative="1">
      <w:start w:val="1"/>
      <w:numFmt w:val="bullet"/>
      <w:lvlText w:val="o"/>
      <w:lvlJc w:val="left"/>
      <w:pPr>
        <w:ind w:left="3600" w:hanging="360"/>
      </w:pPr>
      <w:rPr>
        <w:rFonts w:ascii="Courier New" w:hAnsi="Courier New" w:cs="Courier New" w:hint="default"/>
      </w:rPr>
    </w:lvl>
    <w:lvl w:ilvl="5" w:tplc="77F45C72" w:tentative="1">
      <w:start w:val="1"/>
      <w:numFmt w:val="bullet"/>
      <w:lvlText w:val=""/>
      <w:lvlJc w:val="left"/>
      <w:pPr>
        <w:ind w:left="4320" w:hanging="360"/>
      </w:pPr>
      <w:rPr>
        <w:rFonts w:ascii="Wingdings" w:hAnsi="Wingdings" w:hint="default"/>
      </w:rPr>
    </w:lvl>
    <w:lvl w:ilvl="6" w:tplc="09A0BEE0" w:tentative="1">
      <w:start w:val="1"/>
      <w:numFmt w:val="bullet"/>
      <w:lvlText w:val=""/>
      <w:lvlJc w:val="left"/>
      <w:pPr>
        <w:ind w:left="5040" w:hanging="360"/>
      </w:pPr>
      <w:rPr>
        <w:rFonts w:ascii="Symbol" w:hAnsi="Symbol" w:hint="default"/>
      </w:rPr>
    </w:lvl>
    <w:lvl w:ilvl="7" w:tplc="3698EB20" w:tentative="1">
      <w:start w:val="1"/>
      <w:numFmt w:val="bullet"/>
      <w:lvlText w:val="o"/>
      <w:lvlJc w:val="left"/>
      <w:pPr>
        <w:ind w:left="5760" w:hanging="360"/>
      </w:pPr>
      <w:rPr>
        <w:rFonts w:ascii="Courier New" w:hAnsi="Courier New" w:cs="Courier New" w:hint="default"/>
      </w:rPr>
    </w:lvl>
    <w:lvl w:ilvl="8" w:tplc="A7BA31B6" w:tentative="1">
      <w:start w:val="1"/>
      <w:numFmt w:val="bullet"/>
      <w:lvlText w:val=""/>
      <w:lvlJc w:val="left"/>
      <w:pPr>
        <w:ind w:left="6480" w:hanging="360"/>
      </w:pPr>
      <w:rPr>
        <w:rFonts w:ascii="Wingdings" w:hAnsi="Wingdings" w:hint="default"/>
      </w:rPr>
    </w:lvl>
  </w:abstractNum>
  <w:abstractNum w:abstractNumId="16" w15:restartNumberingAfterBreak="0">
    <w:nsid w:val="3D9E080B"/>
    <w:multiLevelType w:val="hybridMultilevel"/>
    <w:tmpl w:val="97424D4C"/>
    <w:lvl w:ilvl="0" w:tplc="34785E3A">
      <w:numFmt w:val="bullet"/>
      <w:lvlText w:val="•"/>
      <w:lvlJc w:val="left"/>
      <w:pPr>
        <w:ind w:left="720" w:hanging="360"/>
      </w:pPr>
      <w:rPr>
        <w:rFonts w:ascii="Times New Roman" w:eastAsiaTheme="minorHAnsi" w:hAnsi="Times New Roman" w:cs="Times New Roman" w:hint="default"/>
      </w:rPr>
    </w:lvl>
    <w:lvl w:ilvl="1" w:tplc="60309C4A" w:tentative="1">
      <w:start w:val="1"/>
      <w:numFmt w:val="bullet"/>
      <w:lvlText w:val="o"/>
      <w:lvlJc w:val="left"/>
      <w:pPr>
        <w:ind w:left="1440" w:hanging="360"/>
      </w:pPr>
      <w:rPr>
        <w:rFonts w:ascii="Courier New" w:hAnsi="Courier New" w:cs="Courier New" w:hint="default"/>
      </w:rPr>
    </w:lvl>
    <w:lvl w:ilvl="2" w:tplc="64C6768A" w:tentative="1">
      <w:start w:val="1"/>
      <w:numFmt w:val="bullet"/>
      <w:lvlText w:val=""/>
      <w:lvlJc w:val="left"/>
      <w:pPr>
        <w:ind w:left="2160" w:hanging="360"/>
      </w:pPr>
      <w:rPr>
        <w:rFonts w:ascii="Wingdings" w:hAnsi="Wingdings" w:hint="default"/>
      </w:rPr>
    </w:lvl>
    <w:lvl w:ilvl="3" w:tplc="E700806A" w:tentative="1">
      <w:start w:val="1"/>
      <w:numFmt w:val="bullet"/>
      <w:lvlText w:val=""/>
      <w:lvlJc w:val="left"/>
      <w:pPr>
        <w:ind w:left="2880" w:hanging="360"/>
      </w:pPr>
      <w:rPr>
        <w:rFonts w:ascii="Symbol" w:hAnsi="Symbol" w:hint="default"/>
      </w:rPr>
    </w:lvl>
    <w:lvl w:ilvl="4" w:tplc="C38C6830" w:tentative="1">
      <w:start w:val="1"/>
      <w:numFmt w:val="bullet"/>
      <w:lvlText w:val="o"/>
      <w:lvlJc w:val="left"/>
      <w:pPr>
        <w:ind w:left="3600" w:hanging="360"/>
      </w:pPr>
      <w:rPr>
        <w:rFonts w:ascii="Courier New" w:hAnsi="Courier New" w:cs="Courier New" w:hint="default"/>
      </w:rPr>
    </w:lvl>
    <w:lvl w:ilvl="5" w:tplc="5FB417C2" w:tentative="1">
      <w:start w:val="1"/>
      <w:numFmt w:val="bullet"/>
      <w:lvlText w:val=""/>
      <w:lvlJc w:val="left"/>
      <w:pPr>
        <w:ind w:left="4320" w:hanging="360"/>
      </w:pPr>
      <w:rPr>
        <w:rFonts w:ascii="Wingdings" w:hAnsi="Wingdings" w:hint="default"/>
      </w:rPr>
    </w:lvl>
    <w:lvl w:ilvl="6" w:tplc="CF962860" w:tentative="1">
      <w:start w:val="1"/>
      <w:numFmt w:val="bullet"/>
      <w:lvlText w:val=""/>
      <w:lvlJc w:val="left"/>
      <w:pPr>
        <w:ind w:left="5040" w:hanging="360"/>
      </w:pPr>
      <w:rPr>
        <w:rFonts w:ascii="Symbol" w:hAnsi="Symbol" w:hint="default"/>
      </w:rPr>
    </w:lvl>
    <w:lvl w:ilvl="7" w:tplc="36C226A4" w:tentative="1">
      <w:start w:val="1"/>
      <w:numFmt w:val="bullet"/>
      <w:lvlText w:val="o"/>
      <w:lvlJc w:val="left"/>
      <w:pPr>
        <w:ind w:left="5760" w:hanging="360"/>
      </w:pPr>
      <w:rPr>
        <w:rFonts w:ascii="Courier New" w:hAnsi="Courier New" w:cs="Courier New" w:hint="default"/>
      </w:rPr>
    </w:lvl>
    <w:lvl w:ilvl="8" w:tplc="C5749FE0" w:tentative="1">
      <w:start w:val="1"/>
      <w:numFmt w:val="bullet"/>
      <w:lvlText w:val=""/>
      <w:lvlJc w:val="left"/>
      <w:pPr>
        <w:ind w:left="6480" w:hanging="360"/>
      </w:pPr>
      <w:rPr>
        <w:rFonts w:ascii="Wingdings" w:hAnsi="Wingdings" w:hint="default"/>
      </w:rPr>
    </w:lvl>
  </w:abstractNum>
  <w:abstractNum w:abstractNumId="17" w15:restartNumberingAfterBreak="0">
    <w:nsid w:val="3E3F3891"/>
    <w:multiLevelType w:val="hybridMultilevel"/>
    <w:tmpl w:val="373A23B6"/>
    <w:lvl w:ilvl="0" w:tplc="334896C4">
      <w:start w:val="1"/>
      <w:numFmt w:val="bullet"/>
      <w:lvlText w:val=""/>
      <w:lvlJc w:val="left"/>
      <w:pPr>
        <w:ind w:left="360" w:hanging="360"/>
      </w:pPr>
      <w:rPr>
        <w:rFonts w:ascii="Symbol" w:hAnsi="Symbol" w:hint="default"/>
      </w:rPr>
    </w:lvl>
    <w:lvl w:ilvl="1" w:tplc="7A4E82E2">
      <w:start w:val="1"/>
      <w:numFmt w:val="bullet"/>
      <w:lvlText w:val="o"/>
      <w:lvlJc w:val="left"/>
      <w:pPr>
        <w:ind w:left="1080" w:hanging="360"/>
      </w:pPr>
      <w:rPr>
        <w:rFonts w:ascii="Courier New" w:hAnsi="Courier New" w:cs="Courier New" w:hint="default"/>
      </w:rPr>
    </w:lvl>
    <w:lvl w:ilvl="2" w:tplc="AA0AEDAE" w:tentative="1">
      <w:start w:val="1"/>
      <w:numFmt w:val="bullet"/>
      <w:lvlText w:val=""/>
      <w:lvlJc w:val="left"/>
      <w:pPr>
        <w:ind w:left="1800" w:hanging="360"/>
      </w:pPr>
      <w:rPr>
        <w:rFonts w:ascii="Wingdings" w:hAnsi="Wingdings" w:hint="default"/>
      </w:rPr>
    </w:lvl>
    <w:lvl w:ilvl="3" w:tplc="D61EDEE4" w:tentative="1">
      <w:start w:val="1"/>
      <w:numFmt w:val="bullet"/>
      <w:lvlText w:val=""/>
      <w:lvlJc w:val="left"/>
      <w:pPr>
        <w:ind w:left="2520" w:hanging="360"/>
      </w:pPr>
      <w:rPr>
        <w:rFonts w:ascii="Symbol" w:hAnsi="Symbol" w:hint="default"/>
      </w:rPr>
    </w:lvl>
    <w:lvl w:ilvl="4" w:tplc="5DC8510E" w:tentative="1">
      <w:start w:val="1"/>
      <w:numFmt w:val="bullet"/>
      <w:lvlText w:val="o"/>
      <w:lvlJc w:val="left"/>
      <w:pPr>
        <w:ind w:left="3240" w:hanging="360"/>
      </w:pPr>
      <w:rPr>
        <w:rFonts w:ascii="Courier New" w:hAnsi="Courier New" w:cs="Courier New" w:hint="default"/>
      </w:rPr>
    </w:lvl>
    <w:lvl w:ilvl="5" w:tplc="F2FC6A2E" w:tentative="1">
      <w:start w:val="1"/>
      <w:numFmt w:val="bullet"/>
      <w:lvlText w:val=""/>
      <w:lvlJc w:val="left"/>
      <w:pPr>
        <w:ind w:left="3960" w:hanging="360"/>
      </w:pPr>
      <w:rPr>
        <w:rFonts w:ascii="Wingdings" w:hAnsi="Wingdings" w:hint="default"/>
      </w:rPr>
    </w:lvl>
    <w:lvl w:ilvl="6" w:tplc="C9542F64" w:tentative="1">
      <w:start w:val="1"/>
      <w:numFmt w:val="bullet"/>
      <w:lvlText w:val=""/>
      <w:lvlJc w:val="left"/>
      <w:pPr>
        <w:ind w:left="4680" w:hanging="360"/>
      </w:pPr>
      <w:rPr>
        <w:rFonts w:ascii="Symbol" w:hAnsi="Symbol" w:hint="default"/>
      </w:rPr>
    </w:lvl>
    <w:lvl w:ilvl="7" w:tplc="6E3EBF58" w:tentative="1">
      <w:start w:val="1"/>
      <w:numFmt w:val="bullet"/>
      <w:lvlText w:val="o"/>
      <w:lvlJc w:val="left"/>
      <w:pPr>
        <w:ind w:left="5400" w:hanging="360"/>
      </w:pPr>
      <w:rPr>
        <w:rFonts w:ascii="Courier New" w:hAnsi="Courier New" w:cs="Courier New" w:hint="default"/>
      </w:rPr>
    </w:lvl>
    <w:lvl w:ilvl="8" w:tplc="0C627446" w:tentative="1">
      <w:start w:val="1"/>
      <w:numFmt w:val="bullet"/>
      <w:lvlText w:val=""/>
      <w:lvlJc w:val="left"/>
      <w:pPr>
        <w:ind w:left="6120" w:hanging="360"/>
      </w:pPr>
      <w:rPr>
        <w:rFonts w:ascii="Wingdings" w:hAnsi="Wingdings" w:hint="default"/>
      </w:rPr>
    </w:lvl>
  </w:abstractNum>
  <w:abstractNum w:abstractNumId="18" w15:restartNumberingAfterBreak="0">
    <w:nsid w:val="408448E4"/>
    <w:multiLevelType w:val="hybridMultilevel"/>
    <w:tmpl w:val="9F9EF3C4"/>
    <w:lvl w:ilvl="0" w:tplc="D27A155E">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32C87812" w:tentative="1">
      <w:start w:val="1"/>
      <w:numFmt w:val="bullet"/>
      <w:lvlText w:val="o"/>
      <w:lvlJc w:val="left"/>
      <w:pPr>
        <w:ind w:left="1440" w:hanging="360"/>
      </w:pPr>
      <w:rPr>
        <w:rFonts w:ascii="Courier New" w:hAnsi="Courier New" w:hint="default"/>
      </w:rPr>
    </w:lvl>
    <w:lvl w:ilvl="2" w:tplc="B46E5BC2" w:tentative="1">
      <w:start w:val="1"/>
      <w:numFmt w:val="bullet"/>
      <w:lvlText w:val=""/>
      <w:lvlJc w:val="left"/>
      <w:pPr>
        <w:ind w:left="2160" w:hanging="360"/>
      </w:pPr>
      <w:rPr>
        <w:rFonts w:ascii="Wingdings" w:hAnsi="Wingdings" w:hint="default"/>
      </w:rPr>
    </w:lvl>
    <w:lvl w:ilvl="3" w:tplc="BB145F76" w:tentative="1">
      <w:start w:val="1"/>
      <w:numFmt w:val="bullet"/>
      <w:lvlText w:val=""/>
      <w:lvlJc w:val="left"/>
      <w:pPr>
        <w:ind w:left="2880" w:hanging="360"/>
      </w:pPr>
      <w:rPr>
        <w:rFonts w:ascii="Symbol" w:hAnsi="Symbol" w:hint="default"/>
      </w:rPr>
    </w:lvl>
    <w:lvl w:ilvl="4" w:tplc="98765DAA" w:tentative="1">
      <w:start w:val="1"/>
      <w:numFmt w:val="bullet"/>
      <w:lvlText w:val="o"/>
      <w:lvlJc w:val="left"/>
      <w:pPr>
        <w:ind w:left="3600" w:hanging="360"/>
      </w:pPr>
      <w:rPr>
        <w:rFonts w:ascii="Courier New" w:hAnsi="Courier New" w:hint="default"/>
      </w:rPr>
    </w:lvl>
    <w:lvl w:ilvl="5" w:tplc="DB04A67A" w:tentative="1">
      <w:start w:val="1"/>
      <w:numFmt w:val="bullet"/>
      <w:lvlText w:val=""/>
      <w:lvlJc w:val="left"/>
      <w:pPr>
        <w:ind w:left="4320" w:hanging="360"/>
      </w:pPr>
      <w:rPr>
        <w:rFonts w:ascii="Wingdings" w:hAnsi="Wingdings" w:hint="default"/>
      </w:rPr>
    </w:lvl>
    <w:lvl w:ilvl="6" w:tplc="03423A08" w:tentative="1">
      <w:start w:val="1"/>
      <w:numFmt w:val="bullet"/>
      <w:lvlText w:val=""/>
      <w:lvlJc w:val="left"/>
      <w:pPr>
        <w:ind w:left="5040" w:hanging="360"/>
      </w:pPr>
      <w:rPr>
        <w:rFonts w:ascii="Symbol" w:hAnsi="Symbol" w:hint="default"/>
      </w:rPr>
    </w:lvl>
    <w:lvl w:ilvl="7" w:tplc="99B67572" w:tentative="1">
      <w:start w:val="1"/>
      <w:numFmt w:val="bullet"/>
      <w:lvlText w:val="o"/>
      <w:lvlJc w:val="left"/>
      <w:pPr>
        <w:ind w:left="5760" w:hanging="360"/>
      </w:pPr>
      <w:rPr>
        <w:rFonts w:ascii="Courier New" w:hAnsi="Courier New" w:hint="default"/>
      </w:rPr>
    </w:lvl>
    <w:lvl w:ilvl="8" w:tplc="05669B14" w:tentative="1">
      <w:start w:val="1"/>
      <w:numFmt w:val="bullet"/>
      <w:lvlText w:val=""/>
      <w:lvlJc w:val="left"/>
      <w:pPr>
        <w:ind w:left="6480" w:hanging="360"/>
      </w:pPr>
      <w:rPr>
        <w:rFonts w:ascii="Wingdings" w:hAnsi="Wingdings" w:hint="default"/>
      </w:rPr>
    </w:lvl>
  </w:abstractNum>
  <w:abstractNum w:abstractNumId="19" w15:restartNumberingAfterBreak="0">
    <w:nsid w:val="42835524"/>
    <w:multiLevelType w:val="hybridMultilevel"/>
    <w:tmpl w:val="31584830"/>
    <w:lvl w:ilvl="0" w:tplc="D7E63890">
      <w:start w:val="1"/>
      <w:numFmt w:val="bullet"/>
      <w:lvlText w:val=""/>
      <w:lvlJc w:val="left"/>
      <w:pPr>
        <w:ind w:left="720" w:hanging="360"/>
      </w:pPr>
      <w:rPr>
        <w:rFonts w:ascii="Symbol" w:hAnsi="Symbol" w:hint="default"/>
      </w:rPr>
    </w:lvl>
    <w:lvl w:ilvl="1" w:tplc="5BC4075E">
      <w:start w:val="1"/>
      <w:numFmt w:val="bullet"/>
      <w:lvlText w:val="o"/>
      <w:lvlJc w:val="left"/>
      <w:pPr>
        <w:ind w:left="1440" w:hanging="360"/>
      </w:pPr>
      <w:rPr>
        <w:rFonts w:ascii="Courier New" w:hAnsi="Courier New" w:cs="Courier New" w:hint="default"/>
      </w:rPr>
    </w:lvl>
    <w:lvl w:ilvl="2" w:tplc="18ACBFBE" w:tentative="1">
      <w:start w:val="1"/>
      <w:numFmt w:val="bullet"/>
      <w:lvlText w:val=""/>
      <w:lvlJc w:val="left"/>
      <w:pPr>
        <w:ind w:left="2160" w:hanging="360"/>
      </w:pPr>
      <w:rPr>
        <w:rFonts w:ascii="Wingdings" w:hAnsi="Wingdings" w:hint="default"/>
      </w:rPr>
    </w:lvl>
    <w:lvl w:ilvl="3" w:tplc="8EF03332" w:tentative="1">
      <w:start w:val="1"/>
      <w:numFmt w:val="bullet"/>
      <w:lvlText w:val=""/>
      <w:lvlJc w:val="left"/>
      <w:pPr>
        <w:ind w:left="2880" w:hanging="360"/>
      </w:pPr>
      <w:rPr>
        <w:rFonts w:ascii="Symbol" w:hAnsi="Symbol" w:hint="default"/>
      </w:rPr>
    </w:lvl>
    <w:lvl w:ilvl="4" w:tplc="8F3675D8" w:tentative="1">
      <w:start w:val="1"/>
      <w:numFmt w:val="bullet"/>
      <w:lvlText w:val="o"/>
      <w:lvlJc w:val="left"/>
      <w:pPr>
        <w:ind w:left="3600" w:hanging="360"/>
      </w:pPr>
      <w:rPr>
        <w:rFonts w:ascii="Courier New" w:hAnsi="Courier New" w:cs="Courier New" w:hint="default"/>
      </w:rPr>
    </w:lvl>
    <w:lvl w:ilvl="5" w:tplc="56A0CE98" w:tentative="1">
      <w:start w:val="1"/>
      <w:numFmt w:val="bullet"/>
      <w:lvlText w:val=""/>
      <w:lvlJc w:val="left"/>
      <w:pPr>
        <w:ind w:left="4320" w:hanging="360"/>
      </w:pPr>
      <w:rPr>
        <w:rFonts w:ascii="Wingdings" w:hAnsi="Wingdings" w:hint="default"/>
      </w:rPr>
    </w:lvl>
    <w:lvl w:ilvl="6" w:tplc="2654AB5C" w:tentative="1">
      <w:start w:val="1"/>
      <w:numFmt w:val="bullet"/>
      <w:lvlText w:val=""/>
      <w:lvlJc w:val="left"/>
      <w:pPr>
        <w:ind w:left="5040" w:hanging="360"/>
      </w:pPr>
      <w:rPr>
        <w:rFonts w:ascii="Symbol" w:hAnsi="Symbol" w:hint="default"/>
      </w:rPr>
    </w:lvl>
    <w:lvl w:ilvl="7" w:tplc="812CF4C8" w:tentative="1">
      <w:start w:val="1"/>
      <w:numFmt w:val="bullet"/>
      <w:lvlText w:val="o"/>
      <w:lvlJc w:val="left"/>
      <w:pPr>
        <w:ind w:left="5760" w:hanging="360"/>
      </w:pPr>
      <w:rPr>
        <w:rFonts w:ascii="Courier New" w:hAnsi="Courier New" w:cs="Courier New" w:hint="default"/>
      </w:rPr>
    </w:lvl>
    <w:lvl w:ilvl="8" w:tplc="376A6C92" w:tentative="1">
      <w:start w:val="1"/>
      <w:numFmt w:val="bullet"/>
      <w:lvlText w:val=""/>
      <w:lvlJc w:val="left"/>
      <w:pPr>
        <w:ind w:left="6480" w:hanging="360"/>
      </w:pPr>
      <w:rPr>
        <w:rFonts w:ascii="Wingdings" w:hAnsi="Wingdings" w:hint="default"/>
      </w:rPr>
    </w:lvl>
  </w:abstractNum>
  <w:abstractNum w:abstractNumId="20" w15:restartNumberingAfterBreak="0">
    <w:nsid w:val="470C4C97"/>
    <w:multiLevelType w:val="multilevel"/>
    <w:tmpl w:val="01323A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4A1675"/>
    <w:multiLevelType w:val="hybridMultilevel"/>
    <w:tmpl w:val="76B6844E"/>
    <w:lvl w:ilvl="0" w:tplc="DB46B6F2">
      <w:start w:val="1"/>
      <w:numFmt w:val="bullet"/>
      <w:lvlText w:val=""/>
      <w:lvlJc w:val="left"/>
      <w:pPr>
        <w:ind w:left="720" w:hanging="360"/>
      </w:pPr>
      <w:rPr>
        <w:rFonts w:ascii="Symbol" w:hAnsi="Symbol" w:hint="default"/>
      </w:rPr>
    </w:lvl>
    <w:lvl w:ilvl="1" w:tplc="FB8E11C6" w:tentative="1">
      <w:start w:val="1"/>
      <w:numFmt w:val="bullet"/>
      <w:lvlText w:val="o"/>
      <w:lvlJc w:val="left"/>
      <w:pPr>
        <w:ind w:left="1440" w:hanging="360"/>
      </w:pPr>
      <w:rPr>
        <w:rFonts w:ascii="Courier New" w:hAnsi="Courier New" w:cs="Courier New" w:hint="default"/>
      </w:rPr>
    </w:lvl>
    <w:lvl w:ilvl="2" w:tplc="569279A2" w:tentative="1">
      <w:start w:val="1"/>
      <w:numFmt w:val="bullet"/>
      <w:lvlText w:val=""/>
      <w:lvlJc w:val="left"/>
      <w:pPr>
        <w:ind w:left="2160" w:hanging="360"/>
      </w:pPr>
      <w:rPr>
        <w:rFonts w:ascii="Wingdings" w:hAnsi="Wingdings" w:hint="default"/>
      </w:rPr>
    </w:lvl>
    <w:lvl w:ilvl="3" w:tplc="B35ED138" w:tentative="1">
      <w:start w:val="1"/>
      <w:numFmt w:val="bullet"/>
      <w:lvlText w:val=""/>
      <w:lvlJc w:val="left"/>
      <w:pPr>
        <w:ind w:left="2880" w:hanging="360"/>
      </w:pPr>
      <w:rPr>
        <w:rFonts w:ascii="Symbol" w:hAnsi="Symbol" w:hint="default"/>
      </w:rPr>
    </w:lvl>
    <w:lvl w:ilvl="4" w:tplc="0F408BDC" w:tentative="1">
      <w:start w:val="1"/>
      <w:numFmt w:val="bullet"/>
      <w:lvlText w:val="o"/>
      <w:lvlJc w:val="left"/>
      <w:pPr>
        <w:ind w:left="3600" w:hanging="360"/>
      </w:pPr>
      <w:rPr>
        <w:rFonts w:ascii="Courier New" w:hAnsi="Courier New" w:cs="Courier New" w:hint="default"/>
      </w:rPr>
    </w:lvl>
    <w:lvl w:ilvl="5" w:tplc="1B502972" w:tentative="1">
      <w:start w:val="1"/>
      <w:numFmt w:val="bullet"/>
      <w:lvlText w:val=""/>
      <w:lvlJc w:val="left"/>
      <w:pPr>
        <w:ind w:left="4320" w:hanging="360"/>
      </w:pPr>
      <w:rPr>
        <w:rFonts w:ascii="Wingdings" w:hAnsi="Wingdings" w:hint="default"/>
      </w:rPr>
    </w:lvl>
    <w:lvl w:ilvl="6" w:tplc="85269B10" w:tentative="1">
      <w:start w:val="1"/>
      <w:numFmt w:val="bullet"/>
      <w:lvlText w:val=""/>
      <w:lvlJc w:val="left"/>
      <w:pPr>
        <w:ind w:left="5040" w:hanging="360"/>
      </w:pPr>
      <w:rPr>
        <w:rFonts w:ascii="Symbol" w:hAnsi="Symbol" w:hint="default"/>
      </w:rPr>
    </w:lvl>
    <w:lvl w:ilvl="7" w:tplc="206C3596" w:tentative="1">
      <w:start w:val="1"/>
      <w:numFmt w:val="bullet"/>
      <w:lvlText w:val="o"/>
      <w:lvlJc w:val="left"/>
      <w:pPr>
        <w:ind w:left="5760" w:hanging="360"/>
      </w:pPr>
      <w:rPr>
        <w:rFonts w:ascii="Courier New" w:hAnsi="Courier New" w:cs="Courier New" w:hint="default"/>
      </w:rPr>
    </w:lvl>
    <w:lvl w:ilvl="8" w:tplc="395CE492" w:tentative="1">
      <w:start w:val="1"/>
      <w:numFmt w:val="bullet"/>
      <w:lvlText w:val=""/>
      <w:lvlJc w:val="left"/>
      <w:pPr>
        <w:ind w:left="6480" w:hanging="360"/>
      </w:pPr>
      <w:rPr>
        <w:rFonts w:ascii="Wingdings" w:hAnsi="Wingdings" w:hint="default"/>
      </w:rPr>
    </w:lvl>
  </w:abstractNum>
  <w:abstractNum w:abstractNumId="22" w15:restartNumberingAfterBreak="0">
    <w:nsid w:val="5E301986"/>
    <w:multiLevelType w:val="hybridMultilevel"/>
    <w:tmpl w:val="B774663E"/>
    <w:lvl w:ilvl="0" w:tplc="647078A6">
      <w:start w:val="1"/>
      <w:numFmt w:val="bullet"/>
      <w:lvlText w:val=""/>
      <w:lvlJc w:val="left"/>
      <w:pPr>
        <w:ind w:left="720" w:hanging="360"/>
      </w:pPr>
      <w:rPr>
        <w:rFonts w:ascii="Symbol" w:hAnsi="Symbol" w:hint="default"/>
      </w:rPr>
    </w:lvl>
    <w:lvl w:ilvl="1" w:tplc="DBE2E982" w:tentative="1">
      <w:start w:val="1"/>
      <w:numFmt w:val="bullet"/>
      <w:lvlText w:val="o"/>
      <w:lvlJc w:val="left"/>
      <w:pPr>
        <w:ind w:left="1440" w:hanging="360"/>
      </w:pPr>
      <w:rPr>
        <w:rFonts w:ascii="Courier New" w:hAnsi="Courier New" w:cs="Courier New" w:hint="default"/>
      </w:rPr>
    </w:lvl>
    <w:lvl w:ilvl="2" w:tplc="AD960994" w:tentative="1">
      <w:start w:val="1"/>
      <w:numFmt w:val="bullet"/>
      <w:lvlText w:val=""/>
      <w:lvlJc w:val="left"/>
      <w:pPr>
        <w:ind w:left="2160" w:hanging="360"/>
      </w:pPr>
      <w:rPr>
        <w:rFonts w:ascii="Wingdings" w:hAnsi="Wingdings" w:hint="default"/>
      </w:rPr>
    </w:lvl>
    <w:lvl w:ilvl="3" w:tplc="E97CC8AC" w:tentative="1">
      <w:start w:val="1"/>
      <w:numFmt w:val="bullet"/>
      <w:lvlText w:val=""/>
      <w:lvlJc w:val="left"/>
      <w:pPr>
        <w:ind w:left="2880" w:hanging="360"/>
      </w:pPr>
      <w:rPr>
        <w:rFonts w:ascii="Symbol" w:hAnsi="Symbol" w:hint="default"/>
      </w:rPr>
    </w:lvl>
    <w:lvl w:ilvl="4" w:tplc="E1200B50" w:tentative="1">
      <w:start w:val="1"/>
      <w:numFmt w:val="bullet"/>
      <w:lvlText w:val="o"/>
      <w:lvlJc w:val="left"/>
      <w:pPr>
        <w:ind w:left="3600" w:hanging="360"/>
      </w:pPr>
      <w:rPr>
        <w:rFonts w:ascii="Courier New" w:hAnsi="Courier New" w:cs="Courier New" w:hint="default"/>
      </w:rPr>
    </w:lvl>
    <w:lvl w:ilvl="5" w:tplc="64348934" w:tentative="1">
      <w:start w:val="1"/>
      <w:numFmt w:val="bullet"/>
      <w:lvlText w:val=""/>
      <w:lvlJc w:val="left"/>
      <w:pPr>
        <w:ind w:left="4320" w:hanging="360"/>
      </w:pPr>
      <w:rPr>
        <w:rFonts w:ascii="Wingdings" w:hAnsi="Wingdings" w:hint="default"/>
      </w:rPr>
    </w:lvl>
    <w:lvl w:ilvl="6" w:tplc="3454F7E2" w:tentative="1">
      <w:start w:val="1"/>
      <w:numFmt w:val="bullet"/>
      <w:lvlText w:val=""/>
      <w:lvlJc w:val="left"/>
      <w:pPr>
        <w:ind w:left="5040" w:hanging="360"/>
      </w:pPr>
      <w:rPr>
        <w:rFonts w:ascii="Symbol" w:hAnsi="Symbol" w:hint="default"/>
      </w:rPr>
    </w:lvl>
    <w:lvl w:ilvl="7" w:tplc="4468BEF0" w:tentative="1">
      <w:start w:val="1"/>
      <w:numFmt w:val="bullet"/>
      <w:lvlText w:val="o"/>
      <w:lvlJc w:val="left"/>
      <w:pPr>
        <w:ind w:left="5760" w:hanging="360"/>
      </w:pPr>
      <w:rPr>
        <w:rFonts w:ascii="Courier New" w:hAnsi="Courier New" w:cs="Courier New" w:hint="default"/>
      </w:rPr>
    </w:lvl>
    <w:lvl w:ilvl="8" w:tplc="9802FB2E" w:tentative="1">
      <w:start w:val="1"/>
      <w:numFmt w:val="bullet"/>
      <w:lvlText w:val=""/>
      <w:lvlJc w:val="left"/>
      <w:pPr>
        <w:ind w:left="6480" w:hanging="360"/>
      </w:pPr>
      <w:rPr>
        <w:rFonts w:ascii="Wingdings" w:hAnsi="Wingdings" w:hint="default"/>
      </w:rPr>
    </w:lvl>
  </w:abstractNum>
  <w:abstractNum w:abstractNumId="23" w15:restartNumberingAfterBreak="0">
    <w:nsid w:val="63004E19"/>
    <w:multiLevelType w:val="hybridMultilevel"/>
    <w:tmpl w:val="FD00A930"/>
    <w:lvl w:ilvl="0" w:tplc="A73C4798">
      <w:start w:val="1"/>
      <w:numFmt w:val="decimal"/>
      <w:lvlText w:val="%1."/>
      <w:lvlJc w:val="left"/>
      <w:pPr>
        <w:ind w:left="360" w:hanging="360"/>
      </w:pPr>
    </w:lvl>
    <w:lvl w:ilvl="1" w:tplc="F3246F0C">
      <w:start w:val="1"/>
      <w:numFmt w:val="lowerLetter"/>
      <w:lvlText w:val="%2."/>
      <w:lvlJc w:val="left"/>
      <w:pPr>
        <w:ind w:left="1080" w:hanging="360"/>
      </w:pPr>
    </w:lvl>
    <w:lvl w:ilvl="2" w:tplc="ACCEEF0A">
      <w:start w:val="1"/>
      <w:numFmt w:val="lowerRoman"/>
      <w:lvlText w:val="%3."/>
      <w:lvlJc w:val="right"/>
      <w:pPr>
        <w:ind w:left="1800" w:hanging="180"/>
      </w:pPr>
    </w:lvl>
    <w:lvl w:ilvl="3" w:tplc="F1B2F704">
      <w:start w:val="1"/>
      <w:numFmt w:val="decimal"/>
      <w:lvlText w:val="%4."/>
      <w:lvlJc w:val="left"/>
      <w:pPr>
        <w:ind w:left="2520" w:hanging="360"/>
      </w:pPr>
    </w:lvl>
    <w:lvl w:ilvl="4" w:tplc="DCE83936">
      <w:start w:val="1"/>
      <w:numFmt w:val="lowerLetter"/>
      <w:lvlText w:val="%5."/>
      <w:lvlJc w:val="left"/>
      <w:pPr>
        <w:ind w:left="3240" w:hanging="360"/>
      </w:pPr>
    </w:lvl>
    <w:lvl w:ilvl="5" w:tplc="1872466A">
      <w:start w:val="1"/>
      <w:numFmt w:val="lowerRoman"/>
      <w:lvlText w:val="%6."/>
      <w:lvlJc w:val="right"/>
      <w:pPr>
        <w:ind w:left="3960" w:hanging="180"/>
      </w:pPr>
    </w:lvl>
    <w:lvl w:ilvl="6" w:tplc="A29A7D0C">
      <w:start w:val="1"/>
      <w:numFmt w:val="decimal"/>
      <w:lvlText w:val="%7."/>
      <w:lvlJc w:val="left"/>
      <w:pPr>
        <w:ind w:left="4680" w:hanging="360"/>
      </w:pPr>
    </w:lvl>
    <w:lvl w:ilvl="7" w:tplc="D484688A">
      <w:start w:val="1"/>
      <w:numFmt w:val="lowerLetter"/>
      <w:lvlText w:val="%8."/>
      <w:lvlJc w:val="left"/>
      <w:pPr>
        <w:ind w:left="5400" w:hanging="360"/>
      </w:pPr>
    </w:lvl>
    <w:lvl w:ilvl="8" w:tplc="DA22E7EA">
      <w:start w:val="1"/>
      <w:numFmt w:val="lowerRoman"/>
      <w:lvlText w:val="%9."/>
      <w:lvlJc w:val="right"/>
      <w:pPr>
        <w:ind w:left="6120" w:hanging="180"/>
      </w:pPr>
    </w:lvl>
  </w:abstractNum>
  <w:abstractNum w:abstractNumId="24" w15:restartNumberingAfterBreak="0">
    <w:nsid w:val="6698199B"/>
    <w:multiLevelType w:val="hybridMultilevel"/>
    <w:tmpl w:val="FA8A4858"/>
    <w:lvl w:ilvl="0" w:tplc="A0AEAD7E">
      <w:start w:val="1"/>
      <w:numFmt w:val="bullet"/>
      <w:lvlText w:val=""/>
      <w:lvlJc w:val="left"/>
      <w:pPr>
        <w:ind w:left="787" w:hanging="360"/>
      </w:pPr>
      <w:rPr>
        <w:rFonts w:ascii="Symbol" w:hAnsi="Symbol" w:hint="default"/>
      </w:rPr>
    </w:lvl>
    <w:lvl w:ilvl="1" w:tplc="2AEE5F9A" w:tentative="1">
      <w:start w:val="1"/>
      <w:numFmt w:val="bullet"/>
      <w:lvlText w:val="o"/>
      <w:lvlJc w:val="left"/>
      <w:pPr>
        <w:ind w:left="1507" w:hanging="360"/>
      </w:pPr>
      <w:rPr>
        <w:rFonts w:ascii="Courier New" w:hAnsi="Courier New" w:cs="Courier New" w:hint="default"/>
      </w:rPr>
    </w:lvl>
    <w:lvl w:ilvl="2" w:tplc="2C725BE0" w:tentative="1">
      <w:start w:val="1"/>
      <w:numFmt w:val="bullet"/>
      <w:lvlText w:val=""/>
      <w:lvlJc w:val="left"/>
      <w:pPr>
        <w:ind w:left="2227" w:hanging="360"/>
      </w:pPr>
      <w:rPr>
        <w:rFonts w:ascii="Wingdings" w:hAnsi="Wingdings" w:hint="default"/>
      </w:rPr>
    </w:lvl>
    <w:lvl w:ilvl="3" w:tplc="086C6400" w:tentative="1">
      <w:start w:val="1"/>
      <w:numFmt w:val="bullet"/>
      <w:lvlText w:val=""/>
      <w:lvlJc w:val="left"/>
      <w:pPr>
        <w:ind w:left="2947" w:hanging="360"/>
      </w:pPr>
      <w:rPr>
        <w:rFonts w:ascii="Symbol" w:hAnsi="Symbol" w:hint="default"/>
      </w:rPr>
    </w:lvl>
    <w:lvl w:ilvl="4" w:tplc="E5625F5A" w:tentative="1">
      <w:start w:val="1"/>
      <w:numFmt w:val="bullet"/>
      <w:lvlText w:val="o"/>
      <w:lvlJc w:val="left"/>
      <w:pPr>
        <w:ind w:left="3667" w:hanging="360"/>
      </w:pPr>
      <w:rPr>
        <w:rFonts w:ascii="Courier New" w:hAnsi="Courier New" w:cs="Courier New" w:hint="default"/>
      </w:rPr>
    </w:lvl>
    <w:lvl w:ilvl="5" w:tplc="61DA5EDC" w:tentative="1">
      <w:start w:val="1"/>
      <w:numFmt w:val="bullet"/>
      <w:lvlText w:val=""/>
      <w:lvlJc w:val="left"/>
      <w:pPr>
        <w:ind w:left="4387" w:hanging="360"/>
      </w:pPr>
      <w:rPr>
        <w:rFonts w:ascii="Wingdings" w:hAnsi="Wingdings" w:hint="default"/>
      </w:rPr>
    </w:lvl>
    <w:lvl w:ilvl="6" w:tplc="A27C1FB4" w:tentative="1">
      <w:start w:val="1"/>
      <w:numFmt w:val="bullet"/>
      <w:lvlText w:val=""/>
      <w:lvlJc w:val="left"/>
      <w:pPr>
        <w:ind w:left="5107" w:hanging="360"/>
      </w:pPr>
      <w:rPr>
        <w:rFonts w:ascii="Symbol" w:hAnsi="Symbol" w:hint="default"/>
      </w:rPr>
    </w:lvl>
    <w:lvl w:ilvl="7" w:tplc="80AE0154" w:tentative="1">
      <w:start w:val="1"/>
      <w:numFmt w:val="bullet"/>
      <w:lvlText w:val="o"/>
      <w:lvlJc w:val="left"/>
      <w:pPr>
        <w:ind w:left="5827" w:hanging="360"/>
      </w:pPr>
      <w:rPr>
        <w:rFonts w:ascii="Courier New" w:hAnsi="Courier New" w:cs="Courier New" w:hint="default"/>
      </w:rPr>
    </w:lvl>
    <w:lvl w:ilvl="8" w:tplc="38988FF6" w:tentative="1">
      <w:start w:val="1"/>
      <w:numFmt w:val="bullet"/>
      <w:lvlText w:val=""/>
      <w:lvlJc w:val="left"/>
      <w:pPr>
        <w:ind w:left="6547" w:hanging="360"/>
      </w:pPr>
      <w:rPr>
        <w:rFonts w:ascii="Wingdings" w:hAnsi="Wingdings" w:hint="default"/>
      </w:rPr>
    </w:lvl>
  </w:abstractNum>
  <w:abstractNum w:abstractNumId="25" w15:restartNumberingAfterBreak="0">
    <w:nsid w:val="67114E87"/>
    <w:multiLevelType w:val="hybridMultilevel"/>
    <w:tmpl w:val="DB001C42"/>
    <w:lvl w:ilvl="0" w:tplc="77125C22">
      <w:start w:val="1"/>
      <w:numFmt w:val="bullet"/>
      <w:lvlText w:val=""/>
      <w:lvlJc w:val="left"/>
      <w:pPr>
        <w:ind w:left="3240" w:hanging="360"/>
      </w:pPr>
      <w:rPr>
        <w:rFonts w:ascii="Symbol" w:hAnsi="Symbol" w:hint="default"/>
      </w:rPr>
    </w:lvl>
    <w:lvl w:ilvl="1" w:tplc="05BC764E" w:tentative="1">
      <w:start w:val="1"/>
      <w:numFmt w:val="bullet"/>
      <w:lvlText w:val="o"/>
      <w:lvlJc w:val="left"/>
      <w:pPr>
        <w:ind w:left="3960" w:hanging="360"/>
      </w:pPr>
      <w:rPr>
        <w:rFonts w:ascii="Courier New" w:hAnsi="Courier New" w:cs="Courier New" w:hint="default"/>
      </w:rPr>
    </w:lvl>
    <w:lvl w:ilvl="2" w:tplc="1DF479F4" w:tentative="1">
      <w:start w:val="1"/>
      <w:numFmt w:val="bullet"/>
      <w:lvlText w:val=""/>
      <w:lvlJc w:val="left"/>
      <w:pPr>
        <w:ind w:left="4680" w:hanging="360"/>
      </w:pPr>
      <w:rPr>
        <w:rFonts w:ascii="Wingdings" w:hAnsi="Wingdings" w:hint="default"/>
      </w:rPr>
    </w:lvl>
    <w:lvl w:ilvl="3" w:tplc="F904B262" w:tentative="1">
      <w:start w:val="1"/>
      <w:numFmt w:val="bullet"/>
      <w:lvlText w:val=""/>
      <w:lvlJc w:val="left"/>
      <w:pPr>
        <w:ind w:left="5400" w:hanging="360"/>
      </w:pPr>
      <w:rPr>
        <w:rFonts w:ascii="Symbol" w:hAnsi="Symbol" w:hint="default"/>
      </w:rPr>
    </w:lvl>
    <w:lvl w:ilvl="4" w:tplc="058888C0" w:tentative="1">
      <w:start w:val="1"/>
      <w:numFmt w:val="bullet"/>
      <w:lvlText w:val="o"/>
      <w:lvlJc w:val="left"/>
      <w:pPr>
        <w:ind w:left="6120" w:hanging="360"/>
      </w:pPr>
      <w:rPr>
        <w:rFonts w:ascii="Courier New" w:hAnsi="Courier New" w:cs="Courier New" w:hint="default"/>
      </w:rPr>
    </w:lvl>
    <w:lvl w:ilvl="5" w:tplc="D14034A6" w:tentative="1">
      <w:start w:val="1"/>
      <w:numFmt w:val="bullet"/>
      <w:lvlText w:val=""/>
      <w:lvlJc w:val="left"/>
      <w:pPr>
        <w:ind w:left="6840" w:hanging="360"/>
      </w:pPr>
      <w:rPr>
        <w:rFonts w:ascii="Wingdings" w:hAnsi="Wingdings" w:hint="default"/>
      </w:rPr>
    </w:lvl>
    <w:lvl w:ilvl="6" w:tplc="279AB770" w:tentative="1">
      <w:start w:val="1"/>
      <w:numFmt w:val="bullet"/>
      <w:lvlText w:val=""/>
      <w:lvlJc w:val="left"/>
      <w:pPr>
        <w:ind w:left="7560" w:hanging="360"/>
      </w:pPr>
      <w:rPr>
        <w:rFonts w:ascii="Symbol" w:hAnsi="Symbol" w:hint="default"/>
      </w:rPr>
    </w:lvl>
    <w:lvl w:ilvl="7" w:tplc="BBDED2B4" w:tentative="1">
      <w:start w:val="1"/>
      <w:numFmt w:val="bullet"/>
      <w:lvlText w:val="o"/>
      <w:lvlJc w:val="left"/>
      <w:pPr>
        <w:ind w:left="8280" w:hanging="360"/>
      </w:pPr>
      <w:rPr>
        <w:rFonts w:ascii="Courier New" w:hAnsi="Courier New" w:cs="Courier New" w:hint="default"/>
      </w:rPr>
    </w:lvl>
    <w:lvl w:ilvl="8" w:tplc="D25C9D58" w:tentative="1">
      <w:start w:val="1"/>
      <w:numFmt w:val="bullet"/>
      <w:lvlText w:val=""/>
      <w:lvlJc w:val="left"/>
      <w:pPr>
        <w:ind w:left="9000" w:hanging="360"/>
      </w:pPr>
      <w:rPr>
        <w:rFonts w:ascii="Wingdings" w:hAnsi="Wingdings" w:hint="default"/>
      </w:rPr>
    </w:lvl>
  </w:abstractNum>
  <w:abstractNum w:abstractNumId="26" w15:restartNumberingAfterBreak="0">
    <w:nsid w:val="6A644303"/>
    <w:multiLevelType w:val="hybridMultilevel"/>
    <w:tmpl w:val="1BFAC552"/>
    <w:lvl w:ilvl="0" w:tplc="DB060616">
      <w:start w:val="1"/>
      <w:numFmt w:val="bullet"/>
      <w:lvlText w:val=""/>
      <w:lvlJc w:val="left"/>
      <w:pPr>
        <w:ind w:left="720" w:hanging="360"/>
      </w:pPr>
      <w:rPr>
        <w:rFonts w:ascii="Symbol" w:hAnsi="Symbol" w:hint="default"/>
      </w:rPr>
    </w:lvl>
    <w:lvl w:ilvl="1" w:tplc="D8362316" w:tentative="1">
      <w:start w:val="1"/>
      <w:numFmt w:val="bullet"/>
      <w:lvlText w:val="o"/>
      <w:lvlJc w:val="left"/>
      <w:pPr>
        <w:ind w:left="1440" w:hanging="360"/>
      </w:pPr>
      <w:rPr>
        <w:rFonts w:ascii="Courier New" w:hAnsi="Courier New" w:cs="Courier New" w:hint="default"/>
      </w:rPr>
    </w:lvl>
    <w:lvl w:ilvl="2" w:tplc="74AA1670" w:tentative="1">
      <w:start w:val="1"/>
      <w:numFmt w:val="bullet"/>
      <w:lvlText w:val=""/>
      <w:lvlJc w:val="left"/>
      <w:pPr>
        <w:ind w:left="2160" w:hanging="360"/>
      </w:pPr>
      <w:rPr>
        <w:rFonts w:ascii="Wingdings" w:hAnsi="Wingdings" w:hint="default"/>
      </w:rPr>
    </w:lvl>
    <w:lvl w:ilvl="3" w:tplc="41E45DEA" w:tentative="1">
      <w:start w:val="1"/>
      <w:numFmt w:val="bullet"/>
      <w:lvlText w:val=""/>
      <w:lvlJc w:val="left"/>
      <w:pPr>
        <w:ind w:left="2880" w:hanging="360"/>
      </w:pPr>
      <w:rPr>
        <w:rFonts w:ascii="Symbol" w:hAnsi="Symbol" w:hint="default"/>
      </w:rPr>
    </w:lvl>
    <w:lvl w:ilvl="4" w:tplc="71ECD73A" w:tentative="1">
      <w:start w:val="1"/>
      <w:numFmt w:val="bullet"/>
      <w:lvlText w:val="o"/>
      <w:lvlJc w:val="left"/>
      <w:pPr>
        <w:ind w:left="3600" w:hanging="360"/>
      </w:pPr>
      <w:rPr>
        <w:rFonts w:ascii="Courier New" w:hAnsi="Courier New" w:cs="Courier New" w:hint="default"/>
      </w:rPr>
    </w:lvl>
    <w:lvl w:ilvl="5" w:tplc="495A983E" w:tentative="1">
      <w:start w:val="1"/>
      <w:numFmt w:val="bullet"/>
      <w:lvlText w:val=""/>
      <w:lvlJc w:val="left"/>
      <w:pPr>
        <w:ind w:left="4320" w:hanging="360"/>
      </w:pPr>
      <w:rPr>
        <w:rFonts w:ascii="Wingdings" w:hAnsi="Wingdings" w:hint="default"/>
      </w:rPr>
    </w:lvl>
    <w:lvl w:ilvl="6" w:tplc="EA80CC86" w:tentative="1">
      <w:start w:val="1"/>
      <w:numFmt w:val="bullet"/>
      <w:lvlText w:val=""/>
      <w:lvlJc w:val="left"/>
      <w:pPr>
        <w:ind w:left="5040" w:hanging="360"/>
      </w:pPr>
      <w:rPr>
        <w:rFonts w:ascii="Symbol" w:hAnsi="Symbol" w:hint="default"/>
      </w:rPr>
    </w:lvl>
    <w:lvl w:ilvl="7" w:tplc="D5501D9E" w:tentative="1">
      <w:start w:val="1"/>
      <w:numFmt w:val="bullet"/>
      <w:lvlText w:val="o"/>
      <w:lvlJc w:val="left"/>
      <w:pPr>
        <w:ind w:left="5760" w:hanging="360"/>
      </w:pPr>
      <w:rPr>
        <w:rFonts w:ascii="Courier New" w:hAnsi="Courier New" w:cs="Courier New" w:hint="default"/>
      </w:rPr>
    </w:lvl>
    <w:lvl w:ilvl="8" w:tplc="9D847818" w:tentative="1">
      <w:start w:val="1"/>
      <w:numFmt w:val="bullet"/>
      <w:lvlText w:val=""/>
      <w:lvlJc w:val="left"/>
      <w:pPr>
        <w:ind w:left="6480" w:hanging="360"/>
      </w:pPr>
      <w:rPr>
        <w:rFonts w:ascii="Wingdings" w:hAnsi="Wingdings" w:hint="default"/>
      </w:rPr>
    </w:lvl>
  </w:abstractNum>
  <w:abstractNum w:abstractNumId="2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38F1680"/>
    <w:multiLevelType w:val="hybridMultilevel"/>
    <w:tmpl w:val="FD00A930"/>
    <w:lvl w:ilvl="0" w:tplc="0758F54E">
      <w:start w:val="1"/>
      <w:numFmt w:val="decimal"/>
      <w:lvlText w:val="%1."/>
      <w:lvlJc w:val="left"/>
      <w:pPr>
        <w:ind w:left="360" w:hanging="360"/>
      </w:pPr>
    </w:lvl>
    <w:lvl w:ilvl="1" w:tplc="50A083E6">
      <w:start w:val="1"/>
      <w:numFmt w:val="lowerLetter"/>
      <w:lvlText w:val="%2."/>
      <w:lvlJc w:val="left"/>
      <w:pPr>
        <w:ind w:left="1080" w:hanging="360"/>
      </w:pPr>
    </w:lvl>
    <w:lvl w:ilvl="2" w:tplc="6E122098">
      <w:start w:val="1"/>
      <w:numFmt w:val="lowerRoman"/>
      <w:lvlText w:val="%3."/>
      <w:lvlJc w:val="right"/>
      <w:pPr>
        <w:ind w:left="1800" w:hanging="180"/>
      </w:pPr>
    </w:lvl>
    <w:lvl w:ilvl="3" w:tplc="EA42916A">
      <w:start w:val="1"/>
      <w:numFmt w:val="decimal"/>
      <w:lvlText w:val="%4."/>
      <w:lvlJc w:val="left"/>
      <w:pPr>
        <w:ind w:left="2520" w:hanging="360"/>
      </w:pPr>
    </w:lvl>
    <w:lvl w:ilvl="4" w:tplc="38684E9E">
      <w:start w:val="1"/>
      <w:numFmt w:val="lowerLetter"/>
      <w:lvlText w:val="%5."/>
      <w:lvlJc w:val="left"/>
      <w:pPr>
        <w:ind w:left="3240" w:hanging="360"/>
      </w:pPr>
    </w:lvl>
    <w:lvl w:ilvl="5" w:tplc="698C8CA0">
      <w:start w:val="1"/>
      <w:numFmt w:val="lowerRoman"/>
      <w:lvlText w:val="%6."/>
      <w:lvlJc w:val="right"/>
      <w:pPr>
        <w:ind w:left="3960" w:hanging="180"/>
      </w:pPr>
    </w:lvl>
    <w:lvl w:ilvl="6" w:tplc="59DA9288">
      <w:start w:val="1"/>
      <w:numFmt w:val="decimal"/>
      <w:lvlText w:val="%7."/>
      <w:lvlJc w:val="left"/>
      <w:pPr>
        <w:ind w:left="4680" w:hanging="360"/>
      </w:pPr>
    </w:lvl>
    <w:lvl w:ilvl="7" w:tplc="0520DDF0">
      <w:start w:val="1"/>
      <w:numFmt w:val="lowerLetter"/>
      <w:lvlText w:val="%8."/>
      <w:lvlJc w:val="left"/>
      <w:pPr>
        <w:ind w:left="5400" w:hanging="360"/>
      </w:pPr>
    </w:lvl>
    <w:lvl w:ilvl="8" w:tplc="D1E850C2">
      <w:start w:val="1"/>
      <w:numFmt w:val="lowerRoman"/>
      <w:lvlText w:val="%9."/>
      <w:lvlJc w:val="right"/>
      <w:pPr>
        <w:ind w:left="6120" w:hanging="180"/>
      </w:pPr>
    </w:lvl>
  </w:abstractNum>
  <w:abstractNum w:abstractNumId="29" w15:restartNumberingAfterBreak="0">
    <w:nsid w:val="74E249BB"/>
    <w:multiLevelType w:val="hybridMultilevel"/>
    <w:tmpl w:val="AFD27C66"/>
    <w:lvl w:ilvl="0" w:tplc="FD149F64">
      <w:numFmt w:val="bullet"/>
      <w:lvlText w:val="•"/>
      <w:lvlJc w:val="left"/>
      <w:pPr>
        <w:ind w:left="720" w:hanging="360"/>
      </w:pPr>
      <w:rPr>
        <w:rFonts w:ascii="Times New Roman" w:eastAsiaTheme="minorHAnsi" w:hAnsi="Times New Roman" w:cs="Times New Roman" w:hint="default"/>
      </w:rPr>
    </w:lvl>
    <w:lvl w:ilvl="1" w:tplc="6068F076" w:tentative="1">
      <w:start w:val="1"/>
      <w:numFmt w:val="bullet"/>
      <w:lvlText w:val="o"/>
      <w:lvlJc w:val="left"/>
      <w:pPr>
        <w:ind w:left="1440" w:hanging="360"/>
      </w:pPr>
      <w:rPr>
        <w:rFonts w:ascii="Courier New" w:hAnsi="Courier New" w:cs="Courier New" w:hint="default"/>
      </w:rPr>
    </w:lvl>
    <w:lvl w:ilvl="2" w:tplc="62EEB00A" w:tentative="1">
      <w:start w:val="1"/>
      <w:numFmt w:val="bullet"/>
      <w:lvlText w:val=""/>
      <w:lvlJc w:val="left"/>
      <w:pPr>
        <w:ind w:left="2160" w:hanging="360"/>
      </w:pPr>
      <w:rPr>
        <w:rFonts w:ascii="Wingdings" w:hAnsi="Wingdings" w:hint="default"/>
      </w:rPr>
    </w:lvl>
    <w:lvl w:ilvl="3" w:tplc="15304EF0" w:tentative="1">
      <w:start w:val="1"/>
      <w:numFmt w:val="bullet"/>
      <w:lvlText w:val=""/>
      <w:lvlJc w:val="left"/>
      <w:pPr>
        <w:ind w:left="2880" w:hanging="360"/>
      </w:pPr>
      <w:rPr>
        <w:rFonts w:ascii="Symbol" w:hAnsi="Symbol" w:hint="default"/>
      </w:rPr>
    </w:lvl>
    <w:lvl w:ilvl="4" w:tplc="C4E0570C" w:tentative="1">
      <w:start w:val="1"/>
      <w:numFmt w:val="bullet"/>
      <w:lvlText w:val="o"/>
      <w:lvlJc w:val="left"/>
      <w:pPr>
        <w:ind w:left="3600" w:hanging="360"/>
      </w:pPr>
      <w:rPr>
        <w:rFonts w:ascii="Courier New" w:hAnsi="Courier New" w:cs="Courier New" w:hint="default"/>
      </w:rPr>
    </w:lvl>
    <w:lvl w:ilvl="5" w:tplc="BFC4545C" w:tentative="1">
      <w:start w:val="1"/>
      <w:numFmt w:val="bullet"/>
      <w:lvlText w:val=""/>
      <w:lvlJc w:val="left"/>
      <w:pPr>
        <w:ind w:left="4320" w:hanging="360"/>
      </w:pPr>
      <w:rPr>
        <w:rFonts w:ascii="Wingdings" w:hAnsi="Wingdings" w:hint="default"/>
      </w:rPr>
    </w:lvl>
    <w:lvl w:ilvl="6" w:tplc="D5BAB8B4" w:tentative="1">
      <w:start w:val="1"/>
      <w:numFmt w:val="bullet"/>
      <w:lvlText w:val=""/>
      <w:lvlJc w:val="left"/>
      <w:pPr>
        <w:ind w:left="5040" w:hanging="360"/>
      </w:pPr>
      <w:rPr>
        <w:rFonts w:ascii="Symbol" w:hAnsi="Symbol" w:hint="default"/>
      </w:rPr>
    </w:lvl>
    <w:lvl w:ilvl="7" w:tplc="6D802096" w:tentative="1">
      <w:start w:val="1"/>
      <w:numFmt w:val="bullet"/>
      <w:lvlText w:val="o"/>
      <w:lvlJc w:val="left"/>
      <w:pPr>
        <w:ind w:left="5760" w:hanging="360"/>
      </w:pPr>
      <w:rPr>
        <w:rFonts w:ascii="Courier New" w:hAnsi="Courier New" w:cs="Courier New" w:hint="default"/>
      </w:rPr>
    </w:lvl>
    <w:lvl w:ilvl="8" w:tplc="6428B21C" w:tentative="1">
      <w:start w:val="1"/>
      <w:numFmt w:val="bullet"/>
      <w:lvlText w:val=""/>
      <w:lvlJc w:val="left"/>
      <w:pPr>
        <w:ind w:left="6480" w:hanging="360"/>
      </w:pPr>
      <w:rPr>
        <w:rFonts w:ascii="Wingdings" w:hAnsi="Wingdings" w:hint="default"/>
      </w:rPr>
    </w:lvl>
  </w:abstractNum>
  <w:abstractNum w:abstractNumId="30" w15:restartNumberingAfterBreak="0">
    <w:nsid w:val="7E597940"/>
    <w:multiLevelType w:val="hybridMultilevel"/>
    <w:tmpl w:val="A184E5A6"/>
    <w:lvl w:ilvl="0" w:tplc="20385B42">
      <w:start w:val="1"/>
      <w:numFmt w:val="bullet"/>
      <w:lvlText w:val=""/>
      <w:lvlJc w:val="left"/>
      <w:pPr>
        <w:ind w:left="720" w:hanging="360"/>
      </w:pPr>
      <w:rPr>
        <w:rFonts w:ascii="Symbol" w:hAnsi="Symbol" w:hint="default"/>
      </w:rPr>
    </w:lvl>
    <w:lvl w:ilvl="1" w:tplc="510CC852" w:tentative="1">
      <w:start w:val="1"/>
      <w:numFmt w:val="bullet"/>
      <w:lvlText w:val="o"/>
      <w:lvlJc w:val="left"/>
      <w:pPr>
        <w:ind w:left="1440" w:hanging="360"/>
      </w:pPr>
      <w:rPr>
        <w:rFonts w:ascii="Courier New" w:hAnsi="Courier New" w:cs="Courier New" w:hint="default"/>
      </w:rPr>
    </w:lvl>
    <w:lvl w:ilvl="2" w:tplc="81C87E70" w:tentative="1">
      <w:start w:val="1"/>
      <w:numFmt w:val="bullet"/>
      <w:lvlText w:val=""/>
      <w:lvlJc w:val="left"/>
      <w:pPr>
        <w:ind w:left="2160" w:hanging="360"/>
      </w:pPr>
      <w:rPr>
        <w:rFonts w:ascii="Wingdings" w:hAnsi="Wingdings" w:hint="default"/>
      </w:rPr>
    </w:lvl>
    <w:lvl w:ilvl="3" w:tplc="23388950" w:tentative="1">
      <w:start w:val="1"/>
      <w:numFmt w:val="bullet"/>
      <w:lvlText w:val=""/>
      <w:lvlJc w:val="left"/>
      <w:pPr>
        <w:ind w:left="2880" w:hanging="360"/>
      </w:pPr>
      <w:rPr>
        <w:rFonts w:ascii="Symbol" w:hAnsi="Symbol" w:hint="default"/>
      </w:rPr>
    </w:lvl>
    <w:lvl w:ilvl="4" w:tplc="6B48436C" w:tentative="1">
      <w:start w:val="1"/>
      <w:numFmt w:val="bullet"/>
      <w:lvlText w:val="o"/>
      <w:lvlJc w:val="left"/>
      <w:pPr>
        <w:ind w:left="3600" w:hanging="360"/>
      </w:pPr>
      <w:rPr>
        <w:rFonts w:ascii="Courier New" w:hAnsi="Courier New" w:cs="Courier New" w:hint="default"/>
      </w:rPr>
    </w:lvl>
    <w:lvl w:ilvl="5" w:tplc="FB20BDD4" w:tentative="1">
      <w:start w:val="1"/>
      <w:numFmt w:val="bullet"/>
      <w:lvlText w:val=""/>
      <w:lvlJc w:val="left"/>
      <w:pPr>
        <w:ind w:left="4320" w:hanging="360"/>
      </w:pPr>
      <w:rPr>
        <w:rFonts w:ascii="Wingdings" w:hAnsi="Wingdings" w:hint="default"/>
      </w:rPr>
    </w:lvl>
    <w:lvl w:ilvl="6" w:tplc="0CC8ABE4" w:tentative="1">
      <w:start w:val="1"/>
      <w:numFmt w:val="bullet"/>
      <w:lvlText w:val=""/>
      <w:lvlJc w:val="left"/>
      <w:pPr>
        <w:ind w:left="5040" w:hanging="360"/>
      </w:pPr>
      <w:rPr>
        <w:rFonts w:ascii="Symbol" w:hAnsi="Symbol" w:hint="default"/>
      </w:rPr>
    </w:lvl>
    <w:lvl w:ilvl="7" w:tplc="DC9C05B6" w:tentative="1">
      <w:start w:val="1"/>
      <w:numFmt w:val="bullet"/>
      <w:lvlText w:val="o"/>
      <w:lvlJc w:val="left"/>
      <w:pPr>
        <w:ind w:left="5760" w:hanging="360"/>
      </w:pPr>
      <w:rPr>
        <w:rFonts w:ascii="Courier New" w:hAnsi="Courier New" w:cs="Courier New" w:hint="default"/>
      </w:rPr>
    </w:lvl>
    <w:lvl w:ilvl="8" w:tplc="6E94AADE"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27"/>
    <w:lvlOverride w:ilvl="0">
      <w:startOverride w:val="5"/>
    </w:lvlOverride>
  </w:num>
  <w:num w:numId="4">
    <w:abstractNumId w:val="7"/>
  </w:num>
  <w:num w:numId="5">
    <w:abstractNumId w:val="29"/>
  </w:num>
  <w:num w:numId="6">
    <w:abstractNumId w:val="13"/>
  </w:num>
  <w:num w:numId="7">
    <w:abstractNumId w:val="18"/>
  </w:num>
  <w:num w:numId="8">
    <w:abstractNumId w:val="10"/>
  </w:num>
  <w:num w:numId="9">
    <w:abstractNumId w:val="19"/>
  </w:num>
  <w:num w:numId="10">
    <w:abstractNumId w:val="26"/>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0"/>
  </w:num>
  <w:num w:numId="14">
    <w:abstractNumId w:val="22"/>
  </w:num>
  <w:num w:numId="15">
    <w:abstractNumId w:val="2"/>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num>
  <w:num w:numId="30">
    <w:abstractNumId w:val="12"/>
  </w:num>
  <w:num w:numId="31">
    <w:abstractNumId w:val="15"/>
  </w:num>
  <w:num w:numId="32">
    <w:abstractNumId w:val="24"/>
  </w:num>
  <w:num w:numId="33">
    <w:abstractNumId w:val="25"/>
  </w:num>
  <w:num w:numId="34">
    <w:abstractNumId w:val="4"/>
  </w:num>
  <w:num w:numId="35">
    <w:abstractNumId w:val="21"/>
  </w:num>
  <w:num w:numId="36">
    <w:abstractNumId w:val="6"/>
  </w:num>
  <w:num w:numId="37">
    <w:abstractNumId w:val="0"/>
  </w:num>
  <w:num w:numId="38">
    <w:abstractNumId w:val="1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5"/>
  </w:num>
  <w:num w:numId="42">
    <w:abstractNumId w:val="1"/>
  </w:num>
  <w:num w:numId="43">
    <w:abstractNumId w:val="23"/>
  </w:num>
  <w:num w:numId="44">
    <w:abstractNumId w:val="28"/>
  </w:num>
  <w:num w:numId="4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7"/>
    <w:rsid w:val="0000151A"/>
    <w:rsid w:val="00002D2E"/>
    <w:rsid w:val="00004D8E"/>
    <w:rsid w:val="00005500"/>
    <w:rsid w:val="00010380"/>
    <w:rsid w:val="00012BA8"/>
    <w:rsid w:val="00013199"/>
    <w:rsid w:val="00014FE2"/>
    <w:rsid w:val="00016E9F"/>
    <w:rsid w:val="00024518"/>
    <w:rsid w:val="000262D0"/>
    <w:rsid w:val="00026A9C"/>
    <w:rsid w:val="000300C1"/>
    <w:rsid w:val="00034EF0"/>
    <w:rsid w:val="00036332"/>
    <w:rsid w:val="00037892"/>
    <w:rsid w:val="00042302"/>
    <w:rsid w:val="000426CA"/>
    <w:rsid w:val="0004399B"/>
    <w:rsid w:val="00044768"/>
    <w:rsid w:val="00047876"/>
    <w:rsid w:val="000500DF"/>
    <w:rsid w:val="0005104E"/>
    <w:rsid w:val="00053840"/>
    <w:rsid w:val="00054A6D"/>
    <w:rsid w:val="00056220"/>
    <w:rsid w:val="00056CFB"/>
    <w:rsid w:val="0006072F"/>
    <w:rsid w:val="00061664"/>
    <w:rsid w:val="00062A71"/>
    <w:rsid w:val="00066A8F"/>
    <w:rsid w:val="00066AE6"/>
    <w:rsid w:val="00067A60"/>
    <w:rsid w:val="000713E6"/>
    <w:rsid w:val="000735C7"/>
    <w:rsid w:val="00074C8C"/>
    <w:rsid w:val="000773F3"/>
    <w:rsid w:val="00080A5F"/>
    <w:rsid w:val="0008108C"/>
    <w:rsid w:val="0008589E"/>
    <w:rsid w:val="000876E9"/>
    <w:rsid w:val="000954C6"/>
    <w:rsid w:val="00097C56"/>
    <w:rsid w:val="000A000D"/>
    <w:rsid w:val="000A1C03"/>
    <w:rsid w:val="000A472D"/>
    <w:rsid w:val="000A5EC6"/>
    <w:rsid w:val="000A779D"/>
    <w:rsid w:val="000B1143"/>
    <w:rsid w:val="000B1BD4"/>
    <w:rsid w:val="000B335C"/>
    <w:rsid w:val="000B3870"/>
    <w:rsid w:val="000B5D32"/>
    <w:rsid w:val="000B6F5C"/>
    <w:rsid w:val="000C0AEA"/>
    <w:rsid w:val="000C12EA"/>
    <w:rsid w:val="000C2941"/>
    <w:rsid w:val="000C31CF"/>
    <w:rsid w:val="000C5C95"/>
    <w:rsid w:val="000C5DCA"/>
    <w:rsid w:val="000C5EC7"/>
    <w:rsid w:val="000C618A"/>
    <w:rsid w:val="000D1CF4"/>
    <w:rsid w:val="000D3E89"/>
    <w:rsid w:val="000D49D1"/>
    <w:rsid w:val="000D5B5A"/>
    <w:rsid w:val="000D708D"/>
    <w:rsid w:val="000D75B4"/>
    <w:rsid w:val="000D7CA9"/>
    <w:rsid w:val="000D7D46"/>
    <w:rsid w:val="000E23AE"/>
    <w:rsid w:val="000E4007"/>
    <w:rsid w:val="000F3514"/>
    <w:rsid w:val="000F5EAC"/>
    <w:rsid w:val="001003E9"/>
    <w:rsid w:val="00102E7D"/>
    <w:rsid w:val="00113547"/>
    <w:rsid w:val="0011395E"/>
    <w:rsid w:val="00114304"/>
    <w:rsid w:val="00114B76"/>
    <w:rsid w:val="00115D05"/>
    <w:rsid w:val="00116206"/>
    <w:rsid w:val="00116712"/>
    <w:rsid w:val="00117BC0"/>
    <w:rsid w:val="00124EA6"/>
    <w:rsid w:val="00126327"/>
    <w:rsid w:val="00132763"/>
    <w:rsid w:val="00132C96"/>
    <w:rsid w:val="00142D1F"/>
    <w:rsid w:val="00143844"/>
    <w:rsid w:val="00144103"/>
    <w:rsid w:val="001445D7"/>
    <w:rsid w:val="001446F1"/>
    <w:rsid w:val="00146A45"/>
    <w:rsid w:val="0014757C"/>
    <w:rsid w:val="00150154"/>
    <w:rsid w:val="00150B63"/>
    <w:rsid w:val="0015163C"/>
    <w:rsid w:val="00152C09"/>
    <w:rsid w:val="00155A1F"/>
    <w:rsid w:val="001619B1"/>
    <w:rsid w:val="00162E67"/>
    <w:rsid w:val="00162F55"/>
    <w:rsid w:val="00164CA3"/>
    <w:rsid w:val="0016742F"/>
    <w:rsid w:val="001700F7"/>
    <w:rsid w:val="00170590"/>
    <w:rsid w:val="00171FA8"/>
    <w:rsid w:val="00173887"/>
    <w:rsid w:val="00173F84"/>
    <w:rsid w:val="00175007"/>
    <w:rsid w:val="0017772F"/>
    <w:rsid w:val="00180CA7"/>
    <w:rsid w:val="00182994"/>
    <w:rsid w:val="00182AE6"/>
    <w:rsid w:val="00185A89"/>
    <w:rsid w:val="001868DA"/>
    <w:rsid w:val="001968E7"/>
    <w:rsid w:val="00197417"/>
    <w:rsid w:val="001A08B7"/>
    <w:rsid w:val="001A0F16"/>
    <w:rsid w:val="001A27EF"/>
    <w:rsid w:val="001A37EF"/>
    <w:rsid w:val="001A3992"/>
    <w:rsid w:val="001A5B59"/>
    <w:rsid w:val="001A6DC4"/>
    <w:rsid w:val="001A7C66"/>
    <w:rsid w:val="001B06B6"/>
    <w:rsid w:val="001B2D1B"/>
    <w:rsid w:val="001B3332"/>
    <w:rsid w:val="001B6F21"/>
    <w:rsid w:val="001B6FA7"/>
    <w:rsid w:val="001B7404"/>
    <w:rsid w:val="001C046D"/>
    <w:rsid w:val="001C04E8"/>
    <w:rsid w:val="001C0C42"/>
    <w:rsid w:val="001C118E"/>
    <w:rsid w:val="001C2049"/>
    <w:rsid w:val="001D27C5"/>
    <w:rsid w:val="001D2802"/>
    <w:rsid w:val="001D5B61"/>
    <w:rsid w:val="001E566B"/>
    <w:rsid w:val="001E5DC3"/>
    <w:rsid w:val="001E6757"/>
    <w:rsid w:val="001E6D58"/>
    <w:rsid w:val="00201E12"/>
    <w:rsid w:val="00203223"/>
    <w:rsid w:val="0020693F"/>
    <w:rsid w:val="0021200F"/>
    <w:rsid w:val="002153A0"/>
    <w:rsid w:val="00220544"/>
    <w:rsid w:val="00223038"/>
    <w:rsid w:val="00223735"/>
    <w:rsid w:val="00223F15"/>
    <w:rsid w:val="00225FA9"/>
    <w:rsid w:val="0022702D"/>
    <w:rsid w:val="00232867"/>
    <w:rsid w:val="00232970"/>
    <w:rsid w:val="00234152"/>
    <w:rsid w:val="00234BC2"/>
    <w:rsid w:val="00240E98"/>
    <w:rsid w:val="0024615C"/>
    <w:rsid w:val="00246457"/>
    <w:rsid w:val="002467EA"/>
    <w:rsid w:val="00247076"/>
    <w:rsid w:val="00250339"/>
    <w:rsid w:val="00253AC5"/>
    <w:rsid w:val="002555D9"/>
    <w:rsid w:val="00261661"/>
    <w:rsid w:val="00264576"/>
    <w:rsid w:val="00270E87"/>
    <w:rsid w:val="00272B99"/>
    <w:rsid w:val="00282E4F"/>
    <w:rsid w:val="00284720"/>
    <w:rsid w:val="00285173"/>
    <w:rsid w:val="00287B92"/>
    <w:rsid w:val="00293036"/>
    <w:rsid w:val="00293559"/>
    <w:rsid w:val="002967A8"/>
    <w:rsid w:val="00297DF0"/>
    <w:rsid w:val="002A02BF"/>
    <w:rsid w:val="002A0E37"/>
    <w:rsid w:val="002A35E7"/>
    <w:rsid w:val="002B4E06"/>
    <w:rsid w:val="002B4F8D"/>
    <w:rsid w:val="002B7E57"/>
    <w:rsid w:val="002C567D"/>
    <w:rsid w:val="002D16DA"/>
    <w:rsid w:val="002D273F"/>
    <w:rsid w:val="002D3B75"/>
    <w:rsid w:val="002D74DF"/>
    <w:rsid w:val="002E029A"/>
    <w:rsid w:val="002E0FB5"/>
    <w:rsid w:val="002E277D"/>
    <w:rsid w:val="002E37C6"/>
    <w:rsid w:val="002E53AC"/>
    <w:rsid w:val="002F3AF0"/>
    <w:rsid w:val="002F4E1C"/>
    <w:rsid w:val="0030232E"/>
    <w:rsid w:val="00303D25"/>
    <w:rsid w:val="0030550A"/>
    <w:rsid w:val="00306FC8"/>
    <w:rsid w:val="00322CC7"/>
    <w:rsid w:val="003248E7"/>
    <w:rsid w:val="00325232"/>
    <w:rsid w:val="00325F8A"/>
    <w:rsid w:val="00326A9B"/>
    <w:rsid w:val="00326CFE"/>
    <w:rsid w:val="00330F64"/>
    <w:rsid w:val="003324F8"/>
    <w:rsid w:val="00337704"/>
    <w:rsid w:val="00337A5A"/>
    <w:rsid w:val="00337CBD"/>
    <w:rsid w:val="00340526"/>
    <w:rsid w:val="00340B3D"/>
    <w:rsid w:val="003447BB"/>
    <w:rsid w:val="00345323"/>
    <w:rsid w:val="00351042"/>
    <w:rsid w:val="0035262A"/>
    <w:rsid w:val="00352808"/>
    <w:rsid w:val="00352CD6"/>
    <w:rsid w:val="00356690"/>
    <w:rsid w:val="00357C7A"/>
    <w:rsid w:val="00361FF8"/>
    <w:rsid w:val="003646EF"/>
    <w:rsid w:val="00365687"/>
    <w:rsid w:val="003656A9"/>
    <w:rsid w:val="00365AB4"/>
    <w:rsid w:val="00366087"/>
    <w:rsid w:val="0036626A"/>
    <w:rsid w:val="00371964"/>
    <w:rsid w:val="00373301"/>
    <w:rsid w:val="00375DF3"/>
    <w:rsid w:val="00377923"/>
    <w:rsid w:val="003779B6"/>
    <w:rsid w:val="00384733"/>
    <w:rsid w:val="00395BE2"/>
    <w:rsid w:val="003A6AB2"/>
    <w:rsid w:val="003B36F2"/>
    <w:rsid w:val="003B417D"/>
    <w:rsid w:val="003B5825"/>
    <w:rsid w:val="003B7005"/>
    <w:rsid w:val="003C0B90"/>
    <w:rsid w:val="003C1115"/>
    <w:rsid w:val="003C1250"/>
    <w:rsid w:val="003C3DAD"/>
    <w:rsid w:val="003C5582"/>
    <w:rsid w:val="003D58E7"/>
    <w:rsid w:val="003D7206"/>
    <w:rsid w:val="003E19EC"/>
    <w:rsid w:val="003E3724"/>
    <w:rsid w:val="003E545B"/>
    <w:rsid w:val="003E643B"/>
    <w:rsid w:val="003F162B"/>
    <w:rsid w:val="003F2A84"/>
    <w:rsid w:val="003F33F3"/>
    <w:rsid w:val="003F42EA"/>
    <w:rsid w:val="003F59DC"/>
    <w:rsid w:val="00404741"/>
    <w:rsid w:val="00405C1C"/>
    <w:rsid w:val="00405E16"/>
    <w:rsid w:val="00406ACF"/>
    <w:rsid w:val="00411043"/>
    <w:rsid w:val="0041206E"/>
    <w:rsid w:val="004131CC"/>
    <w:rsid w:val="00413D22"/>
    <w:rsid w:val="00415B6C"/>
    <w:rsid w:val="00416321"/>
    <w:rsid w:val="00416A97"/>
    <w:rsid w:val="00420E6E"/>
    <w:rsid w:val="00431ACD"/>
    <w:rsid w:val="00432B6E"/>
    <w:rsid w:val="00432CE3"/>
    <w:rsid w:val="0043451F"/>
    <w:rsid w:val="00434A7E"/>
    <w:rsid w:val="0044011F"/>
    <w:rsid w:val="00447CB9"/>
    <w:rsid w:val="00451305"/>
    <w:rsid w:val="00455920"/>
    <w:rsid w:val="004560F7"/>
    <w:rsid w:val="0046014D"/>
    <w:rsid w:val="00460703"/>
    <w:rsid w:val="00460C40"/>
    <w:rsid w:val="00462162"/>
    <w:rsid w:val="00464240"/>
    <w:rsid w:val="00465C76"/>
    <w:rsid w:val="00466627"/>
    <w:rsid w:val="0046752B"/>
    <w:rsid w:val="00470F32"/>
    <w:rsid w:val="004756A8"/>
    <w:rsid w:val="004756E9"/>
    <w:rsid w:val="00476346"/>
    <w:rsid w:val="004778CD"/>
    <w:rsid w:val="0048260C"/>
    <w:rsid w:val="00483CF8"/>
    <w:rsid w:val="00486D53"/>
    <w:rsid w:val="00491936"/>
    <w:rsid w:val="0049342B"/>
    <w:rsid w:val="004956EB"/>
    <w:rsid w:val="00495872"/>
    <w:rsid w:val="004977D0"/>
    <w:rsid w:val="004A0971"/>
    <w:rsid w:val="004A3900"/>
    <w:rsid w:val="004A4C3C"/>
    <w:rsid w:val="004B0E0E"/>
    <w:rsid w:val="004B6B19"/>
    <w:rsid w:val="004C214A"/>
    <w:rsid w:val="004C3083"/>
    <w:rsid w:val="004C6D07"/>
    <w:rsid w:val="004D20AB"/>
    <w:rsid w:val="004D257A"/>
    <w:rsid w:val="004D3CF3"/>
    <w:rsid w:val="004E07C6"/>
    <w:rsid w:val="004E16A5"/>
    <w:rsid w:val="004E1D2D"/>
    <w:rsid w:val="004E3D8D"/>
    <w:rsid w:val="004E3FE5"/>
    <w:rsid w:val="004E5076"/>
    <w:rsid w:val="004F1B93"/>
    <w:rsid w:val="0050438F"/>
    <w:rsid w:val="005072C5"/>
    <w:rsid w:val="0050741C"/>
    <w:rsid w:val="00510878"/>
    <w:rsid w:val="00511EFA"/>
    <w:rsid w:val="00515F3D"/>
    <w:rsid w:val="00527AFF"/>
    <w:rsid w:val="005321B5"/>
    <w:rsid w:val="00533BF7"/>
    <w:rsid w:val="00535D8B"/>
    <w:rsid w:val="00546132"/>
    <w:rsid w:val="00546A9E"/>
    <w:rsid w:val="0054749D"/>
    <w:rsid w:val="0055154F"/>
    <w:rsid w:val="00554820"/>
    <w:rsid w:val="005552F1"/>
    <w:rsid w:val="00555B41"/>
    <w:rsid w:val="00555B5C"/>
    <w:rsid w:val="00557CAA"/>
    <w:rsid w:val="005640E1"/>
    <w:rsid w:val="00576161"/>
    <w:rsid w:val="00580B40"/>
    <w:rsid w:val="00582C56"/>
    <w:rsid w:val="00584E76"/>
    <w:rsid w:val="00587C0C"/>
    <w:rsid w:val="00587DF0"/>
    <w:rsid w:val="00594B26"/>
    <w:rsid w:val="00595836"/>
    <w:rsid w:val="00595FEF"/>
    <w:rsid w:val="005972FA"/>
    <w:rsid w:val="005A2FDA"/>
    <w:rsid w:val="005B2812"/>
    <w:rsid w:val="005B30B8"/>
    <w:rsid w:val="005B5D5C"/>
    <w:rsid w:val="005B7471"/>
    <w:rsid w:val="005C1405"/>
    <w:rsid w:val="005C1539"/>
    <w:rsid w:val="005D0206"/>
    <w:rsid w:val="005D43DF"/>
    <w:rsid w:val="005D4874"/>
    <w:rsid w:val="005D48C8"/>
    <w:rsid w:val="005D5854"/>
    <w:rsid w:val="005D7BA6"/>
    <w:rsid w:val="005E3586"/>
    <w:rsid w:val="005F1F5D"/>
    <w:rsid w:val="005F30C3"/>
    <w:rsid w:val="005F33CD"/>
    <w:rsid w:val="005F52A7"/>
    <w:rsid w:val="005F54A0"/>
    <w:rsid w:val="006003C5"/>
    <w:rsid w:val="006018AE"/>
    <w:rsid w:val="006038B4"/>
    <w:rsid w:val="00603EDC"/>
    <w:rsid w:val="006045E2"/>
    <w:rsid w:val="006052F3"/>
    <w:rsid w:val="00605C73"/>
    <w:rsid w:val="00611DE1"/>
    <w:rsid w:val="00612590"/>
    <w:rsid w:val="00612A9A"/>
    <w:rsid w:val="00614854"/>
    <w:rsid w:val="00616017"/>
    <w:rsid w:val="00621CC4"/>
    <w:rsid w:val="006228D0"/>
    <w:rsid w:val="00623C0E"/>
    <w:rsid w:val="00624299"/>
    <w:rsid w:val="0062488B"/>
    <w:rsid w:val="00624CD0"/>
    <w:rsid w:val="00633FD0"/>
    <w:rsid w:val="00635F81"/>
    <w:rsid w:val="00636445"/>
    <w:rsid w:val="00641FFE"/>
    <w:rsid w:val="00646F65"/>
    <w:rsid w:val="0064775C"/>
    <w:rsid w:val="0065618C"/>
    <w:rsid w:val="00663CA2"/>
    <w:rsid w:val="00664B1D"/>
    <w:rsid w:val="00677160"/>
    <w:rsid w:val="006805B9"/>
    <w:rsid w:val="0068093B"/>
    <w:rsid w:val="00684EF3"/>
    <w:rsid w:val="00685A1A"/>
    <w:rsid w:val="0069008D"/>
    <w:rsid w:val="00692140"/>
    <w:rsid w:val="006A0698"/>
    <w:rsid w:val="006A163B"/>
    <w:rsid w:val="006A5408"/>
    <w:rsid w:val="006B3263"/>
    <w:rsid w:val="006B4C47"/>
    <w:rsid w:val="006B5218"/>
    <w:rsid w:val="006B5EE4"/>
    <w:rsid w:val="006B740C"/>
    <w:rsid w:val="006C30C7"/>
    <w:rsid w:val="006D03B6"/>
    <w:rsid w:val="006D4BE9"/>
    <w:rsid w:val="006D53A3"/>
    <w:rsid w:val="006D76E4"/>
    <w:rsid w:val="006E3CAD"/>
    <w:rsid w:val="006E594E"/>
    <w:rsid w:val="006E7C9F"/>
    <w:rsid w:val="006F2720"/>
    <w:rsid w:val="006F2DBE"/>
    <w:rsid w:val="006F49B9"/>
    <w:rsid w:val="006F5D4B"/>
    <w:rsid w:val="006F6CCA"/>
    <w:rsid w:val="006F754F"/>
    <w:rsid w:val="006F7B52"/>
    <w:rsid w:val="00711BAC"/>
    <w:rsid w:val="007126A0"/>
    <w:rsid w:val="007159DD"/>
    <w:rsid w:val="007160D1"/>
    <w:rsid w:val="007227C1"/>
    <w:rsid w:val="0072326F"/>
    <w:rsid w:val="007269CB"/>
    <w:rsid w:val="00733EAD"/>
    <w:rsid w:val="007379B8"/>
    <w:rsid w:val="00741759"/>
    <w:rsid w:val="00741E89"/>
    <w:rsid w:val="00750EDE"/>
    <w:rsid w:val="00750FAE"/>
    <w:rsid w:val="0075214B"/>
    <w:rsid w:val="00757683"/>
    <w:rsid w:val="00757D8D"/>
    <w:rsid w:val="00761CD7"/>
    <w:rsid w:val="007664A4"/>
    <w:rsid w:val="00766602"/>
    <w:rsid w:val="00772475"/>
    <w:rsid w:val="0077576F"/>
    <w:rsid w:val="00780269"/>
    <w:rsid w:val="00782469"/>
    <w:rsid w:val="00786153"/>
    <w:rsid w:val="00787208"/>
    <w:rsid w:val="00787E45"/>
    <w:rsid w:val="00790534"/>
    <w:rsid w:val="00791BF7"/>
    <w:rsid w:val="007920F8"/>
    <w:rsid w:val="00794CEE"/>
    <w:rsid w:val="00796E6B"/>
    <w:rsid w:val="007A2606"/>
    <w:rsid w:val="007A4773"/>
    <w:rsid w:val="007A4D6E"/>
    <w:rsid w:val="007A68BD"/>
    <w:rsid w:val="007B5596"/>
    <w:rsid w:val="007B7911"/>
    <w:rsid w:val="007C0E9B"/>
    <w:rsid w:val="007C1B17"/>
    <w:rsid w:val="007C3D6D"/>
    <w:rsid w:val="007C66C8"/>
    <w:rsid w:val="007C7D4E"/>
    <w:rsid w:val="007D08C3"/>
    <w:rsid w:val="007D2CAB"/>
    <w:rsid w:val="007D33BB"/>
    <w:rsid w:val="007D40C2"/>
    <w:rsid w:val="007D6F04"/>
    <w:rsid w:val="007D72FB"/>
    <w:rsid w:val="007D7D9B"/>
    <w:rsid w:val="007E50B0"/>
    <w:rsid w:val="007E6EBD"/>
    <w:rsid w:val="007F0F2B"/>
    <w:rsid w:val="007F1BC3"/>
    <w:rsid w:val="007F341F"/>
    <w:rsid w:val="007F3477"/>
    <w:rsid w:val="007F7580"/>
    <w:rsid w:val="00800866"/>
    <w:rsid w:val="00801083"/>
    <w:rsid w:val="00804E84"/>
    <w:rsid w:val="00805813"/>
    <w:rsid w:val="008113AF"/>
    <w:rsid w:val="008118F9"/>
    <w:rsid w:val="00816C9B"/>
    <w:rsid w:val="008172A0"/>
    <w:rsid w:val="008203EC"/>
    <w:rsid w:val="00820A99"/>
    <w:rsid w:val="008214CA"/>
    <w:rsid w:val="008219B4"/>
    <w:rsid w:val="00822376"/>
    <w:rsid w:val="008224C6"/>
    <w:rsid w:val="008278DA"/>
    <w:rsid w:val="0083018B"/>
    <w:rsid w:val="008330CA"/>
    <w:rsid w:val="008339D9"/>
    <w:rsid w:val="00833F13"/>
    <w:rsid w:val="008362E4"/>
    <w:rsid w:val="008372C5"/>
    <w:rsid w:val="008416CA"/>
    <w:rsid w:val="00845350"/>
    <w:rsid w:val="0085092F"/>
    <w:rsid w:val="00850D4F"/>
    <w:rsid w:val="00851576"/>
    <w:rsid w:val="00853F68"/>
    <w:rsid w:val="00856B13"/>
    <w:rsid w:val="00857E74"/>
    <w:rsid w:val="008653D0"/>
    <w:rsid w:val="00871CEB"/>
    <w:rsid w:val="00873AD5"/>
    <w:rsid w:val="0087516A"/>
    <w:rsid w:val="00876EA8"/>
    <w:rsid w:val="00877EFC"/>
    <w:rsid w:val="00880C1C"/>
    <w:rsid w:val="00883C57"/>
    <w:rsid w:val="00887406"/>
    <w:rsid w:val="0089047F"/>
    <w:rsid w:val="00890929"/>
    <w:rsid w:val="00890EB0"/>
    <w:rsid w:val="00892C6A"/>
    <w:rsid w:val="00895822"/>
    <w:rsid w:val="008A0162"/>
    <w:rsid w:val="008A3DEB"/>
    <w:rsid w:val="008A4942"/>
    <w:rsid w:val="008A62D3"/>
    <w:rsid w:val="008A6FAB"/>
    <w:rsid w:val="008A7D52"/>
    <w:rsid w:val="008B1690"/>
    <w:rsid w:val="008B3FFF"/>
    <w:rsid w:val="008B592E"/>
    <w:rsid w:val="008B5B7C"/>
    <w:rsid w:val="008C10C8"/>
    <w:rsid w:val="008C2868"/>
    <w:rsid w:val="008C3269"/>
    <w:rsid w:val="008D4BBA"/>
    <w:rsid w:val="008E678C"/>
    <w:rsid w:val="008E68F4"/>
    <w:rsid w:val="008F0D21"/>
    <w:rsid w:val="008F0F44"/>
    <w:rsid w:val="008F1255"/>
    <w:rsid w:val="008F4FFB"/>
    <w:rsid w:val="008F5038"/>
    <w:rsid w:val="00905FE6"/>
    <w:rsid w:val="00907947"/>
    <w:rsid w:val="00912902"/>
    <w:rsid w:val="00913EE6"/>
    <w:rsid w:val="00917E2F"/>
    <w:rsid w:val="00923027"/>
    <w:rsid w:val="0093012D"/>
    <w:rsid w:val="00937F47"/>
    <w:rsid w:val="00937F74"/>
    <w:rsid w:val="00940705"/>
    <w:rsid w:val="00940B13"/>
    <w:rsid w:val="00940F86"/>
    <w:rsid w:val="00941F95"/>
    <w:rsid w:val="00945217"/>
    <w:rsid w:val="00946E2D"/>
    <w:rsid w:val="00953368"/>
    <w:rsid w:val="0095664D"/>
    <w:rsid w:val="00957C71"/>
    <w:rsid w:val="00960CD5"/>
    <w:rsid w:val="00960F5B"/>
    <w:rsid w:val="00961AF3"/>
    <w:rsid w:val="0096206C"/>
    <w:rsid w:val="00973BBF"/>
    <w:rsid w:val="00975651"/>
    <w:rsid w:val="00982635"/>
    <w:rsid w:val="00984617"/>
    <w:rsid w:val="00985F00"/>
    <w:rsid w:val="00990551"/>
    <w:rsid w:val="00991BE6"/>
    <w:rsid w:val="00993E06"/>
    <w:rsid w:val="00997B2F"/>
    <w:rsid w:val="009A34FD"/>
    <w:rsid w:val="009A7AC6"/>
    <w:rsid w:val="009B4F06"/>
    <w:rsid w:val="009B5686"/>
    <w:rsid w:val="009C3BE1"/>
    <w:rsid w:val="009D1A9B"/>
    <w:rsid w:val="009D537A"/>
    <w:rsid w:val="009D6DB5"/>
    <w:rsid w:val="009E0CE5"/>
    <w:rsid w:val="009E1E63"/>
    <w:rsid w:val="009E35F3"/>
    <w:rsid w:val="009E6200"/>
    <w:rsid w:val="009F060B"/>
    <w:rsid w:val="009F18BC"/>
    <w:rsid w:val="009F1CF9"/>
    <w:rsid w:val="009F7100"/>
    <w:rsid w:val="009F76DE"/>
    <w:rsid w:val="009F7DE7"/>
    <w:rsid w:val="00A01025"/>
    <w:rsid w:val="00A02413"/>
    <w:rsid w:val="00A02E64"/>
    <w:rsid w:val="00A040BB"/>
    <w:rsid w:val="00A052ED"/>
    <w:rsid w:val="00A06D2B"/>
    <w:rsid w:val="00A12034"/>
    <w:rsid w:val="00A21B02"/>
    <w:rsid w:val="00A2239C"/>
    <w:rsid w:val="00A24253"/>
    <w:rsid w:val="00A2661E"/>
    <w:rsid w:val="00A27C46"/>
    <w:rsid w:val="00A32728"/>
    <w:rsid w:val="00A41996"/>
    <w:rsid w:val="00A41F0F"/>
    <w:rsid w:val="00A5172D"/>
    <w:rsid w:val="00A53599"/>
    <w:rsid w:val="00A55F82"/>
    <w:rsid w:val="00A64655"/>
    <w:rsid w:val="00A65DA6"/>
    <w:rsid w:val="00A665E6"/>
    <w:rsid w:val="00A66BC9"/>
    <w:rsid w:val="00A67499"/>
    <w:rsid w:val="00A67A4D"/>
    <w:rsid w:val="00A712E8"/>
    <w:rsid w:val="00A7178C"/>
    <w:rsid w:val="00A72BDB"/>
    <w:rsid w:val="00A73F2D"/>
    <w:rsid w:val="00A74DF6"/>
    <w:rsid w:val="00A75831"/>
    <w:rsid w:val="00A76A08"/>
    <w:rsid w:val="00A76D8F"/>
    <w:rsid w:val="00A80CFC"/>
    <w:rsid w:val="00A833E4"/>
    <w:rsid w:val="00A85B84"/>
    <w:rsid w:val="00A876E2"/>
    <w:rsid w:val="00A90080"/>
    <w:rsid w:val="00A95338"/>
    <w:rsid w:val="00A97EF7"/>
    <w:rsid w:val="00AA4AB8"/>
    <w:rsid w:val="00AA5EB0"/>
    <w:rsid w:val="00AA62D5"/>
    <w:rsid w:val="00AB292E"/>
    <w:rsid w:val="00AB30FA"/>
    <w:rsid w:val="00AB3F00"/>
    <w:rsid w:val="00AB75F6"/>
    <w:rsid w:val="00AC1112"/>
    <w:rsid w:val="00AC13F4"/>
    <w:rsid w:val="00AC146B"/>
    <w:rsid w:val="00AD00BB"/>
    <w:rsid w:val="00AD08CF"/>
    <w:rsid w:val="00AD0F6E"/>
    <w:rsid w:val="00AD3F8A"/>
    <w:rsid w:val="00AD41C5"/>
    <w:rsid w:val="00AE06A8"/>
    <w:rsid w:val="00AE3A35"/>
    <w:rsid w:val="00AF2037"/>
    <w:rsid w:val="00AF238D"/>
    <w:rsid w:val="00AF79EE"/>
    <w:rsid w:val="00AF7C4D"/>
    <w:rsid w:val="00B00078"/>
    <w:rsid w:val="00B039D1"/>
    <w:rsid w:val="00B05829"/>
    <w:rsid w:val="00B05F17"/>
    <w:rsid w:val="00B10B8E"/>
    <w:rsid w:val="00B11246"/>
    <w:rsid w:val="00B11731"/>
    <w:rsid w:val="00B14788"/>
    <w:rsid w:val="00B166D1"/>
    <w:rsid w:val="00B16DD3"/>
    <w:rsid w:val="00B2305C"/>
    <w:rsid w:val="00B23614"/>
    <w:rsid w:val="00B33DEB"/>
    <w:rsid w:val="00B36613"/>
    <w:rsid w:val="00B37227"/>
    <w:rsid w:val="00B37AEF"/>
    <w:rsid w:val="00B4071B"/>
    <w:rsid w:val="00B42264"/>
    <w:rsid w:val="00B4650F"/>
    <w:rsid w:val="00B5142D"/>
    <w:rsid w:val="00B51A22"/>
    <w:rsid w:val="00B537A9"/>
    <w:rsid w:val="00B54BF3"/>
    <w:rsid w:val="00B61041"/>
    <w:rsid w:val="00B630E4"/>
    <w:rsid w:val="00B63DA9"/>
    <w:rsid w:val="00B66322"/>
    <w:rsid w:val="00B7658A"/>
    <w:rsid w:val="00B80402"/>
    <w:rsid w:val="00B81199"/>
    <w:rsid w:val="00B8163A"/>
    <w:rsid w:val="00B81A46"/>
    <w:rsid w:val="00B90DB3"/>
    <w:rsid w:val="00B931EA"/>
    <w:rsid w:val="00B970A2"/>
    <w:rsid w:val="00BA1964"/>
    <w:rsid w:val="00BA5FE5"/>
    <w:rsid w:val="00BB1A9A"/>
    <w:rsid w:val="00BB2DFC"/>
    <w:rsid w:val="00BB4CB7"/>
    <w:rsid w:val="00BB4D49"/>
    <w:rsid w:val="00BB6865"/>
    <w:rsid w:val="00BB692D"/>
    <w:rsid w:val="00BB7508"/>
    <w:rsid w:val="00BC2835"/>
    <w:rsid w:val="00BC49ED"/>
    <w:rsid w:val="00BC6383"/>
    <w:rsid w:val="00BD0A07"/>
    <w:rsid w:val="00BD1689"/>
    <w:rsid w:val="00BE00BB"/>
    <w:rsid w:val="00BE1BFC"/>
    <w:rsid w:val="00BE2A26"/>
    <w:rsid w:val="00BE2AFA"/>
    <w:rsid w:val="00BE7BFA"/>
    <w:rsid w:val="00BF6B7A"/>
    <w:rsid w:val="00C00368"/>
    <w:rsid w:val="00C00E01"/>
    <w:rsid w:val="00C05741"/>
    <w:rsid w:val="00C0769D"/>
    <w:rsid w:val="00C10E73"/>
    <w:rsid w:val="00C11DDE"/>
    <w:rsid w:val="00C12690"/>
    <w:rsid w:val="00C1274B"/>
    <w:rsid w:val="00C21B9D"/>
    <w:rsid w:val="00C239BA"/>
    <w:rsid w:val="00C26157"/>
    <w:rsid w:val="00C268DC"/>
    <w:rsid w:val="00C26D8A"/>
    <w:rsid w:val="00C27037"/>
    <w:rsid w:val="00C275E5"/>
    <w:rsid w:val="00C30341"/>
    <w:rsid w:val="00C34054"/>
    <w:rsid w:val="00C348D3"/>
    <w:rsid w:val="00C34AB1"/>
    <w:rsid w:val="00C354E8"/>
    <w:rsid w:val="00C42ECB"/>
    <w:rsid w:val="00C44207"/>
    <w:rsid w:val="00C45611"/>
    <w:rsid w:val="00C457DA"/>
    <w:rsid w:val="00C510CE"/>
    <w:rsid w:val="00C5137E"/>
    <w:rsid w:val="00C51403"/>
    <w:rsid w:val="00C51BEF"/>
    <w:rsid w:val="00C5367E"/>
    <w:rsid w:val="00C5669D"/>
    <w:rsid w:val="00C57C5F"/>
    <w:rsid w:val="00C60165"/>
    <w:rsid w:val="00C63438"/>
    <w:rsid w:val="00C63DC6"/>
    <w:rsid w:val="00C66223"/>
    <w:rsid w:val="00C67174"/>
    <w:rsid w:val="00C73532"/>
    <w:rsid w:val="00C75414"/>
    <w:rsid w:val="00C75483"/>
    <w:rsid w:val="00C755A9"/>
    <w:rsid w:val="00C85096"/>
    <w:rsid w:val="00C853F0"/>
    <w:rsid w:val="00C862D5"/>
    <w:rsid w:val="00C904EB"/>
    <w:rsid w:val="00C90FBB"/>
    <w:rsid w:val="00C92122"/>
    <w:rsid w:val="00C92478"/>
    <w:rsid w:val="00C92DEC"/>
    <w:rsid w:val="00C94F5E"/>
    <w:rsid w:val="00C96866"/>
    <w:rsid w:val="00C969F0"/>
    <w:rsid w:val="00CA3BB1"/>
    <w:rsid w:val="00CA4970"/>
    <w:rsid w:val="00CA4A23"/>
    <w:rsid w:val="00CA6FED"/>
    <w:rsid w:val="00CB30CF"/>
    <w:rsid w:val="00CB3C9D"/>
    <w:rsid w:val="00CC1DB3"/>
    <w:rsid w:val="00CC2683"/>
    <w:rsid w:val="00CC3E07"/>
    <w:rsid w:val="00CC4C19"/>
    <w:rsid w:val="00CC4C96"/>
    <w:rsid w:val="00CC56B8"/>
    <w:rsid w:val="00CC5E28"/>
    <w:rsid w:val="00CC6E41"/>
    <w:rsid w:val="00CD19D7"/>
    <w:rsid w:val="00CD3C1F"/>
    <w:rsid w:val="00CD5F93"/>
    <w:rsid w:val="00CD79D4"/>
    <w:rsid w:val="00CE0A55"/>
    <w:rsid w:val="00CE607E"/>
    <w:rsid w:val="00CF5072"/>
    <w:rsid w:val="00CF66D1"/>
    <w:rsid w:val="00D07F42"/>
    <w:rsid w:val="00D10ECB"/>
    <w:rsid w:val="00D11A0C"/>
    <w:rsid w:val="00D17F94"/>
    <w:rsid w:val="00D245CD"/>
    <w:rsid w:val="00D3251A"/>
    <w:rsid w:val="00D33D52"/>
    <w:rsid w:val="00D33FBF"/>
    <w:rsid w:val="00D37A4D"/>
    <w:rsid w:val="00D4027F"/>
    <w:rsid w:val="00D40411"/>
    <w:rsid w:val="00D40AF9"/>
    <w:rsid w:val="00D42968"/>
    <w:rsid w:val="00D42CC3"/>
    <w:rsid w:val="00D50AE5"/>
    <w:rsid w:val="00D55971"/>
    <w:rsid w:val="00D57A1A"/>
    <w:rsid w:val="00D60910"/>
    <w:rsid w:val="00D62A23"/>
    <w:rsid w:val="00D62F69"/>
    <w:rsid w:val="00D62FF4"/>
    <w:rsid w:val="00D63F20"/>
    <w:rsid w:val="00D651BA"/>
    <w:rsid w:val="00D65F58"/>
    <w:rsid w:val="00D66E1D"/>
    <w:rsid w:val="00D75009"/>
    <w:rsid w:val="00D75149"/>
    <w:rsid w:val="00D82CCF"/>
    <w:rsid w:val="00D82EC2"/>
    <w:rsid w:val="00D9488B"/>
    <w:rsid w:val="00D95BDF"/>
    <w:rsid w:val="00D96688"/>
    <w:rsid w:val="00DA222C"/>
    <w:rsid w:val="00DA2FB5"/>
    <w:rsid w:val="00DA56D9"/>
    <w:rsid w:val="00DA5DE2"/>
    <w:rsid w:val="00DA7926"/>
    <w:rsid w:val="00DB5C9F"/>
    <w:rsid w:val="00DB6663"/>
    <w:rsid w:val="00DC7B73"/>
    <w:rsid w:val="00DD11D6"/>
    <w:rsid w:val="00DD1EEA"/>
    <w:rsid w:val="00DD29E1"/>
    <w:rsid w:val="00DD667F"/>
    <w:rsid w:val="00DD701D"/>
    <w:rsid w:val="00DD7DA8"/>
    <w:rsid w:val="00DE001B"/>
    <w:rsid w:val="00DE19CE"/>
    <w:rsid w:val="00DE2886"/>
    <w:rsid w:val="00DE361F"/>
    <w:rsid w:val="00DF0A58"/>
    <w:rsid w:val="00DF22AD"/>
    <w:rsid w:val="00DF75B1"/>
    <w:rsid w:val="00E003FB"/>
    <w:rsid w:val="00E010DA"/>
    <w:rsid w:val="00E06A61"/>
    <w:rsid w:val="00E10908"/>
    <w:rsid w:val="00E12484"/>
    <w:rsid w:val="00E134BD"/>
    <w:rsid w:val="00E13C17"/>
    <w:rsid w:val="00E13E21"/>
    <w:rsid w:val="00E1602C"/>
    <w:rsid w:val="00E17382"/>
    <w:rsid w:val="00E2134E"/>
    <w:rsid w:val="00E2144F"/>
    <w:rsid w:val="00E2222B"/>
    <w:rsid w:val="00E2454B"/>
    <w:rsid w:val="00E33769"/>
    <w:rsid w:val="00E33CE3"/>
    <w:rsid w:val="00E43374"/>
    <w:rsid w:val="00E439A7"/>
    <w:rsid w:val="00E46612"/>
    <w:rsid w:val="00E51DCC"/>
    <w:rsid w:val="00E5441E"/>
    <w:rsid w:val="00E54E89"/>
    <w:rsid w:val="00E54FF6"/>
    <w:rsid w:val="00E571A9"/>
    <w:rsid w:val="00E5790A"/>
    <w:rsid w:val="00E57DDC"/>
    <w:rsid w:val="00E6090E"/>
    <w:rsid w:val="00E6219E"/>
    <w:rsid w:val="00E721C1"/>
    <w:rsid w:val="00E73491"/>
    <w:rsid w:val="00E74230"/>
    <w:rsid w:val="00E74A56"/>
    <w:rsid w:val="00E8065A"/>
    <w:rsid w:val="00E81980"/>
    <w:rsid w:val="00E83FBC"/>
    <w:rsid w:val="00E864C5"/>
    <w:rsid w:val="00E9234E"/>
    <w:rsid w:val="00E95D7B"/>
    <w:rsid w:val="00E97C70"/>
    <w:rsid w:val="00EA0F80"/>
    <w:rsid w:val="00EB21E6"/>
    <w:rsid w:val="00EC1882"/>
    <w:rsid w:val="00EC1F86"/>
    <w:rsid w:val="00EC5811"/>
    <w:rsid w:val="00EC64F0"/>
    <w:rsid w:val="00ED4999"/>
    <w:rsid w:val="00ED4A48"/>
    <w:rsid w:val="00EE03BE"/>
    <w:rsid w:val="00EE0FBE"/>
    <w:rsid w:val="00EE65BB"/>
    <w:rsid w:val="00EF214E"/>
    <w:rsid w:val="00EF21BF"/>
    <w:rsid w:val="00EF2CB0"/>
    <w:rsid w:val="00EF36DE"/>
    <w:rsid w:val="00EF3F17"/>
    <w:rsid w:val="00EF568A"/>
    <w:rsid w:val="00EF592B"/>
    <w:rsid w:val="00EF7767"/>
    <w:rsid w:val="00F018D2"/>
    <w:rsid w:val="00F02CDC"/>
    <w:rsid w:val="00F06434"/>
    <w:rsid w:val="00F066DD"/>
    <w:rsid w:val="00F072F1"/>
    <w:rsid w:val="00F141E9"/>
    <w:rsid w:val="00F21297"/>
    <w:rsid w:val="00F22FC6"/>
    <w:rsid w:val="00F235C0"/>
    <w:rsid w:val="00F25836"/>
    <w:rsid w:val="00F2798B"/>
    <w:rsid w:val="00F34B2D"/>
    <w:rsid w:val="00F41477"/>
    <w:rsid w:val="00F466EE"/>
    <w:rsid w:val="00F50DAE"/>
    <w:rsid w:val="00F52D24"/>
    <w:rsid w:val="00F5343C"/>
    <w:rsid w:val="00F57436"/>
    <w:rsid w:val="00F61521"/>
    <w:rsid w:val="00F62DA6"/>
    <w:rsid w:val="00F66771"/>
    <w:rsid w:val="00F66AE9"/>
    <w:rsid w:val="00F71C47"/>
    <w:rsid w:val="00F71E56"/>
    <w:rsid w:val="00F84F35"/>
    <w:rsid w:val="00F92515"/>
    <w:rsid w:val="00F9398A"/>
    <w:rsid w:val="00F93BF5"/>
    <w:rsid w:val="00F93E9B"/>
    <w:rsid w:val="00F94216"/>
    <w:rsid w:val="00F94F7B"/>
    <w:rsid w:val="00F967C8"/>
    <w:rsid w:val="00F97442"/>
    <w:rsid w:val="00FA05AE"/>
    <w:rsid w:val="00FA0BCC"/>
    <w:rsid w:val="00FA0E48"/>
    <w:rsid w:val="00FA1D4A"/>
    <w:rsid w:val="00FA1FC6"/>
    <w:rsid w:val="00FA4F94"/>
    <w:rsid w:val="00FA67A7"/>
    <w:rsid w:val="00FA6B02"/>
    <w:rsid w:val="00FB4625"/>
    <w:rsid w:val="00FB7FAB"/>
    <w:rsid w:val="00FC21B1"/>
    <w:rsid w:val="00FC27A1"/>
    <w:rsid w:val="00FC329E"/>
    <w:rsid w:val="00FC4C03"/>
    <w:rsid w:val="00FC5C41"/>
    <w:rsid w:val="00FC5C6E"/>
    <w:rsid w:val="00FC6D9E"/>
    <w:rsid w:val="00FD0A8F"/>
    <w:rsid w:val="00FD1608"/>
    <w:rsid w:val="00FD2602"/>
    <w:rsid w:val="00FD6D4E"/>
    <w:rsid w:val="00FE5C67"/>
    <w:rsid w:val="00FF00D9"/>
    <w:rsid w:val="00FF24CC"/>
    <w:rsid w:val="00FF25D5"/>
    <w:rsid w:val="2CB6155E"/>
    <w:rsid w:val="55FAA2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D8A82"/>
  <w15:docId w15:val="{C0D54513-A408-4747-A03B-7C91798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54"/>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EF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767"/>
  </w:style>
  <w:style w:type="paragraph" w:customStyle="1" w:styleId="Default">
    <w:name w:val="Default"/>
    <w:rsid w:val="00DF75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AEnBodyText">
    <w:name w:val="EMEA En Body Text"/>
    <w:basedOn w:val="Normal"/>
    <w:rsid w:val="00DD11D6"/>
    <w:pPr>
      <w:spacing w:before="120" w:after="120" w:line="240" w:lineRule="auto"/>
      <w:jc w:val="both"/>
    </w:pPr>
    <w:rPr>
      <w:rFonts w:ascii="Times New Roman" w:eastAsia="Times New Roman" w:hAnsi="Times New Roman" w:cs="Times New Roman"/>
      <w:szCs w:val="20"/>
      <w:lang w:val="en-US"/>
    </w:rPr>
  </w:style>
  <w:style w:type="table" w:styleId="TableGrid">
    <w:name w:val="Table Grid"/>
    <w:basedOn w:val="TableNormal"/>
    <w:uiPriority w:val="59"/>
    <w:rsid w:val="00DD11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DD11D6"/>
    <w:pPr>
      <w:spacing w:before="180" w:after="60" w:line="240" w:lineRule="auto"/>
      <w:ind w:left="1440" w:hanging="1440"/>
    </w:pPr>
    <w:rPr>
      <w:rFonts w:ascii="Arial" w:eastAsia="Times New Roman" w:hAnsi="Arial" w:cs="Arial"/>
      <w:b/>
      <w:sz w:val="24"/>
      <w:szCs w:val="24"/>
      <w:lang w:val="en-US"/>
    </w:rPr>
  </w:style>
  <w:style w:type="character" w:customStyle="1" w:styleId="TableTitleChar">
    <w:name w:val="Table Title Char"/>
    <w:basedOn w:val="DefaultParagraphFont"/>
    <w:link w:val="TableTitle"/>
    <w:rsid w:val="00DD11D6"/>
    <w:rPr>
      <w:rFonts w:ascii="Arial" w:eastAsia="Times New Roman" w:hAnsi="Arial" w:cs="Arial"/>
      <w:b/>
      <w:sz w:val="24"/>
      <w:szCs w:val="24"/>
      <w:lang w:val="en-US"/>
    </w:rPr>
  </w:style>
  <w:style w:type="character" w:customStyle="1" w:styleId="ListParagraphChar">
    <w:name w:val="List Paragraph Char"/>
    <w:basedOn w:val="DefaultParagraphFont"/>
    <w:link w:val="ListParagraph"/>
    <w:uiPriority w:val="34"/>
    <w:rsid w:val="00D95BDF"/>
    <w:rPr>
      <w:rFonts w:ascii="Cambria" w:hAnsi="Cambria"/>
    </w:rPr>
  </w:style>
  <w:style w:type="paragraph" w:styleId="CommentSubject">
    <w:name w:val="annotation subject"/>
    <w:basedOn w:val="CommentText"/>
    <w:next w:val="CommentText"/>
    <w:link w:val="CommentSubjectChar"/>
    <w:uiPriority w:val="99"/>
    <w:semiHidden/>
    <w:unhideWhenUsed/>
    <w:rsid w:val="00357C7A"/>
    <w:rPr>
      <w:rFonts w:asciiTheme="minorHAnsi" w:hAnsiTheme="minorHAnsi"/>
      <w:b/>
      <w:bCs/>
    </w:rPr>
  </w:style>
  <w:style w:type="character" w:customStyle="1" w:styleId="CommentSubjectChar">
    <w:name w:val="Comment Subject Char"/>
    <w:basedOn w:val="CommentTextChar"/>
    <w:link w:val="CommentSubject"/>
    <w:uiPriority w:val="99"/>
    <w:semiHidden/>
    <w:rsid w:val="00357C7A"/>
    <w:rPr>
      <w:rFonts w:ascii="Cambria" w:hAnsi="Cambria"/>
      <w:b/>
      <w:bCs/>
      <w:sz w:val="20"/>
      <w:szCs w:val="20"/>
    </w:rPr>
  </w:style>
  <w:style w:type="paragraph" w:customStyle="1" w:styleId="NormalKeep">
    <w:name w:val="Normal Keep"/>
    <w:basedOn w:val="Normal"/>
    <w:link w:val="NormalKeepChar"/>
    <w:qFormat/>
    <w:rsid w:val="00605C73"/>
    <w:pPr>
      <w:keepNext/>
      <w:suppressAutoHyphens/>
      <w:spacing w:after="0" w:line="240" w:lineRule="auto"/>
    </w:pPr>
    <w:rPr>
      <w:rFonts w:ascii="Times New Roman" w:eastAsia="SimSun" w:hAnsi="Times New Roman" w:cs="Times New Roman"/>
      <w:lang w:val="en-GB" w:eastAsia="zh-CN"/>
    </w:rPr>
  </w:style>
  <w:style w:type="character" w:customStyle="1" w:styleId="NormalKeepChar">
    <w:name w:val="Normal Keep Char"/>
    <w:link w:val="NormalKeep"/>
    <w:locked/>
    <w:rsid w:val="00605C73"/>
    <w:rPr>
      <w:rFonts w:ascii="Times New Roman" w:eastAsia="SimSun" w:hAnsi="Times New Roman" w:cs="Times New Roman"/>
      <w:lang w:val="en-GB" w:eastAsia="zh-CN"/>
    </w:rPr>
  </w:style>
  <w:style w:type="paragraph" w:customStyle="1" w:styleId="Bullet">
    <w:name w:val="Bullet •"/>
    <w:basedOn w:val="Normal"/>
    <w:qFormat/>
    <w:rsid w:val="006F7B52"/>
    <w:pPr>
      <w:numPr>
        <w:numId w:val="7"/>
      </w:numPr>
      <w:suppressAutoHyphens/>
      <w:spacing w:after="0" w:line="240" w:lineRule="auto"/>
    </w:pPr>
    <w:rPr>
      <w:rFonts w:ascii="Times New Roman" w:eastAsia="SimSun" w:hAnsi="Times New Roman" w:cs="Times New Roman"/>
      <w:lang w:val="en-GB" w:eastAsia="zh-CN"/>
    </w:rPr>
  </w:style>
  <w:style w:type="paragraph" w:customStyle="1" w:styleId="Bullet2">
    <w:name w:val="Bullet • 2"/>
    <w:basedOn w:val="Normal"/>
    <w:qFormat/>
    <w:rsid w:val="006F7B52"/>
    <w:pPr>
      <w:numPr>
        <w:numId w:val="8"/>
      </w:numPr>
      <w:suppressAutoHyphens/>
      <w:spacing w:after="0" w:line="240" w:lineRule="auto"/>
    </w:pPr>
    <w:rPr>
      <w:rFonts w:ascii="Times New Roman" w:eastAsia="SimSun" w:hAnsi="Times New Roman" w:cs="Times New Roman"/>
      <w:lang w:val="en-GB" w:eastAsia="zh-CN"/>
    </w:rPr>
  </w:style>
  <w:style w:type="character" w:customStyle="1" w:styleId="Underline">
    <w:name w:val="Underline"/>
    <w:uiPriority w:val="1"/>
    <w:qFormat/>
    <w:rsid w:val="006F7B52"/>
    <w:rPr>
      <w:u w:val="single"/>
    </w:rPr>
  </w:style>
  <w:style w:type="paragraph" w:customStyle="1" w:styleId="NormalIndent2">
    <w:name w:val="Normal Indent 2"/>
    <w:basedOn w:val="NormalIndent"/>
    <w:qFormat/>
    <w:rsid w:val="006F7B52"/>
    <w:pPr>
      <w:suppressAutoHyphens/>
      <w:spacing w:after="0" w:line="240" w:lineRule="auto"/>
      <w:ind w:left="1134"/>
    </w:pPr>
    <w:rPr>
      <w:rFonts w:ascii="Times New Roman" w:eastAsia="SimSun" w:hAnsi="Times New Roman" w:cs="Times New Roman"/>
      <w:lang w:val="en-GB" w:eastAsia="zh-CN"/>
    </w:rPr>
  </w:style>
  <w:style w:type="paragraph" w:styleId="NormalIndent">
    <w:name w:val="Normal Indent"/>
    <w:basedOn w:val="Normal"/>
    <w:uiPriority w:val="99"/>
    <w:semiHidden/>
    <w:unhideWhenUsed/>
    <w:rsid w:val="006F7B52"/>
    <w:pPr>
      <w:ind w:left="720"/>
    </w:pPr>
  </w:style>
  <w:style w:type="character" w:styleId="Emphasis">
    <w:name w:val="Emphasis"/>
    <w:uiPriority w:val="20"/>
    <w:qFormat/>
    <w:rsid w:val="006F7B52"/>
    <w:rPr>
      <w:i/>
      <w:iCs/>
    </w:rPr>
  </w:style>
  <w:style w:type="character" w:customStyle="1" w:styleId="Subscript">
    <w:name w:val="Subscript"/>
    <w:uiPriority w:val="1"/>
    <w:qFormat/>
    <w:rsid w:val="006F7B52"/>
    <w:rPr>
      <w:vertAlign w:val="subscript"/>
    </w:rPr>
  </w:style>
  <w:style w:type="paragraph" w:customStyle="1" w:styleId="HeadingUnderlined">
    <w:name w:val="Heading Underlined"/>
    <w:basedOn w:val="NormalKeep"/>
    <w:next w:val="NormalKeep"/>
    <w:link w:val="HeadingUnderlinedChar"/>
    <w:qFormat/>
    <w:rsid w:val="00A02413"/>
    <w:pPr>
      <w:keepLines/>
    </w:pPr>
    <w:rPr>
      <w:u w:val="single"/>
    </w:rPr>
  </w:style>
  <w:style w:type="character" w:customStyle="1" w:styleId="HeadingUnderlinedChar">
    <w:name w:val="Heading Underlined Char"/>
    <w:link w:val="HeadingUnderlined"/>
    <w:locked/>
    <w:rsid w:val="00A02413"/>
    <w:rPr>
      <w:rFonts w:ascii="Times New Roman" w:eastAsia="SimSun" w:hAnsi="Times New Roman" w:cs="Times New Roman"/>
      <w:u w:val="single"/>
      <w:lang w:val="en-GB" w:eastAsia="zh-CN"/>
    </w:rPr>
  </w:style>
  <w:style w:type="paragraph" w:customStyle="1" w:styleId="HeadingEmphasis">
    <w:name w:val="Heading Emphasis"/>
    <w:basedOn w:val="Normal"/>
    <w:next w:val="Normal"/>
    <w:qFormat/>
    <w:rsid w:val="00E51DCC"/>
    <w:pPr>
      <w:keepNext/>
      <w:keepLines/>
      <w:suppressAutoHyphens/>
      <w:spacing w:after="0" w:line="240" w:lineRule="auto"/>
    </w:pPr>
    <w:rPr>
      <w:rFonts w:ascii="Times New Roman" w:eastAsia="SimSun" w:hAnsi="Times New Roman" w:cs="Times New Roman"/>
      <w:i/>
      <w:iCs/>
      <w:lang w:val="en-GB" w:eastAsia="zh-CN"/>
    </w:rPr>
  </w:style>
  <w:style w:type="character" w:customStyle="1" w:styleId="Superscript">
    <w:name w:val="Superscript"/>
    <w:uiPriority w:val="1"/>
    <w:qFormat/>
    <w:rsid w:val="00C05741"/>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Caption">
    <w:name w:val="caption"/>
    <w:aliases w:val="Caption Char Char,Caption Char Char Char,Caption Char Char Char Char Char Char,Caption Char Char Char Char Char Char Char Char Char Char Char Char Char Char Char Char Char Char Char Char Char Char Char Char Char Char,Char"/>
    <w:basedOn w:val="Normal"/>
    <w:next w:val="Normal"/>
    <w:link w:val="CaptionChar"/>
    <w:qFormat/>
    <w:rsid w:val="000713E6"/>
    <w:pPr>
      <w:keepNext/>
      <w:keepLines/>
      <w:tabs>
        <w:tab w:val="left" w:pos="2160"/>
      </w:tabs>
      <w:spacing w:after="120" w:line="240" w:lineRule="auto"/>
      <w:ind w:left="2160" w:hanging="2160"/>
    </w:pPr>
    <w:rPr>
      <w:rFonts w:ascii="Times New Roman" w:eastAsia="Times New Roman" w:hAnsi="Times New Roman" w:cs="Times New Roman"/>
      <w:b/>
      <w:color w:val="000000" w:themeColor="text1"/>
      <w:sz w:val="24"/>
      <w:szCs w:val="20"/>
      <w:lang w:val="en-US"/>
    </w:rPr>
  </w:style>
  <w:style w:type="paragraph" w:styleId="EndnoteText">
    <w:name w:val="endnote text"/>
    <w:basedOn w:val="Normal"/>
    <w:link w:val="EndnoteTextChar"/>
    <w:rsid w:val="00C66223"/>
    <w:pPr>
      <w:spacing w:before="120" w:after="12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C66223"/>
    <w:rPr>
      <w:rFonts w:ascii="Times New Roman" w:eastAsia="Times New Roman" w:hAnsi="Times New Roman" w:cs="Times New Roman"/>
      <w:sz w:val="20"/>
      <w:szCs w:val="20"/>
      <w:lang w:val="en-US"/>
    </w:rPr>
  </w:style>
  <w:style w:type="character" w:styleId="EndnoteReference">
    <w:name w:val="endnote reference"/>
    <w:basedOn w:val="DefaultParagraphFont"/>
    <w:rsid w:val="00E10908"/>
    <w:rPr>
      <w:vertAlign w:val="superscript"/>
    </w:rPr>
  </w:style>
  <w:style w:type="paragraph" w:customStyle="1" w:styleId="Text1">
    <w:name w:val="Text 1"/>
    <w:link w:val="Text1Char"/>
    <w:rsid w:val="00B14788"/>
    <w:pPr>
      <w:spacing w:after="240" w:line="240" w:lineRule="auto"/>
    </w:pPr>
    <w:rPr>
      <w:rFonts w:ascii="Times New Roman" w:eastAsia="Times New Roman" w:hAnsi="Times New Roman" w:cs="Times New Roman"/>
      <w:color w:val="000000" w:themeColor="text1"/>
      <w:sz w:val="24"/>
      <w:szCs w:val="20"/>
      <w:lang w:val="en-US"/>
    </w:rPr>
  </w:style>
  <w:style w:type="character" w:customStyle="1" w:styleId="Text1Char">
    <w:name w:val="Text 1 Char"/>
    <w:basedOn w:val="DefaultParagraphFont"/>
    <w:link w:val="Text1"/>
    <w:rsid w:val="00B14788"/>
    <w:rPr>
      <w:rFonts w:ascii="Times New Roman" w:eastAsia="Times New Roman" w:hAnsi="Times New Roman" w:cs="Times New Roman"/>
      <w:color w:val="000000" w:themeColor="text1"/>
      <w:sz w:val="24"/>
      <w:szCs w:val="20"/>
      <w:lang w:val="en-US"/>
    </w:rPr>
  </w:style>
  <w:style w:type="paragraph" w:customStyle="1" w:styleId="TableCellCenter">
    <w:name w:val="Table Cell Center"/>
    <w:basedOn w:val="TableCellLeft"/>
    <w:rsid w:val="00DF0A58"/>
    <w:pPr>
      <w:jc w:val="center"/>
    </w:pPr>
  </w:style>
  <w:style w:type="paragraph" w:customStyle="1" w:styleId="TableFooter">
    <w:name w:val="Table Footer"/>
    <w:basedOn w:val="Text1"/>
    <w:link w:val="TableFooterChar"/>
    <w:rsid w:val="00DF0A58"/>
    <w:pPr>
      <w:tabs>
        <w:tab w:val="left" w:pos="360"/>
      </w:tabs>
      <w:spacing w:before="60"/>
      <w:ind w:left="360" w:hanging="360"/>
      <w:contextualSpacing/>
    </w:pPr>
    <w:rPr>
      <w:sz w:val="18"/>
    </w:rPr>
  </w:style>
  <w:style w:type="paragraph" w:customStyle="1" w:styleId="TableHeaderleft">
    <w:name w:val="Table Header left"/>
    <w:basedOn w:val="Text1"/>
    <w:link w:val="TableHeaderleftChar"/>
    <w:rsid w:val="00DF0A58"/>
    <w:pPr>
      <w:spacing w:before="60" w:after="60"/>
    </w:pPr>
    <w:rPr>
      <w:b/>
      <w:sz w:val="20"/>
    </w:rPr>
  </w:style>
  <w:style w:type="paragraph" w:customStyle="1" w:styleId="TableCellLeft">
    <w:name w:val="Table Cell Left"/>
    <w:basedOn w:val="Text1"/>
    <w:rsid w:val="00DF0A58"/>
    <w:pPr>
      <w:spacing w:before="60" w:after="60"/>
    </w:pPr>
    <w:rPr>
      <w:rFonts w:eastAsia="Arial Unicode MS"/>
      <w:sz w:val="20"/>
      <w:szCs w:val="24"/>
    </w:rPr>
  </w:style>
  <w:style w:type="paragraph" w:customStyle="1" w:styleId="TableHeaderCenter">
    <w:name w:val="Table Header Center"/>
    <w:basedOn w:val="TableHeaderleft"/>
    <w:rsid w:val="00DF0A58"/>
    <w:pPr>
      <w:jc w:val="center"/>
    </w:pPr>
    <w:rPr>
      <w:rFonts w:ascii="Times New Roman Bold" w:eastAsia="Arial Unicode MS" w:hAnsi="Times New Roman Bold"/>
      <w:szCs w:val="24"/>
    </w:rPr>
  </w:style>
  <w:style w:type="character" w:customStyle="1" w:styleId="TableFooterChar">
    <w:name w:val="Table Footer Char"/>
    <w:link w:val="TableFooter"/>
    <w:rsid w:val="00DF0A58"/>
    <w:rPr>
      <w:rFonts w:ascii="Times New Roman" w:eastAsia="Times New Roman" w:hAnsi="Times New Roman" w:cs="Times New Roman"/>
      <w:color w:val="000000" w:themeColor="text1"/>
      <w:sz w:val="18"/>
      <w:szCs w:val="20"/>
      <w:lang w:val="en-US"/>
    </w:rPr>
  </w:style>
  <w:style w:type="character" w:customStyle="1" w:styleId="CaptionChar">
    <w:name w:val="Caption Char"/>
    <w:aliases w:val="Caption Char Char Char1,Caption Char Char Char Char,Caption Char Char Char Char Char Char Char,Caption Char Char Char Char Char Char Char Char Char Char Char Char Char Char Char Char Char Char Char Char Char Char Char Char Char Char Char"/>
    <w:link w:val="Caption"/>
    <w:rsid w:val="00DF0A58"/>
    <w:rPr>
      <w:rFonts w:ascii="Times New Roman" w:eastAsia="Times New Roman" w:hAnsi="Times New Roman" w:cs="Times New Roman"/>
      <w:b/>
      <w:color w:val="000000" w:themeColor="text1"/>
      <w:sz w:val="24"/>
      <w:szCs w:val="20"/>
      <w:lang w:val="en-US"/>
    </w:rPr>
  </w:style>
  <w:style w:type="character" w:customStyle="1" w:styleId="TableHeaderleftChar">
    <w:name w:val="Table Header left Char"/>
    <w:basedOn w:val="Text1Char"/>
    <w:link w:val="TableHeaderleft"/>
    <w:rsid w:val="00DF0A58"/>
    <w:rPr>
      <w:rFonts w:ascii="Times New Roman" w:eastAsia="Times New Roman" w:hAnsi="Times New Roman" w:cs="Times New Roman"/>
      <w:b/>
      <w:color w:val="000000" w:themeColor="text1"/>
      <w:sz w:val="20"/>
      <w:szCs w:val="20"/>
      <w:lang w:val="en-US"/>
    </w:rPr>
  </w:style>
  <w:style w:type="paragraph" w:customStyle="1" w:styleId="NormalCentred">
    <w:name w:val="Normal Centred"/>
    <w:basedOn w:val="Normal"/>
    <w:qFormat/>
    <w:rsid w:val="00361FF8"/>
    <w:pPr>
      <w:suppressAutoHyphens/>
      <w:spacing w:after="0" w:line="240" w:lineRule="auto"/>
      <w:jc w:val="center"/>
    </w:pPr>
    <w:rPr>
      <w:rFonts w:ascii="Times New Roman" w:eastAsia="Times New Roman" w:hAnsi="Times New Roman" w:cs="Times New Roman"/>
      <w:lang w:val="en-GB" w:eastAsia="zh-CN"/>
    </w:rPr>
  </w:style>
  <w:style w:type="paragraph" w:customStyle="1" w:styleId="TableFootnote">
    <w:name w:val="Table Footnote"/>
    <w:basedOn w:val="Normal"/>
    <w:qFormat/>
    <w:rsid w:val="00361FF8"/>
    <w:pPr>
      <w:suppressAutoHyphens/>
      <w:spacing w:after="0" w:line="240" w:lineRule="auto"/>
      <w:ind w:left="284" w:hanging="284"/>
    </w:pPr>
    <w:rPr>
      <w:rFonts w:ascii="Times New Roman" w:eastAsia="Times New Roman" w:hAnsi="Times New Roman" w:cs="Times New Roman"/>
      <w:color w:val="000000"/>
      <w:sz w:val="18"/>
      <w:szCs w:val="18"/>
      <w:lang w:val="en-GB" w:eastAsia="zh-CN"/>
    </w:rPr>
  </w:style>
  <w:style w:type="paragraph" w:customStyle="1" w:styleId="HeadingStrongCentred">
    <w:name w:val="Heading Strong Centred"/>
    <w:basedOn w:val="Normal"/>
    <w:qFormat/>
    <w:rsid w:val="00361FF8"/>
    <w:pPr>
      <w:keepNext/>
      <w:keepLines/>
      <w:suppressAutoHyphens/>
      <w:spacing w:after="0" w:line="240" w:lineRule="auto"/>
      <w:jc w:val="center"/>
    </w:pPr>
    <w:rPr>
      <w:rFonts w:ascii="Times New Roman" w:eastAsia="Times New Roman" w:hAnsi="Times New Roman" w:cs="Times New Roman"/>
      <w:b/>
      <w:bCs/>
      <w:lang w:val="en-GB" w:eastAsia="zh-CN"/>
    </w:rPr>
  </w:style>
  <w:style w:type="paragraph" w:styleId="Revision">
    <w:name w:val="Revision"/>
    <w:hidden/>
    <w:uiPriority w:val="99"/>
    <w:semiHidden/>
    <w:rsid w:val="002E0FB5"/>
    <w:pPr>
      <w:spacing w:after="0" w:line="240" w:lineRule="auto"/>
    </w:pPr>
  </w:style>
  <w:style w:type="character" w:customStyle="1" w:styleId="highlight">
    <w:name w:val="highlight"/>
    <w:basedOn w:val="DefaultParagraphFont"/>
    <w:rsid w:val="0033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nz.medinfo@gilead.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arafotias\Desktop\pi-template-new-format-with-black-triangl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BEC1A56946CC47800305D318F21352" ma:contentTypeVersion="6" ma:contentTypeDescription="Create a new document." ma:contentTypeScope="" ma:versionID="c3101e8ffbadb45cbd028f0c761f64b2">
  <xsd:schema xmlns:xsd="http://www.w3.org/2001/XMLSchema" xmlns:xs="http://www.w3.org/2001/XMLSchema" xmlns:p="http://schemas.microsoft.com/office/2006/metadata/properties" xmlns:ns2="1b7aa12a-a660-41e1-becf-ba6eeace7fe3" xmlns:ns3="13ab2d4b-2fbe-4faf-b9c1-885f6996e8d7" targetNamespace="http://schemas.microsoft.com/office/2006/metadata/properties" ma:root="true" ma:fieldsID="27fcc0b6a56a75f2e995e2763f19ec11" ns2:_="" ns3:_="">
    <xsd:import namespace="1b7aa12a-a660-41e1-becf-ba6eeace7fe3"/>
    <xsd:import namespace="13ab2d4b-2fbe-4faf-b9c1-885f6996e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aa12a-a660-41e1-becf-ba6eeace7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b2d4b-2fbe-4faf-b9c1-885f6996e8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99FD6-6AA2-4AEB-84BB-480491A88985}">
  <ds:schemaRefs>
    <ds:schemaRef ds:uri="http://schemas.openxmlformats.org/officeDocument/2006/bibliography"/>
  </ds:schemaRefs>
</ds:datastoreItem>
</file>

<file path=customXml/itemProps2.xml><?xml version="1.0" encoding="utf-8"?>
<ds:datastoreItem xmlns:ds="http://schemas.openxmlformats.org/officeDocument/2006/customXml" ds:itemID="{43D86EBF-9B5E-419E-A9C9-641F2E59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aa12a-a660-41e1-becf-ba6eeace7fe3"/>
    <ds:schemaRef ds:uri="13ab2d4b-2fbe-4faf-b9c1-885f6996e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D545F-B404-4A0E-A6C8-3873431CC9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D9800-7FE5-4078-8C3F-61D0106D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pi-template-new-format-with-black-triangle[1].dotx</Template>
  <TotalTime>15</TotalTime>
  <Pages>24</Pages>
  <Words>8321</Words>
  <Characters>45600</Characters>
  <Application>Microsoft Office Word</Application>
  <DocSecurity>0</DocSecurity>
  <Lines>1036</Lines>
  <Paragraphs>592</Paragraphs>
  <ScaleCrop>false</ScaleCrop>
  <HeadingPairs>
    <vt:vector size="2" baseType="variant">
      <vt:variant>
        <vt:lpstr>Title</vt:lpstr>
      </vt:variant>
      <vt:variant>
        <vt:i4>1</vt:i4>
      </vt:variant>
    </vt:vector>
  </HeadingPairs>
  <TitlesOfParts>
    <vt:vector size="1" baseType="lpstr">
      <vt:lpstr>Attachment: Product information for Remdesivir</vt:lpstr>
    </vt:vector>
  </TitlesOfParts>
  <Company>Gilead Sciences Pty Ltd</Company>
  <LinksUpToDate>false</LinksUpToDate>
  <CharactersWithSpaces>53329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Remdesivir</dc:title>
  <dc:subject>prescription medicine regulation</dc:subject>
  <dc:creator>Gilead Sciences Pty Ltd</dc:creator>
  <cp:lastModifiedBy>KOLARIK-OREILLY, Kristy</cp:lastModifiedBy>
  <cp:revision>6</cp:revision>
  <cp:lastPrinted>2017-11-12T10:13:00Z</cp:lastPrinted>
  <dcterms:created xsi:type="dcterms:W3CDTF">2022-05-06T02:57:00Z</dcterms:created>
  <dcterms:modified xsi:type="dcterms:W3CDTF">2022-05-09T23:27:00Z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0x01010089BEC1A56946CC47800305D318F21352</vt:lpwstr>
  </property>
  <property fmtid="{D5CDD505-2E9C-101B-9397-08002B2CF9AE}" pid="3" name="MSIP_Label_418c1083-8924-401d-97ae-40f5eed0fcd8_ActionId">
    <vt:lpwstr>8371c67b-d20e-4d53-b026-e890effbf085</vt:lpwstr>
  </property>
  <property fmtid="{D5CDD505-2E9C-101B-9397-08002B2CF9AE}" pid="4" name="MSIP_Label_418c1083-8924-401d-97ae-40f5eed0fcd8_ContentBits">
    <vt:lpwstr>0</vt:lpwstr>
  </property>
  <property fmtid="{D5CDD505-2E9C-101B-9397-08002B2CF9AE}" pid="5" name="MSIP_Label_418c1083-8924-401d-97ae-40f5eed0fcd8_Enabled">
    <vt:lpwstr>true</vt:lpwstr>
  </property>
  <property fmtid="{D5CDD505-2E9C-101B-9397-08002B2CF9AE}" pid="6" name="MSIP_Label_418c1083-8924-401d-97ae-40f5eed0fcd8_Method">
    <vt:lpwstr>Standard</vt:lpwstr>
  </property>
  <property fmtid="{D5CDD505-2E9C-101B-9397-08002B2CF9AE}" pid="7" name="MSIP_Label_418c1083-8924-401d-97ae-40f5eed0fcd8_Name">
    <vt:lpwstr>418c1083-8924-401d-97ae-40f5eed0fcd8</vt:lpwstr>
  </property>
  <property fmtid="{D5CDD505-2E9C-101B-9397-08002B2CF9AE}" pid="8" name="MSIP_Label_418c1083-8924-401d-97ae-40f5eed0fcd8_SetDate">
    <vt:lpwstr>2022-04-20T05:03:35Z</vt:lpwstr>
  </property>
  <property fmtid="{D5CDD505-2E9C-101B-9397-08002B2CF9AE}" pid="9" name="MSIP_Label_418c1083-8924-401d-97ae-40f5eed0fcd8_SiteId">
    <vt:lpwstr>a5a8bcaa-3292-41e6-b735-5e8b21f4dbfd</vt:lpwstr>
  </property>
</Properties>
</file>