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266F" w14:textId="77777777" w:rsidR="009C7011" w:rsidRPr="00417DDC" w:rsidRDefault="00D2596B" w:rsidP="00417DDC">
      <w:pPr>
        <w:pStyle w:val="Heading2"/>
        <w:spacing w:before="120" w:after="240" w:line="240" w:lineRule="auto"/>
        <w:ind w:right="46"/>
        <w:jc w:val="center"/>
        <w:rPr>
          <w:rFonts w:ascii="Arial" w:hAnsi="Arial" w:cs="Arial"/>
          <w:sz w:val="32"/>
          <w:szCs w:val="32"/>
        </w:rPr>
      </w:pPr>
      <w:r w:rsidRPr="00417DDC">
        <w:rPr>
          <w:rFonts w:ascii="Arial" w:hAnsi="Arial" w:cs="Arial"/>
          <w:sz w:val="32"/>
          <w:szCs w:val="32"/>
        </w:rPr>
        <w:t>PRODUCT INFORMATION</w:t>
      </w:r>
    </w:p>
    <w:p w14:paraId="712C2670" w14:textId="4C4C98F3" w:rsidR="001D1004" w:rsidRDefault="00417DDC" w:rsidP="00AE474A">
      <w:pPr>
        <w:pStyle w:val="Heading2"/>
        <w:spacing w:before="120" w:after="240" w:line="240" w:lineRule="auto"/>
        <w:ind w:right="46"/>
        <w:jc w:val="center"/>
        <w:rPr>
          <w:rFonts w:ascii="Arial" w:hAnsi="Arial" w:cs="Arial"/>
          <w:sz w:val="28"/>
          <w:szCs w:val="28"/>
        </w:rPr>
      </w:pPr>
      <w:r w:rsidRPr="00417DDC">
        <w:rPr>
          <w:rFonts w:ascii="Arial" w:hAnsi="Arial" w:cs="Arial"/>
          <w:sz w:val="28"/>
          <w:szCs w:val="28"/>
        </w:rPr>
        <w:t>STIVARGA</w:t>
      </w:r>
      <w:r w:rsidR="001D1004" w:rsidRPr="00417DDC">
        <w:rPr>
          <w:rFonts w:ascii="Arial" w:hAnsi="Arial" w:cs="Arial"/>
          <w:sz w:val="28"/>
          <w:szCs w:val="28"/>
          <w:vertAlign w:val="superscript"/>
        </w:rPr>
        <w:t>®</w:t>
      </w:r>
      <w:r w:rsidR="00AE474A">
        <w:rPr>
          <w:rFonts w:ascii="Arial" w:hAnsi="Arial" w:cs="Arial"/>
          <w:sz w:val="28"/>
          <w:szCs w:val="28"/>
        </w:rPr>
        <w:t xml:space="preserve"> (</w:t>
      </w:r>
      <w:proofErr w:type="spellStart"/>
      <w:r w:rsidRPr="00417DDC">
        <w:rPr>
          <w:rFonts w:ascii="Arial" w:hAnsi="Arial" w:cs="Arial"/>
          <w:sz w:val="28"/>
          <w:szCs w:val="28"/>
        </w:rPr>
        <w:t>regorafenib</w:t>
      </w:r>
      <w:proofErr w:type="spellEnd"/>
      <w:r w:rsidR="00AE474A">
        <w:rPr>
          <w:rFonts w:ascii="Arial" w:hAnsi="Arial" w:cs="Arial"/>
          <w:sz w:val="28"/>
          <w:szCs w:val="28"/>
        </w:rPr>
        <w:t>)</w:t>
      </w:r>
      <w:r w:rsidR="00B53A6A">
        <w:rPr>
          <w:rFonts w:ascii="Arial" w:hAnsi="Arial" w:cs="Arial"/>
          <w:sz w:val="28"/>
          <w:szCs w:val="28"/>
        </w:rPr>
        <w:t xml:space="preserve"> 40 mg tablets</w:t>
      </w:r>
    </w:p>
    <w:p w14:paraId="712C2671" w14:textId="77777777" w:rsidR="00AE474A" w:rsidRPr="00AE474A" w:rsidRDefault="00AE474A" w:rsidP="00AE474A">
      <w:pPr>
        <w:rPr>
          <w:lang w:val="en-AU"/>
        </w:rPr>
      </w:pPr>
    </w:p>
    <w:p w14:paraId="712C2672" w14:textId="77777777" w:rsidR="001D1004" w:rsidRPr="003A5EE1" w:rsidRDefault="001D1004" w:rsidP="0090345C">
      <w:pPr>
        <w:pStyle w:val="Heading1"/>
        <w:spacing w:before="0" w:after="0" w:line="240" w:lineRule="auto"/>
        <w:ind w:right="46"/>
      </w:pPr>
      <w:r w:rsidRPr="003A5EE1">
        <w:t>NAME OF THE MEDICINE</w:t>
      </w:r>
    </w:p>
    <w:p w14:paraId="712C2673" w14:textId="77777777" w:rsidR="00DC2986" w:rsidRPr="00DC2986" w:rsidRDefault="00DC2986" w:rsidP="00DC2986">
      <w:pPr>
        <w:rPr>
          <w:lang w:val="en-AU"/>
        </w:rPr>
      </w:pPr>
    </w:p>
    <w:p w14:paraId="712C2674" w14:textId="77777777" w:rsidR="001D1004" w:rsidRPr="003A5EE1" w:rsidRDefault="001D1004" w:rsidP="0090345C">
      <w:pPr>
        <w:autoSpaceDE w:val="0"/>
        <w:autoSpaceDN w:val="0"/>
        <w:adjustRightInd w:val="0"/>
        <w:rPr>
          <w:rFonts w:ascii="Arial" w:hAnsi="Arial" w:cs="Arial"/>
          <w:sz w:val="22"/>
          <w:szCs w:val="22"/>
          <w:lang w:val="en-AU"/>
        </w:rPr>
      </w:pPr>
      <w:proofErr w:type="spellStart"/>
      <w:r w:rsidRPr="003A5EE1">
        <w:rPr>
          <w:rFonts w:ascii="Arial" w:hAnsi="Arial" w:cs="Arial"/>
          <w:sz w:val="22"/>
          <w:szCs w:val="22"/>
          <w:lang w:val="en-AU"/>
        </w:rPr>
        <w:t>R</w:t>
      </w:r>
      <w:r w:rsidR="000C4062" w:rsidRPr="003A5EE1">
        <w:rPr>
          <w:rFonts w:ascii="Arial" w:hAnsi="Arial" w:cs="Arial"/>
          <w:sz w:val="22"/>
          <w:szCs w:val="22"/>
          <w:lang w:val="en-AU"/>
        </w:rPr>
        <w:t>egorafenib</w:t>
      </w:r>
      <w:proofErr w:type="spellEnd"/>
      <w:r w:rsidR="00AE474A" w:rsidRPr="003A5EE1">
        <w:rPr>
          <w:rFonts w:ascii="Arial" w:hAnsi="Arial" w:cs="Arial"/>
          <w:sz w:val="22"/>
          <w:szCs w:val="22"/>
          <w:lang w:val="en-AU"/>
        </w:rPr>
        <w:t xml:space="preserve"> (as monohydrate)</w:t>
      </w:r>
      <w:r w:rsidRPr="003A5EE1">
        <w:rPr>
          <w:sz w:val="22"/>
          <w:szCs w:val="22"/>
          <w:lang w:val="en-AU"/>
        </w:rPr>
        <w:t xml:space="preserve"> </w:t>
      </w:r>
      <w:r w:rsidRPr="003A5EE1">
        <w:rPr>
          <w:rFonts w:ascii="Arial" w:hAnsi="Arial" w:cs="Arial"/>
          <w:sz w:val="22"/>
          <w:szCs w:val="22"/>
          <w:lang w:val="en-AU"/>
        </w:rPr>
        <w:t>is</w:t>
      </w:r>
      <w:r w:rsidR="00AE474A" w:rsidRPr="003A5EE1">
        <w:rPr>
          <w:rFonts w:ascii="Arial" w:hAnsi="Arial" w:cs="Arial"/>
          <w:sz w:val="22"/>
          <w:szCs w:val="22"/>
          <w:lang w:val="en-AU" w:eastAsia="en-AU"/>
        </w:rPr>
        <w:t xml:space="preserve"> 4-[4-({[4-chloro-3-(trifluoromethyl</w:t>
      </w:r>
      <w:proofErr w:type="gramStart"/>
      <w:r w:rsidR="00AE474A" w:rsidRPr="003A5EE1">
        <w:rPr>
          <w:rFonts w:ascii="Arial" w:hAnsi="Arial" w:cs="Arial"/>
          <w:sz w:val="22"/>
          <w:szCs w:val="22"/>
          <w:lang w:val="en-AU" w:eastAsia="en-AU"/>
        </w:rPr>
        <w:t>)phenyl</w:t>
      </w:r>
      <w:proofErr w:type="gramEnd"/>
      <w:r w:rsidR="00AE474A" w:rsidRPr="003A5EE1">
        <w:rPr>
          <w:rFonts w:ascii="Arial" w:hAnsi="Arial" w:cs="Arial"/>
          <w:sz w:val="22"/>
          <w:szCs w:val="22"/>
          <w:lang w:val="en-AU" w:eastAsia="en-AU"/>
        </w:rPr>
        <w:t>]carbamoyl}amino)-3-fluorophenoxy]-</w:t>
      </w:r>
      <w:r w:rsidR="00AE474A" w:rsidRPr="003A5EE1">
        <w:rPr>
          <w:rFonts w:ascii="Arial" w:hAnsi="Arial" w:cs="Arial"/>
          <w:i/>
          <w:iCs/>
          <w:sz w:val="22"/>
          <w:szCs w:val="22"/>
          <w:lang w:val="en-AU" w:eastAsia="en-AU"/>
        </w:rPr>
        <w:t>N</w:t>
      </w:r>
      <w:r w:rsidR="00AE474A" w:rsidRPr="003A5EE1">
        <w:rPr>
          <w:rFonts w:ascii="Arial" w:hAnsi="Arial" w:cs="Arial"/>
          <w:sz w:val="22"/>
          <w:szCs w:val="22"/>
          <w:lang w:val="en-AU" w:eastAsia="en-AU"/>
        </w:rPr>
        <w:t>methylpyridine-2-carboxamide monohydrate</w:t>
      </w:r>
      <w:r w:rsidR="000C4062" w:rsidRPr="003A5EE1">
        <w:rPr>
          <w:rFonts w:ascii="Arial" w:hAnsi="Arial" w:cs="Arial"/>
          <w:sz w:val="22"/>
          <w:szCs w:val="22"/>
          <w:lang w:val="en-AU" w:eastAsia="en-AU"/>
        </w:rPr>
        <w:t xml:space="preserve">. </w:t>
      </w:r>
      <w:proofErr w:type="spellStart"/>
      <w:r w:rsidR="000C4062" w:rsidRPr="003A5EE1">
        <w:rPr>
          <w:rFonts w:ascii="Arial" w:hAnsi="Arial" w:cs="Arial"/>
          <w:sz w:val="22"/>
          <w:szCs w:val="22"/>
          <w:lang w:val="en-AU"/>
        </w:rPr>
        <w:t>Regorafenib</w:t>
      </w:r>
      <w:proofErr w:type="spellEnd"/>
      <w:r w:rsidRPr="003A5EE1">
        <w:rPr>
          <w:rFonts w:ascii="Arial" w:hAnsi="Arial" w:cs="Arial"/>
          <w:sz w:val="22"/>
          <w:szCs w:val="22"/>
          <w:lang w:val="en-AU"/>
        </w:rPr>
        <w:t xml:space="preserve"> has the following structural formula:</w:t>
      </w:r>
    </w:p>
    <w:p w14:paraId="712C2675" w14:textId="77777777" w:rsidR="0090345C" w:rsidRPr="003A5EE1" w:rsidRDefault="0090345C" w:rsidP="0090345C">
      <w:pPr>
        <w:autoSpaceDE w:val="0"/>
        <w:autoSpaceDN w:val="0"/>
        <w:adjustRightInd w:val="0"/>
        <w:rPr>
          <w:rFonts w:ascii="Arial" w:hAnsi="Arial" w:cs="Arial"/>
          <w:sz w:val="22"/>
          <w:szCs w:val="22"/>
          <w:lang w:val="en-AU"/>
        </w:rPr>
      </w:pPr>
    </w:p>
    <w:p w14:paraId="712C2676" w14:textId="79DF2857" w:rsidR="001D1004" w:rsidRPr="003A5EE1" w:rsidRDefault="00592429" w:rsidP="0090345C">
      <w:pPr>
        <w:spacing w:line="300" w:lineRule="atLeast"/>
        <w:ind w:right="46"/>
        <w:jc w:val="both"/>
        <w:rPr>
          <w:noProof/>
          <w:sz w:val="22"/>
          <w:szCs w:val="22"/>
          <w:lang w:val="en-AU" w:eastAsia="en-AU"/>
        </w:rPr>
      </w:pPr>
      <w:r w:rsidRPr="00240635">
        <w:rPr>
          <w:lang w:val="en-US"/>
        </w:rPr>
        <w:object w:dxaOrig="4530" w:dyaOrig="1440" w14:anchorId="712C2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Regorafenib" style="width:279.85pt;height:89pt" o:ole="" filled="t">
            <v:imagedata r:id="rId16" o:title="" gain="0" blacklevel="-.5"/>
          </v:shape>
          <o:OLEObject Type="Embed" ProgID="ISISServer" ShapeID="_x0000_i1025" DrawAspect="Content" ObjectID="_1509871303" r:id="rId17"/>
        </w:object>
      </w:r>
    </w:p>
    <w:p w14:paraId="712C2677" w14:textId="77777777" w:rsidR="0090345C" w:rsidRPr="003A5EE1" w:rsidRDefault="0090345C" w:rsidP="0090345C">
      <w:pPr>
        <w:spacing w:line="300" w:lineRule="atLeast"/>
        <w:ind w:right="46"/>
        <w:jc w:val="both"/>
        <w:rPr>
          <w:sz w:val="22"/>
          <w:szCs w:val="22"/>
          <w:lang w:val="en-AU"/>
        </w:rPr>
      </w:pPr>
    </w:p>
    <w:p w14:paraId="712C2678" w14:textId="77777777" w:rsidR="000C4062" w:rsidRPr="003A5EE1" w:rsidRDefault="000C4062" w:rsidP="00313A75">
      <w:pPr>
        <w:rPr>
          <w:rFonts w:ascii="Arial" w:hAnsi="Arial" w:cs="Arial"/>
          <w:sz w:val="22"/>
          <w:szCs w:val="22"/>
        </w:rPr>
      </w:pPr>
      <w:r w:rsidRPr="003A5EE1">
        <w:rPr>
          <w:rFonts w:ascii="Arial" w:hAnsi="Arial" w:cs="Arial"/>
          <w:sz w:val="22"/>
          <w:szCs w:val="22"/>
        </w:rPr>
        <w:t>Molecular formula: C</w:t>
      </w:r>
      <w:r w:rsidRPr="003A5EE1">
        <w:rPr>
          <w:rFonts w:ascii="Arial" w:hAnsi="Arial" w:cs="Arial"/>
          <w:sz w:val="22"/>
          <w:szCs w:val="22"/>
          <w:vertAlign w:val="subscript"/>
        </w:rPr>
        <w:t>21</w:t>
      </w:r>
      <w:r w:rsidRPr="003A5EE1">
        <w:rPr>
          <w:rFonts w:ascii="Arial" w:hAnsi="Arial" w:cs="Arial"/>
          <w:sz w:val="22"/>
          <w:szCs w:val="22"/>
        </w:rPr>
        <w:t>H</w:t>
      </w:r>
      <w:r w:rsidRPr="003A5EE1">
        <w:rPr>
          <w:rFonts w:ascii="Arial" w:hAnsi="Arial" w:cs="Arial"/>
          <w:sz w:val="22"/>
          <w:szCs w:val="22"/>
          <w:vertAlign w:val="subscript"/>
        </w:rPr>
        <w:t>15</w:t>
      </w:r>
      <w:r w:rsidRPr="003A5EE1">
        <w:rPr>
          <w:rFonts w:ascii="Arial" w:hAnsi="Arial" w:cs="Arial"/>
          <w:sz w:val="22"/>
          <w:szCs w:val="22"/>
        </w:rPr>
        <w:t>ClF</w:t>
      </w:r>
      <w:r w:rsidRPr="003A5EE1">
        <w:rPr>
          <w:rFonts w:ascii="Arial" w:hAnsi="Arial" w:cs="Arial"/>
          <w:sz w:val="22"/>
          <w:szCs w:val="22"/>
          <w:vertAlign w:val="subscript"/>
        </w:rPr>
        <w:t>4</w:t>
      </w:r>
      <w:r w:rsidRPr="003A5EE1">
        <w:rPr>
          <w:rFonts w:ascii="Arial" w:hAnsi="Arial" w:cs="Arial"/>
          <w:sz w:val="22"/>
          <w:szCs w:val="22"/>
        </w:rPr>
        <w:t>N</w:t>
      </w:r>
      <w:r w:rsidRPr="003A5EE1">
        <w:rPr>
          <w:rFonts w:ascii="Arial" w:hAnsi="Arial" w:cs="Arial"/>
          <w:sz w:val="22"/>
          <w:szCs w:val="22"/>
          <w:vertAlign w:val="subscript"/>
        </w:rPr>
        <w:t>4</w:t>
      </w:r>
      <w:r w:rsidRPr="003A5EE1">
        <w:rPr>
          <w:rFonts w:ascii="Arial" w:hAnsi="Arial" w:cs="Arial"/>
          <w:sz w:val="22"/>
          <w:szCs w:val="22"/>
        </w:rPr>
        <w:t>O</w:t>
      </w:r>
      <w:r w:rsidRPr="003A5EE1">
        <w:rPr>
          <w:rFonts w:ascii="Arial" w:hAnsi="Arial" w:cs="Arial"/>
          <w:sz w:val="22"/>
          <w:szCs w:val="22"/>
          <w:vertAlign w:val="subscript"/>
        </w:rPr>
        <w:t>3</w:t>
      </w:r>
    </w:p>
    <w:p w14:paraId="712C2679" w14:textId="77777777" w:rsidR="0090345C" w:rsidRPr="003A5EE1" w:rsidRDefault="0090345C" w:rsidP="00313A75">
      <w:pPr>
        <w:rPr>
          <w:rFonts w:ascii="Arial" w:hAnsi="Arial" w:cs="Arial"/>
          <w:sz w:val="22"/>
          <w:szCs w:val="22"/>
          <w:lang w:val="en-AU"/>
        </w:rPr>
      </w:pPr>
    </w:p>
    <w:p w14:paraId="712C267A" w14:textId="2E59159A" w:rsidR="000C4062" w:rsidRPr="003A5EE1" w:rsidRDefault="000C4062" w:rsidP="00313A75">
      <w:pPr>
        <w:rPr>
          <w:rFonts w:ascii="Arial" w:hAnsi="Arial" w:cs="Arial"/>
          <w:sz w:val="22"/>
          <w:szCs w:val="22"/>
        </w:rPr>
      </w:pPr>
      <w:r w:rsidRPr="003A5EE1">
        <w:rPr>
          <w:rFonts w:ascii="Arial" w:hAnsi="Arial" w:cs="Arial"/>
          <w:sz w:val="22"/>
          <w:szCs w:val="22"/>
        </w:rPr>
        <w:t xml:space="preserve">CAS </w:t>
      </w:r>
      <w:r w:rsidR="00AE474A" w:rsidRPr="003A5EE1">
        <w:rPr>
          <w:rFonts w:ascii="Arial" w:hAnsi="Arial" w:cs="Arial"/>
          <w:sz w:val="22"/>
          <w:szCs w:val="22"/>
        </w:rPr>
        <w:t xml:space="preserve">number: </w:t>
      </w:r>
      <w:r w:rsidR="00E1134D">
        <w:rPr>
          <w:rFonts w:ascii="Arial" w:hAnsi="Arial" w:cs="Arial"/>
          <w:sz w:val="22"/>
          <w:szCs w:val="22"/>
        </w:rPr>
        <w:t>755037-03-7</w:t>
      </w:r>
    </w:p>
    <w:p w14:paraId="712C267B" w14:textId="77777777" w:rsidR="0090345C" w:rsidRDefault="0090345C" w:rsidP="0090345C">
      <w:pPr>
        <w:rPr>
          <w:lang w:val="en-AU"/>
        </w:rPr>
      </w:pPr>
    </w:p>
    <w:p w14:paraId="712C267C" w14:textId="77777777" w:rsidR="00C16827" w:rsidRDefault="00C16827" w:rsidP="00C16827">
      <w:pPr>
        <w:keepNext/>
        <w:ind w:right="46"/>
        <w:rPr>
          <w:rFonts w:ascii="Arial" w:hAnsi="Arial" w:cs="Arial"/>
          <w:sz w:val="22"/>
          <w:szCs w:val="22"/>
          <w:lang w:val="en-AU"/>
        </w:rPr>
      </w:pPr>
      <w:r>
        <w:rPr>
          <w:rFonts w:ascii="Arial" w:hAnsi="Arial" w:cs="Arial"/>
          <w:sz w:val="22"/>
          <w:szCs w:val="22"/>
          <w:lang w:val="en-AU"/>
        </w:rPr>
        <w:t xml:space="preserve">Experimental determination of </w:t>
      </w:r>
      <w:proofErr w:type="spellStart"/>
      <w:r>
        <w:rPr>
          <w:rFonts w:ascii="Arial" w:hAnsi="Arial" w:cs="Arial"/>
          <w:sz w:val="22"/>
          <w:szCs w:val="22"/>
          <w:lang w:val="en-AU"/>
        </w:rPr>
        <w:t>pK</w:t>
      </w:r>
      <w:r w:rsidRPr="00423F2C">
        <w:rPr>
          <w:rFonts w:ascii="Arial" w:hAnsi="Arial" w:cs="Arial"/>
          <w:sz w:val="22"/>
          <w:szCs w:val="22"/>
          <w:vertAlign w:val="subscript"/>
          <w:lang w:val="en-AU"/>
        </w:rPr>
        <w:t>a</w:t>
      </w:r>
      <w:proofErr w:type="spellEnd"/>
      <w:r>
        <w:rPr>
          <w:rFonts w:ascii="Arial" w:hAnsi="Arial" w:cs="Arial"/>
          <w:sz w:val="22"/>
          <w:szCs w:val="22"/>
          <w:vertAlign w:val="subscript"/>
          <w:lang w:val="en-AU"/>
        </w:rPr>
        <w:t xml:space="preserve"> </w:t>
      </w:r>
      <w:r>
        <w:rPr>
          <w:rFonts w:ascii="Arial" w:hAnsi="Arial" w:cs="Arial"/>
          <w:sz w:val="22"/>
          <w:szCs w:val="22"/>
          <w:lang w:val="en-AU"/>
        </w:rPr>
        <w:t xml:space="preserve">is not possible. </w:t>
      </w:r>
    </w:p>
    <w:p w14:paraId="712C267D" w14:textId="77777777" w:rsidR="00C16827" w:rsidRDefault="00C16827" w:rsidP="00C16827">
      <w:pPr>
        <w:keepNext/>
        <w:ind w:right="46"/>
        <w:rPr>
          <w:rFonts w:ascii="Arial" w:hAnsi="Arial" w:cs="Arial"/>
          <w:sz w:val="22"/>
          <w:szCs w:val="22"/>
          <w:lang w:val="en-AU"/>
        </w:rPr>
      </w:pPr>
    </w:p>
    <w:p w14:paraId="712C267E" w14:textId="77777777" w:rsidR="00C16827" w:rsidRPr="00423F2C" w:rsidRDefault="00C16827" w:rsidP="00C16827">
      <w:pPr>
        <w:keepNext/>
        <w:ind w:right="46"/>
        <w:rPr>
          <w:rFonts w:ascii="Arial" w:hAnsi="Arial" w:cs="Arial"/>
          <w:sz w:val="22"/>
          <w:szCs w:val="22"/>
          <w:lang w:val="en-AU"/>
        </w:rPr>
      </w:pPr>
      <w:r>
        <w:rPr>
          <w:rFonts w:ascii="Arial" w:hAnsi="Arial" w:cs="Arial"/>
          <w:sz w:val="22"/>
          <w:szCs w:val="22"/>
          <w:lang w:val="en-AU"/>
        </w:rPr>
        <w:t xml:space="preserve">As a consequence of the extremely low solubility of </w:t>
      </w:r>
      <w:proofErr w:type="spellStart"/>
      <w:r>
        <w:rPr>
          <w:rFonts w:ascii="Arial" w:hAnsi="Arial" w:cs="Arial"/>
          <w:sz w:val="22"/>
          <w:szCs w:val="22"/>
          <w:lang w:val="en-AU"/>
        </w:rPr>
        <w:t>regorafenib</w:t>
      </w:r>
      <w:proofErr w:type="spellEnd"/>
      <w:r>
        <w:rPr>
          <w:rFonts w:ascii="Arial" w:hAnsi="Arial" w:cs="Arial"/>
          <w:sz w:val="22"/>
          <w:szCs w:val="22"/>
          <w:lang w:val="en-AU"/>
        </w:rPr>
        <w:t xml:space="preserve"> </w:t>
      </w:r>
      <w:r w:rsidR="009F67EF">
        <w:rPr>
          <w:rFonts w:ascii="Arial" w:hAnsi="Arial" w:cs="Arial"/>
          <w:sz w:val="22"/>
          <w:szCs w:val="22"/>
          <w:lang w:val="en-AU"/>
        </w:rPr>
        <w:t xml:space="preserve">(as </w:t>
      </w:r>
      <w:r>
        <w:rPr>
          <w:rFonts w:ascii="Arial" w:hAnsi="Arial" w:cs="Arial"/>
          <w:sz w:val="22"/>
          <w:szCs w:val="22"/>
          <w:lang w:val="en-AU"/>
        </w:rPr>
        <w:t>monohydrate</w:t>
      </w:r>
      <w:r w:rsidR="009F67EF">
        <w:rPr>
          <w:rFonts w:ascii="Arial" w:hAnsi="Arial" w:cs="Arial"/>
          <w:sz w:val="22"/>
          <w:szCs w:val="22"/>
          <w:lang w:val="en-AU"/>
        </w:rPr>
        <w:t>)</w:t>
      </w:r>
      <w:r>
        <w:rPr>
          <w:rFonts w:ascii="Arial" w:hAnsi="Arial" w:cs="Arial"/>
          <w:sz w:val="22"/>
          <w:szCs w:val="22"/>
          <w:lang w:val="en-AU"/>
        </w:rPr>
        <w:t xml:space="preserve"> in aqueous systems, the partition coeffi</w:t>
      </w:r>
      <w:r w:rsidR="009F67EF">
        <w:rPr>
          <w:rFonts w:ascii="Arial" w:hAnsi="Arial" w:cs="Arial"/>
          <w:sz w:val="22"/>
          <w:szCs w:val="22"/>
          <w:lang w:val="en-AU"/>
        </w:rPr>
        <w:t>cient</w:t>
      </w:r>
      <w:r>
        <w:rPr>
          <w:rFonts w:ascii="Arial" w:hAnsi="Arial" w:cs="Arial"/>
          <w:sz w:val="22"/>
          <w:szCs w:val="22"/>
          <w:lang w:val="en-AU"/>
        </w:rPr>
        <w:t xml:space="preserve"> has not been determined experimentally. </w:t>
      </w:r>
    </w:p>
    <w:p w14:paraId="712C267F" w14:textId="77777777" w:rsidR="00C16827" w:rsidRPr="0090345C" w:rsidRDefault="00C16827" w:rsidP="0090345C">
      <w:pPr>
        <w:rPr>
          <w:lang w:val="en-AU"/>
        </w:rPr>
      </w:pPr>
    </w:p>
    <w:p w14:paraId="712C2680" w14:textId="77777777" w:rsidR="001D1004" w:rsidRPr="003A5EE1" w:rsidRDefault="001D1004" w:rsidP="0090345C">
      <w:pPr>
        <w:pStyle w:val="Heading1"/>
        <w:spacing w:before="0" w:after="0" w:line="240" w:lineRule="auto"/>
        <w:ind w:right="46"/>
      </w:pPr>
      <w:r w:rsidRPr="003A5EE1">
        <w:t>DESCRIPTION</w:t>
      </w:r>
    </w:p>
    <w:p w14:paraId="712C2681" w14:textId="77777777" w:rsidR="0090345C" w:rsidRPr="0090345C" w:rsidRDefault="0090345C" w:rsidP="0090345C">
      <w:pPr>
        <w:rPr>
          <w:lang w:val="en-AU"/>
        </w:rPr>
      </w:pPr>
    </w:p>
    <w:p w14:paraId="712C2682" w14:textId="2A9E78E8" w:rsidR="00BE4D21" w:rsidRDefault="000C4062" w:rsidP="00CF7423">
      <w:pPr>
        <w:keepNext/>
        <w:ind w:right="46"/>
        <w:rPr>
          <w:rFonts w:ascii="Arial" w:hAnsi="Arial" w:cs="Arial"/>
          <w:sz w:val="22"/>
          <w:szCs w:val="22"/>
          <w:lang w:val="en-AU"/>
        </w:rPr>
      </w:pPr>
      <w:proofErr w:type="spellStart"/>
      <w:r w:rsidRPr="003A5EE1">
        <w:rPr>
          <w:rFonts w:ascii="Arial" w:hAnsi="Arial" w:cs="Arial"/>
          <w:sz w:val="22"/>
          <w:szCs w:val="22"/>
          <w:lang w:val="en-AU"/>
        </w:rPr>
        <w:t>Regorafenib</w:t>
      </w:r>
      <w:proofErr w:type="spellEnd"/>
      <w:r w:rsidR="00AE474A" w:rsidRPr="003A5EE1">
        <w:rPr>
          <w:rFonts w:ascii="Arial" w:hAnsi="Arial" w:cs="Arial"/>
          <w:sz w:val="22"/>
          <w:szCs w:val="22"/>
          <w:lang w:val="en-AU"/>
        </w:rPr>
        <w:t xml:space="preserve"> </w:t>
      </w:r>
      <w:r w:rsidR="00D342AE">
        <w:rPr>
          <w:rFonts w:ascii="Arial" w:hAnsi="Arial" w:cs="Arial"/>
          <w:sz w:val="22"/>
          <w:szCs w:val="22"/>
          <w:lang w:val="en-AU"/>
        </w:rPr>
        <w:t xml:space="preserve">(as </w:t>
      </w:r>
      <w:r w:rsidR="00AE474A" w:rsidRPr="003A5EE1">
        <w:rPr>
          <w:rFonts w:ascii="Arial" w:hAnsi="Arial" w:cs="Arial"/>
          <w:sz w:val="22"/>
          <w:szCs w:val="22"/>
          <w:lang w:val="en-AU"/>
        </w:rPr>
        <w:t>monohydrate</w:t>
      </w:r>
      <w:r w:rsidR="00D342AE">
        <w:rPr>
          <w:rFonts w:ascii="Arial" w:hAnsi="Arial" w:cs="Arial"/>
          <w:sz w:val="22"/>
          <w:szCs w:val="22"/>
          <w:lang w:val="en-AU"/>
        </w:rPr>
        <w:t>)</w:t>
      </w:r>
      <w:r w:rsidR="001D1004" w:rsidRPr="003A5EE1">
        <w:rPr>
          <w:rFonts w:ascii="Arial" w:hAnsi="Arial" w:cs="Arial"/>
          <w:sz w:val="22"/>
          <w:szCs w:val="22"/>
          <w:lang w:val="en-AU"/>
        </w:rPr>
        <w:t xml:space="preserve"> </w:t>
      </w:r>
      <w:r w:rsidRPr="003A5EE1">
        <w:rPr>
          <w:rFonts w:ascii="Arial" w:hAnsi="Arial" w:cs="Arial"/>
          <w:sz w:val="22"/>
          <w:szCs w:val="22"/>
          <w:lang w:val="en-AU"/>
        </w:rPr>
        <w:t xml:space="preserve">is a white to pink or brownish solid substance. </w:t>
      </w:r>
      <w:proofErr w:type="spellStart"/>
      <w:r w:rsidRPr="003A5EE1">
        <w:rPr>
          <w:rFonts w:ascii="Arial" w:hAnsi="Arial" w:cs="Arial"/>
          <w:sz w:val="22"/>
          <w:szCs w:val="22"/>
          <w:lang w:val="en-AU"/>
        </w:rPr>
        <w:t>Regorafenib</w:t>
      </w:r>
      <w:proofErr w:type="spellEnd"/>
      <w:r w:rsidRPr="003A5EE1">
        <w:rPr>
          <w:rFonts w:ascii="Arial" w:hAnsi="Arial" w:cs="Arial"/>
          <w:sz w:val="22"/>
          <w:szCs w:val="22"/>
          <w:lang w:val="en-AU"/>
        </w:rPr>
        <w:t xml:space="preserve"> </w:t>
      </w:r>
      <w:r w:rsidR="00D342AE">
        <w:rPr>
          <w:rFonts w:ascii="Arial" w:hAnsi="Arial" w:cs="Arial"/>
          <w:sz w:val="22"/>
          <w:szCs w:val="22"/>
          <w:lang w:val="en-AU"/>
        </w:rPr>
        <w:t xml:space="preserve">(as </w:t>
      </w:r>
      <w:r w:rsidR="00AE474A" w:rsidRPr="003A5EE1">
        <w:rPr>
          <w:rFonts w:ascii="Arial" w:hAnsi="Arial" w:cs="Arial"/>
          <w:sz w:val="22"/>
          <w:szCs w:val="22"/>
          <w:lang w:val="en-AU"/>
        </w:rPr>
        <w:t>monohydrate</w:t>
      </w:r>
      <w:r w:rsidR="00D342AE">
        <w:rPr>
          <w:rFonts w:ascii="Arial" w:hAnsi="Arial" w:cs="Arial"/>
          <w:sz w:val="22"/>
          <w:szCs w:val="22"/>
          <w:lang w:val="en-AU"/>
        </w:rPr>
        <w:t>)</w:t>
      </w:r>
      <w:r w:rsidR="00AE474A" w:rsidRPr="003A5EE1">
        <w:rPr>
          <w:rFonts w:ascii="Arial" w:hAnsi="Arial" w:cs="Arial"/>
          <w:sz w:val="22"/>
          <w:szCs w:val="22"/>
          <w:lang w:val="en-AU"/>
        </w:rPr>
        <w:t xml:space="preserve"> </w:t>
      </w:r>
      <w:r w:rsidRPr="003A5EE1">
        <w:rPr>
          <w:rFonts w:ascii="Arial" w:hAnsi="Arial" w:cs="Arial"/>
          <w:sz w:val="22"/>
          <w:szCs w:val="22"/>
          <w:lang w:val="en-AU"/>
        </w:rPr>
        <w:t>is practically insoluble in water between pH 1 and 13.</w:t>
      </w:r>
      <w:r w:rsidR="0036132D" w:rsidRPr="003A5EE1">
        <w:rPr>
          <w:rFonts w:ascii="Arial" w:hAnsi="Arial" w:cs="Arial"/>
          <w:sz w:val="22"/>
          <w:szCs w:val="22"/>
          <w:lang w:val="en-AU"/>
        </w:rPr>
        <w:t xml:space="preserve"> </w:t>
      </w:r>
      <w:proofErr w:type="spellStart"/>
      <w:r w:rsidRPr="003A5EE1">
        <w:rPr>
          <w:rFonts w:ascii="Arial" w:hAnsi="Arial" w:cs="Arial"/>
          <w:sz w:val="22"/>
          <w:szCs w:val="22"/>
          <w:lang w:val="en-AU"/>
        </w:rPr>
        <w:t>Regorafenib</w:t>
      </w:r>
      <w:proofErr w:type="spellEnd"/>
      <w:r w:rsidRPr="003A5EE1">
        <w:rPr>
          <w:rFonts w:ascii="Arial" w:hAnsi="Arial" w:cs="Arial"/>
          <w:sz w:val="22"/>
          <w:szCs w:val="22"/>
          <w:lang w:val="en-AU"/>
        </w:rPr>
        <w:t xml:space="preserve"> </w:t>
      </w:r>
      <w:r w:rsidR="00AE474A" w:rsidRPr="003A5EE1">
        <w:rPr>
          <w:rFonts w:ascii="Arial" w:hAnsi="Arial" w:cs="Arial"/>
          <w:sz w:val="22"/>
          <w:szCs w:val="22"/>
          <w:lang w:val="en-AU"/>
        </w:rPr>
        <w:t xml:space="preserve">monohydrate </w:t>
      </w:r>
      <w:r w:rsidRPr="003A5EE1">
        <w:rPr>
          <w:rFonts w:ascii="Arial" w:hAnsi="Arial" w:cs="Arial"/>
          <w:sz w:val="22"/>
          <w:szCs w:val="22"/>
          <w:lang w:val="en-AU"/>
        </w:rPr>
        <w:t xml:space="preserve">is not hygroscopic. </w:t>
      </w:r>
      <w:proofErr w:type="spellStart"/>
      <w:r w:rsidR="000370B3" w:rsidRPr="003A5EE1">
        <w:rPr>
          <w:rFonts w:ascii="Arial" w:hAnsi="Arial" w:cs="Arial"/>
          <w:sz w:val="22"/>
          <w:szCs w:val="22"/>
          <w:lang w:val="en-AU"/>
        </w:rPr>
        <w:t>Regorafenib</w:t>
      </w:r>
      <w:proofErr w:type="spellEnd"/>
      <w:r w:rsidR="00AE474A" w:rsidRPr="003A5EE1">
        <w:rPr>
          <w:rFonts w:ascii="Arial" w:hAnsi="Arial" w:cs="Arial"/>
          <w:sz w:val="22"/>
          <w:szCs w:val="22"/>
          <w:lang w:val="en-AU"/>
        </w:rPr>
        <w:t xml:space="preserve"> monohydrate is practically insoluble in 0.1M </w:t>
      </w:r>
      <w:proofErr w:type="spellStart"/>
      <w:r w:rsidR="00AE474A" w:rsidRPr="003A5EE1">
        <w:rPr>
          <w:rFonts w:ascii="Arial" w:hAnsi="Arial" w:cs="Arial"/>
          <w:sz w:val="22"/>
          <w:szCs w:val="22"/>
          <w:lang w:val="en-AU"/>
        </w:rPr>
        <w:t>HCl</w:t>
      </w:r>
      <w:proofErr w:type="spellEnd"/>
      <w:r w:rsidR="00AE474A" w:rsidRPr="003A5EE1">
        <w:rPr>
          <w:rFonts w:ascii="Arial" w:hAnsi="Arial" w:cs="Arial"/>
          <w:sz w:val="22"/>
          <w:szCs w:val="22"/>
          <w:lang w:val="en-AU"/>
        </w:rPr>
        <w:t xml:space="preserve">, </w:t>
      </w:r>
      <w:r w:rsidR="000370B3" w:rsidRPr="003A5EE1">
        <w:rPr>
          <w:rFonts w:ascii="Arial" w:hAnsi="Arial" w:cs="Arial"/>
          <w:sz w:val="22"/>
          <w:szCs w:val="22"/>
          <w:lang w:val="en-AU"/>
        </w:rPr>
        <w:t>s</w:t>
      </w:r>
      <w:r w:rsidR="00951E60" w:rsidRPr="003A5EE1">
        <w:rPr>
          <w:rFonts w:ascii="Arial" w:hAnsi="Arial" w:cs="Arial"/>
          <w:sz w:val="22"/>
          <w:szCs w:val="22"/>
          <w:lang w:val="en-AU"/>
        </w:rPr>
        <w:t xml:space="preserve">lightly soluble in methanol </w:t>
      </w:r>
      <w:r w:rsidR="00E1134D">
        <w:rPr>
          <w:rFonts w:ascii="Arial" w:hAnsi="Arial" w:cs="Arial"/>
          <w:sz w:val="22"/>
          <w:szCs w:val="22"/>
          <w:lang w:val="en-AU"/>
        </w:rPr>
        <w:t xml:space="preserve">and </w:t>
      </w:r>
      <w:r w:rsidR="00AE474A" w:rsidRPr="003A5EE1">
        <w:rPr>
          <w:rFonts w:ascii="Arial" w:hAnsi="Arial" w:cs="Arial"/>
          <w:sz w:val="22"/>
          <w:szCs w:val="22"/>
          <w:lang w:val="en-AU"/>
        </w:rPr>
        <w:t xml:space="preserve">ethanol and sparingly soluble in acetone. </w:t>
      </w:r>
    </w:p>
    <w:p w14:paraId="712C2683" w14:textId="77777777" w:rsidR="00C16827" w:rsidRPr="003A5EE1" w:rsidRDefault="00C16827" w:rsidP="00CF7423">
      <w:pPr>
        <w:keepNext/>
        <w:ind w:right="46"/>
        <w:rPr>
          <w:rFonts w:ascii="Arial" w:hAnsi="Arial" w:cs="Arial"/>
          <w:sz w:val="22"/>
          <w:szCs w:val="22"/>
          <w:lang w:val="en-AU"/>
        </w:rPr>
      </w:pPr>
    </w:p>
    <w:p w14:paraId="712C2684" w14:textId="77777777" w:rsidR="000370B3" w:rsidRPr="003A5EE1" w:rsidRDefault="000370B3" w:rsidP="00313A75">
      <w:pPr>
        <w:rPr>
          <w:rFonts w:ascii="Arial" w:hAnsi="Arial" w:cs="Arial"/>
          <w:sz w:val="22"/>
          <w:szCs w:val="22"/>
        </w:rPr>
      </w:pPr>
      <w:r w:rsidRPr="003A5EE1">
        <w:rPr>
          <w:rFonts w:ascii="Arial" w:hAnsi="Arial" w:cs="Arial"/>
          <w:sz w:val="22"/>
          <w:szCs w:val="22"/>
        </w:rPr>
        <w:t xml:space="preserve">Each </w:t>
      </w:r>
      <w:r w:rsidR="00601DFC">
        <w:rPr>
          <w:rFonts w:ascii="Arial" w:hAnsi="Arial" w:cs="Arial"/>
          <w:sz w:val="22"/>
          <w:szCs w:val="22"/>
        </w:rPr>
        <w:t xml:space="preserve">STIVARGA </w:t>
      </w:r>
      <w:r w:rsidRPr="003A5EE1">
        <w:rPr>
          <w:rFonts w:ascii="Arial" w:hAnsi="Arial" w:cs="Arial"/>
          <w:sz w:val="22"/>
          <w:szCs w:val="22"/>
        </w:rPr>
        <w:t xml:space="preserve">tablet contains 40 mg </w:t>
      </w:r>
      <w:proofErr w:type="spellStart"/>
      <w:r w:rsidRPr="003A5EE1">
        <w:rPr>
          <w:rFonts w:ascii="Arial" w:hAnsi="Arial" w:cs="Arial"/>
          <w:sz w:val="22"/>
          <w:szCs w:val="22"/>
        </w:rPr>
        <w:t>regorafenib</w:t>
      </w:r>
      <w:proofErr w:type="spellEnd"/>
      <w:r w:rsidR="00AE474A" w:rsidRPr="003A5EE1">
        <w:rPr>
          <w:rFonts w:ascii="Arial" w:hAnsi="Arial" w:cs="Arial"/>
          <w:sz w:val="22"/>
          <w:szCs w:val="22"/>
        </w:rPr>
        <w:t xml:space="preserve"> (as 41.49 mg </w:t>
      </w:r>
      <w:proofErr w:type="spellStart"/>
      <w:r w:rsidR="00AE474A" w:rsidRPr="003A5EE1">
        <w:rPr>
          <w:rFonts w:ascii="Arial" w:hAnsi="Arial" w:cs="Arial"/>
          <w:sz w:val="22"/>
          <w:szCs w:val="22"/>
        </w:rPr>
        <w:t>regorafenib</w:t>
      </w:r>
      <w:proofErr w:type="spellEnd"/>
      <w:r w:rsidR="00AE474A" w:rsidRPr="003A5EE1">
        <w:rPr>
          <w:rFonts w:ascii="Arial" w:hAnsi="Arial" w:cs="Arial"/>
          <w:sz w:val="22"/>
          <w:szCs w:val="22"/>
        </w:rPr>
        <w:t xml:space="preserve"> monohydrate) and</w:t>
      </w:r>
      <w:r w:rsidRPr="003A5EE1">
        <w:rPr>
          <w:rFonts w:ascii="Arial" w:hAnsi="Arial" w:cs="Arial"/>
          <w:sz w:val="22"/>
          <w:szCs w:val="22"/>
        </w:rPr>
        <w:t xml:space="preserve"> the following excipients </w:t>
      </w:r>
      <w:proofErr w:type="spellStart"/>
      <w:r w:rsidRPr="003A5EE1">
        <w:rPr>
          <w:rFonts w:ascii="Arial" w:hAnsi="Arial" w:cs="Arial"/>
          <w:sz w:val="22"/>
          <w:szCs w:val="22"/>
        </w:rPr>
        <w:t>croscarmellose</w:t>
      </w:r>
      <w:proofErr w:type="spellEnd"/>
      <w:r w:rsidRPr="003A5EE1">
        <w:rPr>
          <w:rFonts w:ascii="Arial" w:hAnsi="Arial" w:cs="Arial"/>
          <w:sz w:val="22"/>
          <w:szCs w:val="22"/>
        </w:rPr>
        <w:t xml:space="preserve"> sodium, magnesium stearate, microcrystalline cellulose, </w:t>
      </w:r>
      <w:proofErr w:type="spellStart"/>
      <w:r w:rsidRPr="003A5EE1">
        <w:rPr>
          <w:rFonts w:ascii="Arial" w:hAnsi="Arial" w:cs="Arial"/>
          <w:sz w:val="22"/>
          <w:szCs w:val="22"/>
        </w:rPr>
        <w:t>povidone</w:t>
      </w:r>
      <w:proofErr w:type="spellEnd"/>
      <w:r w:rsidRPr="003A5EE1">
        <w:rPr>
          <w:rFonts w:ascii="Arial" w:hAnsi="Arial" w:cs="Arial"/>
          <w:sz w:val="22"/>
          <w:szCs w:val="22"/>
        </w:rPr>
        <w:t xml:space="preserve">, silica colloidal anhydrous, iron oxide red, iron oxide yellow, lecithin, </w:t>
      </w:r>
      <w:proofErr w:type="spellStart"/>
      <w:r w:rsidRPr="003A5EE1">
        <w:rPr>
          <w:rFonts w:ascii="Arial" w:hAnsi="Arial" w:cs="Arial"/>
          <w:sz w:val="22"/>
          <w:szCs w:val="22"/>
        </w:rPr>
        <w:t>macrogol</w:t>
      </w:r>
      <w:proofErr w:type="spellEnd"/>
      <w:r w:rsidR="00AE474A" w:rsidRPr="003A5EE1">
        <w:rPr>
          <w:rFonts w:ascii="Arial" w:hAnsi="Arial" w:cs="Arial"/>
          <w:sz w:val="22"/>
          <w:szCs w:val="22"/>
        </w:rPr>
        <w:t xml:space="preserve"> 3350</w:t>
      </w:r>
      <w:r w:rsidRPr="003A5EE1">
        <w:rPr>
          <w:rFonts w:ascii="Arial" w:hAnsi="Arial" w:cs="Arial"/>
          <w:sz w:val="22"/>
          <w:szCs w:val="22"/>
        </w:rPr>
        <w:t>, polyvinyl alcohol</w:t>
      </w:r>
      <w:r w:rsidR="00AE474A" w:rsidRPr="003A5EE1">
        <w:rPr>
          <w:rFonts w:ascii="Arial" w:hAnsi="Arial" w:cs="Arial"/>
          <w:sz w:val="22"/>
          <w:szCs w:val="22"/>
        </w:rPr>
        <w:t xml:space="preserve">, </w:t>
      </w:r>
      <w:r w:rsidR="007B431E" w:rsidRPr="003A5EE1">
        <w:rPr>
          <w:rFonts w:ascii="Arial" w:hAnsi="Arial" w:cs="Arial"/>
          <w:sz w:val="22"/>
          <w:szCs w:val="22"/>
        </w:rPr>
        <w:t xml:space="preserve">purified </w:t>
      </w:r>
      <w:r w:rsidR="00AE474A" w:rsidRPr="003A5EE1">
        <w:rPr>
          <w:rFonts w:ascii="Arial" w:hAnsi="Arial" w:cs="Arial"/>
          <w:sz w:val="22"/>
          <w:szCs w:val="22"/>
        </w:rPr>
        <w:t>talc</w:t>
      </w:r>
      <w:r w:rsidRPr="003A5EE1">
        <w:rPr>
          <w:rFonts w:ascii="Arial" w:hAnsi="Arial" w:cs="Arial"/>
          <w:sz w:val="22"/>
          <w:szCs w:val="22"/>
        </w:rPr>
        <w:t xml:space="preserve"> and titanium dioxide. </w:t>
      </w:r>
    </w:p>
    <w:p w14:paraId="712C2685" w14:textId="77777777" w:rsidR="004E3595" w:rsidRPr="00F34FCB" w:rsidRDefault="004E3595" w:rsidP="00F34FCB">
      <w:pPr>
        <w:rPr>
          <w:lang w:val="en-AU"/>
        </w:rPr>
      </w:pPr>
    </w:p>
    <w:p w14:paraId="712C2686" w14:textId="77777777" w:rsidR="001D1004" w:rsidRPr="003A5EE1" w:rsidRDefault="001D1004" w:rsidP="0034700C">
      <w:pPr>
        <w:pStyle w:val="Heading1"/>
        <w:spacing w:before="0" w:after="0" w:line="240" w:lineRule="auto"/>
        <w:ind w:right="46"/>
        <w:jc w:val="left"/>
      </w:pPr>
      <w:r w:rsidRPr="003A5EE1">
        <w:t>PHARMACOLOGY</w:t>
      </w:r>
    </w:p>
    <w:p w14:paraId="712C2687" w14:textId="77777777" w:rsidR="00F34FCB" w:rsidRPr="00F34FCB" w:rsidRDefault="00F34FCB" w:rsidP="0034700C">
      <w:pPr>
        <w:keepNext/>
        <w:rPr>
          <w:lang w:val="en-AU"/>
        </w:rPr>
      </w:pPr>
    </w:p>
    <w:p w14:paraId="712C2688" w14:textId="77777777" w:rsidR="001D1004" w:rsidRPr="003A5EE1" w:rsidRDefault="001D1004" w:rsidP="0034700C">
      <w:pPr>
        <w:keepNext/>
        <w:ind w:right="46"/>
        <w:jc w:val="both"/>
        <w:rPr>
          <w:rFonts w:ascii="Arial" w:hAnsi="Arial" w:cs="Arial"/>
          <w:b/>
          <w:bCs/>
          <w:noProof/>
          <w:sz w:val="22"/>
          <w:szCs w:val="22"/>
          <w:lang w:val="en-AU"/>
        </w:rPr>
      </w:pPr>
      <w:r w:rsidRPr="003A5EE1">
        <w:rPr>
          <w:rFonts w:ascii="Arial" w:hAnsi="Arial" w:cs="Arial"/>
          <w:b/>
          <w:bCs/>
          <w:noProof/>
          <w:sz w:val="22"/>
          <w:szCs w:val="22"/>
          <w:lang w:val="en-AU"/>
        </w:rPr>
        <w:t>Pharmacodynamic properties</w:t>
      </w:r>
    </w:p>
    <w:p w14:paraId="712C2689" w14:textId="77777777" w:rsidR="004E3595" w:rsidRPr="003A5EE1" w:rsidRDefault="004E3595" w:rsidP="00FF61DF">
      <w:pPr>
        <w:keepNext/>
        <w:ind w:right="46"/>
        <w:jc w:val="both"/>
        <w:rPr>
          <w:rFonts w:ascii="Arial" w:hAnsi="Arial" w:cs="Arial"/>
          <w:b/>
          <w:bCs/>
          <w:noProof/>
          <w:sz w:val="22"/>
          <w:szCs w:val="22"/>
          <w:lang w:val="en-AU"/>
        </w:rPr>
      </w:pPr>
    </w:p>
    <w:p w14:paraId="712C268A" w14:textId="77777777" w:rsidR="001D1004" w:rsidRPr="003A5EE1" w:rsidRDefault="001D1004" w:rsidP="009D623A">
      <w:pPr>
        <w:pStyle w:val="Default"/>
        <w:keepNext/>
        <w:widowControl/>
        <w:ind w:right="46"/>
        <w:jc w:val="both"/>
        <w:rPr>
          <w:rFonts w:ascii="Arial" w:hAnsi="Arial" w:cs="Arial"/>
          <w:b/>
          <w:i/>
          <w:sz w:val="22"/>
          <w:szCs w:val="22"/>
          <w:lang w:val="en-AU"/>
        </w:rPr>
      </w:pPr>
      <w:proofErr w:type="spellStart"/>
      <w:r w:rsidRPr="003A5EE1">
        <w:rPr>
          <w:rFonts w:ascii="Arial" w:hAnsi="Arial" w:cs="Arial"/>
          <w:b/>
          <w:i/>
          <w:sz w:val="22"/>
          <w:szCs w:val="22"/>
          <w:lang w:val="en-AU"/>
        </w:rPr>
        <w:t>Pharmacodynamic</w:t>
      </w:r>
      <w:proofErr w:type="spellEnd"/>
      <w:r w:rsidRPr="003A5EE1">
        <w:rPr>
          <w:rFonts w:ascii="Arial" w:hAnsi="Arial" w:cs="Arial"/>
          <w:b/>
          <w:i/>
          <w:sz w:val="22"/>
          <w:szCs w:val="22"/>
          <w:lang w:val="en-AU"/>
        </w:rPr>
        <w:t xml:space="preserve"> effects</w:t>
      </w:r>
    </w:p>
    <w:p w14:paraId="712C268B" w14:textId="77777777" w:rsidR="001F55B3" w:rsidRPr="003A5EE1" w:rsidRDefault="001F55B3" w:rsidP="00BF6D9F">
      <w:pPr>
        <w:pStyle w:val="Default"/>
        <w:keepNext/>
        <w:widowControl/>
        <w:ind w:right="46"/>
        <w:jc w:val="both"/>
        <w:rPr>
          <w:rFonts w:ascii="Arial" w:hAnsi="Arial" w:cs="Arial"/>
          <w:b/>
          <w:i/>
          <w:sz w:val="22"/>
          <w:szCs w:val="22"/>
          <w:lang w:val="en-AU"/>
        </w:rPr>
      </w:pPr>
    </w:p>
    <w:p w14:paraId="712C268C" w14:textId="77777777" w:rsidR="000370B3" w:rsidRPr="003A5EE1" w:rsidRDefault="000370B3" w:rsidP="0034700C">
      <w:pPr>
        <w:pStyle w:val="BayerBodyTextFull"/>
        <w:keepNext/>
        <w:spacing w:before="0" w:after="0"/>
        <w:rPr>
          <w:rFonts w:ascii="Arial" w:hAnsi="Arial" w:cs="Arial"/>
          <w:sz w:val="22"/>
          <w:szCs w:val="22"/>
        </w:rPr>
      </w:pP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is an oral </w:t>
      </w:r>
      <w:r w:rsidR="00DC4328" w:rsidRPr="003A5EE1">
        <w:rPr>
          <w:rFonts w:ascii="Arial" w:hAnsi="Arial" w:cs="Arial"/>
          <w:sz w:val="22"/>
          <w:szCs w:val="22"/>
        </w:rPr>
        <w:t>anti-</w:t>
      </w:r>
      <w:proofErr w:type="spellStart"/>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w:t>
      </w:r>
      <w:proofErr w:type="spellEnd"/>
      <w:r w:rsidRPr="003A5EE1">
        <w:rPr>
          <w:rFonts w:ascii="Arial" w:hAnsi="Arial" w:cs="Arial"/>
          <w:sz w:val="22"/>
          <w:szCs w:val="22"/>
        </w:rPr>
        <w:t xml:space="preserve"> agent that potently blocks multiple protein kinases, including kinases involved in </w:t>
      </w:r>
      <w:proofErr w:type="spellStart"/>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w:t>
      </w:r>
      <w:proofErr w:type="spellEnd"/>
      <w:r w:rsidRPr="003A5EE1">
        <w:rPr>
          <w:rFonts w:ascii="Arial" w:hAnsi="Arial" w:cs="Arial"/>
          <w:sz w:val="22"/>
          <w:szCs w:val="22"/>
        </w:rPr>
        <w:t xml:space="preserve"> angiogenesis (VEGFR1, -2, -3, TIE2), </w:t>
      </w:r>
      <w:proofErr w:type="spellStart"/>
      <w:r w:rsidRPr="003A5EE1">
        <w:rPr>
          <w:rFonts w:ascii="Arial" w:hAnsi="Arial" w:cs="Arial"/>
          <w:sz w:val="22"/>
          <w:szCs w:val="22"/>
        </w:rPr>
        <w:t>oncogenesis</w:t>
      </w:r>
      <w:proofErr w:type="spellEnd"/>
      <w:r w:rsidRPr="003A5EE1">
        <w:rPr>
          <w:rFonts w:ascii="Arial" w:hAnsi="Arial" w:cs="Arial"/>
          <w:sz w:val="22"/>
          <w:szCs w:val="22"/>
        </w:rPr>
        <w:t xml:space="preserve"> (KIT, RET, RAF-</w:t>
      </w:r>
      <w:r w:rsidRPr="003A5EE1">
        <w:rPr>
          <w:rFonts w:ascii="Arial" w:hAnsi="Arial" w:cs="Arial"/>
          <w:sz w:val="22"/>
          <w:szCs w:val="22"/>
        </w:rPr>
        <w:lastRenderedPageBreak/>
        <w:t xml:space="preserve">1, BRAF), and the </w:t>
      </w:r>
      <w:proofErr w:type="spellStart"/>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w:t>
      </w:r>
      <w:proofErr w:type="spellEnd"/>
      <w:r w:rsidRPr="003A5EE1">
        <w:rPr>
          <w:rFonts w:ascii="Arial" w:hAnsi="Arial" w:cs="Arial"/>
          <w:sz w:val="22"/>
          <w:szCs w:val="22"/>
        </w:rPr>
        <w:t xml:space="preserve"> microenvironment (PDGFR, FGFR). </w:t>
      </w:r>
      <w:r w:rsidR="00B27BED">
        <w:rPr>
          <w:rFonts w:ascii="Arial" w:hAnsi="Arial" w:cs="Arial"/>
          <w:sz w:val="22"/>
          <w:szCs w:val="22"/>
        </w:rPr>
        <w:t xml:space="preserve">In particular, </w:t>
      </w:r>
      <w:proofErr w:type="spellStart"/>
      <w:r w:rsidR="00B27BED">
        <w:rPr>
          <w:rFonts w:ascii="Arial" w:hAnsi="Arial" w:cs="Arial"/>
          <w:sz w:val="22"/>
          <w:szCs w:val="22"/>
        </w:rPr>
        <w:t>regorafenib</w:t>
      </w:r>
      <w:proofErr w:type="spellEnd"/>
      <w:r w:rsidR="00B27BED">
        <w:rPr>
          <w:rFonts w:ascii="Arial" w:hAnsi="Arial" w:cs="Arial"/>
          <w:sz w:val="22"/>
          <w:szCs w:val="22"/>
        </w:rPr>
        <w:t xml:space="preserve"> inhibits m</w:t>
      </w:r>
      <w:r w:rsidR="00F548A0">
        <w:rPr>
          <w:rFonts w:ascii="Arial" w:hAnsi="Arial" w:cs="Arial"/>
          <w:sz w:val="22"/>
          <w:szCs w:val="22"/>
        </w:rPr>
        <w:t xml:space="preserve">utated KIT, a major oncogenic driver in gastrointestinal stromal </w:t>
      </w:r>
      <w:proofErr w:type="spellStart"/>
      <w:r w:rsidR="00F548A0">
        <w:rPr>
          <w:rFonts w:ascii="Arial" w:hAnsi="Arial" w:cs="Arial"/>
          <w:sz w:val="22"/>
          <w:szCs w:val="22"/>
        </w:rPr>
        <w:t>tumours</w:t>
      </w:r>
      <w:proofErr w:type="spellEnd"/>
      <w:r w:rsidR="00F548A0">
        <w:rPr>
          <w:rFonts w:ascii="Arial" w:hAnsi="Arial" w:cs="Arial"/>
          <w:sz w:val="22"/>
          <w:szCs w:val="22"/>
        </w:rPr>
        <w:t xml:space="preserve"> and thereby blocks </w:t>
      </w:r>
      <w:proofErr w:type="spellStart"/>
      <w:r w:rsidR="00F548A0">
        <w:rPr>
          <w:rFonts w:ascii="Arial" w:hAnsi="Arial" w:cs="Arial"/>
          <w:sz w:val="22"/>
          <w:szCs w:val="22"/>
        </w:rPr>
        <w:t>tumour</w:t>
      </w:r>
      <w:proofErr w:type="spellEnd"/>
      <w:r w:rsidR="00F548A0">
        <w:rPr>
          <w:rFonts w:ascii="Arial" w:hAnsi="Arial" w:cs="Arial"/>
          <w:sz w:val="22"/>
          <w:szCs w:val="22"/>
        </w:rPr>
        <w:t xml:space="preserve"> cell proliferation. </w:t>
      </w:r>
      <w:r w:rsidRPr="003A5EE1">
        <w:rPr>
          <w:rFonts w:ascii="Arial" w:hAnsi="Arial" w:cs="Arial"/>
          <w:sz w:val="22"/>
          <w:szCs w:val="22"/>
        </w:rPr>
        <w:t xml:space="preserve">In </w:t>
      </w:r>
      <w:r w:rsidR="00DC4328" w:rsidRPr="003A5EE1">
        <w:rPr>
          <w:rFonts w:ascii="Arial" w:hAnsi="Arial" w:cs="Arial"/>
          <w:sz w:val="22"/>
          <w:szCs w:val="22"/>
        </w:rPr>
        <w:t>non</w:t>
      </w:r>
      <w:r w:rsidRPr="003A5EE1">
        <w:rPr>
          <w:rFonts w:ascii="Arial" w:hAnsi="Arial" w:cs="Arial"/>
          <w:sz w:val="22"/>
          <w:szCs w:val="22"/>
        </w:rPr>
        <w:t xml:space="preserve">clinical studies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has demonstrated anti</w:t>
      </w:r>
      <w:r w:rsidR="00EB6DBB" w:rsidRPr="003A5EE1">
        <w:rPr>
          <w:rFonts w:ascii="Arial" w:hAnsi="Arial" w:cs="Arial"/>
          <w:sz w:val="22"/>
          <w:szCs w:val="22"/>
        </w:rPr>
        <w:t>-</w:t>
      </w:r>
      <w:proofErr w:type="spellStart"/>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w:t>
      </w:r>
      <w:proofErr w:type="spellEnd"/>
      <w:r w:rsidRPr="003A5EE1">
        <w:rPr>
          <w:rFonts w:ascii="Arial" w:hAnsi="Arial" w:cs="Arial"/>
          <w:sz w:val="22"/>
          <w:szCs w:val="22"/>
        </w:rPr>
        <w:t xml:space="preserve"> activity in a broad spectrum of </w:t>
      </w:r>
      <w:r w:rsidR="00DC4328" w:rsidRPr="003A5EE1">
        <w:rPr>
          <w:rFonts w:ascii="Arial" w:hAnsi="Arial" w:cs="Arial"/>
          <w:i/>
          <w:sz w:val="22"/>
          <w:szCs w:val="22"/>
        </w:rPr>
        <w:t>in vivo</w:t>
      </w:r>
      <w:r w:rsidR="00DC4328" w:rsidRPr="003A5EE1">
        <w:rPr>
          <w:rFonts w:ascii="Arial" w:hAnsi="Arial" w:cs="Arial"/>
          <w:sz w:val="22"/>
          <w:szCs w:val="22"/>
        </w:rPr>
        <w:t xml:space="preserve"> </w:t>
      </w:r>
      <w:proofErr w:type="spellStart"/>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w:t>
      </w:r>
      <w:proofErr w:type="spellEnd"/>
      <w:r w:rsidRPr="003A5EE1">
        <w:rPr>
          <w:rFonts w:ascii="Arial" w:hAnsi="Arial" w:cs="Arial"/>
          <w:sz w:val="22"/>
          <w:szCs w:val="22"/>
        </w:rPr>
        <w:t xml:space="preserve"> models </w:t>
      </w:r>
      <w:r w:rsidR="00F548A0">
        <w:rPr>
          <w:rFonts w:ascii="Arial" w:hAnsi="Arial" w:cs="Arial"/>
          <w:sz w:val="22"/>
          <w:szCs w:val="22"/>
        </w:rPr>
        <w:t xml:space="preserve">including </w:t>
      </w:r>
      <w:r w:rsidR="006C3E63">
        <w:rPr>
          <w:rFonts w:ascii="Arial" w:hAnsi="Arial" w:cs="Arial"/>
          <w:sz w:val="22"/>
          <w:szCs w:val="22"/>
        </w:rPr>
        <w:t xml:space="preserve">colorectal and </w:t>
      </w:r>
      <w:r w:rsidR="00F548A0">
        <w:rPr>
          <w:rFonts w:ascii="Arial" w:hAnsi="Arial" w:cs="Arial"/>
          <w:sz w:val="22"/>
          <w:szCs w:val="22"/>
        </w:rPr>
        <w:t xml:space="preserve">gastrointestinal stromal </w:t>
      </w:r>
      <w:proofErr w:type="spellStart"/>
      <w:r w:rsidR="00F548A0">
        <w:rPr>
          <w:rFonts w:ascii="Arial" w:hAnsi="Arial" w:cs="Arial"/>
          <w:sz w:val="22"/>
          <w:szCs w:val="22"/>
        </w:rPr>
        <w:t>tumour</w:t>
      </w:r>
      <w:proofErr w:type="spellEnd"/>
      <w:r w:rsidR="00F548A0">
        <w:rPr>
          <w:rFonts w:ascii="Arial" w:hAnsi="Arial" w:cs="Arial"/>
          <w:sz w:val="22"/>
          <w:szCs w:val="22"/>
        </w:rPr>
        <w:t xml:space="preserve"> </w:t>
      </w:r>
      <w:r w:rsidR="00F00CDC">
        <w:rPr>
          <w:rFonts w:ascii="Arial" w:hAnsi="Arial" w:cs="Arial"/>
          <w:sz w:val="22"/>
          <w:szCs w:val="22"/>
        </w:rPr>
        <w:t xml:space="preserve">models </w:t>
      </w:r>
      <w:r w:rsidR="004F2204" w:rsidRPr="003A5EE1">
        <w:rPr>
          <w:rFonts w:ascii="Arial" w:hAnsi="Arial" w:cs="Arial"/>
          <w:sz w:val="22"/>
          <w:szCs w:val="22"/>
        </w:rPr>
        <w:t>presumed</w:t>
      </w:r>
      <w:r w:rsidR="00DC4328" w:rsidRPr="003A5EE1">
        <w:rPr>
          <w:rFonts w:ascii="Arial" w:hAnsi="Arial" w:cs="Arial"/>
          <w:sz w:val="22"/>
          <w:szCs w:val="22"/>
        </w:rPr>
        <w:t xml:space="preserve"> to be </w:t>
      </w:r>
      <w:r w:rsidRPr="003A5EE1">
        <w:rPr>
          <w:rFonts w:ascii="Arial" w:hAnsi="Arial" w:cs="Arial"/>
          <w:sz w:val="22"/>
          <w:szCs w:val="22"/>
        </w:rPr>
        <w:t>mediated both by its anti</w:t>
      </w:r>
      <w:r w:rsidR="00EB6DBB" w:rsidRPr="003A5EE1">
        <w:rPr>
          <w:rFonts w:ascii="Arial" w:hAnsi="Arial" w:cs="Arial"/>
          <w:sz w:val="22"/>
          <w:szCs w:val="22"/>
        </w:rPr>
        <w:t>-</w:t>
      </w:r>
      <w:r w:rsidRPr="003A5EE1">
        <w:rPr>
          <w:rFonts w:ascii="Arial" w:hAnsi="Arial" w:cs="Arial"/>
          <w:sz w:val="22"/>
          <w:szCs w:val="22"/>
        </w:rPr>
        <w:t>angiogenic and anti</w:t>
      </w:r>
      <w:r w:rsidR="00EB6DBB" w:rsidRPr="003A5EE1">
        <w:rPr>
          <w:rFonts w:ascii="Arial" w:hAnsi="Arial" w:cs="Arial"/>
          <w:sz w:val="22"/>
          <w:szCs w:val="22"/>
        </w:rPr>
        <w:t>-</w:t>
      </w:r>
      <w:r w:rsidRPr="003A5EE1">
        <w:rPr>
          <w:rFonts w:ascii="Arial" w:hAnsi="Arial" w:cs="Arial"/>
          <w:sz w:val="22"/>
          <w:szCs w:val="22"/>
        </w:rPr>
        <w:t xml:space="preserve">proliferative effects. In addition,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has shown anti-metastatic effects </w:t>
      </w:r>
      <w:r w:rsidR="004F2204" w:rsidRPr="003A5EE1">
        <w:rPr>
          <w:rFonts w:ascii="Arial" w:hAnsi="Arial" w:cs="Arial"/>
          <w:sz w:val="22"/>
          <w:szCs w:val="22"/>
        </w:rPr>
        <w:t xml:space="preserve">in </w:t>
      </w:r>
      <w:r w:rsidR="00DC4328" w:rsidRPr="003A5EE1">
        <w:rPr>
          <w:rFonts w:ascii="Arial" w:hAnsi="Arial" w:cs="Arial"/>
          <w:sz w:val="22"/>
          <w:szCs w:val="22"/>
        </w:rPr>
        <w:t>breast cancer</w:t>
      </w:r>
      <w:r w:rsidR="00E37F22">
        <w:rPr>
          <w:rFonts w:ascii="Arial" w:hAnsi="Arial" w:cs="Arial"/>
          <w:sz w:val="22"/>
          <w:szCs w:val="22"/>
        </w:rPr>
        <w:t xml:space="preserve"> and</w:t>
      </w:r>
      <w:r w:rsidR="006536F3">
        <w:rPr>
          <w:rFonts w:ascii="Arial" w:hAnsi="Arial" w:cs="Arial"/>
          <w:sz w:val="22"/>
          <w:szCs w:val="22"/>
        </w:rPr>
        <w:t xml:space="preserve"> colorec</w:t>
      </w:r>
      <w:r w:rsidR="00E37F22">
        <w:rPr>
          <w:rFonts w:ascii="Arial" w:hAnsi="Arial" w:cs="Arial"/>
          <w:sz w:val="22"/>
          <w:szCs w:val="22"/>
        </w:rPr>
        <w:t>tal cancer</w:t>
      </w:r>
      <w:r w:rsidR="006536F3">
        <w:rPr>
          <w:rFonts w:ascii="Arial" w:hAnsi="Arial" w:cs="Arial"/>
          <w:sz w:val="22"/>
          <w:szCs w:val="22"/>
        </w:rPr>
        <w:t xml:space="preserve"> </w:t>
      </w:r>
      <w:r w:rsidR="00DC4328" w:rsidRPr="003A5EE1">
        <w:rPr>
          <w:rFonts w:ascii="Arial" w:hAnsi="Arial" w:cs="Arial"/>
          <w:sz w:val="22"/>
          <w:szCs w:val="22"/>
        </w:rPr>
        <w:t>mode</w:t>
      </w:r>
      <w:r w:rsidR="004F2204" w:rsidRPr="003A5EE1">
        <w:rPr>
          <w:rFonts w:ascii="Arial" w:hAnsi="Arial" w:cs="Arial"/>
          <w:sz w:val="22"/>
          <w:szCs w:val="22"/>
        </w:rPr>
        <w:t>ls</w:t>
      </w:r>
      <w:r w:rsidR="00DC4328" w:rsidRPr="003A5EE1">
        <w:rPr>
          <w:rFonts w:ascii="Arial" w:hAnsi="Arial" w:cs="Arial"/>
          <w:sz w:val="22"/>
          <w:szCs w:val="22"/>
        </w:rPr>
        <w:t xml:space="preserve"> </w:t>
      </w:r>
      <w:r w:rsidRPr="003A5EE1">
        <w:rPr>
          <w:rFonts w:ascii="Arial" w:hAnsi="Arial" w:cs="Arial"/>
          <w:i/>
          <w:sz w:val="22"/>
          <w:szCs w:val="22"/>
        </w:rPr>
        <w:t>in vivo</w:t>
      </w:r>
      <w:r w:rsidRPr="003A5EE1">
        <w:rPr>
          <w:rFonts w:ascii="Arial" w:hAnsi="Arial" w:cs="Arial"/>
          <w:sz w:val="22"/>
          <w:szCs w:val="22"/>
        </w:rPr>
        <w:t xml:space="preserve">. Major human metabolites M-2 </w:t>
      </w:r>
      <w:r w:rsidR="00DC4328" w:rsidRPr="003A5EE1">
        <w:rPr>
          <w:rFonts w:ascii="Arial" w:hAnsi="Arial" w:cs="Arial"/>
          <w:sz w:val="22"/>
          <w:szCs w:val="22"/>
        </w:rPr>
        <w:t xml:space="preserve">(N-oxide) </w:t>
      </w:r>
      <w:r w:rsidRPr="003A5EE1">
        <w:rPr>
          <w:rFonts w:ascii="Arial" w:hAnsi="Arial" w:cs="Arial"/>
          <w:sz w:val="22"/>
          <w:szCs w:val="22"/>
        </w:rPr>
        <w:t>and M-5</w:t>
      </w:r>
      <w:r w:rsidR="00DC4328" w:rsidRPr="003A5EE1">
        <w:rPr>
          <w:rFonts w:ascii="Arial" w:hAnsi="Arial" w:cs="Arial"/>
          <w:sz w:val="22"/>
          <w:szCs w:val="22"/>
        </w:rPr>
        <w:t xml:space="preserve"> (N-oxide and </w:t>
      </w:r>
      <w:proofErr w:type="spellStart"/>
      <w:r w:rsidR="00DC4328" w:rsidRPr="003A5EE1">
        <w:rPr>
          <w:rFonts w:ascii="Arial" w:hAnsi="Arial" w:cs="Arial"/>
          <w:sz w:val="22"/>
          <w:szCs w:val="22"/>
        </w:rPr>
        <w:t>desmethyl</w:t>
      </w:r>
      <w:proofErr w:type="spellEnd"/>
      <w:r w:rsidRPr="003A5EE1">
        <w:rPr>
          <w:rFonts w:ascii="Arial" w:hAnsi="Arial" w:cs="Arial"/>
          <w:sz w:val="22"/>
          <w:szCs w:val="22"/>
        </w:rPr>
        <w:t xml:space="preserve">) exhibited similar efficacies to </w:t>
      </w:r>
      <w:proofErr w:type="spellStart"/>
      <w:r w:rsidRPr="003A5EE1">
        <w:rPr>
          <w:rFonts w:ascii="Arial" w:hAnsi="Arial" w:cs="Arial"/>
          <w:sz w:val="22"/>
          <w:szCs w:val="22"/>
        </w:rPr>
        <w:t>regorafenib</w:t>
      </w:r>
      <w:proofErr w:type="spellEnd"/>
      <w:r w:rsidR="00D8674D" w:rsidRPr="003A5EE1">
        <w:rPr>
          <w:rFonts w:ascii="Arial" w:hAnsi="Arial" w:cs="Arial"/>
          <w:sz w:val="22"/>
          <w:szCs w:val="22"/>
        </w:rPr>
        <w:t xml:space="preserve"> </w:t>
      </w:r>
      <w:r w:rsidR="001E1758" w:rsidRPr="003A5EE1">
        <w:rPr>
          <w:rFonts w:ascii="Arial" w:hAnsi="Arial" w:cs="Arial"/>
          <w:sz w:val="22"/>
          <w:szCs w:val="22"/>
        </w:rPr>
        <w:t>in</w:t>
      </w:r>
      <w:r w:rsidRPr="003A5EE1">
        <w:rPr>
          <w:rFonts w:ascii="Arial" w:hAnsi="Arial" w:cs="Arial"/>
          <w:sz w:val="22"/>
          <w:szCs w:val="22"/>
        </w:rPr>
        <w:t xml:space="preserve"> </w:t>
      </w:r>
      <w:r w:rsidRPr="003A5EE1">
        <w:rPr>
          <w:rFonts w:ascii="Arial" w:hAnsi="Arial" w:cs="Arial"/>
          <w:i/>
          <w:sz w:val="22"/>
          <w:szCs w:val="22"/>
        </w:rPr>
        <w:t>in vitro</w:t>
      </w:r>
      <w:r w:rsidRPr="003A5EE1">
        <w:rPr>
          <w:rFonts w:ascii="Arial" w:hAnsi="Arial" w:cs="Arial"/>
          <w:sz w:val="22"/>
          <w:szCs w:val="22"/>
        </w:rPr>
        <w:t xml:space="preserve"> and </w:t>
      </w:r>
      <w:r w:rsidRPr="003A5EE1">
        <w:rPr>
          <w:rFonts w:ascii="Arial" w:hAnsi="Arial" w:cs="Arial"/>
          <w:i/>
          <w:sz w:val="22"/>
          <w:szCs w:val="22"/>
        </w:rPr>
        <w:t xml:space="preserve">in vivo </w:t>
      </w:r>
      <w:r w:rsidRPr="003A5EE1">
        <w:rPr>
          <w:rFonts w:ascii="Arial" w:hAnsi="Arial" w:cs="Arial"/>
          <w:sz w:val="22"/>
          <w:szCs w:val="22"/>
        </w:rPr>
        <w:t>models.</w:t>
      </w:r>
    </w:p>
    <w:p w14:paraId="712C268D" w14:textId="77777777" w:rsidR="004F2204" w:rsidRPr="003A5EE1" w:rsidRDefault="004F2204" w:rsidP="0090345C">
      <w:pPr>
        <w:pStyle w:val="BayerBodyTextFull"/>
        <w:spacing w:before="0" w:after="0"/>
        <w:rPr>
          <w:rFonts w:ascii="Arial" w:hAnsi="Arial" w:cs="Arial"/>
          <w:sz w:val="22"/>
          <w:szCs w:val="22"/>
        </w:rPr>
      </w:pPr>
    </w:p>
    <w:p w14:paraId="712C268E" w14:textId="77777777" w:rsidR="001D1004" w:rsidRPr="003A5EE1" w:rsidRDefault="001D1004" w:rsidP="0090345C">
      <w:pPr>
        <w:keepNext/>
        <w:ind w:right="46"/>
        <w:jc w:val="both"/>
        <w:rPr>
          <w:rFonts w:ascii="Arial" w:hAnsi="Arial" w:cs="Arial"/>
          <w:b/>
          <w:bCs/>
          <w:noProof/>
          <w:sz w:val="22"/>
          <w:szCs w:val="22"/>
          <w:lang w:val="en-AU"/>
        </w:rPr>
      </w:pPr>
      <w:r w:rsidRPr="003A5EE1">
        <w:rPr>
          <w:rFonts w:ascii="Arial" w:hAnsi="Arial" w:cs="Arial"/>
          <w:b/>
          <w:bCs/>
          <w:noProof/>
          <w:sz w:val="22"/>
          <w:szCs w:val="22"/>
          <w:lang w:val="en-AU"/>
        </w:rPr>
        <w:t>Pharmacokinetic</w:t>
      </w:r>
      <w:r w:rsidR="00762FB9" w:rsidRPr="003A5EE1">
        <w:rPr>
          <w:rFonts w:ascii="Arial" w:hAnsi="Arial" w:cs="Arial"/>
          <w:b/>
          <w:bCs/>
          <w:noProof/>
          <w:sz w:val="22"/>
          <w:szCs w:val="22"/>
          <w:lang w:val="en-AU"/>
        </w:rPr>
        <w:t>s</w:t>
      </w:r>
    </w:p>
    <w:p w14:paraId="712C268F" w14:textId="77777777" w:rsidR="0090345C" w:rsidRPr="003A5EE1" w:rsidRDefault="0090345C" w:rsidP="0090345C">
      <w:pPr>
        <w:keepNext/>
        <w:ind w:right="46"/>
        <w:jc w:val="both"/>
        <w:rPr>
          <w:rFonts w:ascii="Arial" w:hAnsi="Arial" w:cs="Arial"/>
          <w:b/>
          <w:bCs/>
          <w:noProof/>
          <w:sz w:val="22"/>
          <w:szCs w:val="22"/>
          <w:lang w:val="en-AU"/>
        </w:rPr>
      </w:pPr>
    </w:p>
    <w:p w14:paraId="712C2690" w14:textId="77777777" w:rsidR="001D1004" w:rsidRPr="003A5EE1" w:rsidRDefault="000370B3" w:rsidP="0090345C">
      <w:pPr>
        <w:keepNext/>
        <w:ind w:right="46"/>
        <w:jc w:val="both"/>
        <w:rPr>
          <w:rFonts w:ascii="Arial" w:hAnsi="Arial" w:cs="Arial"/>
          <w:b/>
          <w:i/>
          <w:sz w:val="22"/>
          <w:szCs w:val="22"/>
          <w:lang w:val="en-AU"/>
        </w:rPr>
      </w:pPr>
      <w:r w:rsidRPr="003A5EE1">
        <w:rPr>
          <w:rFonts w:ascii="Arial" w:hAnsi="Arial" w:cs="Arial"/>
          <w:b/>
          <w:i/>
          <w:sz w:val="22"/>
          <w:szCs w:val="22"/>
          <w:lang w:val="en-AU"/>
        </w:rPr>
        <w:t xml:space="preserve">Absorption </w:t>
      </w:r>
    </w:p>
    <w:p w14:paraId="712C2691" w14:textId="77777777" w:rsidR="001F55B3" w:rsidRPr="003A5EE1" w:rsidRDefault="001F55B3" w:rsidP="0090345C">
      <w:pPr>
        <w:keepNext/>
        <w:ind w:right="46"/>
        <w:jc w:val="both"/>
        <w:rPr>
          <w:rFonts w:ascii="Arial" w:hAnsi="Arial" w:cs="Arial"/>
          <w:b/>
          <w:i/>
          <w:sz w:val="22"/>
          <w:szCs w:val="22"/>
          <w:lang w:val="en-AU"/>
        </w:rPr>
      </w:pPr>
    </w:p>
    <w:p w14:paraId="712C2692" w14:textId="77777777" w:rsidR="000370B3" w:rsidRPr="003A5EE1" w:rsidRDefault="000370B3" w:rsidP="00CF7423">
      <w:pPr>
        <w:pStyle w:val="BayerBodyTextFull"/>
        <w:tabs>
          <w:tab w:val="left" w:pos="1418"/>
        </w:tabs>
        <w:spacing w:before="0" w:after="0"/>
        <w:rPr>
          <w:rFonts w:ascii="Arial" w:hAnsi="Arial" w:cs="Arial"/>
          <w:iCs/>
          <w:sz w:val="22"/>
          <w:szCs w:val="22"/>
          <w:lang w:val="en-GB"/>
        </w:rPr>
      </w:pP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reaches </w:t>
      </w:r>
      <w:r w:rsidR="00614A2E" w:rsidRPr="003A5EE1">
        <w:rPr>
          <w:rFonts w:ascii="Arial" w:hAnsi="Arial" w:cs="Arial"/>
          <w:sz w:val="22"/>
          <w:szCs w:val="22"/>
        </w:rPr>
        <w:t>mean peak plasma levels of approximately 2.5 mg/L at approximately</w:t>
      </w:r>
      <w:r w:rsidRPr="003A5EE1">
        <w:rPr>
          <w:rFonts w:ascii="Arial" w:hAnsi="Arial" w:cs="Arial"/>
          <w:sz w:val="22"/>
          <w:szCs w:val="22"/>
        </w:rPr>
        <w:t xml:space="preserve"> </w:t>
      </w:r>
      <w:r w:rsidR="007B431E" w:rsidRPr="003A5EE1">
        <w:rPr>
          <w:rFonts w:ascii="Arial" w:hAnsi="Arial" w:cs="Arial"/>
          <w:sz w:val="22"/>
          <w:szCs w:val="22"/>
        </w:rPr>
        <w:t>three</w:t>
      </w:r>
      <w:r w:rsidRPr="003A5EE1">
        <w:rPr>
          <w:rFonts w:ascii="Arial" w:hAnsi="Arial" w:cs="Arial"/>
          <w:sz w:val="22"/>
          <w:szCs w:val="22"/>
        </w:rPr>
        <w:t xml:space="preserve"> to </w:t>
      </w:r>
      <w:r w:rsidR="007B431E" w:rsidRPr="003A5EE1">
        <w:rPr>
          <w:rFonts w:ascii="Arial" w:hAnsi="Arial" w:cs="Arial"/>
          <w:sz w:val="22"/>
          <w:szCs w:val="22"/>
        </w:rPr>
        <w:t>four</w:t>
      </w:r>
      <w:r w:rsidRPr="003A5EE1">
        <w:rPr>
          <w:rFonts w:ascii="Arial" w:hAnsi="Arial" w:cs="Arial"/>
          <w:sz w:val="22"/>
          <w:szCs w:val="22"/>
        </w:rPr>
        <w:t xml:space="preserve"> hours</w:t>
      </w:r>
      <w:r w:rsidRPr="003A5EE1">
        <w:rPr>
          <w:rFonts w:ascii="Arial" w:hAnsi="Arial" w:cs="Arial"/>
          <w:iCs/>
          <w:sz w:val="22"/>
          <w:szCs w:val="22"/>
          <w:lang w:val="en-GB"/>
        </w:rPr>
        <w:t xml:space="preserve"> after </w:t>
      </w:r>
      <w:r w:rsidR="00614A2E" w:rsidRPr="003A5EE1">
        <w:rPr>
          <w:rFonts w:ascii="Arial" w:hAnsi="Arial" w:cs="Arial"/>
          <w:iCs/>
          <w:sz w:val="22"/>
          <w:szCs w:val="22"/>
          <w:lang w:val="en-GB"/>
        </w:rPr>
        <w:t xml:space="preserve">a </w:t>
      </w:r>
      <w:r w:rsidRPr="003A5EE1">
        <w:rPr>
          <w:rFonts w:ascii="Arial" w:hAnsi="Arial" w:cs="Arial"/>
          <w:iCs/>
          <w:sz w:val="22"/>
          <w:szCs w:val="22"/>
          <w:lang w:val="en-GB"/>
        </w:rPr>
        <w:t>single oral dose</w:t>
      </w:r>
      <w:r w:rsidRPr="003A5EE1">
        <w:rPr>
          <w:rFonts w:ascii="Arial" w:hAnsi="Arial" w:cs="Arial"/>
          <w:sz w:val="22"/>
          <w:szCs w:val="22"/>
        </w:rPr>
        <w:t xml:space="preserve"> of 160 mg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w:t>
      </w:r>
      <w:r w:rsidR="00614A2E" w:rsidRPr="003A5EE1">
        <w:rPr>
          <w:rFonts w:ascii="Arial" w:hAnsi="Arial" w:cs="Arial"/>
          <w:sz w:val="22"/>
          <w:szCs w:val="22"/>
        </w:rPr>
        <w:t xml:space="preserve">(given as </w:t>
      </w:r>
      <w:r w:rsidR="007B431E" w:rsidRPr="003A5EE1">
        <w:rPr>
          <w:rFonts w:ascii="Arial" w:hAnsi="Arial" w:cs="Arial"/>
          <w:sz w:val="22"/>
          <w:szCs w:val="22"/>
        </w:rPr>
        <w:t>four</w:t>
      </w:r>
      <w:r w:rsidRPr="003A5EE1">
        <w:rPr>
          <w:rFonts w:ascii="Arial" w:hAnsi="Arial" w:cs="Arial"/>
          <w:sz w:val="22"/>
          <w:szCs w:val="22"/>
        </w:rPr>
        <w:t xml:space="preserve"> tablets each containing 40 mg</w:t>
      </w:r>
      <w:r w:rsidR="00614A2E" w:rsidRPr="003A5EE1">
        <w:rPr>
          <w:rFonts w:ascii="Arial" w:hAnsi="Arial" w:cs="Arial"/>
          <w:sz w:val="22"/>
          <w:szCs w:val="22"/>
        </w:rPr>
        <w:t>)</w:t>
      </w:r>
      <w:r w:rsidRPr="003A5EE1">
        <w:rPr>
          <w:rFonts w:ascii="Arial" w:hAnsi="Arial" w:cs="Arial"/>
          <w:sz w:val="22"/>
          <w:szCs w:val="22"/>
        </w:rPr>
        <w:t>.</w:t>
      </w:r>
      <w:r w:rsidRPr="003A5EE1">
        <w:rPr>
          <w:rFonts w:ascii="Arial" w:hAnsi="Arial" w:cs="Arial"/>
          <w:iCs/>
          <w:sz w:val="22"/>
          <w:szCs w:val="22"/>
          <w:lang w:val="en-GB"/>
        </w:rPr>
        <w:t xml:space="preserve"> The mean relative bioavailability of </w:t>
      </w:r>
      <w:r w:rsidR="00614A2E" w:rsidRPr="003A5EE1">
        <w:rPr>
          <w:rFonts w:ascii="Arial" w:hAnsi="Arial" w:cs="Arial"/>
          <w:iCs/>
          <w:sz w:val="22"/>
          <w:szCs w:val="22"/>
          <w:lang w:val="en-GB"/>
        </w:rPr>
        <w:t xml:space="preserve">the </w:t>
      </w:r>
      <w:r w:rsidRPr="003A5EE1">
        <w:rPr>
          <w:rFonts w:ascii="Arial" w:hAnsi="Arial" w:cs="Arial"/>
          <w:iCs/>
          <w:sz w:val="22"/>
          <w:szCs w:val="22"/>
          <w:lang w:val="en-GB"/>
        </w:rPr>
        <w:t>tablets compared to an oral solution is 69-83%.</w:t>
      </w:r>
    </w:p>
    <w:p w14:paraId="712C2693" w14:textId="77777777" w:rsidR="0090345C" w:rsidRPr="003A5EE1" w:rsidRDefault="0090345C" w:rsidP="00CF7423">
      <w:pPr>
        <w:pStyle w:val="BayerBodyTextFull"/>
        <w:tabs>
          <w:tab w:val="left" w:pos="1418"/>
        </w:tabs>
        <w:spacing w:before="0" w:after="0"/>
        <w:rPr>
          <w:rFonts w:ascii="Arial" w:hAnsi="Arial" w:cs="Arial"/>
          <w:iCs/>
          <w:sz w:val="22"/>
          <w:szCs w:val="22"/>
          <w:lang w:val="en-GB"/>
        </w:rPr>
      </w:pPr>
    </w:p>
    <w:p w14:paraId="712C2694" w14:textId="77777777" w:rsidR="00F24007" w:rsidRPr="003A5EE1" w:rsidRDefault="00614A2E" w:rsidP="00CF7423">
      <w:pPr>
        <w:keepNext/>
        <w:ind w:right="46"/>
        <w:rPr>
          <w:rFonts w:ascii="Arial" w:hAnsi="Arial" w:cs="Arial"/>
          <w:color w:val="FF0000"/>
          <w:sz w:val="22"/>
          <w:szCs w:val="22"/>
        </w:rPr>
      </w:pPr>
      <w:r w:rsidRPr="003A5EE1">
        <w:rPr>
          <w:rFonts w:ascii="Arial" w:hAnsi="Arial" w:cs="Arial"/>
          <w:sz w:val="22"/>
          <w:szCs w:val="22"/>
        </w:rPr>
        <w:t>The concentration</w:t>
      </w:r>
      <w:r w:rsidR="000370B3" w:rsidRPr="003A5EE1">
        <w:rPr>
          <w:rFonts w:ascii="Arial" w:hAnsi="Arial" w:cs="Arial"/>
          <w:sz w:val="22"/>
          <w:szCs w:val="22"/>
        </w:rPr>
        <w:t xml:space="preserve"> of </w:t>
      </w:r>
      <w:proofErr w:type="spellStart"/>
      <w:r w:rsidR="000370B3" w:rsidRPr="003A5EE1">
        <w:rPr>
          <w:rFonts w:ascii="Arial" w:hAnsi="Arial" w:cs="Arial"/>
          <w:sz w:val="22"/>
          <w:szCs w:val="22"/>
        </w:rPr>
        <w:t>regorafenib</w:t>
      </w:r>
      <w:proofErr w:type="spellEnd"/>
      <w:r w:rsidR="000370B3" w:rsidRPr="003A5EE1">
        <w:rPr>
          <w:rFonts w:ascii="Arial" w:hAnsi="Arial" w:cs="Arial"/>
          <w:sz w:val="22"/>
          <w:szCs w:val="22"/>
        </w:rPr>
        <w:t xml:space="preserve"> and its major </w:t>
      </w:r>
      <w:r w:rsidR="009954BE" w:rsidRPr="003A5EE1">
        <w:rPr>
          <w:rFonts w:ascii="Arial" w:hAnsi="Arial" w:cs="Arial"/>
          <w:sz w:val="22"/>
          <w:szCs w:val="22"/>
        </w:rPr>
        <w:t xml:space="preserve">pharmacologically active </w:t>
      </w:r>
      <w:r w:rsidR="000370B3" w:rsidRPr="003A5EE1">
        <w:rPr>
          <w:rFonts w:ascii="Arial" w:hAnsi="Arial" w:cs="Arial"/>
          <w:sz w:val="22"/>
          <w:szCs w:val="22"/>
        </w:rPr>
        <w:t>metabolites</w:t>
      </w:r>
      <w:r w:rsidR="009954BE" w:rsidRPr="003A5EE1">
        <w:rPr>
          <w:rFonts w:ascii="Arial" w:hAnsi="Arial" w:cs="Arial"/>
          <w:sz w:val="22"/>
          <w:szCs w:val="22"/>
        </w:rPr>
        <w:t xml:space="preserve"> M-2 (N-oxide) and M-5 (N-oxide and N-</w:t>
      </w:r>
      <w:proofErr w:type="spellStart"/>
      <w:r w:rsidR="009954BE" w:rsidRPr="003A5EE1">
        <w:rPr>
          <w:rFonts w:ascii="Arial" w:hAnsi="Arial" w:cs="Arial"/>
          <w:sz w:val="22"/>
          <w:szCs w:val="22"/>
        </w:rPr>
        <w:t>desmethyl</w:t>
      </w:r>
      <w:proofErr w:type="spellEnd"/>
      <w:r w:rsidR="009954BE" w:rsidRPr="003A5EE1">
        <w:rPr>
          <w:rFonts w:ascii="Arial" w:hAnsi="Arial" w:cs="Arial"/>
          <w:sz w:val="22"/>
          <w:szCs w:val="22"/>
        </w:rPr>
        <w:t xml:space="preserve">) </w:t>
      </w:r>
      <w:r w:rsidR="000370B3" w:rsidRPr="003A5EE1">
        <w:rPr>
          <w:rFonts w:ascii="Arial" w:hAnsi="Arial" w:cs="Arial"/>
          <w:sz w:val="22"/>
          <w:szCs w:val="22"/>
        </w:rPr>
        <w:t>were highest when given after a low</w:t>
      </w:r>
      <w:r w:rsidR="000370B3" w:rsidRPr="003A5EE1">
        <w:rPr>
          <w:rFonts w:ascii="Arial" w:hAnsi="Arial" w:cs="Arial"/>
          <w:sz w:val="22"/>
          <w:szCs w:val="22"/>
        </w:rPr>
        <w:noBreakHyphen/>
        <w:t xml:space="preserve">fat (light) breakfast compared to either a high-fat breakfast or fasting condition. The exposure for </w:t>
      </w:r>
      <w:proofErr w:type="spellStart"/>
      <w:r w:rsidR="000370B3" w:rsidRPr="003A5EE1">
        <w:rPr>
          <w:rFonts w:ascii="Arial" w:hAnsi="Arial" w:cs="Arial"/>
          <w:sz w:val="22"/>
          <w:szCs w:val="22"/>
        </w:rPr>
        <w:t>regorafenib</w:t>
      </w:r>
      <w:proofErr w:type="spellEnd"/>
      <w:r w:rsidR="000370B3" w:rsidRPr="003A5EE1">
        <w:rPr>
          <w:rFonts w:ascii="Arial" w:hAnsi="Arial" w:cs="Arial"/>
          <w:sz w:val="22"/>
          <w:szCs w:val="22"/>
        </w:rPr>
        <w:t xml:space="preserve"> </w:t>
      </w:r>
      <w:r w:rsidR="009954BE" w:rsidRPr="003A5EE1">
        <w:rPr>
          <w:rFonts w:ascii="Arial" w:hAnsi="Arial" w:cs="Arial"/>
          <w:sz w:val="22"/>
          <w:szCs w:val="22"/>
        </w:rPr>
        <w:t xml:space="preserve">was increased by 48% when administered with a high-fat breakfast, and 36% when administered with a low fat breakfast, compared to fasting. The exposures of metabolite M-2 and M-5 were higher when </w:t>
      </w:r>
      <w:proofErr w:type="spellStart"/>
      <w:r w:rsidR="009954BE" w:rsidRPr="003A5EE1">
        <w:rPr>
          <w:rFonts w:ascii="Arial" w:hAnsi="Arial" w:cs="Arial"/>
          <w:sz w:val="22"/>
          <w:szCs w:val="22"/>
        </w:rPr>
        <w:t>regorafenib</w:t>
      </w:r>
      <w:proofErr w:type="spellEnd"/>
      <w:r w:rsidR="009954BE" w:rsidRPr="003A5EE1">
        <w:rPr>
          <w:rFonts w:ascii="Arial" w:hAnsi="Arial" w:cs="Arial"/>
          <w:sz w:val="22"/>
          <w:szCs w:val="22"/>
        </w:rPr>
        <w:t xml:space="preserve"> is given with low fat breakfast as compared to fasting condition and lower when given with a high fat meal as compared to fasting. </w:t>
      </w:r>
    </w:p>
    <w:p w14:paraId="712C2695" w14:textId="77777777" w:rsidR="0090345C" w:rsidRPr="003A5EE1" w:rsidRDefault="0090345C" w:rsidP="00CF7423">
      <w:pPr>
        <w:keepNext/>
        <w:ind w:right="46"/>
        <w:rPr>
          <w:rFonts w:ascii="Arial" w:hAnsi="Arial" w:cs="Arial"/>
          <w:sz w:val="22"/>
          <w:szCs w:val="22"/>
        </w:rPr>
      </w:pPr>
    </w:p>
    <w:p w14:paraId="712C2696" w14:textId="77777777" w:rsidR="001D1004" w:rsidRPr="003A5EE1" w:rsidRDefault="001D1004" w:rsidP="00CF7423">
      <w:pPr>
        <w:keepNext/>
        <w:ind w:right="46"/>
        <w:rPr>
          <w:rFonts w:ascii="Arial" w:hAnsi="Arial" w:cs="Arial"/>
          <w:b/>
          <w:i/>
          <w:sz w:val="22"/>
          <w:szCs w:val="22"/>
          <w:lang w:val="en-AU"/>
        </w:rPr>
      </w:pPr>
      <w:r w:rsidRPr="003A5EE1">
        <w:rPr>
          <w:rFonts w:ascii="Arial" w:hAnsi="Arial" w:cs="Arial"/>
          <w:b/>
          <w:i/>
          <w:sz w:val="22"/>
          <w:szCs w:val="22"/>
          <w:lang w:val="en-AU"/>
        </w:rPr>
        <w:t>Distribution</w:t>
      </w:r>
    </w:p>
    <w:p w14:paraId="712C2697" w14:textId="77777777" w:rsidR="001F55B3" w:rsidRPr="003A5EE1" w:rsidRDefault="001F55B3" w:rsidP="00CF7423">
      <w:pPr>
        <w:keepNext/>
        <w:ind w:right="46"/>
        <w:rPr>
          <w:rFonts w:ascii="Arial" w:hAnsi="Arial" w:cs="Arial"/>
          <w:b/>
          <w:i/>
          <w:sz w:val="22"/>
          <w:szCs w:val="22"/>
          <w:lang w:val="en-AU"/>
        </w:rPr>
      </w:pPr>
    </w:p>
    <w:p w14:paraId="712C2698" w14:textId="77777777" w:rsidR="000370B3" w:rsidRPr="003A5EE1" w:rsidRDefault="000370B3" w:rsidP="00CF7423">
      <w:pPr>
        <w:keepNext/>
        <w:ind w:right="46"/>
        <w:rPr>
          <w:rFonts w:ascii="Arial" w:hAnsi="Arial" w:cs="Arial"/>
          <w:sz w:val="22"/>
          <w:szCs w:val="22"/>
        </w:rPr>
      </w:pPr>
      <w:r w:rsidRPr="003A5EE1">
        <w:rPr>
          <w:rFonts w:ascii="Arial" w:hAnsi="Arial" w:cs="Arial"/>
          <w:sz w:val="22"/>
          <w:szCs w:val="22"/>
        </w:rPr>
        <w:t>P</w:t>
      </w:r>
      <w:r w:rsidRPr="003A5EE1">
        <w:rPr>
          <w:rFonts w:ascii="Arial" w:hAnsi="Arial" w:cs="Arial"/>
          <w:iCs/>
          <w:sz w:val="22"/>
          <w:szCs w:val="22"/>
        </w:rPr>
        <w:t xml:space="preserve">lasma concentration-time profiles for </w:t>
      </w:r>
      <w:proofErr w:type="spellStart"/>
      <w:r w:rsidRPr="003A5EE1">
        <w:rPr>
          <w:rFonts w:ascii="Arial" w:hAnsi="Arial" w:cs="Arial"/>
          <w:iCs/>
          <w:sz w:val="22"/>
          <w:szCs w:val="22"/>
        </w:rPr>
        <w:t>regorafenib</w:t>
      </w:r>
      <w:proofErr w:type="spellEnd"/>
      <w:r w:rsidRPr="003A5EE1">
        <w:rPr>
          <w:rFonts w:ascii="Arial" w:hAnsi="Arial" w:cs="Arial"/>
          <w:iCs/>
          <w:sz w:val="22"/>
          <w:szCs w:val="22"/>
        </w:rPr>
        <w:t xml:space="preserve"> as well as for the major circulating metabolites showed multiple peaks across th</w:t>
      </w:r>
      <w:r w:rsidR="00614A2E" w:rsidRPr="003A5EE1">
        <w:rPr>
          <w:rFonts w:ascii="Arial" w:hAnsi="Arial" w:cs="Arial"/>
          <w:iCs/>
          <w:sz w:val="22"/>
          <w:szCs w:val="22"/>
        </w:rPr>
        <w:t>e 24-hour dosing interval and can be</w:t>
      </w:r>
      <w:r w:rsidRPr="003A5EE1">
        <w:rPr>
          <w:rFonts w:ascii="Arial" w:hAnsi="Arial" w:cs="Arial"/>
          <w:iCs/>
          <w:sz w:val="22"/>
          <w:szCs w:val="22"/>
        </w:rPr>
        <w:t xml:space="preserve"> attributed to </w:t>
      </w:r>
      <w:proofErr w:type="spellStart"/>
      <w:r w:rsidRPr="003A5EE1">
        <w:rPr>
          <w:rFonts w:ascii="Arial" w:hAnsi="Arial" w:cs="Arial"/>
          <w:iCs/>
          <w:sz w:val="22"/>
          <w:szCs w:val="22"/>
        </w:rPr>
        <w:t>e</w:t>
      </w:r>
      <w:r w:rsidRPr="003A5EE1">
        <w:rPr>
          <w:rFonts w:ascii="Arial" w:hAnsi="Arial" w:cs="Arial"/>
          <w:sz w:val="22"/>
          <w:szCs w:val="22"/>
        </w:rPr>
        <w:t>nterohepatic</w:t>
      </w:r>
      <w:proofErr w:type="spellEnd"/>
      <w:r w:rsidRPr="003A5EE1">
        <w:rPr>
          <w:rFonts w:ascii="Arial" w:hAnsi="Arial" w:cs="Arial"/>
          <w:sz w:val="22"/>
          <w:szCs w:val="22"/>
        </w:rPr>
        <w:t xml:space="preserve"> circulation. </w:t>
      </w:r>
      <w:r w:rsidR="009954BE" w:rsidRPr="003A5EE1">
        <w:rPr>
          <w:rFonts w:ascii="Arial" w:hAnsi="Arial" w:cs="Arial"/>
          <w:i/>
          <w:sz w:val="22"/>
          <w:szCs w:val="22"/>
        </w:rPr>
        <w:t>In vitro</w:t>
      </w:r>
      <w:r w:rsidR="009954BE" w:rsidRPr="003A5EE1">
        <w:rPr>
          <w:rFonts w:ascii="Arial" w:hAnsi="Arial" w:cs="Arial"/>
          <w:sz w:val="22"/>
          <w:szCs w:val="22"/>
        </w:rPr>
        <w:t xml:space="preserve"> protein binding of </w:t>
      </w:r>
      <w:proofErr w:type="spellStart"/>
      <w:r w:rsidR="009954BE" w:rsidRPr="003A5EE1">
        <w:rPr>
          <w:rFonts w:ascii="Arial" w:hAnsi="Arial" w:cs="Arial"/>
          <w:sz w:val="22"/>
          <w:szCs w:val="22"/>
        </w:rPr>
        <w:t>r</w:t>
      </w:r>
      <w:r w:rsidRPr="003A5EE1">
        <w:rPr>
          <w:rFonts w:ascii="Arial" w:hAnsi="Arial" w:cs="Arial"/>
          <w:sz w:val="22"/>
          <w:szCs w:val="22"/>
        </w:rPr>
        <w:t>egorafenib</w:t>
      </w:r>
      <w:proofErr w:type="spellEnd"/>
      <w:r w:rsidRPr="003A5EE1">
        <w:rPr>
          <w:rFonts w:ascii="Arial" w:hAnsi="Arial" w:cs="Arial"/>
          <w:sz w:val="22"/>
          <w:szCs w:val="22"/>
        </w:rPr>
        <w:t xml:space="preserve"> to human plasma proteins</w:t>
      </w:r>
      <w:r w:rsidR="009954BE" w:rsidRPr="003A5EE1">
        <w:rPr>
          <w:rFonts w:ascii="Arial" w:hAnsi="Arial" w:cs="Arial"/>
          <w:sz w:val="22"/>
          <w:szCs w:val="22"/>
        </w:rPr>
        <w:t xml:space="preserve"> is high (99.5%)</w:t>
      </w:r>
      <w:r w:rsidRPr="003A5EE1">
        <w:rPr>
          <w:rFonts w:ascii="Arial" w:hAnsi="Arial" w:cs="Arial"/>
          <w:sz w:val="22"/>
          <w:szCs w:val="22"/>
        </w:rPr>
        <w:t>.</w:t>
      </w:r>
    </w:p>
    <w:p w14:paraId="712C2699" w14:textId="77777777" w:rsidR="0090345C" w:rsidRPr="003A5EE1" w:rsidRDefault="0090345C" w:rsidP="00CF7423">
      <w:pPr>
        <w:keepNext/>
        <w:ind w:right="46"/>
        <w:rPr>
          <w:rFonts w:ascii="Arial" w:hAnsi="Arial" w:cs="Arial"/>
          <w:sz w:val="22"/>
          <w:szCs w:val="22"/>
        </w:rPr>
      </w:pPr>
    </w:p>
    <w:p w14:paraId="712C269A" w14:textId="77777777" w:rsidR="001D1004" w:rsidRPr="003A5EE1" w:rsidRDefault="000370B3" w:rsidP="00CF7423">
      <w:pPr>
        <w:keepNext/>
        <w:ind w:right="46"/>
        <w:rPr>
          <w:rFonts w:ascii="Arial" w:hAnsi="Arial" w:cs="Arial"/>
          <w:b/>
          <w:i/>
          <w:sz w:val="22"/>
          <w:szCs w:val="22"/>
          <w:lang w:val="en-AU"/>
        </w:rPr>
      </w:pPr>
      <w:r w:rsidRPr="003A5EE1">
        <w:rPr>
          <w:rFonts w:ascii="Arial" w:hAnsi="Arial" w:cs="Arial"/>
          <w:b/>
          <w:i/>
          <w:sz w:val="22"/>
          <w:szCs w:val="22"/>
          <w:lang w:val="en-AU"/>
        </w:rPr>
        <w:t xml:space="preserve">Metabolism </w:t>
      </w:r>
    </w:p>
    <w:p w14:paraId="712C269B" w14:textId="77777777" w:rsidR="001F55B3" w:rsidRPr="003A5EE1" w:rsidRDefault="001F55B3" w:rsidP="00CF7423">
      <w:pPr>
        <w:keepNext/>
        <w:ind w:right="46"/>
        <w:rPr>
          <w:rFonts w:ascii="Arial" w:hAnsi="Arial" w:cs="Arial"/>
          <w:b/>
          <w:i/>
          <w:sz w:val="22"/>
          <w:szCs w:val="22"/>
          <w:lang w:val="en-AU"/>
        </w:rPr>
      </w:pPr>
    </w:p>
    <w:p w14:paraId="712C269C" w14:textId="77777777" w:rsidR="000370B3" w:rsidRPr="003A5EE1" w:rsidRDefault="000370B3" w:rsidP="00CF7423">
      <w:pPr>
        <w:pStyle w:val="BayerBodyTextFull"/>
        <w:spacing w:before="0" w:after="0"/>
        <w:rPr>
          <w:rFonts w:ascii="Arial" w:hAnsi="Arial" w:cs="Arial"/>
          <w:iCs/>
          <w:sz w:val="22"/>
          <w:szCs w:val="22"/>
          <w:lang w:val="en-GB"/>
        </w:rPr>
      </w:pPr>
      <w:proofErr w:type="spellStart"/>
      <w:r w:rsidRPr="003A5EE1">
        <w:rPr>
          <w:rFonts w:ascii="Arial" w:hAnsi="Arial" w:cs="Arial"/>
          <w:sz w:val="22"/>
          <w:szCs w:val="22"/>
        </w:rPr>
        <w:t>Regora</w:t>
      </w:r>
      <w:r w:rsidR="0090345C" w:rsidRPr="003A5EE1">
        <w:rPr>
          <w:rFonts w:ascii="Arial" w:hAnsi="Arial" w:cs="Arial"/>
          <w:sz w:val="22"/>
          <w:szCs w:val="22"/>
        </w:rPr>
        <w:t>fenib</w:t>
      </w:r>
      <w:proofErr w:type="spellEnd"/>
      <w:r w:rsidR="0090345C" w:rsidRPr="003A5EE1">
        <w:rPr>
          <w:rFonts w:ascii="Arial" w:hAnsi="Arial" w:cs="Arial"/>
          <w:sz w:val="22"/>
          <w:szCs w:val="22"/>
        </w:rPr>
        <w:t xml:space="preserve"> is </w:t>
      </w:r>
      <w:proofErr w:type="spellStart"/>
      <w:r w:rsidR="0090345C" w:rsidRPr="003A5EE1">
        <w:rPr>
          <w:rFonts w:ascii="Arial" w:hAnsi="Arial" w:cs="Arial"/>
          <w:sz w:val="22"/>
          <w:szCs w:val="22"/>
        </w:rPr>
        <w:t>metabolis</w:t>
      </w:r>
      <w:r w:rsidRPr="003A5EE1">
        <w:rPr>
          <w:rFonts w:ascii="Arial" w:hAnsi="Arial" w:cs="Arial"/>
          <w:sz w:val="22"/>
          <w:szCs w:val="22"/>
        </w:rPr>
        <w:t>ed</w:t>
      </w:r>
      <w:proofErr w:type="spellEnd"/>
      <w:r w:rsidRPr="003A5EE1">
        <w:rPr>
          <w:rFonts w:ascii="Arial" w:hAnsi="Arial" w:cs="Arial"/>
          <w:sz w:val="22"/>
          <w:szCs w:val="22"/>
        </w:rPr>
        <w:t xml:space="preserve"> primarily in the liver by oxidative metabolism mediated by CYP3A4, as well as by </w:t>
      </w:r>
      <w:proofErr w:type="spellStart"/>
      <w:r w:rsidRPr="003A5EE1">
        <w:rPr>
          <w:rFonts w:ascii="Arial" w:hAnsi="Arial" w:cs="Arial"/>
          <w:sz w:val="22"/>
          <w:szCs w:val="22"/>
        </w:rPr>
        <w:t>glucuronidation</w:t>
      </w:r>
      <w:proofErr w:type="spellEnd"/>
      <w:r w:rsidRPr="003A5EE1">
        <w:rPr>
          <w:rFonts w:ascii="Arial" w:hAnsi="Arial" w:cs="Arial"/>
          <w:sz w:val="22"/>
          <w:szCs w:val="22"/>
        </w:rPr>
        <w:t xml:space="preserve"> mediated by UGT1A9.</w:t>
      </w:r>
      <w:r w:rsidRPr="003A5EE1">
        <w:rPr>
          <w:rStyle w:val="EndnoteReference"/>
          <w:rFonts w:ascii="Arial" w:hAnsi="Arial" w:cs="Arial"/>
          <w:sz w:val="22"/>
          <w:szCs w:val="22"/>
        </w:rPr>
        <w:t xml:space="preserve"> </w:t>
      </w:r>
      <w:r w:rsidRPr="003A5EE1">
        <w:rPr>
          <w:rFonts w:ascii="Arial" w:hAnsi="Arial" w:cs="Arial"/>
          <w:sz w:val="22"/>
          <w:szCs w:val="22"/>
          <w:lang w:val="en-GB"/>
        </w:rPr>
        <w:t xml:space="preserve">Two major and six minor metabolites of </w:t>
      </w:r>
      <w:proofErr w:type="spellStart"/>
      <w:r w:rsidRPr="003A5EE1">
        <w:rPr>
          <w:rFonts w:ascii="Arial" w:hAnsi="Arial" w:cs="Arial"/>
          <w:sz w:val="22"/>
          <w:szCs w:val="22"/>
          <w:lang w:val="en-GB"/>
        </w:rPr>
        <w:t>regorafenib</w:t>
      </w:r>
      <w:proofErr w:type="spellEnd"/>
      <w:r w:rsidRPr="003A5EE1">
        <w:rPr>
          <w:rFonts w:ascii="Arial" w:hAnsi="Arial" w:cs="Arial"/>
          <w:sz w:val="22"/>
          <w:szCs w:val="22"/>
          <w:lang w:val="en-GB"/>
        </w:rPr>
        <w:t xml:space="preserve"> have been identified in plasma. The main circulating metabolites of </w:t>
      </w:r>
      <w:proofErr w:type="spellStart"/>
      <w:r w:rsidRPr="003A5EE1">
        <w:rPr>
          <w:rFonts w:ascii="Arial" w:hAnsi="Arial" w:cs="Arial"/>
          <w:sz w:val="22"/>
          <w:szCs w:val="22"/>
          <w:lang w:val="en-GB"/>
        </w:rPr>
        <w:t>regorafenib</w:t>
      </w:r>
      <w:proofErr w:type="spellEnd"/>
      <w:r w:rsidRPr="003A5EE1">
        <w:rPr>
          <w:rFonts w:ascii="Arial" w:hAnsi="Arial" w:cs="Arial"/>
          <w:sz w:val="22"/>
          <w:szCs w:val="22"/>
          <w:lang w:val="en-GB"/>
        </w:rPr>
        <w:t xml:space="preserve"> in human plasma are M-2 (N-oxide) and M-5 (N-oxide and N-</w:t>
      </w:r>
      <w:proofErr w:type="spellStart"/>
      <w:r w:rsidRPr="003A5EE1">
        <w:rPr>
          <w:rFonts w:ascii="Arial" w:hAnsi="Arial" w:cs="Arial"/>
          <w:sz w:val="22"/>
          <w:szCs w:val="22"/>
          <w:lang w:val="en-GB"/>
        </w:rPr>
        <w:t>desmethyl</w:t>
      </w:r>
      <w:proofErr w:type="spellEnd"/>
      <w:r w:rsidRPr="003A5EE1">
        <w:rPr>
          <w:rFonts w:ascii="Arial" w:hAnsi="Arial" w:cs="Arial"/>
          <w:sz w:val="22"/>
          <w:szCs w:val="22"/>
          <w:lang w:val="en-GB"/>
        </w:rPr>
        <w:t xml:space="preserve">), which are pharmacologically active and have similar concentrations as </w:t>
      </w:r>
      <w:proofErr w:type="spellStart"/>
      <w:r w:rsidRPr="003A5EE1">
        <w:rPr>
          <w:rFonts w:ascii="Arial" w:hAnsi="Arial" w:cs="Arial"/>
          <w:sz w:val="22"/>
          <w:szCs w:val="22"/>
          <w:lang w:val="en-GB"/>
        </w:rPr>
        <w:t>regorafenib</w:t>
      </w:r>
      <w:proofErr w:type="spellEnd"/>
      <w:r w:rsidRPr="003A5EE1">
        <w:rPr>
          <w:rFonts w:ascii="Arial" w:hAnsi="Arial" w:cs="Arial"/>
          <w:sz w:val="22"/>
          <w:szCs w:val="22"/>
          <w:lang w:val="en-GB"/>
        </w:rPr>
        <w:t xml:space="preserve"> at steady state. </w:t>
      </w:r>
      <w:r w:rsidR="009954BE" w:rsidRPr="003A5EE1">
        <w:rPr>
          <w:rFonts w:ascii="Arial" w:hAnsi="Arial" w:cs="Arial"/>
          <w:i/>
          <w:sz w:val="22"/>
          <w:szCs w:val="22"/>
          <w:lang w:val="en-GB"/>
        </w:rPr>
        <w:t>In vitro</w:t>
      </w:r>
      <w:r w:rsidR="009954BE" w:rsidRPr="003A5EE1">
        <w:rPr>
          <w:rFonts w:ascii="Arial" w:hAnsi="Arial" w:cs="Arial"/>
          <w:sz w:val="22"/>
          <w:szCs w:val="22"/>
          <w:lang w:val="en-GB"/>
        </w:rPr>
        <w:t xml:space="preserve"> p</w:t>
      </w:r>
      <w:r w:rsidRPr="003A5EE1">
        <w:rPr>
          <w:rFonts w:ascii="Arial" w:hAnsi="Arial" w:cs="Arial"/>
          <w:iCs/>
          <w:sz w:val="22"/>
          <w:szCs w:val="22"/>
          <w:lang w:val="en-GB"/>
        </w:rPr>
        <w:t>rotein binding of M-2 and M-5 is higher (</w:t>
      </w:r>
      <w:r w:rsidRPr="003A5EE1">
        <w:rPr>
          <w:rFonts w:ascii="Arial" w:hAnsi="Arial" w:cs="Arial"/>
          <w:sz w:val="22"/>
          <w:szCs w:val="22"/>
        </w:rPr>
        <w:t>99.8% and 99.95%, respectively)</w:t>
      </w:r>
      <w:r w:rsidRPr="003A5EE1">
        <w:rPr>
          <w:rFonts w:ascii="Arial" w:hAnsi="Arial" w:cs="Arial"/>
          <w:iCs/>
          <w:sz w:val="22"/>
          <w:szCs w:val="22"/>
          <w:lang w:val="en-GB"/>
        </w:rPr>
        <w:t xml:space="preserve"> t</w:t>
      </w:r>
      <w:r w:rsidR="0090345C" w:rsidRPr="003A5EE1">
        <w:rPr>
          <w:rFonts w:ascii="Arial" w:hAnsi="Arial" w:cs="Arial"/>
          <w:iCs/>
          <w:sz w:val="22"/>
          <w:szCs w:val="22"/>
          <w:lang w:val="en-GB"/>
        </w:rPr>
        <w:t xml:space="preserve">han </w:t>
      </w:r>
      <w:proofErr w:type="spellStart"/>
      <w:r w:rsidRPr="003A5EE1">
        <w:rPr>
          <w:rFonts w:ascii="Arial" w:hAnsi="Arial" w:cs="Arial"/>
          <w:iCs/>
          <w:sz w:val="22"/>
          <w:szCs w:val="22"/>
          <w:lang w:val="en-GB"/>
        </w:rPr>
        <w:t>regorafenib</w:t>
      </w:r>
      <w:proofErr w:type="spellEnd"/>
      <w:r w:rsidRPr="003A5EE1">
        <w:rPr>
          <w:rFonts w:ascii="Arial" w:hAnsi="Arial" w:cs="Arial"/>
          <w:iCs/>
          <w:sz w:val="22"/>
          <w:szCs w:val="22"/>
          <w:lang w:val="en-GB"/>
        </w:rPr>
        <w:t>.</w:t>
      </w:r>
    </w:p>
    <w:p w14:paraId="712C269D" w14:textId="77777777" w:rsidR="008C7826" w:rsidRPr="003A5EE1" w:rsidRDefault="008C7826" w:rsidP="00CF7423">
      <w:pPr>
        <w:pStyle w:val="BayerBodyTextFull"/>
        <w:spacing w:before="0" w:after="0"/>
        <w:rPr>
          <w:rFonts w:ascii="Arial" w:hAnsi="Arial" w:cs="Arial"/>
          <w:iCs/>
          <w:sz w:val="22"/>
          <w:szCs w:val="22"/>
          <w:lang w:val="en-GB"/>
        </w:rPr>
      </w:pPr>
    </w:p>
    <w:p w14:paraId="712C269E" w14:textId="77777777" w:rsidR="000370B3" w:rsidRPr="003A5EE1" w:rsidRDefault="009954BE" w:rsidP="00CF7423">
      <w:pPr>
        <w:keepNext/>
        <w:ind w:right="46"/>
        <w:rPr>
          <w:rFonts w:ascii="Arial" w:hAnsi="Arial" w:cs="Arial"/>
          <w:sz w:val="22"/>
          <w:szCs w:val="22"/>
        </w:rPr>
      </w:pPr>
      <w:r w:rsidRPr="003A5EE1">
        <w:rPr>
          <w:rFonts w:ascii="Arial" w:hAnsi="Arial" w:cs="Arial"/>
          <w:sz w:val="22"/>
          <w:szCs w:val="22"/>
        </w:rPr>
        <w:t>M</w:t>
      </w:r>
      <w:r w:rsidR="000370B3" w:rsidRPr="003A5EE1">
        <w:rPr>
          <w:rFonts w:ascii="Arial" w:hAnsi="Arial" w:cs="Arial"/>
          <w:sz w:val="22"/>
          <w:szCs w:val="22"/>
        </w:rPr>
        <w:t>etabo</w:t>
      </w:r>
      <w:r w:rsidR="0090345C" w:rsidRPr="003A5EE1">
        <w:rPr>
          <w:rFonts w:ascii="Arial" w:hAnsi="Arial" w:cs="Arial"/>
          <w:sz w:val="22"/>
          <w:szCs w:val="22"/>
        </w:rPr>
        <w:t>lites may be reduced or hydrolys</w:t>
      </w:r>
      <w:r w:rsidR="000370B3" w:rsidRPr="003A5EE1">
        <w:rPr>
          <w:rFonts w:ascii="Arial" w:hAnsi="Arial" w:cs="Arial"/>
          <w:sz w:val="22"/>
          <w:szCs w:val="22"/>
        </w:rPr>
        <w:t>ed in the gastrointestinal tract by microbial flora, allowing reabsorption of the unconjugated drug and metabolites (</w:t>
      </w:r>
      <w:proofErr w:type="spellStart"/>
      <w:r w:rsidR="000370B3" w:rsidRPr="003A5EE1">
        <w:rPr>
          <w:rFonts w:ascii="Arial" w:hAnsi="Arial" w:cs="Arial"/>
          <w:sz w:val="22"/>
          <w:szCs w:val="22"/>
        </w:rPr>
        <w:t>enterohepatic</w:t>
      </w:r>
      <w:proofErr w:type="spellEnd"/>
      <w:r w:rsidR="000370B3" w:rsidRPr="003A5EE1">
        <w:rPr>
          <w:rFonts w:ascii="Arial" w:hAnsi="Arial" w:cs="Arial"/>
          <w:sz w:val="22"/>
          <w:szCs w:val="22"/>
        </w:rPr>
        <w:t xml:space="preserve"> circulation).</w:t>
      </w:r>
    </w:p>
    <w:p w14:paraId="712C269F" w14:textId="77777777" w:rsidR="0090345C" w:rsidRPr="003A5EE1" w:rsidRDefault="0090345C" w:rsidP="00CF7423">
      <w:pPr>
        <w:keepNext/>
        <w:ind w:right="46"/>
        <w:rPr>
          <w:rFonts w:ascii="Arial" w:hAnsi="Arial" w:cs="Arial"/>
          <w:sz w:val="22"/>
          <w:szCs w:val="22"/>
        </w:rPr>
      </w:pPr>
    </w:p>
    <w:p w14:paraId="712C26A0" w14:textId="77777777" w:rsidR="000370B3" w:rsidRPr="003A5EE1" w:rsidRDefault="000370B3" w:rsidP="00CF7423">
      <w:pPr>
        <w:keepNext/>
        <w:ind w:right="46"/>
        <w:rPr>
          <w:rFonts w:ascii="Arial" w:hAnsi="Arial" w:cs="Arial"/>
          <w:b/>
          <w:i/>
          <w:sz w:val="22"/>
          <w:szCs w:val="22"/>
        </w:rPr>
      </w:pPr>
      <w:r w:rsidRPr="003A5EE1">
        <w:rPr>
          <w:rFonts w:ascii="Arial" w:hAnsi="Arial" w:cs="Arial"/>
          <w:b/>
          <w:i/>
          <w:sz w:val="22"/>
          <w:szCs w:val="22"/>
        </w:rPr>
        <w:t xml:space="preserve">Elimination </w:t>
      </w:r>
    </w:p>
    <w:p w14:paraId="712C26A1" w14:textId="77777777" w:rsidR="001F55B3" w:rsidRPr="003A5EE1" w:rsidRDefault="001F55B3" w:rsidP="00CF7423">
      <w:pPr>
        <w:keepNext/>
        <w:ind w:right="46"/>
        <w:rPr>
          <w:rFonts w:ascii="Arial" w:hAnsi="Arial" w:cs="Arial"/>
          <w:b/>
          <w:i/>
          <w:sz w:val="22"/>
          <w:szCs w:val="22"/>
        </w:rPr>
      </w:pPr>
    </w:p>
    <w:p w14:paraId="712C26A2" w14:textId="77777777" w:rsidR="0090345C" w:rsidRPr="003A5EE1" w:rsidRDefault="0090345C" w:rsidP="00CF7423">
      <w:pPr>
        <w:pStyle w:val="BayerBodyTextFull"/>
        <w:spacing w:before="0" w:after="0"/>
        <w:rPr>
          <w:rFonts w:ascii="Arial" w:hAnsi="Arial" w:cs="Arial"/>
          <w:iCs/>
          <w:sz w:val="22"/>
          <w:szCs w:val="22"/>
          <w:lang w:val="en-GB"/>
        </w:rPr>
      </w:pPr>
      <w:r w:rsidRPr="003A5EE1">
        <w:rPr>
          <w:rFonts w:ascii="Arial" w:hAnsi="Arial" w:cs="Arial"/>
          <w:iCs/>
          <w:sz w:val="22"/>
          <w:szCs w:val="22"/>
          <w:lang w:val="en-GB"/>
        </w:rPr>
        <w:t xml:space="preserve">The </w:t>
      </w:r>
      <w:r w:rsidR="000370B3" w:rsidRPr="003A5EE1">
        <w:rPr>
          <w:rFonts w:ascii="Arial" w:hAnsi="Arial" w:cs="Arial"/>
          <w:iCs/>
          <w:sz w:val="22"/>
          <w:szCs w:val="22"/>
          <w:lang w:val="en-GB"/>
        </w:rPr>
        <w:t xml:space="preserve">mean elimination half-life for </w:t>
      </w:r>
      <w:proofErr w:type="spellStart"/>
      <w:r w:rsidR="000370B3" w:rsidRPr="003A5EE1">
        <w:rPr>
          <w:rFonts w:ascii="Arial" w:hAnsi="Arial" w:cs="Arial"/>
          <w:iCs/>
          <w:sz w:val="22"/>
          <w:szCs w:val="22"/>
          <w:lang w:val="en-GB"/>
        </w:rPr>
        <w:t>regorafenib</w:t>
      </w:r>
      <w:proofErr w:type="spellEnd"/>
      <w:r w:rsidR="000370B3" w:rsidRPr="003A5EE1">
        <w:rPr>
          <w:rFonts w:ascii="Arial" w:hAnsi="Arial" w:cs="Arial"/>
          <w:iCs/>
          <w:sz w:val="22"/>
          <w:szCs w:val="22"/>
          <w:lang w:val="en-GB"/>
        </w:rPr>
        <w:t xml:space="preserve"> and its metabolite M-2 in plasma ranges from 20 to 30 hours in different studies</w:t>
      </w:r>
      <w:r w:rsidRPr="003A5EE1">
        <w:rPr>
          <w:rFonts w:ascii="Arial" w:hAnsi="Arial" w:cs="Arial"/>
          <w:iCs/>
          <w:sz w:val="22"/>
          <w:szCs w:val="22"/>
          <w:lang w:val="en-GB"/>
        </w:rPr>
        <w:t xml:space="preserve"> following oral administration</w:t>
      </w:r>
      <w:r w:rsidR="000370B3" w:rsidRPr="003A5EE1">
        <w:rPr>
          <w:rFonts w:ascii="Arial" w:hAnsi="Arial" w:cs="Arial"/>
          <w:iCs/>
          <w:sz w:val="22"/>
          <w:szCs w:val="22"/>
          <w:lang w:val="en-GB"/>
        </w:rPr>
        <w:t>. The mean elimination half-life for the metabolite M-5 is approximately 60 hours (range</w:t>
      </w:r>
      <w:r w:rsidRPr="003A5EE1">
        <w:rPr>
          <w:rFonts w:ascii="Arial" w:hAnsi="Arial" w:cs="Arial"/>
          <w:iCs/>
          <w:sz w:val="22"/>
          <w:szCs w:val="22"/>
          <w:lang w:val="en-GB"/>
        </w:rPr>
        <w:t>s</w:t>
      </w:r>
      <w:r w:rsidR="000370B3" w:rsidRPr="003A5EE1">
        <w:rPr>
          <w:rFonts w:ascii="Arial" w:hAnsi="Arial" w:cs="Arial"/>
          <w:iCs/>
          <w:sz w:val="22"/>
          <w:szCs w:val="22"/>
          <w:lang w:val="en-GB"/>
        </w:rPr>
        <w:t xml:space="preserve"> from 40 to 100 hours).</w:t>
      </w:r>
    </w:p>
    <w:p w14:paraId="712C26A3" w14:textId="77777777" w:rsidR="009954BE" w:rsidRPr="003A5EE1" w:rsidRDefault="009954BE" w:rsidP="00CF7423">
      <w:pPr>
        <w:pStyle w:val="BayerBodyTextFull"/>
        <w:spacing w:before="0" w:after="0"/>
        <w:rPr>
          <w:rFonts w:ascii="Arial" w:hAnsi="Arial" w:cs="Arial"/>
          <w:iCs/>
          <w:sz w:val="22"/>
          <w:szCs w:val="22"/>
          <w:lang w:val="en-GB"/>
        </w:rPr>
      </w:pPr>
    </w:p>
    <w:p w14:paraId="712C26A4" w14:textId="77777777" w:rsidR="000370B3" w:rsidRPr="003A5EE1" w:rsidRDefault="000370B3" w:rsidP="00CF7423">
      <w:pPr>
        <w:keepNext/>
        <w:ind w:right="46"/>
        <w:rPr>
          <w:rFonts w:ascii="Arial" w:hAnsi="Arial" w:cs="Arial"/>
          <w:sz w:val="22"/>
          <w:szCs w:val="22"/>
        </w:rPr>
      </w:pPr>
      <w:r w:rsidRPr="003A5EE1">
        <w:rPr>
          <w:rFonts w:ascii="Arial" w:hAnsi="Arial" w:cs="Arial"/>
          <w:sz w:val="22"/>
          <w:szCs w:val="22"/>
        </w:rPr>
        <w:t xml:space="preserve">Approximately 90% of the radioactive dose was recovered within 12 days </w:t>
      </w:r>
      <w:r w:rsidR="0090345C" w:rsidRPr="003A5EE1">
        <w:rPr>
          <w:rFonts w:ascii="Arial" w:hAnsi="Arial" w:cs="Arial"/>
          <w:sz w:val="22"/>
          <w:szCs w:val="22"/>
        </w:rPr>
        <w:t>after administration, with approximately</w:t>
      </w:r>
      <w:r w:rsidRPr="003A5EE1">
        <w:rPr>
          <w:rFonts w:ascii="Arial" w:hAnsi="Arial" w:cs="Arial"/>
          <w:sz w:val="22"/>
          <w:szCs w:val="22"/>
        </w:rPr>
        <w:t xml:space="preserve"> 71% of the dose excreted in f</w:t>
      </w:r>
      <w:r w:rsidR="0090345C" w:rsidRPr="003A5EE1">
        <w:rPr>
          <w:rFonts w:ascii="Arial" w:hAnsi="Arial" w:cs="Arial"/>
          <w:sz w:val="22"/>
          <w:szCs w:val="22"/>
        </w:rPr>
        <w:t>a</w:t>
      </w:r>
      <w:r w:rsidRPr="003A5EE1">
        <w:rPr>
          <w:rFonts w:ascii="Arial" w:hAnsi="Arial" w:cs="Arial"/>
          <w:sz w:val="22"/>
          <w:szCs w:val="22"/>
        </w:rPr>
        <w:t>eces (47% as parent compound</w:t>
      </w:r>
      <w:r w:rsidR="0090345C" w:rsidRPr="003A5EE1">
        <w:rPr>
          <w:rFonts w:ascii="Arial" w:hAnsi="Arial" w:cs="Arial"/>
          <w:sz w:val="22"/>
          <w:szCs w:val="22"/>
        </w:rPr>
        <w:t>, 24% as metabolites), and approximately</w:t>
      </w:r>
      <w:r w:rsidRPr="003A5EE1">
        <w:rPr>
          <w:rFonts w:ascii="Arial" w:hAnsi="Arial" w:cs="Arial"/>
          <w:sz w:val="22"/>
          <w:szCs w:val="22"/>
        </w:rPr>
        <w:t xml:space="preserve"> 19% of the dose excreted in urine as glucuronides. </w:t>
      </w:r>
      <w:r w:rsidR="00AD7258" w:rsidRPr="003A5EE1">
        <w:rPr>
          <w:rFonts w:ascii="Arial" w:hAnsi="Arial" w:cs="Arial"/>
          <w:sz w:val="22"/>
          <w:szCs w:val="22"/>
        </w:rPr>
        <w:t>Urinary excretion of glucuronides decreased below 10% under steady-state conditions. P</w:t>
      </w:r>
      <w:r w:rsidRPr="003A5EE1">
        <w:rPr>
          <w:rFonts w:ascii="Arial" w:hAnsi="Arial" w:cs="Arial"/>
          <w:sz w:val="22"/>
          <w:szCs w:val="22"/>
        </w:rPr>
        <w:t xml:space="preserve">arent compound found in </w:t>
      </w:r>
      <w:r w:rsidR="0090345C" w:rsidRPr="003A5EE1">
        <w:rPr>
          <w:rFonts w:ascii="Arial" w:hAnsi="Arial" w:cs="Arial"/>
          <w:sz w:val="22"/>
          <w:szCs w:val="22"/>
        </w:rPr>
        <w:t xml:space="preserve">the </w:t>
      </w:r>
      <w:r w:rsidRPr="003A5EE1">
        <w:rPr>
          <w:rFonts w:ascii="Arial" w:hAnsi="Arial" w:cs="Arial"/>
          <w:sz w:val="22"/>
          <w:szCs w:val="22"/>
        </w:rPr>
        <w:t>f</w:t>
      </w:r>
      <w:r w:rsidR="0090345C" w:rsidRPr="003A5EE1">
        <w:rPr>
          <w:rFonts w:ascii="Arial" w:hAnsi="Arial" w:cs="Arial"/>
          <w:sz w:val="22"/>
          <w:szCs w:val="22"/>
        </w:rPr>
        <w:t>a</w:t>
      </w:r>
      <w:r w:rsidRPr="003A5EE1">
        <w:rPr>
          <w:rFonts w:ascii="Arial" w:hAnsi="Arial" w:cs="Arial"/>
          <w:sz w:val="22"/>
          <w:szCs w:val="22"/>
        </w:rPr>
        <w:t xml:space="preserve">eces could be derived from </w:t>
      </w:r>
      <w:r w:rsidR="00AD7258" w:rsidRPr="003A5EE1">
        <w:rPr>
          <w:rFonts w:ascii="Arial" w:hAnsi="Arial" w:cs="Arial"/>
          <w:sz w:val="22"/>
          <w:szCs w:val="22"/>
        </w:rPr>
        <w:t xml:space="preserve">unabsorbed drug, </w:t>
      </w:r>
      <w:r w:rsidRPr="003A5EE1">
        <w:rPr>
          <w:rFonts w:ascii="Arial" w:hAnsi="Arial" w:cs="Arial"/>
          <w:sz w:val="22"/>
          <w:szCs w:val="22"/>
        </w:rPr>
        <w:t xml:space="preserve">intestinal </w:t>
      </w:r>
      <w:r w:rsidR="00AD7258" w:rsidRPr="003A5EE1">
        <w:rPr>
          <w:rFonts w:ascii="Arial" w:hAnsi="Arial" w:cs="Arial"/>
          <w:sz w:val="22"/>
          <w:szCs w:val="22"/>
        </w:rPr>
        <w:t xml:space="preserve">degradation </w:t>
      </w:r>
      <w:r w:rsidRPr="003A5EE1">
        <w:rPr>
          <w:rFonts w:ascii="Arial" w:hAnsi="Arial" w:cs="Arial"/>
          <w:sz w:val="22"/>
          <w:szCs w:val="22"/>
        </w:rPr>
        <w:t xml:space="preserve">of </w:t>
      </w:r>
      <w:r w:rsidR="00AD7258" w:rsidRPr="003A5EE1">
        <w:rPr>
          <w:rFonts w:ascii="Arial" w:hAnsi="Arial" w:cs="Arial"/>
          <w:sz w:val="22"/>
          <w:szCs w:val="22"/>
        </w:rPr>
        <w:t>glucuronides or reduction of metabolite M-2.</w:t>
      </w:r>
    </w:p>
    <w:p w14:paraId="712C26A5" w14:textId="77777777" w:rsidR="0090345C" w:rsidRPr="003A5EE1" w:rsidRDefault="0090345C" w:rsidP="00CF7423">
      <w:pPr>
        <w:keepNext/>
        <w:ind w:right="46"/>
        <w:rPr>
          <w:rFonts w:ascii="Arial" w:hAnsi="Arial" w:cs="Arial"/>
          <w:sz w:val="22"/>
          <w:szCs w:val="22"/>
        </w:rPr>
      </w:pPr>
    </w:p>
    <w:p w14:paraId="712C26A6" w14:textId="77777777" w:rsidR="001D1004" w:rsidRPr="003A5EE1" w:rsidRDefault="000370B3" w:rsidP="006C3E63">
      <w:pPr>
        <w:keepNext/>
        <w:ind w:right="43"/>
        <w:rPr>
          <w:rFonts w:ascii="Arial" w:hAnsi="Arial" w:cs="Arial"/>
          <w:b/>
          <w:i/>
          <w:sz w:val="22"/>
          <w:szCs w:val="22"/>
          <w:lang w:val="en-AU"/>
        </w:rPr>
      </w:pPr>
      <w:r w:rsidRPr="003A5EE1">
        <w:rPr>
          <w:rFonts w:ascii="Arial" w:hAnsi="Arial" w:cs="Arial"/>
          <w:b/>
          <w:i/>
          <w:sz w:val="22"/>
          <w:szCs w:val="22"/>
          <w:lang w:val="en-AU"/>
        </w:rPr>
        <w:t xml:space="preserve">Linearity/non-linearity </w:t>
      </w:r>
    </w:p>
    <w:p w14:paraId="712C26A7" w14:textId="77777777" w:rsidR="001F55B3" w:rsidRPr="001F55B3" w:rsidRDefault="001F55B3" w:rsidP="006C3E63">
      <w:pPr>
        <w:keepNext/>
        <w:ind w:right="43"/>
        <w:rPr>
          <w:rFonts w:ascii="Arial" w:hAnsi="Arial" w:cs="Arial"/>
          <w:b/>
          <w:i/>
          <w:lang w:val="en-AU"/>
        </w:rPr>
      </w:pPr>
    </w:p>
    <w:p w14:paraId="712C26A8" w14:textId="77777777" w:rsidR="0090345C" w:rsidRPr="003A5EE1" w:rsidRDefault="0090345C" w:rsidP="00CF7423">
      <w:pPr>
        <w:ind w:right="46"/>
        <w:rPr>
          <w:rFonts w:ascii="Arial" w:hAnsi="Arial" w:cs="Arial"/>
          <w:sz w:val="22"/>
          <w:szCs w:val="22"/>
        </w:rPr>
      </w:pPr>
      <w:r w:rsidRPr="003A5EE1">
        <w:rPr>
          <w:rFonts w:ascii="Arial" w:hAnsi="Arial" w:cs="Arial"/>
          <w:sz w:val="22"/>
          <w:szCs w:val="22"/>
          <w:lang w:val="en-AU"/>
        </w:rPr>
        <w:t xml:space="preserve">At steady state the systemic exposure of </w:t>
      </w:r>
      <w:proofErr w:type="spellStart"/>
      <w:r w:rsidRPr="003A5EE1">
        <w:rPr>
          <w:rFonts w:ascii="Arial" w:hAnsi="Arial" w:cs="Arial"/>
          <w:sz w:val="22"/>
          <w:szCs w:val="22"/>
          <w:lang w:val="en-AU"/>
        </w:rPr>
        <w:t>regorafenib</w:t>
      </w:r>
      <w:proofErr w:type="spellEnd"/>
      <w:r w:rsidRPr="003A5EE1">
        <w:rPr>
          <w:rFonts w:ascii="Arial" w:hAnsi="Arial" w:cs="Arial"/>
          <w:sz w:val="22"/>
          <w:szCs w:val="22"/>
          <w:lang w:val="en-AU"/>
        </w:rPr>
        <w:t xml:space="preserve"> increases proportionally up to doses of 60 mg and is less proportional at doses greater than 60 mg. </w:t>
      </w:r>
      <w:r w:rsidR="000370B3" w:rsidRPr="003A5EE1">
        <w:rPr>
          <w:rFonts w:ascii="Arial" w:hAnsi="Arial" w:cs="Arial"/>
          <w:sz w:val="22"/>
          <w:szCs w:val="22"/>
        </w:rPr>
        <w:t xml:space="preserve">Accumulation of </w:t>
      </w:r>
      <w:proofErr w:type="spellStart"/>
      <w:r w:rsidR="000370B3" w:rsidRPr="003A5EE1">
        <w:rPr>
          <w:rFonts w:ascii="Arial" w:hAnsi="Arial" w:cs="Arial"/>
          <w:sz w:val="22"/>
          <w:szCs w:val="22"/>
        </w:rPr>
        <w:t>regorafenib</w:t>
      </w:r>
      <w:proofErr w:type="spellEnd"/>
      <w:r w:rsidR="000370B3" w:rsidRPr="003A5EE1">
        <w:rPr>
          <w:rFonts w:ascii="Arial" w:hAnsi="Arial" w:cs="Arial"/>
          <w:sz w:val="22"/>
          <w:szCs w:val="22"/>
        </w:rPr>
        <w:t xml:space="preserve"> </w:t>
      </w:r>
      <w:r w:rsidRPr="003A5EE1">
        <w:rPr>
          <w:rFonts w:ascii="Arial" w:hAnsi="Arial" w:cs="Arial"/>
          <w:sz w:val="22"/>
          <w:szCs w:val="22"/>
        </w:rPr>
        <w:t>at steady state results in approximately</w:t>
      </w:r>
      <w:r w:rsidR="000370B3" w:rsidRPr="003A5EE1">
        <w:rPr>
          <w:rFonts w:ascii="Arial" w:hAnsi="Arial" w:cs="Arial"/>
          <w:sz w:val="22"/>
          <w:szCs w:val="22"/>
        </w:rPr>
        <w:t xml:space="preserve"> a 2-fold increase in plasma concentrations, which is consistent with the elimination half-life and dosing frequency. </w:t>
      </w:r>
    </w:p>
    <w:p w14:paraId="712C26A9" w14:textId="77777777" w:rsidR="0090345C" w:rsidRPr="003A5EE1" w:rsidRDefault="0090345C" w:rsidP="00CF7423">
      <w:pPr>
        <w:ind w:right="46"/>
        <w:rPr>
          <w:rFonts w:ascii="Arial" w:hAnsi="Arial" w:cs="Arial"/>
          <w:sz w:val="22"/>
          <w:szCs w:val="22"/>
        </w:rPr>
      </w:pPr>
    </w:p>
    <w:p w14:paraId="712C26AA" w14:textId="77777777" w:rsidR="000370B3" w:rsidRPr="003A5EE1" w:rsidRDefault="000370B3" w:rsidP="00CF7423">
      <w:pPr>
        <w:ind w:right="46"/>
        <w:rPr>
          <w:rFonts w:ascii="Arial" w:hAnsi="Arial" w:cs="Arial"/>
          <w:sz w:val="22"/>
          <w:szCs w:val="22"/>
        </w:rPr>
      </w:pPr>
      <w:r w:rsidRPr="003A5EE1">
        <w:rPr>
          <w:rFonts w:ascii="Arial" w:hAnsi="Arial" w:cs="Arial"/>
          <w:sz w:val="22"/>
          <w:szCs w:val="22"/>
        </w:rPr>
        <w:t xml:space="preserve">At steady state,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reaches mean peak plasma level</w:t>
      </w:r>
      <w:r w:rsidR="0090345C" w:rsidRPr="003A5EE1">
        <w:rPr>
          <w:rFonts w:ascii="Arial" w:hAnsi="Arial" w:cs="Arial"/>
          <w:sz w:val="22"/>
          <w:szCs w:val="22"/>
        </w:rPr>
        <w:t>s of approximately</w:t>
      </w:r>
      <w:r w:rsidRPr="003A5EE1">
        <w:rPr>
          <w:rFonts w:ascii="Arial" w:hAnsi="Arial" w:cs="Arial"/>
          <w:sz w:val="22"/>
          <w:szCs w:val="22"/>
        </w:rPr>
        <w:t xml:space="preserve"> 3.9 mg/L (8.1 </w:t>
      </w:r>
      <w:proofErr w:type="spellStart"/>
      <w:r w:rsidRPr="003A5EE1">
        <w:rPr>
          <w:rFonts w:ascii="Arial" w:hAnsi="Arial" w:cs="Arial"/>
          <w:sz w:val="22"/>
          <w:szCs w:val="22"/>
        </w:rPr>
        <w:t>micromolar</w:t>
      </w:r>
      <w:proofErr w:type="spellEnd"/>
      <w:r w:rsidRPr="003A5EE1">
        <w:rPr>
          <w:rFonts w:ascii="Arial" w:hAnsi="Arial" w:cs="Arial"/>
          <w:sz w:val="22"/>
          <w:szCs w:val="22"/>
        </w:rPr>
        <w:t xml:space="preserve">) after oral administration of 160 mg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and the peak-to-trough ratio of mean plasma concentrations is less than 2.</w:t>
      </w:r>
    </w:p>
    <w:p w14:paraId="712C26AB" w14:textId="77777777" w:rsidR="00AD7258" w:rsidRPr="003A5EE1" w:rsidRDefault="00AD7258" w:rsidP="00CF7423">
      <w:pPr>
        <w:ind w:right="46"/>
        <w:rPr>
          <w:rFonts w:ascii="Arial" w:hAnsi="Arial" w:cs="Arial"/>
          <w:sz w:val="22"/>
          <w:szCs w:val="22"/>
        </w:rPr>
      </w:pPr>
    </w:p>
    <w:p w14:paraId="712C26AC" w14:textId="77777777" w:rsidR="00AD7258" w:rsidRPr="003A5EE1" w:rsidRDefault="00AD7258" w:rsidP="00CF7423">
      <w:pPr>
        <w:ind w:right="46"/>
        <w:rPr>
          <w:rFonts w:ascii="Arial" w:hAnsi="Arial" w:cs="Arial"/>
          <w:sz w:val="22"/>
          <w:szCs w:val="22"/>
        </w:rPr>
      </w:pPr>
      <w:r w:rsidRPr="003A5EE1">
        <w:rPr>
          <w:rFonts w:ascii="Arial" w:hAnsi="Arial" w:cs="Arial"/>
          <w:sz w:val="22"/>
          <w:szCs w:val="22"/>
        </w:rPr>
        <w:t xml:space="preserve">Both metabolites, M-2 and M-5, exhibit non-linear accumulation. Whereas plasma concentrations of M-2 and M-5 after a single dose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are much lower than those of parent compound, steady-state plasma concentrations of M-2 and M-5 are comparable to those of </w:t>
      </w:r>
      <w:proofErr w:type="spellStart"/>
      <w:r w:rsidRPr="003A5EE1">
        <w:rPr>
          <w:rFonts w:ascii="Arial" w:hAnsi="Arial" w:cs="Arial"/>
          <w:sz w:val="22"/>
          <w:szCs w:val="22"/>
        </w:rPr>
        <w:t>regorafenib</w:t>
      </w:r>
      <w:proofErr w:type="spellEnd"/>
      <w:r w:rsidR="00693A65" w:rsidRPr="003A5EE1">
        <w:rPr>
          <w:rFonts w:ascii="Arial" w:hAnsi="Arial" w:cs="Arial"/>
          <w:sz w:val="22"/>
          <w:szCs w:val="22"/>
        </w:rPr>
        <w:t>.</w:t>
      </w:r>
    </w:p>
    <w:p w14:paraId="712C26AD" w14:textId="77777777" w:rsidR="0090345C" w:rsidRPr="003A5EE1" w:rsidRDefault="0090345C" w:rsidP="002E54D9">
      <w:pPr>
        <w:ind w:right="46"/>
        <w:rPr>
          <w:rFonts w:ascii="Arial" w:hAnsi="Arial" w:cs="Arial"/>
          <w:i/>
          <w:sz w:val="22"/>
          <w:szCs w:val="22"/>
          <w:lang w:val="en-AU"/>
        </w:rPr>
      </w:pPr>
    </w:p>
    <w:p w14:paraId="712C26AE" w14:textId="77777777" w:rsidR="001D1004" w:rsidRPr="003A5EE1" w:rsidRDefault="001D1004" w:rsidP="00CF7423">
      <w:pPr>
        <w:keepNext/>
        <w:ind w:right="46"/>
        <w:rPr>
          <w:rFonts w:ascii="Arial" w:hAnsi="Arial" w:cs="Arial"/>
          <w:b/>
          <w:i/>
          <w:sz w:val="22"/>
          <w:szCs w:val="22"/>
          <w:lang w:val="en-AU"/>
        </w:rPr>
      </w:pPr>
      <w:r w:rsidRPr="003A5EE1">
        <w:rPr>
          <w:rFonts w:ascii="Arial" w:hAnsi="Arial" w:cs="Arial"/>
          <w:b/>
          <w:i/>
          <w:sz w:val="22"/>
          <w:szCs w:val="22"/>
          <w:lang w:val="en-AU"/>
        </w:rPr>
        <w:t>Hepatic impairment</w:t>
      </w:r>
    </w:p>
    <w:p w14:paraId="712C26AF" w14:textId="77777777" w:rsidR="001F55B3" w:rsidRPr="003A5EE1" w:rsidRDefault="001F55B3" w:rsidP="00CF7423">
      <w:pPr>
        <w:keepNext/>
        <w:ind w:right="46"/>
        <w:rPr>
          <w:rFonts w:ascii="Arial" w:hAnsi="Arial" w:cs="Arial"/>
          <w:b/>
          <w:i/>
          <w:sz w:val="22"/>
          <w:szCs w:val="22"/>
          <w:lang w:val="en-AU"/>
        </w:rPr>
      </w:pPr>
    </w:p>
    <w:p w14:paraId="712C26B0" w14:textId="77777777" w:rsidR="003B5FEC" w:rsidRPr="003A5EE1" w:rsidRDefault="003B5FEC" w:rsidP="003B5FEC">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The exposure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and its metabolites</w:t>
      </w:r>
      <w:r w:rsidRPr="003A5EE1">
        <w:rPr>
          <w:rFonts w:ascii="Arial" w:hAnsi="Arial" w:cs="Arial"/>
          <w:sz w:val="22"/>
          <w:szCs w:val="22"/>
          <w:lang w:val="en-GB"/>
        </w:rPr>
        <w:t xml:space="preserve"> M-2 and M-5</w:t>
      </w:r>
      <w:r w:rsidRPr="003A5EE1">
        <w:rPr>
          <w:rFonts w:ascii="Arial" w:hAnsi="Arial" w:cs="Arial"/>
          <w:sz w:val="22"/>
          <w:szCs w:val="22"/>
        </w:rPr>
        <w:t xml:space="preserve"> is comparable in patients with mild hepatic impairment (Child-Pugh A) and patients with normal hepatic function.</w:t>
      </w:r>
      <w:r w:rsidRPr="003A5EE1">
        <w:rPr>
          <w:rStyle w:val="EndnoteReference"/>
          <w:rFonts w:ascii="Arial" w:hAnsi="Arial" w:cs="Arial"/>
          <w:sz w:val="22"/>
          <w:szCs w:val="22"/>
          <w:highlight w:val="lightGray"/>
        </w:rPr>
        <w:t xml:space="preserve"> </w:t>
      </w:r>
    </w:p>
    <w:p w14:paraId="712C26B1" w14:textId="77777777" w:rsidR="003B5FEC" w:rsidRPr="003A5EE1" w:rsidRDefault="003B5FEC" w:rsidP="003B5FEC">
      <w:pPr>
        <w:pStyle w:val="BayerBodyTextFull"/>
        <w:tabs>
          <w:tab w:val="left" w:pos="1418"/>
        </w:tabs>
        <w:spacing w:before="0" w:after="0"/>
        <w:rPr>
          <w:rFonts w:ascii="Arial" w:hAnsi="Arial" w:cs="Arial"/>
          <w:sz w:val="22"/>
          <w:szCs w:val="22"/>
        </w:rPr>
      </w:pPr>
    </w:p>
    <w:p w14:paraId="712C26B2" w14:textId="77777777" w:rsidR="003B5FEC" w:rsidRPr="003A5EE1" w:rsidRDefault="003B5FEC" w:rsidP="003B5FEC">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Limited data in patients with moderate hepatic impairment (Child-Pugh B) indicate similar exposure compared to patients with normal hepatic function after a single </w:t>
      </w:r>
    </w:p>
    <w:p w14:paraId="712C26B3" w14:textId="77777777" w:rsidR="003B5FEC" w:rsidRPr="003A5EE1" w:rsidRDefault="003B5FEC" w:rsidP="003B5FEC">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100 mg dose of </w:t>
      </w:r>
      <w:proofErr w:type="spellStart"/>
      <w:r w:rsidRPr="003A5EE1">
        <w:rPr>
          <w:rFonts w:ascii="Arial" w:hAnsi="Arial" w:cs="Arial"/>
          <w:sz w:val="22"/>
          <w:szCs w:val="22"/>
        </w:rPr>
        <w:t>regorafenib</w:t>
      </w:r>
      <w:proofErr w:type="spellEnd"/>
      <w:r w:rsidRPr="003A5EE1">
        <w:rPr>
          <w:rFonts w:ascii="Arial" w:hAnsi="Arial" w:cs="Arial"/>
          <w:sz w:val="22"/>
          <w:szCs w:val="22"/>
        </w:rPr>
        <w:t>.</w:t>
      </w:r>
    </w:p>
    <w:p w14:paraId="712C26B4" w14:textId="77777777" w:rsidR="003B5FEC" w:rsidRPr="003A5EE1" w:rsidRDefault="003B5FEC" w:rsidP="003B5FEC">
      <w:pPr>
        <w:pStyle w:val="BayerBodyTextFull"/>
        <w:tabs>
          <w:tab w:val="left" w:pos="1418"/>
        </w:tabs>
        <w:spacing w:before="0" w:after="0"/>
        <w:rPr>
          <w:rFonts w:ascii="Arial" w:hAnsi="Arial" w:cs="Arial"/>
          <w:sz w:val="22"/>
          <w:szCs w:val="22"/>
        </w:rPr>
      </w:pPr>
    </w:p>
    <w:p w14:paraId="712C26B5" w14:textId="77777777" w:rsidR="003B5FEC" w:rsidRPr="003A5EE1" w:rsidRDefault="003B5FEC" w:rsidP="003B5FEC">
      <w:pPr>
        <w:keepNext/>
        <w:ind w:right="46"/>
        <w:rPr>
          <w:rFonts w:ascii="Arial" w:hAnsi="Arial" w:cs="Arial"/>
          <w:sz w:val="22"/>
          <w:szCs w:val="22"/>
        </w:rPr>
      </w:pPr>
      <w:r w:rsidRPr="003A5EE1">
        <w:rPr>
          <w:rFonts w:ascii="Arial" w:hAnsi="Arial" w:cs="Arial"/>
          <w:sz w:val="22"/>
          <w:szCs w:val="22"/>
        </w:rPr>
        <w:t xml:space="preserve">The pharmacokinetics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has not been studied in patients with severe hepatic impairment (Child-Pugh C).</w:t>
      </w:r>
    </w:p>
    <w:p w14:paraId="712C26B6" w14:textId="77777777" w:rsidR="0090345C" w:rsidRPr="003A5EE1" w:rsidRDefault="0090345C" w:rsidP="00CF7423">
      <w:pPr>
        <w:keepNext/>
        <w:ind w:right="46"/>
        <w:rPr>
          <w:rFonts w:ascii="Arial" w:hAnsi="Arial" w:cs="Arial"/>
          <w:sz w:val="22"/>
          <w:szCs w:val="22"/>
        </w:rPr>
      </w:pPr>
    </w:p>
    <w:p w14:paraId="712C26B7" w14:textId="77777777" w:rsidR="001D1004" w:rsidRPr="003A5EE1" w:rsidRDefault="001D1004" w:rsidP="00CF7423">
      <w:pPr>
        <w:keepNext/>
        <w:ind w:right="46"/>
        <w:rPr>
          <w:rFonts w:ascii="Arial" w:hAnsi="Arial" w:cs="Arial"/>
          <w:b/>
          <w:i/>
          <w:sz w:val="22"/>
          <w:szCs w:val="22"/>
          <w:lang w:val="en-AU"/>
        </w:rPr>
      </w:pPr>
      <w:r w:rsidRPr="003A5EE1">
        <w:rPr>
          <w:rFonts w:ascii="Arial" w:hAnsi="Arial" w:cs="Arial"/>
          <w:b/>
          <w:i/>
          <w:sz w:val="22"/>
          <w:szCs w:val="22"/>
          <w:lang w:val="en-AU"/>
        </w:rPr>
        <w:t>Renal impairment</w:t>
      </w:r>
    </w:p>
    <w:p w14:paraId="712C26B8" w14:textId="77777777" w:rsidR="001F55B3" w:rsidRPr="003A5EE1" w:rsidRDefault="001F55B3" w:rsidP="00CF7423">
      <w:pPr>
        <w:keepNext/>
        <w:ind w:right="46"/>
        <w:rPr>
          <w:rFonts w:ascii="Arial" w:eastAsia="SimSun" w:hAnsi="Arial" w:cs="Arial"/>
          <w:b/>
          <w:i/>
          <w:iCs/>
          <w:sz w:val="22"/>
          <w:szCs w:val="22"/>
          <w:lang w:val="en-AU" w:eastAsia="zh-CN"/>
        </w:rPr>
      </w:pPr>
    </w:p>
    <w:p w14:paraId="712C26B9" w14:textId="77777777" w:rsidR="007B1C84" w:rsidRDefault="003B5FEC" w:rsidP="00CF7423">
      <w:pPr>
        <w:pStyle w:val="BayerBodyTextFull"/>
        <w:tabs>
          <w:tab w:val="left" w:pos="1418"/>
        </w:tabs>
        <w:spacing w:before="0" w:after="0"/>
        <w:rPr>
          <w:color w:val="0000FF"/>
          <w:szCs w:val="24"/>
          <w:highlight w:val="lightGray"/>
        </w:rPr>
      </w:pPr>
      <w:r w:rsidRPr="003A5EE1">
        <w:rPr>
          <w:rFonts w:ascii="Arial" w:hAnsi="Arial" w:cs="Arial"/>
          <w:sz w:val="22"/>
          <w:szCs w:val="22"/>
        </w:rPr>
        <w:t xml:space="preserve">The steady-state exposure of </w:t>
      </w:r>
      <w:proofErr w:type="spellStart"/>
      <w:r w:rsidRPr="003A5EE1">
        <w:rPr>
          <w:rFonts w:ascii="Arial" w:hAnsi="Arial" w:cs="Arial"/>
          <w:sz w:val="22"/>
          <w:szCs w:val="22"/>
        </w:rPr>
        <w:t>regorafenib</w:t>
      </w:r>
      <w:proofErr w:type="spellEnd"/>
      <w:r w:rsidRPr="003A5EE1">
        <w:rPr>
          <w:rFonts w:ascii="Arial" w:hAnsi="Arial" w:cs="Arial"/>
          <w:sz w:val="22"/>
          <w:szCs w:val="22"/>
        </w:rPr>
        <w:t>, M-2 and M-5 is comparable in patients with mild renal impairment and patients with normal renal function.</w:t>
      </w:r>
      <w:r w:rsidRPr="003A5EE1">
        <w:rPr>
          <w:rFonts w:ascii="Arial" w:hAnsi="Arial" w:cs="Arial"/>
          <w:color w:val="0070C0"/>
          <w:sz w:val="22"/>
          <w:szCs w:val="22"/>
        </w:rPr>
        <w:t xml:space="preserve"> </w:t>
      </w:r>
      <w:r w:rsidRPr="003A5EE1">
        <w:rPr>
          <w:rFonts w:ascii="Arial" w:hAnsi="Arial" w:cs="Arial"/>
          <w:sz w:val="22"/>
          <w:szCs w:val="22"/>
        </w:rPr>
        <w:t>Limited data from Phase I and II studies</w:t>
      </w:r>
      <w:r w:rsidRPr="003A5EE1">
        <w:rPr>
          <w:rFonts w:ascii="Arial" w:hAnsi="Arial" w:cs="Arial"/>
          <w:color w:val="000000"/>
          <w:sz w:val="22"/>
          <w:szCs w:val="22"/>
          <w:lang w:eastAsia="ja-JP"/>
        </w:rPr>
        <w:t xml:space="preserve"> indicate that the range of exposure in patients with moderate renal impairment is comparable to that seen in</w:t>
      </w:r>
      <w:r w:rsidRPr="003A5EE1">
        <w:rPr>
          <w:rFonts w:ascii="Arial" w:hAnsi="Arial" w:cs="Arial"/>
          <w:color w:val="FF0000"/>
          <w:sz w:val="22"/>
          <w:szCs w:val="22"/>
          <w:lang w:eastAsia="ja-JP"/>
        </w:rPr>
        <w:t xml:space="preserve"> </w:t>
      </w:r>
      <w:r w:rsidRPr="003A5EE1">
        <w:rPr>
          <w:rFonts w:ascii="Arial" w:hAnsi="Arial" w:cs="Arial"/>
          <w:color w:val="000000"/>
          <w:sz w:val="22"/>
          <w:szCs w:val="22"/>
          <w:lang w:eastAsia="ja-JP"/>
        </w:rPr>
        <w:t>patients with normal renal function.</w:t>
      </w:r>
      <w:r w:rsidRPr="003A5EE1">
        <w:rPr>
          <w:rFonts w:ascii="Arial" w:hAnsi="Arial" w:cs="Arial"/>
          <w:sz w:val="22"/>
          <w:szCs w:val="22"/>
        </w:rPr>
        <w:t xml:space="preserve"> </w:t>
      </w:r>
    </w:p>
    <w:p w14:paraId="712C26BA" w14:textId="77777777" w:rsidR="0090345C" w:rsidRPr="003A5EE1" w:rsidRDefault="0090345C" w:rsidP="00CF7423">
      <w:pPr>
        <w:pStyle w:val="BayerBodyTextFull"/>
        <w:tabs>
          <w:tab w:val="left" w:pos="1418"/>
        </w:tabs>
        <w:spacing w:before="0" w:after="0"/>
        <w:rPr>
          <w:rFonts w:ascii="Arial" w:hAnsi="Arial" w:cs="Arial"/>
          <w:sz w:val="22"/>
          <w:szCs w:val="22"/>
        </w:rPr>
      </w:pPr>
    </w:p>
    <w:p w14:paraId="712C26BB" w14:textId="77777777" w:rsidR="003B5FEC" w:rsidRDefault="000370B3"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The pharmacokinetics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has not been studied in patients with severe renal impairment or end-stage renal disease. </w:t>
      </w:r>
    </w:p>
    <w:p w14:paraId="712C26BC" w14:textId="77777777" w:rsidR="0090345C" w:rsidRPr="003A5EE1" w:rsidRDefault="0090345C" w:rsidP="00CF7423">
      <w:pPr>
        <w:pStyle w:val="BayerBodyTextFull"/>
        <w:tabs>
          <w:tab w:val="left" w:pos="1418"/>
        </w:tabs>
        <w:spacing w:before="0" w:after="0"/>
        <w:rPr>
          <w:rFonts w:ascii="Arial" w:hAnsi="Arial" w:cs="Arial"/>
          <w:sz w:val="22"/>
          <w:szCs w:val="22"/>
        </w:rPr>
      </w:pPr>
    </w:p>
    <w:p w14:paraId="712C26BD" w14:textId="77777777" w:rsidR="00B855C1" w:rsidRPr="003A5EE1" w:rsidRDefault="00B855C1" w:rsidP="00CF7423">
      <w:pPr>
        <w:pStyle w:val="BayerBodyTextFull"/>
        <w:tabs>
          <w:tab w:val="left" w:pos="1418"/>
        </w:tabs>
        <w:spacing w:before="0" w:after="0"/>
        <w:rPr>
          <w:rFonts w:ascii="Arial" w:hAnsi="Arial" w:cs="Arial"/>
          <w:b/>
          <w:i/>
          <w:sz w:val="22"/>
          <w:szCs w:val="22"/>
          <w:lang w:eastAsia="ja-JP"/>
        </w:rPr>
      </w:pPr>
      <w:r w:rsidRPr="003A5EE1">
        <w:rPr>
          <w:rFonts w:ascii="Arial" w:hAnsi="Arial" w:cs="Arial"/>
          <w:b/>
          <w:i/>
          <w:sz w:val="22"/>
          <w:szCs w:val="22"/>
          <w:lang w:eastAsia="ja-JP"/>
        </w:rPr>
        <w:t>Cardiac electrophysiology/QT prolongation</w:t>
      </w:r>
    </w:p>
    <w:p w14:paraId="712C26BE" w14:textId="77777777" w:rsidR="001F55B3" w:rsidRPr="003A5EE1" w:rsidRDefault="001F55B3" w:rsidP="00CF7423">
      <w:pPr>
        <w:pStyle w:val="BayerBodyTextFull"/>
        <w:tabs>
          <w:tab w:val="left" w:pos="1418"/>
        </w:tabs>
        <w:spacing w:before="0" w:after="0"/>
        <w:rPr>
          <w:rFonts w:ascii="Arial" w:hAnsi="Arial" w:cs="Arial"/>
          <w:b/>
          <w:i/>
          <w:sz w:val="22"/>
          <w:szCs w:val="22"/>
          <w:lang w:eastAsia="ja-JP"/>
        </w:rPr>
      </w:pPr>
    </w:p>
    <w:p w14:paraId="712C26BF" w14:textId="77777777" w:rsidR="00B855C1" w:rsidRPr="003A5EE1" w:rsidRDefault="00B855C1" w:rsidP="002E54D9">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No </w:t>
      </w:r>
      <w:proofErr w:type="spellStart"/>
      <w:r w:rsidRPr="003A5EE1">
        <w:rPr>
          <w:rFonts w:ascii="Arial" w:hAnsi="Arial" w:cs="Arial"/>
          <w:sz w:val="22"/>
          <w:szCs w:val="22"/>
        </w:rPr>
        <w:t>QTc</w:t>
      </w:r>
      <w:proofErr w:type="spellEnd"/>
      <w:r w:rsidRPr="003A5EE1">
        <w:rPr>
          <w:rFonts w:ascii="Arial" w:hAnsi="Arial" w:cs="Arial"/>
          <w:sz w:val="22"/>
          <w:szCs w:val="22"/>
        </w:rPr>
        <w:t xml:space="preserve"> prolonging effects were observed after administration of 160 mg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at steady state in a dedicated QT study in male and female cancer patients.</w:t>
      </w:r>
    </w:p>
    <w:p w14:paraId="712C26C0" w14:textId="77777777" w:rsidR="00F34FCB" w:rsidRPr="003A5EE1" w:rsidRDefault="00F34FCB" w:rsidP="002E54D9">
      <w:pPr>
        <w:pStyle w:val="BayerBodyTextFull"/>
        <w:tabs>
          <w:tab w:val="left" w:pos="1418"/>
        </w:tabs>
        <w:spacing w:before="0" w:after="0"/>
        <w:rPr>
          <w:rFonts w:ascii="Arial" w:hAnsi="Arial" w:cs="Arial"/>
          <w:sz w:val="22"/>
          <w:szCs w:val="22"/>
        </w:rPr>
      </w:pPr>
    </w:p>
    <w:p w14:paraId="712C26C1" w14:textId="77777777" w:rsidR="001D1004" w:rsidRPr="003A5EE1" w:rsidRDefault="001D1004" w:rsidP="006C3E63">
      <w:pPr>
        <w:pStyle w:val="Heading1"/>
        <w:spacing w:before="0" w:after="0" w:line="240" w:lineRule="auto"/>
        <w:ind w:right="46"/>
        <w:jc w:val="left"/>
      </w:pPr>
      <w:r w:rsidRPr="003A5EE1">
        <w:t xml:space="preserve">CLINICAL </w:t>
      </w:r>
      <w:r w:rsidR="005931B7" w:rsidRPr="003A5EE1">
        <w:t>TRIALS</w:t>
      </w:r>
    </w:p>
    <w:p w14:paraId="712C26C2" w14:textId="77777777" w:rsidR="0090345C" w:rsidRDefault="0090345C" w:rsidP="006C3E63">
      <w:pPr>
        <w:keepNext/>
        <w:rPr>
          <w:lang w:val="en-AU"/>
        </w:rPr>
      </w:pPr>
    </w:p>
    <w:p w14:paraId="712C26C3" w14:textId="77777777" w:rsidR="00515E3C" w:rsidRPr="00515E3C" w:rsidRDefault="00515E3C" w:rsidP="006C3E63">
      <w:pPr>
        <w:keepNext/>
        <w:rPr>
          <w:rFonts w:ascii="Arial" w:hAnsi="Arial" w:cs="Arial"/>
          <w:b/>
          <w:i/>
          <w:sz w:val="22"/>
          <w:szCs w:val="22"/>
          <w:lang w:val="en-AU"/>
        </w:rPr>
      </w:pPr>
      <w:r w:rsidRPr="00515E3C">
        <w:rPr>
          <w:rFonts w:ascii="Arial" w:hAnsi="Arial" w:cs="Arial"/>
          <w:b/>
          <w:i/>
          <w:sz w:val="22"/>
          <w:szCs w:val="22"/>
          <w:lang w:val="en-AU"/>
        </w:rPr>
        <w:t>Metastatic Colorectal Cancer</w:t>
      </w:r>
    </w:p>
    <w:p w14:paraId="712C26C4" w14:textId="77777777" w:rsidR="00515E3C" w:rsidRPr="0090345C" w:rsidRDefault="00515E3C" w:rsidP="006C3E63">
      <w:pPr>
        <w:keepNext/>
        <w:rPr>
          <w:lang w:val="en-AU"/>
        </w:rPr>
      </w:pPr>
    </w:p>
    <w:p w14:paraId="712C26C5" w14:textId="77777777" w:rsidR="00B855C1" w:rsidRPr="003A5EE1" w:rsidRDefault="00B855C1" w:rsidP="006C3E63">
      <w:pPr>
        <w:pStyle w:val="BayerBodyTextFull"/>
        <w:keepNext/>
        <w:spacing w:before="0" w:after="0"/>
        <w:rPr>
          <w:rFonts w:ascii="Arial" w:hAnsi="Arial" w:cs="Arial"/>
          <w:sz w:val="22"/>
          <w:szCs w:val="22"/>
        </w:rPr>
      </w:pPr>
      <w:r w:rsidRPr="003A5EE1">
        <w:rPr>
          <w:rFonts w:ascii="Arial" w:hAnsi="Arial" w:cs="Arial"/>
          <w:sz w:val="22"/>
          <w:szCs w:val="22"/>
        </w:rPr>
        <w:t>The cli</w:t>
      </w:r>
      <w:r w:rsidR="00CD329C" w:rsidRPr="003A5EE1">
        <w:rPr>
          <w:rFonts w:ascii="Arial" w:hAnsi="Arial" w:cs="Arial"/>
          <w:sz w:val="22"/>
          <w:szCs w:val="22"/>
        </w:rPr>
        <w:t xml:space="preserve">nical efficacy and safety of </w:t>
      </w:r>
      <w:r w:rsidR="00601DFC">
        <w:rPr>
          <w:rFonts w:ascii="Arial" w:hAnsi="Arial" w:cs="Arial"/>
          <w:sz w:val="22"/>
          <w:szCs w:val="22"/>
        </w:rPr>
        <w:t xml:space="preserve">STIVARGA </w:t>
      </w:r>
      <w:r w:rsidR="00EB6DBB" w:rsidRPr="003A5EE1">
        <w:rPr>
          <w:rFonts w:ascii="Arial" w:hAnsi="Arial" w:cs="Arial"/>
          <w:sz w:val="22"/>
          <w:szCs w:val="22"/>
        </w:rPr>
        <w:t>has</w:t>
      </w:r>
      <w:r w:rsidRPr="003A5EE1">
        <w:rPr>
          <w:rFonts w:ascii="Arial" w:hAnsi="Arial" w:cs="Arial"/>
          <w:sz w:val="22"/>
          <w:szCs w:val="22"/>
        </w:rPr>
        <w:t xml:space="preserve"> been evaluated in an inter</w:t>
      </w:r>
      <w:r w:rsidR="00BB0856" w:rsidRPr="003A5EE1">
        <w:rPr>
          <w:rFonts w:ascii="Arial" w:hAnsi="Arial" w:cs="Arial"/>
          <w:sz w:val="22"/>
          <w:szCs w:val="22"/>
        </w:rPr>
        <w:t>national, multi-</w:t>
      </w:r>
      <w:proofErr w:type="spellStart"/>
      <w:r w:rsidR="00BB0856" w:rsidRPr="003A5EE1">
        <w:rPr>
          <w:rFonts w:ascii="Arial" w:hAnsi="Arial" w:cs="Arial"/>
          <w:sz w:val="22"/>
          <w:szCs w:val="22"/>
        </w:rPr>
        <w:t>centre</w:t>
      </w:r>
      <w:proofErr w:type="spellEnd"/>
      <w:r w:rsidR="00EB6DBB" w:rsidRPr="003A5EE1">
        <w:rPr>
          <w:rFonts w:ascii="Arial" w:hAnsi="Arial" w:cs="Arial"/>
          <w:sz w:val="22"/>
          <w:szCs w:val="22"/>
        </w:rPr>
        <w:t xml:space="preserve">, </w:t>
      </w:r>
      <w:proofErr w:type="spellStart"/>
      <w:r w:rsidR="00EB6DBB" w:rsidRPr="003A5EE1">
        <w:rPr>
          <w:rFonts w:ascii="Arial" w:hAnsi="Arial" w:cs="Arial"/>
          <w:sz w:val="22"/>
          <w:szCs w:val="22"/>
        </w:rPr>
        <w:t>randomis</w:t>
      </w:r>
      <w:r w:rsidRPr="003A5EE1">
        <w:rPr>
          <w:rFonts w:ascii="Arial" w:hAnsi="Arial" w:cs="Arial"/>
          <w:sz w:val="22"/>
          <w:szCs w:val="22"/>
        </w:rPr>
        <w:t>ed</w:t>
      </w:r>
      <w:proofErr w:type="spellEnd"/>
      <w:r w:rsidRPr="003A5EE1">
        <w:rPr>
          <w:rFonts w:ascii="Arial" w:hAnsi="Arial" w:cs="Arial"/>
          <w:sz w:val="22"/>
          <w:szCs w:val="22"/>
        </w:rPr>
        <w:t>, do</w:t>
      </w:r>
      <w:r w:rsidR="00EB6DBB" w:rsidRPr="003A5EE1">
        <w:rPr>
          <w:rFonts w:ascii="Arial" w:hAnsi="Arial" w:cs="Arial"/>
          <w:sz w:val="22"/>
          <w:szCs w:val="22"/>
        </w:rPr>
        <w:t>uble-blind, placebo-controlled P</w:t>
      </w:r>
      <w:r w:rsidR="00607B3E" w:rsidRPr="003A5EE1">
        <w:rPr>
          <w:rFonts w:ascii="Arial" w:hAnsi="Arial" w:cs="Arial"/>
          <w:sz w:val="22"/>
          <w:szCs w:val="22"/>
        </w:rPr>
        <w:t>hase III study (CORRECT)</w:t>
      </w:r>
      <w:r w:rsidRPr="003A5EE1">
        <w:rPr>
          <w:rFonts w:ascii="Arial" w:hAnsi="Arial" w:cs="Arial"/>
          <w:sz w:val="22"/>
          <w:szCs w:val="22"/>
        </w:rPr>
        <w:t xml:space="preserve"> in </w:t>
      </w:r>
      <w:r w:rsidR="00EC5D69" w:rsidRPr="003A5EE1">
        <w:rPr>
          <w:rFonts w:ascii="Arial" w:hAnsi="Arial" w:cs="Arial"/>
          <w:sz w:val="22"/>
          <w:szCs w:val="22"/>
        </w:rPr>
        <w:t xml:space="preserve">heavily pre-treated </w:t>
      </w:r>
      <w:r w:rsidRPr="003A5EE1">
        <w:rPr>
          <w:rFonts w:ascii="Arial" w:hAnsi="Arial" w:cs="Arial"/>
          <w:sz w:val="22"/>
          <w:szCs w:val="22"/>
        </w:rPr>
        <w:t xml:space="preserve">patients with metastatic colorectal cancer who have progressed after failure of standard therapy. </w:t>
      </w:r>
    </w:p>
    <w:p w14:paraId="712C26C6" w14:textId="77777777" w:rsidR="00EB6DBB" w:rsidRPr="003A5EE1" w:rsidRDefault="00EB6DBB" w:rsidP="006C3E63">
      <w:pPr>
        <w:pStyle w:val="BayerBodyTextFull"/>
        <w:keepNext/>
        <w:spacing w:before="0" w:after="0"/>
        <w:rPr>
          <w:rFonts w:ascii="Arial" w:hAnsi="Arial" w:cs="Arial"/>
          <w:sz w:val="22"/>
          <w:szCs w:val="22"/>
        </w:rPr>
      </w:pPr>
    </w:p>
    <w:p w14:paraId="712C26C7" w14:textId="77777777" w:rsidR="00B855C1" w:rsidRPr="003A5EE1" w:rsidRDefault="00B855C1" w:rsidP="006C3E63">
      <w:pPr>
        <w:pStyle w:val="BayerBodyTextFull"/>
        <w:keepNext/>
        <w:spacing w:before="0" w:after="0"/>
        <w:rPr>
          <w:rFonts w:ascii="Arial" w:hAnsi="Arial" w:cs="Arial"/>
          <w:sz w:val="22"/>
          <w:szCs w:val="22"/>
        </w:rPr>
      </w:pPr>
      <w:r w:rsidRPr="003A5EE1">
        <w:rPr>
          <w:rFonts w:ascii="Arial" w:hAnsi="Arial" w:cs="Arial"/>
          <w:sz w:val="22"/>
          <w:szCs w:val="22"/>
        </w:rPr>
        <w:t>The primary efficacy endpoint was Overall Survival (OS). Secondary endpoints were Progression</w:t>
      </w:r>
      <w:r w:rsidR="001E1758" w:rsidRPr="003A5EE1">
        <w:rPr>
          <w:rFonts w:ascii="Arial" w:hAnsi="Arial" w:cs="Arial"/>
          <w:sz w:val="22"/>
          <w:szCs w:val="22"/>
        </w:rPr>
        <w:t>-</w:t>
      </w:r>
      <w:r w:rsidRPr="003A5EE1">
        <w:rPr>
          <w:rFonts w:ascii="Arial" w:hAnsi="Arial" w:cs="Arial"/>
          <w:sz w:val="22"/>
          <w:szCs w:val="22"/>
        </w:rPr>
        <w:t xml:space="preserve">Free Survival (PFS), objective </w:t>
      </w:r>
      <w:proofErr w:type="spellStart"/>
      <w:r w:rsidRPr="003A5EE1">
        <w:rPr>
          <w:rFonts w:ascii="Arial" w:hAnsi="Arial" w:cs="Arial"/>
          <w:sz w:val="22"/>
          <w:szCs w:val="22"/>
        </w:rPr>
        <w:t>tumo</w:t>
      </w:r>
      <w:r w:rsidR="00607B3E" w:rsidRPr="003A5EE1">
        <w:rPr>
          <w:rFonts w:ascii="Arial" w:hAnsi="Arial" w:cs="Arial"/>
          <w:sz w:val="22"/>
          <w:szCs w:val="22"/>
        </w:rPr>
        <w:t>u</w:t>
      </w:r>
      <w:r w:rsidRPr="003A5EE1">
        <w:rPr>
          <w:rFonts w:ascii="Arial" w:hAnsi="Arial" w:cs="Arial"/>
          <w:sz w:val="22"/>
          <w:szCs w:val="22"/>
        </w:rPr>
        <w:t>r</w:t>
      </w:r>
      <w:proofErr w:type="spellEnd"/>
      <w:r w:rsidRPr="003A5EE1">
        <w:rPr>
          <w:rFonts w:ascii="Arial" w:hAnsi="Arial" w:cs="Arial"/>
          <w:sz w:val="22"/>
          <w:szCs w:val="22"/>
        </w:rPr>
        <w:t xml:space="preserve"> response rate and disease control rate. </w:t>
      </w:r>
    </w:p>
    <w:p w14:paraId="712C26C8" w14:textId="77777777" w:rsidR="00607B3E" w:rsidRPr="003A5EE1" w:rsidRDefault="00607B3E" w:rsidP="006C3E63">
      <w:pPr>
        <w:pStyle w:val="BayerBodyTextFull"/>
        <w:keepNext/>
        <w:spacing w:before="0" w:after="0"/>
        <w:rPr>
          <w:rFonts w:ascii="Arial" w:hAnsi="Arial" w:cs="Arial"/>
          <w:sz w:val="22"/>
          <w:szCs w:val="22"/>
        </w:rPr>
      </w:pPr>
    </w:p>
    <w:p w14:paraId="712C26C9" w14:textId="7777777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In t</w:t>
      </w:r>
      <w:r w:rsidR="00607B3E" w:rsidRPr="003A5EE1">
        <w:rPr>
          <w:rFonts w:ascii="Arial" w:hAnsi="Arial" w:cs="Arial"/>
          <w:sz w:val="22"/>
          <w:szCs w:val="22"/>
        </w:rPr>
        <w:t xml:space="preserve">otal, 760 patients were </w:t>
      </w:r>
      <w:proofErr w:type="spellStart"/>
      <w:r w:rsidR="00607B3E" w:rsidRPr="003A5EE1">
        <w:rPr>
          <w:rFonts w:ascii="Arial" w:hAnsi="Arial" w:cs="Arial"/>
          <w:sz w:val="22"/>
          <w:szCs w:val="22"/>
        </w:rPr>
        <w:t>randomis</w:t>
      </w:r>
      <w:r w:rsidRPr="003A5EE1">
        <w:rPr>
          <w:rFonts w:ascii="Arial" w:hAnsi="Arial" w:cs="Arial"/>
          <w:sz w:val="22"/>
          <w:szCs w:val="22"/>
        </w:rPr>
        <w:t>ed</w:t>
      </w:r>
      <w:proofErr w:type="spellEnd"/>
      <w:r w:rsidRPr="003A5EE1">
        <w:rPr>
          <w:rFonts w:ascii="Arial" w:hAnsi="Arial" w:cs="Arial"/>
          <w:sz w:val="22"/>
          <w:szCs w:val="22"/>
        </w:rPr>
        <w:t xml:space="preserve"> 2:1 to receive 160 mg </w:t>
      </w:r>
      <w:proofErr w:type="spellStart"/>
      <w:r w:rsidR="00012ECA" w:rsidRPr="003A5EE1">
        <w:rPr>
          <w:rFonts w:ascii="Arial" w:hAnsi="Arial" w:cs="Arial"/>
          <w:snapToGrid w:val="0"/>
          <w:sz w:val="22"/>
          <w:szCs w:val="22"/>
          <w:lang w:val="en-GB"/>
        </w:rPr>
        <w:t>regorafenib</w:t>
      </w:r>
      <w:proofErr w:type="spellEnd"/>
      <w:r w:rsidR="00012ECA" w:rsidRPr="003A5EE1">
        <w:rPr>
          <w:rFonts w:ascii="Arial" w:hAnsi="Arial" w:cs="Arial"/>
          <w:snapToGrid w:val="0"/>
          <w:sz w:val="22"/>
          <w:szCs w:val="22"/>
          <w:lang w:val="en-GB"/>
        </w:rPr>
        <w:t xml:space="preserve"> (four</w:t>
      </w:r>
      <w:r w:rsidRPr="003A5EE1">
        <w:rPr>
          <w:rFonts w:ascii="Arial" w:hAnsi="Arial" w:cs="Arial"/>
          <w:snapToGrid w:val="0"/>
          <w:sz w:val="22"/>
          <w:szCs w:val="22"/>
          <w:lang w:val="en-GB"/>
        </w:rPr>
        <w:t xml:space="preserve"> </w:t>
      </w:r>
      <w:r w:rsidR="00601DFC">
        <w:rPr>
          <w:rFonts w:ascii="Arial" w:hAnsi="Arial" w:cs="Arial"/>
          <w:snapToGrid w:val="0"/>
          <w:sz w:val="22"/>
          <w:szCs w:val="22"/>
          <w:lang w:val="en-GB"/>
        </w:rPr>
        <w:t xml:space="preserve">STIVARGA </w:t>
      </w:r>
      <w:r w:rsidRPr="003A5EE1">
        <w:rPr>
          <w:rFonts w:ascii="Arial" w:hAnsi="Arial" w:cs="Arial"/>
          <w:snapToGrid w:val="0"/>
          <w:sz w:val="22"/>
          <w:szCs w:val="22"/>
          <w:lang w:val="en-GB"/>
        </w:rPr>
        <w:t>tablets</w:t>
      </w:r>
      <w:r w:rsidRPr="003A5EE1">
        <w:rPr>
          <w:rFonts w:ascii="Arial" w:hAnsi="Arial" w:cs="Arial"/>
          <w:i/>
          <w:sz w:val="22"/>
          <w:szCs w:val="22"/>
          <w:lang w:val="en-GB"/>
        </w:rPr>
        <w:t xml:space="preserve"> </w:t>
      </w:r>
      <w:r w:rsidRPr="003A5EE1">
        <w:rPr>
          <w:rFonts w:ascii="Arial" w:hAnsi="Arial" w:cs="Arial"/>
          <w:sz w:val="22"/>
          <w:szCs w:val="22"/>
          <w:lang w:val="en-GB"/>
        </w:rPr>
        <w:t>each</w:t>
      </w:r>
      <w:r w:rsidRPr="003A5EE1">
        <w:rPr>
          <w:rFonts w:ascii="Arial" w:hAnsi="Arial" w:cs="Arial"/>
          <w:i/>
          <w:sz w:val="22"/>
          <w:szCs w:val="22"/>
          <w:lang w:val="en-GB"/>
        </w:rPr>
        <w:t xml:space="preserve"> </w:t>
      </w:r>
      <w:r w:rsidRPr="003A5EE1">
        <w:rPr>
          <w:rFonts w:ascii="Arial" w:hAnsi="Arial" w:cs="Arial"/>
          <w:sz w:val="22"/>
          <w:szCs w:val="22"/>
          <w:lang w:val="en-GB"/>
        </w:rPr>
        <w:t xml:space="preserve">containing 40 mg </w:t>
      </w:r>
      <w:proofErr w:type="spellStart"/>
      <w:r w:rsidRPr="003A5EE1">
        <w:rPr>
          <w:rFonts w:ascii="Arial" w:hAnsi="Arial" w:cs="Arial"/>
          <w:snapToGrid w:val="0"/>
          <w:sz w:val="22"/>
          <w:szCs w:val="22"/>
          <w:lang w:val="en-GB"/>
        </w:rPr>
        <w:t>regorafenib</w:t>
      </w:r>
      <w:proofErr w:type="spellEnd"/>
      <w:r w:rsidRPr="003A5EE1">
        <w:rPr>
          <w:rFonts w:ascii="Arial" w:hAnsi="Arial" w:cs="Arial"/>
          <w:snapToGrid w:val="0"/>
          <w:sz w:val="22"/>
          <w:szCs w:val="22"/>
          <w:lang w:val="en-GB"/>
        </w:rPr>
        <w:t xml:space="preserve">) </w:t>
      </w:r>
      <w:r w:rsidRPr="003A5EE1">
        <w:rPr>
          <w:rFonts w:ascii="Arial" w:hAnsi="Arial" w:cs="Arial"/>
          <w:sz w:val="22"/>
          <w:szCs w:val="22"/>
        </w:rPr>
        <w:t xml:space="preserve">orally once daily (N=505) plus Best Supportive Care (BSC) or matching placebo (N=255) plus BSC </w:t>
      </w:r>
      <w:r w:rsidRPr="003A5EE1">
        <w:rPr>
          <w:rFonts w:ascii="Arial" w:hAnsi="Arial" w:cs="Arial"/>
          <w:snapToGrid w:val="0"/>
          <w:sz w:val="22"/>
          <w:szCs w:val="22"/>
        </w:rPr>
        <w:t xml:space="preserve">for </w:t>
      </w:r>
      <w:r w:rsidR="007B431E" w:rsidRPr="003A5EE1">
        <w:rPr>
          <w:rFonts w:ascii="Arial" w:hAnsi="Arial" w:cs="Arial"/>
          <w:snapToGrid w:val="0"/>
          <w:sz w:val="22"/>
          <w:szCs w:val="22"/>
          <w:lang w:val="en-GB"/>
        </w:rPr>
        <w:t>three</w:t>
      </w:r>
      <w:r w:rsidRPr="003A5EE1">
        <w:rPr>
          <w:rFonts w:ascii="Arial" w:hAnsi="Arial" w:cs="Arial"/>
          <w:snapToGrid w:val="0"/>
          <w:sz w:val="22"/>
          <w:szCs w:val="22"/>
          <w:lang w:val="en-GB"/>
        </w:rPr>
        <w:t xml:space="preserve"> weeks on therapy followed by </w:t>
      </w:r>
      <w:r w:rsidR="007B431E" w:rsidRPr="003A5EE1">
        <w:rPr>
          <w:rFonts w:ascii="Arial" w:hAnsi="Arial" w:cs="Arial"/>
          <w:snapToGrid w:val="0"/>
          <w:sz w:val="22"/>
          <w:szCs w:val="22"/>
          <w:lang w:val="en-GB"/>
        </w:rPr>
        <w:t>one</w:t>
      </w:r>
      <w:r w:rsidRPr="003A5EE1">
        <w:rPr>
          <w:rFonts w:ascii="Arial" w:hAnsi="Arial" w:cs="Arial"/>
          <w:snapToGrid w:val="0"/>
          <w:sz w:val="22"/>
          <w:szCs w:val="22"/>
          <w:lang w:val="en-GB"/>
        </w:rPr>
        <w:t xml:space="preserve"> week off therapy</w:t>
      </w:r>
      <w:r w:rsidRPr="003A5EE1">
        <w:rPr>
          <w:rFonts w:ascii="Arial" w:hAnsi="Arial" w:cs="Arial"/>
          <w:sz w:val="22"/>
          <w:szCs w:val="22"/>
        </w:rPr>
        <w:t xml:space="preserve">. The mean daily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dose received was 147 </w:t>
      </w:r>
      <w:r w:rsidR="00890C65" w:rsidRPr="003A5EE1">
        <w:rPr>
          <w:rFonts w:ascii="Arial" w:hAnsi="Arial" w:cs="Arial"/>
          <w:sz w:val="22"/>
          <w:szCs w:val="22"/>
        </w:rPr>
        <w:t>mg.</w:t>
      </w:r>
    </w:p>
    <w:p w14:paraId="712C26CA" w14:textId="77777777" w:rsidR="00607B3E" w:rsidRPr="003A5EE1" w:rsidRDefault="00607B3E" w:rsidP="002E54D9">
      <w:pPr>
        <w:pStyle w:val="BayerBodyTextFull"/>
        <w:spacing w:before="0" w:after="0"/>
        <w:rPr>
          <w:rFonts w:ascii="Arial" w:hAnsi="Arial" w:cs="Arial"/>
          <w:sz w:val="22"/>
          <w:szCs w:val="22"/>
        </w:rPr>
      </w:pPr>
    </w:p>
    <w:p w14:paraId="712C26CB" w14:textId="7777777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Patients continued therapy until disease progression or unacceptable toxicity. A pre-planned interim analysis for efficacy was performed when 432 deaths had occurred. </w:t>
      </w:r>
      <w:r w:rsidRPr="003A5EE1">
        <w:rPr>
          <w:rFonts w:ascii="Arial" w:eastAsia="TimesNewRoman" w:hAnsi="Arial" w:cs="Arial"/>
          <w:sz w:val="22"/>
          <w:szCs w:val="22"/>
          <w:lang w:eastAsia="ja-JP"/>
        </w:rPr>
        <w:t xml:space="preserve">The study was </w:t>
      </w:r>
      <w:proofErr w:type="spellStart"/>
      <w:r w:rsidRPr="003A5EE1">
        <w:rPr>
          <w:rFonts w:ascii="Arial" w:eastAsia="TimesNewRoman" w:hAnsi="Arial" w:cs="Arial"/>
          <w:sz w:val="22"/>
          <w:szCs w:val="22"/>
          <w:lang w:eastAsia="ja-JP"/>
        </w:rPr>
        <w:t>unblinded</w:t>
      </w:r>
      <w:proofErr w:type="spellEnd"/>
      <w:r w:rsidRPr="003A5EE1">
        <w:rPr>
          <w:rFonts w:ascii="Arial" w:eastAsia="TimesNewRoman" w:hAnsi="Arial" w:cs="Arial"/>
          <w:sz w:val="22"/>
          <w:szCs w:val="22"/>
          <w:lang w:eastAsia="ja-JP"/>
        </w:rPr>
        <w:t xml:space="preserve"> after this planned interim analysis </w:t>
      </w:r>
      <w:r w:rsidR="009E63D5" w:rsidRPr="003A5EE1">
        <w:rPr>
          <w:rFonts w:ascii="Arial" w:eastAsia="TimesNewRoman" w:hAnsi="Arial" w:cs="Arial"/>
          <w:sz w:val="22"/>
          <w:szCs w:val="22"/>
          <w:lang w:eastAsia="ja-JP"/>
        </w:rPr>
        <w:t>as</w:t>
      </w:r>
      <w:r w:rsidRPr="003A5EE1">
        <w:rPr>
          <w:rFonts w:ascii="Arial" w:eastAsia="TimesNewRoman" w:hAnsi="Arial" w:cs="Arial"/>
          <w:sz w:val="22"/>
          <w:szCs w:val="22"/>
          <w:lang w:eastAsia="ja-JP"/>
        </w:rPr>
        <w:t xml:space="preserve"> OS had crossed the pre-specified efficacy boundary</w:t>
      </w:r>
      <w:r w:rsidRPr="003A5EE1">
        <w:rPr>
          <w:rFonts w:ascii="Arial" w:hAnsi="Arial" w:cs="Arial"/>
          <w:sz w:val="22"/>
          <w:szCs w:val="22"/>
        </w:rPr>
        <w:t xml:space="preserve">, showing evidence of prolonged survival with </w:t>
      </w:r>
      <w:r w:rsidR="00601DFC">
        <w:rPr>
          <w:rFonts w:ascii="Arial" w:hAnsi="Arial" w:cs="Arial"/>
          <w:sz w:val="22"/>
          <w:szCs w:val="22"/>
        </w:rPr>
        <w:t xml:space="preserve">STIVARGA </w:t>
      </w:r>
      <w:r w:rsidRPr="003A5EE1">
        <w:rPr>
          <w:rFonts w:ascii="Arial" w:hAnsi="Arial" w:cs="Arial"/>
          <w:sz w:val="22"/>
          <w:szCs w:val="22"/>
        </w:rPr>
        <w:t xml:space="preserve">plus BSC compared to placebo plus BSC. </w:t>
      </w:r>
      <w:r w:rsidR="00876BCC" w:rsidRPr="003A5EE1">
        <w:rPr>
          <w:rFonts w:ascii="Arial" w:hAnsi="Arial" w:cs="Arial"/>
          <w:sz w:val="22"/>
          <w:szCs w:val="22"/>
        </w:rPr>
        <w:t xml:space="preserve">The median </w:t>
      </w:r>
      <w:r w:rsidR="002131EB" w:rsidRPr="00C003A7">
        <w:rPr>
          <w:rFonts w:ascii="Arial" w:hAnsi="Arial" w:cs="Arial"/>
          <w:sz w:val="22"/>
          <w:szCs w:val="22"/>
        </w:rPr>
        <w:t>(range)</w:t>
      </w:r>
      <w:r w:rsidR="002131EB">
        <w:rPr>
          <w:rFonts w:ascii="Arial" w:hAnsi="Arial" w:cs="Arial"/>
          <w:sz w:val="22"/>
          <w:szCs w:val="22"/>
        </w:rPr>
        <w:t xml:space="preserve"> </w:t>
      </w:r>
      <w:r w:rsidR="00876BCC" w:rsidRPr="003A5EE1">
        <w:rPr>
          <w:rFonts w:ascii="Arial" w:hAnsi="Arial" w:cs="Arial"/>
          <w:sz w:val="22"/>
          <w:szCs w:val="22"/>
        </w:rPr>
        <w:t xml:space="preserve">duration of treatment (months) in patients </w:t>
      </w:r>
      <w:r w:rsidR="00D648B3" w:rsidRPr="003A5EE1">
        <w:rPr>
          <w:rFonts w:ascii="Arial" w:hAnsi="Arial" w:cs="Arial"/>
          <w:sz w:val="22"/>
          <w:szCs w:val="22"/>
        </w:rPr>
        <w:t xml:space="preserve">treated with </w:t>
      </w:r>
      <w:r w:rsidR="00601DFC">
        <w:rPr>
          <w:rFonts w:ascii="Arial" w:hAnsi="Arial" w:cs="Arial"/>
          <w:sz w:val="22"/>
          <w:szCs w:val="22"/>
        </w:rPr>
        <w:t xml:space="preserve">STIVARGA </w:t>
      </w:r>
      <w:r w:rsidR="00D648B3" w:rsidRPr="003A5EE1">
        <w:rPr>
          <w:rFonts w:ascii="Arial" w:hAnsi="Arial" w:cs="Arial"/>
          <w:sz w:val="22"/>
          <w:szCs w:val="22"/>
        </w:rPr>
        <w:t>was</w:t>
      </w:r>
      <w:r w:rsidR="00876BCC" w:rsidRPr="003A5EE1">
        <w:rPr>
          <w:rFonts w:ascii="Arial" w:hAnsi="Arial" w:cs="Arial"/>
          <w:sz w:val="22"/>
          <w:szCs w:val="22"/>
        </w:rPr>
        <w:t xml:space="preserve"> 1.7 (0.1 – 10.8) </w:t>
      </w:r>
      <w:r w:rsidR="00DF3957">
        <w:rPr>
          <w:rFonts w:ascii="Arial" w:hAnsi="Arial" w:cs="Arial"/>
          <w:sz w:val="22"/>
          <w:szCs w:val="22"/>
        </w:rPr>
        <w:t>and</w:t>
      </w:r>
      <w:r w:rsidR="00876BCC" w:rsidRPr="003A5EE1">
        <w:rPr>
          <w:rFonts w:ascii="Arial" w:hAnsi="Arial" w:cs="Arial"/>
          <w:sz w:val="22"/>
          <w:szCs w:val="22"/>
        </w:rPr>
        <w:t xml:space="preserve"> with placebo </w:t>
      </w:r>
      <w:r w:rsidR="00B523DE">
        <w:rPr>
          <w:rFonts w:ascii="Arial" w:hAnsi="Arial" w:cs="Arial"/>
          <w:sz w:val="22"/>
          <w:szCs w:val="22"/>
        </w:rPr>
        <w:t>was</w:t>
      </w:r>
      <w:r w:rsidR="000E52DF" w:rsidRPr="003A5EE1">
        <w:rPr>
          <w:rFonts w:ascii="Arial" w:hAnsi="Arial" w:cs="Arial"/>
          <w:sz w:val="22"/>
          <w:szCs w:val="22"/>
        </w:rPr>
        <w:t xml:space="preserve"> </w:t>
      </w:r>
      <w:r w:rsidR="00876BCC" w:rsidRPr="003A5EE1">
        <w:rPr>
          <w:rFonts w:ascii="Arial" w:hAnsi="Arial" w:cs="Arial"/>
          <w:sz w:val="22"/>
          <w:szCs w:val="22"/>
        </w:rPr>
        <w:t xml:space="preserve">1.6 (0.1 – 8.9). </w:t>
      </w:r>
    </w:p>
    <w:p w14:paraId="712C26CC" w14:textId="77777777" w:rsidR="00BF7776" w:rsidRPr="003A5EE1" w:rsidRDefault="00BF7776" w:rsidP="002E54D9">
      <w:pPr>
        <w:pStyle w:val="BayerBodyTextFull"/>
        <w:spacing w:before="0" w:after="0"/>
        <w:rPr>
          <w:rFonts w:ascii="Arial" w:hAnsi="Arial" w:cs="Arial"/>
          <w:sz w:val="22"/>
          <w:szCs w:val="22"/>
        </w:rPr>
      </w:pPr>
    </w:p>
    <w:p w14:paraId="712C26CD" w14:textId="77777777" w:rsidR="004E3595" w:rsidRPr="003A5EE1" w:rsidRDefault="00607B3E" w:rsidP="002E54D9">
      <w:pPr>
        <w:pStyle w:val="BayerBodyTextFull"/>
        <w:spacing w:before="0" w:after="0"/>
        <w:rPr>
          <w:rFonts w:ascii="Arial" w:hAnsi="Arial" w:cs="Arial"/>
          <w:sz w:val="22"/>
          <w:szCs w:val="22"/>
        </w:rPr>
      </w:pPr>
      <w:r w:rsidRPr="003A5EE1">
        <w:rPr>
          <w:rFonts w:ascii="Arial" w:hAnsi="Arial" w:cs="Arial"/>
          <w:sz w:val="22"/>
          <w:szCs w:val="22"/>
        </w:rPr>
        <w:t xml:space="preserve">Of the 760 </w:t>
      </w:r>
      <w:proofErr w:type="spellStart"/>
      <w:r w:rsidRPr="003A5EE1">
        <w:rPr>
          <w:rFonts w:ascii="Arial" w:hAnsi="Arial" w:cs="Arial"/>
          <w:sz w:val="22"/>
          <w:szCs w:val="22"/>
        </w:rPr>
        <w:t>randomis</w:t>
      </w:r>
      <w:r w:rsidR="00B855C1" w:rsidRPr="003A5EE1">
        <w:rPr>
          <w:rFonts w:ascii="Arial" w:hAnsi="Arial" w:cs="Arial"/>
          <w:sz w:val="22"/>
          <w:szCs w:val="22"/>
        </w:rPr>
        <w:t>ed</w:t>
      </w:r>
      <w:proofErr w:type="spellEnd"/>
      <w:r w:rsidR="00B855C1" w:rsidRPr="003A5EE1">
        <w:rPr>
          <w:rFonts w:ascii="Arial" w:hAnsi="Arial" w:cs="Arial"/>
          <w:sz w:val="22"/>
          <w:szCs w:val="22"/>
        </w:rPr>
        <w:t xml:space="preserve"> patients, the median age was 61 years, 61% were male, 78% were Caucasian, and all patients had baseline ECOG </w:t>
      </w:r>
      <w:r w:rsidRPr="003A5EE1">
        <w:rPr>
          <w:rFonts w:ascii="Arial" w:hAnsi="Arial" w:cs="Arial"/>
          <w:sz w:val="22"/>
          <w:szCs w:val="22"/>
        </w:rPr>
        <w:t xml:space="preserve">(Eastern Cooperative Oncology Group) </w:t>
      </w:r>
      <w:r w:rsidR="00B855C1" w:rsidRPr="003A5EE1">
        <w:rPr>
          <w:rFonts w:ascii="Arial" w:hAnsi="Arial" w:cs="Arial"/>
          <w:sz w:val="22"/>
          <w:szCs w:val="22"/>
        </w:rPr>
        <w:t>Performance Status</w:t>
      </w:r>
      <w:r w:rsidR="00EC5D69" w:rsidRPr="003A5EE1">
        <w:rPr>
          <w:rFonts w:ascii="Arial" w:hAnsi="Arial" w:cs="Arial"/>
          <w:sz w:val="22"/>
          <w:szCs w:val="22"/>
        </w:rPr>
        <w:t xml:space="preserve"> (PS)</w:t>
      </w:r>
      <w:r w:rsidR="00B855C1" w:rsidRPr="003A5EE1">
        <w:rPr>
          <w:rFonts w:ascii="Arial" w:hAnsi="Arial" w:cs="Arial"/>
          <w:sz w:val="22"/>
          <w:szCs w:val="22"/>
        </w:rPr>
        <w:t xml:space="preserve"> of 0 or 1. </w:t>
      </w:r>
      <w:r w:rsidR="00545167" w:rsidRPr="003A5EE1">
        <w:rPr>
          <w:rFonts w:ascii="Arial" w:hAnsi="Arial" w:cs="Arial"/>
          <w:sz w:val="22"/>
          <w:szCs w:val="22"/>
        </w:rPr>
        <w:t>Please refer to Tabl</w:t>
      </w:r>
      <w:r w:rsidR="003D6DF0" w:rsidRPr="003A5EE1">
        <w:rPr>
          <w:rFonts w:ascii="Arial" w:hAnsi="Arial" w:cs="Arial"/>
          <w:sz w:val="22"/>
          <w:szCs w:val="22"/>
        </w:rPr>
        <w:t>e 1 for the Demographic data from</w:t>
      </w:r>
      <w:r w:rsidR="00545167" w:rsidRPr="003A5EE1">
        <w:rPr>
          <w:rFonts w:ascii="Arial" w:hAnsi="Arial" w:cs="Arial"/>
          <w:sz w:val="22"/>
          <w:szCs w:val="22"/>
        </w:rPr>
        <w:t xml:space="preserve"> the trial. </w:t>
      </w:r>
      <w:r w:rsidR="00B855C1" w:rsidRPr="003A5EE1">
        <w:rPr>
          <w:rFonts w:ascii="Arial" w:hAnsi="Arial" w:cs="Arial"/>
          <w:sz w:val="22"/>
          <w:szCs w:val="22"/>
        </w:rPr>
        <w:t xml:space="preserve">The primary site of disease was colon (65%), rectum (29%), or both (6%). A KRAS </w:t>
      </w:r>
      <w:r w:rsidRPr="003A5EE1">
        <w:rPr>
          <w:rFonts w:ascii="Arial" w:hAnsi="Arial" w:cs="Arial"/>
          <w:sz w:val="22"/>
          <w:szCs w:val="22"/>
        </w:rPr>
        <w:t xml:space="preserve">(Kirsten rat sarcoma viral oncogene homolog) </w:t>
      </w:r>
      <w:r w:rsidR="00B855C1" w:rsidRPr="003A5EE1">
        <w:rPr>
          <w:rFonts w:ascii="Arial" w:hAnsi="Arial" w:cs="Arial"/>
          <w:sz w:val="22"/>
          <w:szCs w:val="22"/>
        </w:rPr>
        <w:t xml:space="preserve">mutation was reported in 57% of patients at study entry. </w:t>
      </w:r>
    </w:p>
    <w:p w14:paraId="712C26CE" w14:textId="77777777" w:rsidR="004E3595" w:rsidRPr="003A5EE1" w:rsidRDefault="004E3595" w:rsidP="002E54D9">
      <w:pPr>
        <w:pStyle w:val="BayerBodyTextFull"/>
        <w:spacing w:before="0" w:after="0"/>
        <w:rPr>
          <w:rFonts w:ascii="Arial" w:hAnsi="Arial" w:cs="Arial"/>
          <w:sz w:val="22"/>
          <w:szCs w:val="22"/>
        </w:rPr>
      </w:pPr>
    </w:p>
    <w:p w14:paraId="712C26CF" w14:textId="7777777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Most patients </w:t>
      </w:r>
      <w:r w:rsidR="00E15013" w:rsidRPr="003A5EE1">
        <w:rPr>
          <w:rFonts w:ascii="Arial" w:hAnsi="Arial" w:cs="Arial"/>
          <w:sz w:val="22"/>
          <w:szCs w:val="22"/>
        </w:rPr>
        <w:t xml:space="preserve">(52%) </w:t>
      </w:r>
      <w:r w:rsidR="009E63D5" w:rsidRPr="003A5EE1">
        <w:rPr>
          <w:rFonts w:ascii="Arial" w:hAnsi="Arial" w:cs="Arial"/>
          <w:sz w:val="22"/>
          <w:szCs w:val="22"/>
        </w:rPr>
        <w:t xml:space="preserve">had </w:t>
      </w:r>
      <w:r w:rsidRPr="003A5EE1">
        <w:rPr>
          <w:rFonts w:ascii="Arial" w:hAnsi="Arial" w:cs="Arial"/>
          <w:sz w:val="22"/>
          <w:szCs w:val="22"/>
        </w:rPr>
        <w:t xml:space="preserve">received </w:t>
      </w:r>
      <w:r w:rsidR="007B431E" w:rsidRPr="003A5EE1">
        <w:rPr>
          <w:rFonts w:ascii="Arial" w:hAnsi="Arial" w:cs="Arial"/>
          <w:sz w:val="22"/>
          <w:szCs w:val="22"/>
        </w:rPr>
        <w:t>three</w:t>
      </w:r>
      <w:r w:rsidRPr="003A5EE1">
        <w:rPr>
          <w:rFonts w:ascii="Arial" w:hAnsi="Arial" w:cs="Arial"/>
          <w:sz w:val="22"/>
          <w:szCs w:val="22"/>
        </w:rPr>
        <w:t xml:space="preserve"> or fewer previous lines of treatment for metastatic disease. Therapies included treatment with </w:t>
      </w:r>
      <w:proofErr w:type="spellStart"/>
      <w:r w:rsidRPr="003A5EE1">
        <w:rPr>
          <w:rFonts w:ascii="Arial" w:hAnsi="Arial" w:cs="Arial"/>
          <w:sz w:val="22"/>
          <w:szCs w:val="22"/>
        </w:rPr>
        <w:t>fluoropyrimidine</w:t>
      </w:r>
      <w:proofErr w:type="spellEnd"/>
      <w:r w:rsidRPr="003A5EE1">
        <w:rPr>
          <w:rFonts w:ascii="Arial" w:hAnsi="Arial" w:cs="Arial"/>
          <w:sz w:val="22"/>
          <w:szCs w:val="22"/>
        </w:rPr>
        <w:t>-</w:t>
      </w:r>
      <w:r w:rsidR="00187B61" w:rsidRPr="003A5EE1">
        <w:rPr>
          <w:rFonts w:ascii="Arial" w:hAnsi="Arial" w:cs="Arial"/>
          <w:sz w:val="22"/>
          <w:szCs w:val="22"/>
        </w:rPr>
        <w:t xml:space="preserve">, </w:t>
      </w:r>
      <w:proofErr w:type="spellStart"/>
      <w:r w:rsidR="00187B61" w:rsidRPr="006217C3">
        <w:rPr>
          <w:rFonts w:ascii="Arial" w:hAnsi="Arial" w:cs="Arial"/>
          <w:iCs/>
          <w:sz w:val="22"/>
          <w:szCs w:val="22"/>
        </w:rPr>
        <w:t>oxaliplatin</w:t>
      </w:r>
      <w:proofErr w:type="spellEnd"/>
      <w:r w:rsidR="00187B61" w:rsidRPr="006217C3">
        <w:rPr>
          <w:rFonts w:ascii="Arial" w:hAnsi="Arial" w:cs="Arial"/>
          <w:iCs/>
          <w:sz w:val="22"/>
          <w:szCs w:val="22"/>
        </w:rPr>
        <w:t xml:space="preserve">- and </w:t>
      </w:r>
      <w:proofErr w:type="spellStart"/>
      <w:r w:rsidR="00187B61" w:rsidRPr="006217C3">
        <w:rPr>
          <w:rFonts w:ascii="Arial" w:hAnsi="Arial" w:cs="Arial"/>
          <w:iCs/>
          <w:sz w:val="22"/>
          <w:szCs w:val="22"/>
        </w:rPr>
        <w:t>irinotecan</w:t>
      </w:r>
      <w:proofErr w:type="spellEnd"/>
      <w:r w:rsidR="00187B61" w:rsidRPr="006217C3">
        <w:rPr>
          <w:rFonts w:ascii="Arial" w:hAnsi="Arial" w:cs="Arial"/>
          <w:iCs/>
          <w:sz w:val="22"/>
          <w:szCs w:val="22"/>
        </w:rPr>
        <w:t>-</w:t>
      </w:r>
      <w:r w:rsidR="00187B61" w:rsidRPr="003A5EE1">
        <w:rPr>
          <w:rFonts w:ascii="Arial" w:hAnsi="Arial" w:cs="Arial"/>
          <w:sz w:val="22"/>
          <w:szCs w:val="22"/>
        </w:rPr>
        <w:t xml:space="preserve"> </w:t>
      </w:r>
      <w:r w:rsidRPr="003A5EE1">
        <w:rPr>
          <w:rFonts w:ascii="Arial" w:hAnsi="Arial" w:cs="Arial"/>
          <w:sz w:val="22"/>
          <w:szCs w:val="22"/>
        </w:rPr>
        <w:t>based chemotherapy, an anti-VEGF therapy, and, if the patient was KRAS wild type, an anti-EGFR therapy.</w:t>
      </w:r>
    </w:p>
    <w:p w14:paraId="712C26D0" w14:textId="77777777" w:rsidR="00545167" w:rsidRDefault="00545167" w:rsidP="0090345C">
      <w:pPr>
        <w:pStyle w:val="BayerBodyTextFull"/>
        <w:spacing w:before="0" w:after="0"/>
        <w:rPr>
          <w:rFonts w:ascii="Arial" w:hAnsi="Arial" w:cs="Arial"/>
          <w:szCs w:val="24"/>
        </w:rPr>
      </w:pPr>
    </w:p>
    <w:p w14:paraId="712C26D1" w14:textId="77777777" w:rsidR="001F55B3" w:rsidRPr="003A5EE1" w:rsidRDefault="00545167" w:rsidP="00C34AF3">
      <w:pPr>
        <w:pStyle w:val="BayerBodyTextFull"/>
        <w:keepNext/>
        <w:spacing w:before="0" w:after="0"/>
        <w:rPr>
          <w:rFonts w:ascii="Arial" w:hAnsi="Arial" w:cs="Arial"/>
          <w:b/>
          <w:sz w:val="22"/>
          <w:szCs w:val="22"/>
        </w:rPr>
      </w:pPr>
      <w:r w:rsidRPr="003A5EE1">
        <w:rPr>
          <w:rFonts w:ascii="Arial" w:hAnsi="Arial" w:cs="Arial"/>
          <w:b/>
          <w:sz w:val="22"/>
          <w:szCs w:val="22"/>
        </w:rPr>
        <w:lastRenderedPageBreak/>
        <w:t xml:space="preserve">Table 1: </w:t>
      </w:r>
      <w:r w:rsidR="007E4AA5" w:rsidRPr="003A5EE1">
        <w:rPr>
          <w:rFonts w:ascii="Arial" w:hAnsi="Arial" w:cs="Arial"/>
          <w:b/>
          <w:sz w:val="22"/>
          <w:szCs w:val="22"/>
        </w:rPr>
        <w:t xml:space="preserve">Demographic data </w:t>
      </w:r>
    </w:p>
    <w:p w14:paraId="712C26D2" w14:textId="77777777" w:rsidR="007E4AA5" w:rsidRPr="007E4AA5" w:rsidRDefault="007E4AA5" w:rsidP="00C34AF3">
      <w:pPr>
        <w:pStyle w:val="BayerBodyTextFull"/>
        <w:keepNext/>
        <w:spacing w:before="0" w:after="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545167" w:rsidRPr="004D606E" w14:paraId="712C26D6" w14:textId="77777777" w:rsidTr="004D606E">
        <w:tc>
          <w:tcPr>
            <w:tcW w:w="3142" w:type="dxa"/>
            <w:shd w:val="clear" w:color="auto" w:fill="auto"/>
          </w:tcPr>
          <w:p w14:paraId="712C26D3" w14:textId="77777777" w:rsidR="00545167" w:rsidRPr="003A5EE1" w:rsidRDefault="00545167" w:rsidP="00C34AF3">
            <w:pPr>
              <w:pStyle w:val="BayerBodyTextFull"/>
              <w:keepNext/>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Demographic details</w:t>
            </w:r>
          </w:p>
        </w:tc>
        <w:tc>
          <w:tcPr>
            <w:tcW w:w="3143" w:type="dxa"/>
            <w:shd w:val="clear" w:color="auto" w:fill="auto"/>
          </w:tcPr>
          <w:p w14:paraId="712C26D4" w14:textId="77777777" w:rsidR="00545167" w:rsidRPr="003A5EE1" w:rsidRDefault="00601DFC" w:rsidP="00C34AF3">
            <w:pPr>
              <w:pStyle w:val="BayerBodyTextFull"/>
              <w:keepNext/>
              <w:tabs>
                <w:tab w:val="left" w:pos="567"/>
              </w:tabs>
              <w:spacing w:before="0" w:after="0" w:line="260" w:lineRule="exact"/>
              <w:jc w:val="center"/>
              <w:rPr>
                <w:rFonts w:ascii="Arial" w:hAnsi="Arial" w:cs="Arial"/>
                <w:b/>
                <w:sz w:val="22"/>
                <w:szCs w:val="22"/>
              </w:rPr>
            </w:pPr>
            <w:r>
              <w:rPr>
                <w:rFonts w:ascii="Arial" w:hAnsi="Arial" w:cs="Arial"/>
                <w:b/>
                <w:sz w:val="22"/>
                <w:szCs w:val="22"/>
              </w:rPr>
              <w:t xml:space="preserve">STIVARGA </w:t>
            </w:r>
            <w:r w:rsidR="00545167" w:rsidRPr="003A5EE1">
              <w:rPr>
                <w:rFonts w:ascii="Arial" w:hAnsi="Arial" w:cs="Arial"/>
                <w:b/>
                <w:sz w:val="22"/>
                <w:szCs w:val="22"/>
              </w:rPr>
              <w:t>+ BSC</w:t>
            </w:r>
          </w:p>
        </w:tc>
        <w:tc>
          <w:tcPr>
            <w:tcW w:w="3143" w:type="dxa"/>
            <w:shd w:val="clear" w:color="auto" w:fill="auto"/>
          </w:tcPr>
          <w:p w14:paraId="712C26D5" w14:textId="77777777" w:rsidR="00545167" w:rsidRPr="003A5EE1" w:rsidRDefault="00545167" w:rsidP="00C34AF3">
            <w:pPr>
              <w:pStyle w:val="BayerBodyTextFull"/>
              <w:keepNext/>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Placebo + BSC</w:t>
            </w:r>
          </w:p>
        </w:tc>
      </w:tr>
      <w:tr w:rsidR="00545167" w:rsidRPr="004D606E" w14:paraId="712C26DC" w14:textId="77777777" w:rsidTr="004D606E">
        <w:tc>
          <w:tcPr>
            <w:tcW w:w="3142" w:type="dxa"/>
            <w:shd w:val="clear" w:color="auto" w:fill="auto"/>
          </w:tcPr>
          <w:p w14:paraId="712C26D7"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Age (me</w:t>
            </w:r>
            <w:r w:rsidR="00F2786A">
              <w:rPr>
                <w:rFonts w:ascii="Arial" w:hAnsi="Arial" w:cs="Arial"/>
                <w:sz w:val="22"/>
                <w:szCs w:val="22"/>
              </w:rPr>
              <w:t>an</w:t>
            </w:r>
            <w:r w:rsidR="0097062A" w:rsidRPr="003A5EE1">
              <w:rPr>
                <w:rFonts w:ascii="Arial" w:hAnsi="Arial" w:cs="Arial"/>
                <w:sz w:val="22"/>
                <w:szCs w:val="22"/>
              </w:rPr>
              <w:t>, range</w:t>
            </w:r>
            <w:r w:rsidRPr="003A5EE1">
              <w:rPr>
                <w:rFonts w:ascii="Arial" w:hAnsi="Arial" w:cs="Arial"/>
                <w:sz w:val="22"/>
                <w:szCs w:val="22"/>
              </w:rPr>
              <w:t>)</w:t>
            </w:r>
          </w:p>
        </w:tc>
        <w:tc>
          <w:tcPr>
            <w:tcW w:w="3143" w:type="dxa"/>
            <w:shd w:val="clear" w:color="auto" w:fill="auto"/>
          </w:tcPr>
          <w:p w14:paraId="712C26D8"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6</w:t>
            </w:r>
            <w:r w:rsidR="00F2786A">
              <w:rPr>
                <w:rFonts w:ascii="Arial" w:hAnsi="Arial" w:cs="Arial"/>
                <w:sz w:val="22"/>
                <w:szCs w:val="22"/>
              </w:rPr>
              <w:t>0.7</w:t>
            </w:r>
            <w:r w:rsidRPr="003A5EE1">
              <w:rPr>
                <w:rFonts w:ascii="Arial" w:hAnsi="Arial" w:cs="Arial"/>
                <w:sz w:val="22"/>
                <w:szCs w:val="22"/>
              </w:rPr>
              <w:t xml:space="preserve"> years</w:t>
            </w:r>
          </w:p>
          <w:p w14:paraId="712C26D9" w14:textId="77777777" w:rsidR="00876BCC" w:rsidRPr="003A5EE1" w:rsidRDefault="00876BCC"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(22 – 8</w:t>
            </w:r>
            <w:r w:rsidR="00C262BF">
              <w:rPr>
                <w:rFonts w:ascii="Arial" w:hAnsi="Arial" w:cs="Arial"/>
                <w:sz w:val="22"/>
                <w:szCs w:val="22"/>
              </w:rPr>
              <w:t>2</w:t>
            </w:r>
            <w:r w:rsidRPr="003A5EE1">
              <w:rPr>
                <w:rFonts w:ascii="Arial" w:hAnsi="Arial" w:cs="Arial"/>
                <w:sz w:val="22"/>
                <w:szCs w:val="22"/>
              </w:rPr>
              <w:t>)</w:t>
            </w:r>
          </w:p>
        </w:tc>
        <w:tc>
          <w:tcPr>
            <w:tcW w:w="3143" w:type="dxa"/>
            <w:shd w:val="clear" w:color="auto" w:fill="auto"/>
          </w:tcPr>
          <w:p w14:paraId="712C26DA"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6</w:t>
            </w:r>
            <w:r w:rsidR="00F2786A">
              <w:rPr>
                <w:rFonts w:ascii="Arial" w:hAnsi="Arial" w:cs="Arial"/>
                <w:sz w:val="22"/>
                <w:szCs w:val="22"/>
              </w:rPr>
              <w:t>0.1</w:t>
            </w:r>
            <w:r w:rsidRPr="003A5EE1">
              <w:rPr>
                <w:rFonts w:ascii="Arial" w:hAnsi="Arial" w:cs="Arial"/>
                <w:sz w:val="22"/>
                <w:szCs w:val="22"/>
              </w:rPr>
              <w:t xml:space="preserve"> years</w:t>
            </w:r>
          </w:p>
          <w:p w14:paraId="712C26DB" w14:textId="77777777" w:rsidR="00876BCC" w:rsidRPr="003A5EE1" w:rsidRDefault="00876BCC"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w:t>
            </w:r>
            <w:r w:rsidR="002131EB" w:rsidRPr="0047783E">
              <w:rPr>
                <w:rFonts w:ascii="Arial" w:hAnsi="Arial" w:cs="Arial"/>
                <w:sz w:val="22"/>
                <w:szCs w:val="22"/>
              </w:rPr>
              <w:t>25</w:t>
            </w:r>
            <w:r w:rsidRPr="003A5EE1">
              <w:rPr>
                <w:rFonts w:ascii="Arial" w:hAnsi="Arial" w:cs="Arial"/>
                <w:sz w:val="22"/>
                <w:szCs w:val="22"/>
              </w:rPr>
              <w:t xml:space="preserve"> –</w:t>
            </w:r>
            <w:r w:rsidR="005912D6" w:rsidRPr="003A5EE1">
              <w:rPr>
                <w:rFonts w:ascii="Arial" w:hAnsi="Arial" w:cs="Arial"/>
                <w:sz w:val="22"/>
                <w:szCs w:val="22"/>
              </w:rPr>
              <w:t xml:space="preserve"> 8</w:t>
            </w:r>
            <w:r w:rsidR="00C262BF">
              <w:rPr>
                <w:rFonts w:ascii="Arial" w:hAnsi="Arial" w:cs="Arial"/>
                <w:sz w:val="22"/>
                <w:szCs w:val="22"/>
              </w:rPr>
              <w:t>5</w:t>
            </w:r>
            <w:r w:rsidRPr="003A5EE1">
              <w:rPr>
                <w:rFonts w:ascii="Arial" w:hAnsi="Arial" w:cs="Arial"/>
                <w:sz w:val="22"/>
                <w:szCs w:val="22"/>
              </w:rPr>
              <w:t>)</w:t>
            </w:r>
          </w:p>
        </w:tc>
      </w:tr>
      <w:tr w:rsidR="00545167" w:rsidRPr="004D606E" w14:paraId="712C26E3" w14:textId="77777777" w:rsidTr="004D606E">
        <w:tc>
          <w:tcPr>
            <w:tcW w:w="3142" w:type="dxa"/>
            <w:shd w:val="clear" w:color="auto" w:fill="auto"/>
          </w:tcPr>
          <w:p w14:paraId="712C26DD"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Gender</w:t>
            </w:r>
          </w:p>
          <w:p w14:paraId="712C26DE"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Male</w:t>
            </w:r>
          </w:p>
        </w:tc>
        <w:tc>
          <w:tcPr>
            <w:tcW w:w="3143" w:type="dxa"/>
            <w:shd w:val="clear" w:color="auto" w:fill="auto"/>
          </w:tcPr>
          <w:p w14:paraId="712C26DF"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6E0"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61.6%</w:t>
            </w:r>
          </w:p>
        </w:tc>
        <w:tc>
          <w:tcPr>
            <w:tcW w:w="3143" w:type="dxa"/>
            <w:shd w:val="clear" w:color="auto" w:fill="auto"/>
          </w:tcPr>
          <w:p w14:paraId="712C26E1"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6E2"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60.0%</w:t>
            </w:r>
          </w:p>
        </w:tc>
      </w:tr>
      <w:tr w:rsidR="00545167" w:rsidRPr="004D606E" w14:paraId="712C26F6" w14:textId="77777777" w:rsidTr="004D606E">
        <w:tc>
          <w:tcPr>
            <w:tcW w:w="3142" w:type="dxa"/>
            <w:shd w:val="clear" w:color="auto" w:fill="auto"/>
          </w:tcPr>
          <w:p w14:paraId="712C26E4"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Ethnicity</w:t>
            </w:r>
          </w:p>
          <w:p w14:paraId="712C26E5"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Caucasian </w:t>
            </w:r>
          </w:p>
          <w:p w14:paraId="712C26E6"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Asian</w:t>
            </w:r>
          </w:p>
          <w:p w14:paraId="712C26E7"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Black</w:t>
            </w:r>
          </w:p>
          <w:p w14:paraId="712C26E8"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Other</w:t>
            </w:r>
          </w:p>
          <w:p w14:paraId="712C26E9"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Not reported </w:t>
            </w:r>
          </w:p>
        </w:tc>
        <w:tc>
          <w:tcPr>
            <w:tcW w:w="3143" w:type="dxa"/>
            <w:shd w:val="clear" w:color="auto" w:fill="auto"/>
          </w:tcPr>
          <w:p w14:paraId="712C26EA"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6EB"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77.6%</w:t>
            </w:r>
          </w:p>
          <w:p w14:paraId="712C26EC"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15.0%</w:t>
            </w:r>
          </w:p>
          <w:p w14:paraId="712C26ED"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1.2%</w:t>
            </w:r>
          </w:p>
          <w:p w14:paraId="712C26EE"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&lt;1%</w:t>
            </w:r>
          </w:p>
          <w:p w14:paraId="712C26EF"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5.7%</w:t>
            </w:r>
          </w:p>
        </w:tc>
        <w:tc>
          <w:tcPr>
            <w:tcW w:w="3143" w:type="dxa"/>
            <w:shd w:val="clear" w:color="auto" w:fill="auto"/>
          </w:tcPr>
          <w:p w14:paraId="712C26F0"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6F1"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78.8%</w:t>
            </w:r>
          </w:p>
          <w:p w14:paraId="712C26F2"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13.7%</w:t>
            </w:r>
          </w:p>
          <w:p w14:paraId="712C26F3"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3.1%</w:t>
            </w:r>
          </w:p>
          <w:p w14:paraId="712C26F4"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&lt;1%</w:t>
            </w:r>
          </w:p>
          <w:p w14:paraId="712C26F5"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3.9%</w:t>
            </w:r>
          </w:p>
        </w:tc>
      </w:tr>
      <w:tr w:rsidR="00545167" w:rsidRPr="004D606E" w14:paraId="712C26FD" w14:textId="77777777" w:rsidTr="004D606E">
        <w:tc>
          <w:tcPr>
            <w:tcW w:w="3142" w:type="dxa"/>
            <w:shd w:val="clear" w:color="auto" w:fill="auto"/>
          </w:tcPr>
          <w:p w14:paraId="712C26F7"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lang w:val="en-GB"/>
              </w:rPr>
            </w:pPr>
            <w:r w:rsidRPr="003A5EE1">
              <w:rPr>
                <w:rFonts w:ascii="Arial" w:hAnsi="Arial" w:cs="Arial"/>
                <w:sz w:val="22"/>
                <w:szCs w:val="22"/>
                <w:lang w:val="en-GB"/>
              </w:rPr>
              <w:t xml:space="preserve">ECOG status </w:t>
            </w:r>
          </w:p>
          <w:p w14:paraId="712C26F8"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lang w:val="en-GB"/>
              </w:rPr>
            </w:pPr>
            <w:r w:rsidRPr="003A5EE1">
              <w:rPr>
                <w:rFonts w:ascii="Arial" w:hAnsi="Arial" w:cs="Arial"/>
                <w:sz w:val="22"/>
                <w:szCs w:val="22"/>
                <w:lang w:val="en-GB"/>
              </w:rPr>
              <w:t>0</w:t>
            </w:r>
          </w:p>
        </w:tc>
        <w:tc>
          <w:tcPr>
            <w:tcW w:w="3143" w:type="dxa"/>
            <w:shd w:val="clear" w:color="auto" w:fill="auto"/>
          </w:tcPr>
          <w:p w14:paraId="712C26F9"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6FA"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52.5%</w:t>
            </w:r>
          </w:p>
        </w:tc>
        <w:tc>
          <w:tcPr>
            <w:tcW w:w="3143" w:type="dxa"/>
            <w:shd w:val="clear" w:color="auto" w:fill="auto"/>
          </w:tcPr>
          <w:p w14:paraId="712C26FB"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6FC"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57.3%</w:t>
            </w:r>
          </w:p>
        </w:tc>
      </w:tr>
      <w:tr w:rsidR="00545167" w:rsidRPr="004D606E" w14:paraId="712C270A" w14:textId="77777777" w:rsidTr="004D606E">
        <w:tc>
          <w:tcPr>
            <w:tcW w:w="3142" w:type="dxa"/>
            <w:shd w:val="clear" w:color="auto" w:fill="auto"/>
          </w:tcPr>
          <w:p w14:paraId="712C26FE"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Primary site of disease</w:t>
            </w:r>
          </w:p>
          <w:p w14:paraId="712C26FF"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Colon</w:t>
            </w:r>
          </w:p>
          <w:p w14:paraId="712C2700"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Rectum</w:t>
            </w:r>
          </w:p>
          <w:p w14:paraId="712C2701" w14:textId="77777777" w:rsidR="00545167" w:rsidRPr="003A5EE1" w:rsidRDefault="00545167" w:rsidP="00C34AF3">
            <w:pPr>
              <w:pStyle w:val="BayerBodyTextFull"/>
              <w:keepNext/>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Colon and rectum </w:t>
            </w:r>
          </w:p>
        </w:tc>
        <w:tc>
          <w:tcPr>
            <w:tcW w:w="3143" w:type="dxa"/>
            <w:shd w:val="clear" w:color="auto" w:fill="auto"/>
          </w:tcPr>
          <w:p w14:paraId="712C2702"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703"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64.0%</w:t>
            </w:r>
          </w:p>
          <w:p w14:paraId="712C2704"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29.9%</w:t>
            </w:r>
          </w:p>
          <w:p w14:paraId="712C2705"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5.9%</w:t>
            </w:r>
          </w:p>
        </w:tc>
        <w:tc>
          <w:tcPr>
            <w:tcW w:w="3143" w:type="dxa"/>
            <w:shd w:val="clear" w:color="auto" w:fill="auto"/>
          </w:tcPr>
          <w:p w14:paraId="712C2706"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p>
          <w:p w14:paraId="712C2707"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67.5%</w:t>
            </w:r>
          </w:p>
          <w:p w14:paraId="712C2708"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27.1%</w:t>
            </w:r>
          </w:p>
          <w:p w14:paraId="712C2709" w14:textId="77777777" w:rsidR="00545167" w:rsidRPr="003A5EE1" w:rsidRDefault="00545167" w:rsidP="00C34AF3">
            <w:pPr>
              <w:pStyle w:val="BayerBodyTextFull"/>
              <w:keepNext/>
              <w:tabs>
                <w:tab w:val="left" w:pos="567"/>
              </w:tabs>
              <w:spacing w:before="0" w:after="0" w:line="260" w:lineRule="exact"/>
              <w:rPr>
                <w:rFonts w:ascii="Arial" w:hAnsi="Arial" w:cs="Arial"/>
                <w:sz w:val="22"/>
                <w:szCs w:val="22"/>
              </w:rPr>
            </w:pPr>
            <w:r w:rsidRPr="003A5EE1">
              <w:rPr>
                <w:rFonts w:ascii="Arial" w:hAnsi="Arial" w:cs="Arial"/>
                <w:sz w:val="22"/>
                <w:szCs w:val="22"/>
              </w:rPr>
              <w:t>5.5%</w:t>
            </w:r>
          </w:p>
        </w:tc>
      </w:tr>
    </w:tbl>
    <w:p w14:paraId="712C270B" w14:textId="77777777" w:rsidR="00545167" w:rsidRPr="0090345C" w:rsidRDefault="00545167" w:rsidP="0090345C">
      <w:pPr>
        <w:pStyle w:val="BayerBodyTextFull"/>
        <w:spacing w:before="0" w:after="0"/>
        <w:rPr>
          <w:rFonts w:ascii="Arial" w:hAnsi="Arial" w:cs="Arial"/>
          <w:szCs w:val="24"/>
        </w:rPr>
      </w:pPr>
    </w:p>
    <w:p w14:paraId="712C270C" w14:textId="77777777" w:rsidR="001F55B3" w:rsidRPr="003A5EE1" w:rsidRDefault="00B855C1" w:rsidP="0090345C">
      <w:pPr>
        <w:pStyle w:val="BayerBodyTextFull"/>
        <w:spacing w:before="0" w:after="0"/>
        <w:rPr>
          <w:rFonts w:ascii="Arial" w:hAnsi="Arial" w:cs="Arial"/>
          <w:sz w:val="22"/>
          <w:szCs w:val="22"/>
        </w:rPr>
      </w:pPr>
      <w:r w:rsidRPr="003A5EE1">
        <w:rPr>
          <w:rFonts w:ascii="Arial" w:hAnsi="Arial" w:cs="Arial"/>
          <w:sz w:val="22"/>
          <w:szCs w:val="22"/>
        </w:rPr>
        <w:t xml:space="preserve">The addition of </w:t>
      </w:r>
      <w:r w:rsidR="00601DFC">
        <w:rPr>
          <w:rFonts w:ascii="Arial" w:hAnsi="Arial" w:cs="Arial"/>
          <w:sz w:val="22"/>
          <w:szCs w:val="22"/>
        </w:rPr>
        <w:t xml:space="preserve">STIVARGA </w:t>
      </w:r>
      <w:r w:rsidRPr="003A5EE1">
        <w:rPr>
          <w:rFonts w:ascii="Arial" w:hAnsi="Arial" w:cs="Arial"/>
          <w:sz w:val="22"/>
          <w:szCs w:val="22"/>
        </w:rPr>
        <w:t>to BSC resulted in significantly longer survival</w:t>
      </w:r>
      <w:r w:rsidR="001F55B3" w:rsidRPr="003A5EE1">
        <w:rPr>
          <w:rFonts w:ascii="Arial" w:hAnsi="Arial" w:cs="Arial"/>
          <w:sz w:val="22"/>
          <w:szCs w:val="22"/>
        </w:rPr>
        <w:t xml:space="preserve"> </w:t>
      </w:r>
      <w:r w:rsidRPr="003A5EE1">
        <w:rPr>
          <w:rFonts w:ascii="Arial" w:hAnsi="Arial" w:cs="Arial"/>
          <w:sz w:val="22"/>
          <w:szCs w:val="22"/>
        </w:rPr>
        <w:t>compared to placebo plus BSC with a hazard ratio of 0.774 (p=0.005178 stratified log rank test) and a median OS of 6.4 months vs. 5.0</w:t>
      </w:r>
      <w:r w:rsidR="001F55B3" w:rsidRPr="003A5EE1">
        <w:rPr>
          <w:rFonts w:ascii="Arial" w:hAnsi="Arial" w:cs="Arial"/>
          <w:sz w:val="22"/>
          <w:szCs w:val="22"/>
        </w:rPr>
        <w:t xml:space="preserve"> months [95% CI 0.6</w:t>
      </w:r>
      <w:r w:rsidR="0036132D" w:rsidRPr="003A5EE1">
        <w:rPr>
          <w:rFonts w:ascii="Arial" w:hAnsi="Arial" w:cs="Arial"/>
          <w:sz w:val="22"/>
          <w:szCs w:val="22"/>
        </w:rPr>
        <w:t>36</w:t>
      </w:r>
      <w:r w:rsidR="001F55B3" w:rsidRPr="003A5EE1">
        <w:rPr>
          <w:rFonts w:ascii="Arial" w:hAnsi="Arial" w:cs="Arial"/>
          <w:sz w:val="22"/>
          <w:szCs w:val="22"/>
        </w:rPr>
        <w:t>, 0.9</w:t>
      </w:r>
      <w:r w:rsidR="004E3595" w:rsidRPr="003A5EE1">
        <w:rPr>
          <w:rFonts w:ascii="Arial" w:hAnsi="Arial" w:cs="Arial"/>
          <w:sz w:val="22"/>
          <w:szCs w:val="22"/>
        </w:rPr>
        <w:t>4</w:t>
      </w:r>
      <w:r w:rsidR="0036132D" w:rsidRPr="003A5EE1">
        <w:rPr>
          <w:rFonts w:ascii="Arial" w:hAnsi="Arial" w:cs="Arial"/>
          <w:sz w:val="22"/>
          <w:szCs w:val="22"/>
        </w:rPr>
        <w:t>2</w:t>
      </w:r>
      <w:r w:rsidR="001F55B3" w:rsidRPr="003A5EE1">
        <w:rPr>
          <w:rFonts w:ascii="Arial" w:hAnsi="Arial" w:cs="Arial"/>
          <w:sz w:val="22"/>
          <w:szCs w:val="22"/>
        </w:rPr>
        <w:t>] (</w:t>
      </w:r>
      <w:r w:rsidR="00AB7282">
        <w:rPr>
          <w:rFonts w:ascii="Arial" w:hAnsi="Arial" w:cs="Arial"/>
          <w:sz w:val="22"/>
          <w:szCs w:val="22"/>
        </w:rPr>
        <w:t>see</w:t>
      </w:r>
      <w:r w:rsidR="001F55B3" w:rsidRPr="003A5EE1">
        <w:rPr>
          <w:rFonts w:ascii="Arial" w:hAnsi="Arial" w:cs="Arial"/>
          <w:sz w:val="22"/>
          <w:szCs w:val="22"/>
        </w:rPr>
        <w:t xml:space="preserve"> Table </w:t>
      </w:r>
      <w:r w:rsidR="007E4AA5" w:rsidRPr="003A5EE1">
        <w:rPr>
          <w:rFonts w:ascii="Arial" w:hAnsi="Arial" w:cs="Arial"/>
          <w:sz w:val="22"/>
          <w:szCs w:val="22"/>
        </w:rPr>
        <w:t>2</w:t>
      </w:r>
      <w:r w:rsidRPr="003A5EE1">
        <w:rPr>
          <w:rFonts w:ascii="Arial" w:hAnsi="Arial" w:cs="Arial"/>
          <w:sz w:val="22"/>
          <w:szCs w:val="22"/>
        </w:rPr>
        <w:t xml:space="preserve"> and Figure 1). PFS was significantly longer in patients receiving </w:t>
      </w:r>
      <w:r w:rsidR="00601DFC">
        <w:rPr>
          <w:rFonts w:ascii="Arial" w:hAnsi="Arial" w:cs="Arial"/>
          <w:sz w:val="22"/>
          <w:szCs w:val="22"/>
        </w:rPr>
        <w:t xml:space="preserve">STIVARGA </w:t>
      </w:r>
      <w:r w:rsidRPr="003A5EE1">
        <w:rPr>
          <w:rFonts w:ascii="Arial" w:hAnsi="Arial" w:cs="Arial"/>
          <w:sz w:val="22"/>
          <w:szCs w:val="22"/>
        </w:rPr>
        <w:t>plus BSC</w:t>
      </w:r>
      <w:r w:rsidRPr="003A5EE1" w:rsidDel="00454BE4">
        <w:rPr>
          <w:rFonts w:ascii="Arial" w:hAnsi="Arial" w:cs="Arial"/>
          <w:sz w:val="22"/>
          <w:szCs w:val="22"/>
        </w:rPr>
        <w:t xml:space="preserve"> </w:t>
      </w:r>
      <w:r w:rsidRPr="003A5EE1">
        <w:rPr>
          <w:rFonts w:ascii="Arial" w:hAnsi="Arial" w:cs="Arial"/>
          <w:sz w:val="22"/>
          <w:szCs w:val="22"/>
        </w:rPr>
        <w:t xml:space="preserve">(HR: 0.494, p&lt;0.000001, see Table </w:t>
      </w:r>
      <w:r w:rsidR="007E4AA5" w:rsidRPr="003A5EE1">
        <w:rPr>
          <w:rFonts w:ascii="Arial" w:hAnsi="Arial" w:cs="Arial"/>
          <w:sz w:val="22"/>
          <w:szCs w:val="22"/>
        </w:rPr>
        <w:t>2</w:t>
      </w:r>
      <w:r w:rsidRPr="003A5EE1">
        <w:rPr>
          <w:rFonts w:ascii="Arial" w:hAnsi="Arial" w:cs="Arial"/>
          <w:sz w:val="22"/>
          <w:szCs w:val="22"/>
        </w:rPr>
        <w:t xml:space="preserve"> and Figure 2). </w:t>
      </w:r>
    </w:p>
    <w:p w14:paraId="712C270D" w14:textId="77777777" w:rsidR="004E3595" w:rsidRPr="003A5EE1" w:rsidRDefault="004E3595" w:rsidP="0090345C">
      <w:pPr>
        <w:pStyle w:val="BayerBodyTextFull"/>
        <w:spacing w:before="0" w:after="0"/>
        <w:rPr>
          <w:rFonts w:ascii="Arial" w:hAnsi="Arial" w:cs="Arial"/>
          <w:sz w:val="22"/>
          <w:szCs w:val="22"/>
        </w:rPr>
      </w:pPr>
    </w:p>
    <w:p w14:paraId="712C270E" w14:textId="77777777" w:rsidR="00B855C1" w:rsidRPr="003A5EE1" w:rsidRDefault="00B855C1" w:rsidP="005D4B74">
      <w:pPr>
        <w:pStyle w:val="Caption"/>
        <w:keepNext/>
        <w:rPr>
          <w:rFonts w:ascii="Arial" w:hAnsi="Arial" w:cs="Arial"/>
          <w:sz w:val="22"/>
          <w:szCs w:val="22"/>
        </w:rPr>
      </w:pPr>
      <w:bookmarkStart w:id="0" w:name="table5"/>
      <w:r w:rsidRPr="003A5EE1">
        <w:rPr>
          <w:rFonts w:ascii="Arial" w:hAnsi="Arial" w:cs="Arial"/>
          <w:sz w:val="22"/>
          <w:szCs w:val="22"/>
        </w:rPr>
        <w:t xml:space="preserve">Table </w:t>
      </w:r>
      <w:r w:rsidR="007E4AA5" w:rsidRPr="003A5EE1">
        <w:rPr>
          <w:rFonts w:ascii="Arial" w:hAnsi="Arial" w:cs="Arial"/>
          <w:sz w:val="22"/>
          <w:szCs w:val="22"/>
        </w:rPr>
        <w:t>2</w:t>
      </w:r>
      <w:r w:rsidRPr="003A5EE1">
        <w:rPr>
          <w:rFonts w:ascii="Arial" w:hAnsi="Arial" w:cs="Arial"/>
          <w:sz w:val="22"/>
          <w:szCs w:val="22"/>
        </w:rPr>
        <w:t xml:space="preserve">: Efficacy </w:t>
      </w:r>
      <w:r w:rsidR="000D1D2E" w:rsidRPr="003A5EE1">
        <w:rPr>
          <w:rFonts w:ascii="Arial" w:hAnsi="Arial" w:cs="Arial"/>
          <w:sz w:val="22"/>
          <w:szCs w:val="22"/>
        </w:rPr>
        <w:t>r</w:t>
      </w:r>
      <w:r w:rsidRPr="003A5EE1">
        <w:rPr>
          <w:rFonts w:ascii="Arial" w:hAnsi="Arial" w:cs="Arial"/>
          <w:sz w:val="22"/>
          <w:szCs w:val="22"/>
        </w:rPr>
        <w:t>esults from the CORRECT study</w:t>
      </w:r>
    </w:p>
    <w:p w14:paraId="712C270F" w14:textId="77777777" w:rsidR="001F55B3" w:rsidRPr="001F55B3" w:rsidRDefault="001F55B3" w:rsidP="005D4B74">
      <w:pPr>
        <w:keepNext/>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08"/>
        <w:gridCol w:w="1908"/>
        <w:gridCol w:w="1908"/>
        <w:gridCol w:w="1912"/>
      </w:tblGrid>
      <w:tr w:rsidR="00B855C1" w:rsidRPr="001F55B3" w14:paraId="712C2715" w14:textId="77777777" w:rsidTr="002C2F1E">
        <w:trPr>
          <w:trHeight w:val="468"/>
        </w:trPr>
        <w:tc>
          <w:tcPr>
            <w:tcW w:w="1922" w:type="dxa"/>
            <w:vMerge w:val="restart"/>
            <w:shd w:val="clear" w:color="auto" w:fill="auto"/>
            <w:vAlign w:val="center"/>
          </w:tcPr>
          <w:bookmarkEnd w:id="0"/>
          <w:p w14:paraId="712C2710" w14:textId="77777777" w:rsidR="00B855C1" w:rsidRPr="00F65B34" w:rsidRDefault="00B855C1" w:rsidP="005D4B74">
            <w:pPr>
              <w:pStyle w:val="BayerTableColumnHeadings"/>
              <w:keepNext/>
              <w:rPr>
                <w:rFonts w:ascii="Arial" w:hAnsi="Arial" w:cs="Arial"/>
                <w:szCs w:val="22"/>
              </w:rPr>
            </w:pPr>
            <w:r w:rsidRPr="00F65B34">
              <w:rPr>
                <w:rFonts w:ascii="Arial" w:hAnsi="Arial" w:cs="Arial"/>
                <w:szCs w:val="22"/>
              </w:rPr>
              <w:t>Efficacy parameter</w:t>
            </w:r>
          </w:p>
        </w:tc>
        <w:tc>
          <w:tcPr>
            <w:tcW w:w="1908" w:type="dxa"/>
            <w:vMerge w:val="restart"/>
            <w:shd w:val="clear" w:color="auto" w:fill="auto"/>
            <w:vAlign w:val="center"/>
          </w:tcPr>
          <w:p w14:paraId="712C2711" w14:textId="77777777" w:rsidR="00B855C1" w:rsidRPr="00F65B34" w:rsidRDefault="00B855C1" w:rsidP="005D4B74">
            <w:pPr>
              <w:pStyle w:val="BayerTableColumnHeadings"/>
              <w:keepNext/>
              <w:rPr>
                <w:rFonts w:ascii="Arial" w:hAnsi="Arial" w:cs="Arial"/>
                <w:szCs w:val="22"/>
              </w:rPr>
            </w:pPr>
            <w:r w:rsidRPr="00F65B34">
              <w:rPr>
                <w:rFonts w:ascii="Arial" w:hAnsi="Arial" w:cs="Arial"/>
                <w:szCs w:val="22"/>
              </w:rPr>
              <w:t>Hazard Ratio* (95% CI)</w:t>
            </w:r>
          </w:p>
        </w:tc>
        <w:tc>
          <w:tcPr>
            <w:tcW w:w="1908" w:type="dxa"/>
            <w:vMerge w:val="restart"/>
            <w:shd w:val="clear" w:color="auto" w:fill="auto"/>
            <w:vAlign w:val="center"/>
          </w:tcPr>
          <w:p w14:paraId="712C2712" w14:textId="77777777" w:rsidR="00B855C1" w:rsidRPr="00F65B34" w:rsidRDefault="00B855C1" w:rsidP="005D4B74">
            <w:pPr>
              <w:pStyle w:val="BayerTableColumnHeadings"/>
              <w:keepNext/>
              <w:rPr>
                <w:rFonts w:ascii="Arial" w:hAnsi="Arial" w:cs="Arial"/>
                <w:szCs w:val="22"/>
              </w:rPr>
            </w:pPr>
            <w:r w:rsidRPr="00F65B34">
              <w:rPr>
                <w:rFonts w:ascii="Arial" w:hAnsi="Arial" w:cs="Arial"/>
                <w:szCs w:val="22"/>
              </w:rPr>
              <w:t>P-value</w:t>
            </w:r>
          </w:p>
          <w:p w14:paraId="712C2713" w14:textId="77777777" w:rsidR="00B855C1" w:rsidRPr="003A5EE1" w:rsidRDefault="00B855C1" w:rsidP="005D4B74">
            <w:pPr>
              <w:pStyle w:val="BayerTableColumnHeadings"/>
              <w:keepNext/>
              <w:rPr>
                <w:rFonts w:ascii="Arial" w:hAnsi="Arial" w:cs="Arial"/>
                <w:szCs w:val="22"/>
              </w:rPr>
            </w:pPr>
            <w:r w:rsidRPr="00F65B34">
              <w:rPr>
                <w:rFonts w:ascii="Arial" w:hAnsi="Arial" w:cs="Arial"/>
                <w:szCs w:val="22"/>
              </w:rPr>
              <w:t>(one-sided)</w:t>
            </w:r>
          </w:p>
        </w:tc>
        <w:tc>
          <w:tcPr>
            <w:tcW w:w="3820" w:type="dxa"/>
            <w:gridSpan w:val="2"/>
            <w:shd w:val="clear" w:color="auto" w:fill="auto"/>
            <w:vAlign w:val="center"/>
          </w:tcPr>
          <w:p w14:paraId="712C2714" w14:textId="77777777" w:rsidR="00B855C1" w:rsidRPr="00D96FE5" w:rsidRDefault="00B855C1" w:rsidP="005D4B74">
            <w:pPr>
              <w:pStyle w:val="BayerTableColumnHeadings"/>
              <w:keepNext/>
              <w:rPr>
                <w:rFonts w:ascii="Arial" w:hAnsi="Arial" w:cs="Arial"/>
                <w:szCs w:val="22"/>
              </w:rPr>
            </w:pPr>
            <w:r w:rsidRPr="00D96FE5">
              <w:rPr>
                <w:rFonts w:ascii="Arial" w:hAnsi="Arial" w:cs="Arial"/>
                <w:szCs w:val="22"/>
              </w:rPr>
              <w:t>Median (95% CI)</w:t>
            </w:r>
          </w:p>
        </w:tc>
      </w:tr>
      <w:tr w:rsidR="00B855C1" w:rsidRPr="001F55B3" w14:paraId="712C271D" w14:textId="77777777" w:rsidTr="002C2F1E">
        <w:tc>
          <w:tcPr>
            <w:tcW w:w="1922" w:type="dxa"/>
            <w:vMerge/>
            <w:shd w:val="clear" w:color="auto" w:fill="auto"/>
          </w:tcPr>
          <w:p w14:paraId="712C2716" w14:textId="77777777" w:rsidR="00B855C1" w:rsidRPr="00992991" w:rsidRDefault="00B855C1" w:rsidP="009A0EB2">
            <w:pPr>
              <w:pStyle w:val="BayerTableColumnHeadings"/>
              <w:keepNext/>
              <w:rPr>
                <w:rFonts w:ascii="Arial" w:hAnsi="Arial" w:cs="Arial"/>
                <w:szCs w:val="22"/>
              </w:rPr>
            </w:pPr>
          </w:p>
        </w:tc>
        <w:tc>
          <w:tcPr>
            <w:tcW w:w="1908" w:type="dxa"/>
            <w:vMerge/>
            <w:shd w:val="clear" w:color="auto" w:fill="auto"/>
          </w:tcPr>
          <w:p w14:paraId="712C2717" w14:textId="77777777" w:rsidR="00B855C1" w:rsidRPr="00992991" w:rsidRDefault="00B855C1" w:rsidP="009A0EB2">
            <w:pPr>
              <w:pStyle w:val="BayerTableColumnHeadings"/>
              <w:keepNext/>
              <w:rPr>
                <w:rFonts w:ascii="Arial" w:hAnsi="Arial" w:cs="Arial"/>
                <w:szCs w:val="22"/>
              </w:rPr>
            </w:pPr>
          </w:p>
        </w:tc>
        <w:tc>
          <w:tcPr>
            <w:tcW w:w="1908" w:type="dxa"/>
            <w:vMerge/>
          </w:tcPr>
          <w:p w14:paraId="712C2718" w14:textId="77777777" w:rsidR="00B855C1" w:rsidRPr="00992991" w:rsidRDefault="00B855C1" w:rsidP="009A0EB2">
            <w:pPr>
              <w:pStyle w:val="BayerTableColumnHeadings"/>
              <w:keepNext/>
              <w:rPr>
                <w:rFonts w:ascii="Arial" w:hAnsi="Arial" w:cs="Arial"/>
                <w:szCs w:val="22"/>
              </w:rPr>
            </w:pPr>
          </w:p>
        </w:tc>
        <w:tc>
          <w:tcPr>
            <w:tcW w:w="1908" w:type="dxa"/>
            <w:shd w:val="clear" w:color="auto" w:fill="auto"/>
          </w:tcPr>
          <w:p w14:paraId="712C2719" w14:textId="77777777" w:rsidR="00B855C1" w:rsidRPr="00992991" w:rsidRDefault="00601DFC" w:rsidP="009A0EB2">
            <w:pPr>
              <w:pStyle w:val="BayerTableColumnHeadings"/>
              <w:keepNext/>
              <w:rPr>
                <w:rFonts w:ascii="Arial" w:hAnsi="Arial" w:cs="Arial"/>
                <w:szCs w:val="22"/>
              </w:rPr>
            </w:pPr>
            <w:r>
              <w:rPr>
                <w:rFonts w:ascii="Arial" w:hAnsi="Arial" w:cs="Arial"/>
                <w:szCs w:val="22"/>
              </w:rPr>
              <w:t xml:space="preserve">STIVARGA </w:t>
            </w:r>
            <w:r w:rsidR="00B855C1" w:rsidRPr="00992991">
              <w:rPr>
                <w:rFonts w:ascii="Arial" w:hAnsi="Arial" w:cs="Arial"/>
                <w:szCs w:val="22"/>
              </w:rPr>
              <w:t>plus BSC</w:t>
            </w:r>
            <w:r w:rsidR="006923BD" w:rsidRPr="00805466">
              <w:rPr>
                <w:rFonts w:ascii="Arial Bold" w:hAnsi="Arial Bold" w:cs="Arial"/>
                <w:szCs w:val="22"/>
                <w:vertAlign w:val="superscript"/>
              </w:rPr>
              <w:t>§</w:t>
            </w:r>
          </w:p>
          <w:p w14:paraId="712C271A" w14:textId="77777777" w:rsidR="00B855C1" w:rsidRPr="00992991" w:rsidRDefault="00B855C1" w:rsidP="009A0EB2">
            <w:pPr>
              <w:pStyle w:val="BayerTableColumnHeadings"/>
              <w:keepNext/>
              <w:rPr>
                <w:rFonts w:ascii="Arial" w:hAnsi="Arial" w:cs="Arial"/>
                <w:szCs w:val="22"/>
              </w:rPr>
            </w:pPr>
            <w:r w:rsidRPr="00992991">
              <w:rPr>
                <w:rFonts w:ascii="Arial" w:hAnsi="Arial" w:cs="Arial"/>
                <w:szCs w:val="22"/>
              </w:rPr>
              <w:t>(N=505)</w:t>
            </w:r>
          </w:p>
        </w:tc>
        <w:tc>
          <w:tcPr>
            <w:tcW w:w="1912" w:type="dxa"/>
            <w:shd w:val="clear" w:color="auto" w:fill="auto"/>
          </w:tcPr>
          <w:p w14:paraId="712C271B" w14:textId="77777777" w:rsidR="00B855C1" w:rsidRPr="00992991" w:rsidRDefault="00B855C1" w:rsidP="009A0EB2">
            <w:pPr>
              <w:pStyle w:val="BayerTableColumnHeadings"/>
              <w:keepNext/>
              <w:rPr>
                <w:rFonts w:ascii="Arial" w:hAnsi="Arial" w:cs="Arial"/>
                <w:szCs w:val="22"/>
              </w:rPr>
            </w:pPr>
            <w:r w:rsidRPr="00992991">
              <w:rPr>
                <w:rFonts w:ascii="Arial" w:hAnsi="Arial" w:cs="Arial"/>
                <w:szCs w:val="22"/>
              </w:rPr>
              <w:t>Placebo plus BSC</w:t>
            </w:r>
            <w:r w:rsidR="006923BD" w:rsidRPr="00805466">
              <w:rPr>
                <w:rFonts w:ascii="Arial Bold" w:hAnsi="Arial Bold" w:cs="Arial"/>
                <w:szCs w:val="22"/>
                <w:vertAlign w:val="superscript"/>
              </w:rPr>
              <w:t>§</w:t>
            </w:r>
          </w:p>
          <w:p w14:paraId="712C271C" w14:textId="77777777" w:rsidR="00B855C1" w:rsidRPr="00992991" w:rsidRDefault="00B855C1" w:rsidP="009A0EB2">
            <w:pPr>
              <w:pStyle w:val="BayerTableColumnHeadings"/>
              <w:keepNext/>
              <w:rPr>
                <w:rFonts w:ascii="Arial" w:hAnsi="Arial" w:cs="Arial"/>
                <w:szCs w:val="22"/>
              </w:rPr>
            </w:pPr>
            <w:r w:rsidRPr="00992991">
              <w:rPr>
                <w:rFonts w:ascii="Arial" w:hAnsi="Arial" w:cs="Arial"/>
                <w:szCs w:val="22"/>
              </w:rPr>
              <w:t>(N=255)</w:t>
            </w:r>
          </w:p>
        </w:tc>
      </w:tr>
      <w:tr w:rsidR="00B855C1" w:rsidRPr="001F55B3" w14:paraId="712C2727" w14:textId="77777777" w:rsidTr="002C2F1E">
        <w:tc>
          <w:tcPr>
            <w:tcW w:w="1922" w:type="dxa"/>
            <w:shd w:val="clear" w:color="auto" w:fill="auto"/>
          </w:tcPr>
          <w:p w14:paraId="712C271E" w14:textId="77777777" w:rsidR="00B855C1" w:rsidRPr="00D96FE5" w:rsidRDefault="00B855C1" w:rsidP="005D4B74">
            <w:pPr>
              <w:pStyle w:val="BayerTableRowHeadings"/>
              <w:keepNext/>
              <w:spacing w:after="0"/>
              <w:rPr>
                <w:rFonts w:ascii="Arial" w:hAnsi="Arial" w:cs="Arial"/>
                <w:szCs w:val="22"/>
              </w:rPr>
            </w:pPr>
            <w:r w:rsidRPr="003A5EE1">
              <w:rPr>
                <w:rFonts w:ascii="Arial" w:hAnsi="Arial" w:cs="Arial"/>
                <w:szCs w:val="22"/>
              </w:rPr>
              <w:t xml:space="preserve">Overall Survival </w:t>
            </w:r>
          </w:p>
          <w:p w14:paraId="712C271F" w14:textId="77777777" w:rsidR="00B855C1" w:rsidRPr="00992991" w:rsidRDefault="00B855C1" w:rsidP="005D4B74">
            <w:pPr>
              <w:pStyle w:val="BayerTableRowHeadings"/>
              <w:keepNext/>
              <w:spacing w:after="0"/>
              <w:rPr>
                <w:rFonts w:ascii="Arial" w:hAnsi="Arial" w:cs="Arial"/>
                <w:szCs w:val="22"/>
              </w:rPr>
            </w:pPr>
          </w:p>
        </w:tc>
        <w:tc>
          <w:tcPr>
            <w:tcW w:w="1908" w:type="dxa"/>
            <w:shd w:val="clear" w:color="auto" w:fill="auto"/>
          </w:tcPr>
          <w:p w14:paraId="712C2720"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 xml:space="preserve">0.774 </w:t>
            </w:r>
          </w:p>
          <w:p w14:paraId="712C2721" w14:textId="77777777" w:rsidR="00B855C1" w:rsidRPr="00992991" w:rsidRDefault="00B855C1" w:rsidP="005D4B74">
            <w:pPr>
              <w:pStyle w:val="BayerTableStyleLeftJustified"/>
              <w:keepNext/>
              <w:rPr>
                <w:rFonts w:ascii="Arial" w:hAnsi="Arial" w:cs="Arial"/>
                <w:szCs w:val="22"/>
                <w:highlight w:val="yellow"/>
              </w:rPr>
            </w:pPr>
            <w:r w:rsidRPr="00992991">
              <w:rPr>
                <w:rFonts w:ascii="Arial" w:hAnsi="Arial" w:cs="Arial"/>
                <w:szCs w:val="22"/>
              </w:rPr>
              <w:t>(0.636, 0.942)</w:t>
            </w:r>
          </w:p>
        </w:tc>
        <w:tc>
          <w:tcPr>
            <w:tcW w:w="1908" w:type="dxa"/>
          </w:tcPr>
          <w:p w14:paraId="712C2722"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0.005178</w:t>
            </w:r>
          </w:p>
        </w:tc>
        <w:tc>
          <w:tcPr>
            <w:tcW w:w="1908" w:type="dxa"/>
            <w:shd w:val="clear" w:color="auto" w:fill="auto"/>
          </w:tcPr>
          <w:p w14:paraId="712C2723"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6.4 months</w:t>
            </w:r>
          </w:p>
          <w:p w14:paraId="712C2724"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(5.9, 7.3)</w:t>
            </w:r>
          </w:p>
        </w:tc>
        <w:tc>
          <w:tcPr>
            <w:tcW w:w="1912" w:type="dxa"/>
            <w:shd w:val="clear" w:color="auto" w:fill="auto"/>
          </w:tcPr>
          <w:p w14:paraId="712C2725"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5.0 months</w:t>
            </w:r>
          </w:p>
          <w:p w14:paraId="712C2726"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(4.4, 5.8)</w:t>
            </w:r>
          </w:p>
        </w:tc>
      </w:tr>
      <w:tr w:rsidR="00B855C1" w:rsidRPr="001F55B3" w14:paraId="712C2730" w14:textId="77777777" w:rsidTr="002C2F1E">
        <w:tc>
          <w:tcPr>
            <w:tcW w:w="1922" w:type="dxa"/>
            <w:shd w:val="clear" w:color="auto" w:fill="auto"/>
          </w:tcPr>
          <w:p w14:paraId="712C2728" w14:textId="77777777" w:rsidR="00B855C1" w:rsidRPr="00992991" w:rsidRDefault="00B855C1" w:rsidP="005D4B74">
            <w:pPr>
              <w:pStyle w:val="BayerTableRowHeadings"/>
              <w:keepNext/>
              <w:spacing w:after="0"/>
              <w:rPr>
                <w:rFonts w:ascii="Arial" w:hAnsi="Arial" w:cs="Arial"/>
                <w:szCs w:val="22"/>
              </w:rPr>
            </w:pPr>
            <w:r w:rsidRPr="003A5EE1">
              <w:rPr>
                <w:rFonts w:ascii="Arial" w:hAnsi="Arial" w:cs="Arial"/>
                <w:szCs w:val="22"/>
              </w:rPr>
              <w:t>Progression Free Survival</w:t>
            </w:r>
            <w:r w:rsidR="00EC5D69" w:rsidRPr="00D96FE5">
              <w:rPr>
                <w:rFonts w:ascii="Arial" w:hAnsi="Arial" w:cs="Arial"/>
                <w:szCs w:val="22"/>
              </w:rPr>
              <w:t>**</w:t>
            </w:r>
          </w:p>
        </w:tc>
        <w:tc>
          <w:tcPr>
            <w:tcW w:w="1908" w:type="dxa"/>
            <w:shd w:val="clear" w:color="auto" w:fill="auto"/>
          </w:tcPr>
          <w:p w14:paraId="712C2729"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 xml:space="preserve">0.494 </w:t>
            </w:r>
          </w:p>
          <w:p w14:paraId="712C272A"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(0.419, 0.582)</w:t>
            </w:r>
          </w:p>
        </w:tc>
        <w:tc>
          <w:tcPr>
            <w:tcW w:w="1908" w:type="dxa"/>
          </w:tcPr>
          <w:p w14:paraId="712C272B"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&lt;0.000001</w:t>
            </w:r>
          </w:p>
        </w:tc>
        <w:tc>
          <w:tcPr>
            <w:tcW w:w="1908" w:type="dxa"/>
            <w:shd w:val="clear" w:color="auto" w:fill="auto"/>
          </w:tcPr>
          <w:p w14:paraId="712C272C" w14:textId="77777777" w:rsidR="00B855C1" w:rsidRPr="00F65B34" w:rsidRDefault="00B855C1" w:rsidP="005D4B74">
            <w:pPr>
              <w:pStyle w:val="BayerTableStyleLeftJustified"/>
              <w:keepNext/>
              <w:rPr>
                <w:rFonts w:ascii="Arial" w:hAnsi="Arial" w:cs="Arial"/>
                <w:szCs w:val="22"/>
              </w:rPr>
            </w:pPr>
            <w:r w:rsidRPr="00992991">
              <w:rPr>
                <w:rFonts w:ascii="Arial" w:hAnsi="Arial" w:cs="Arial"/>
                <w:szCs w:val="22"/>
              </w:rPr>
              <w:t xml:space="preserve">1.9 </w:t>
            </w:r>
            <w:r w:rsidRPr="00F65B34">
              <w:rPr>
                <w:rFonts w:ascii="Arial" w:hAnsi="Arial" w:cs="Arial"/>
                <w:szCs w:val="22"/>
              </w:rPr>
              <w:t>months</w:t>
            </w:r>
          </w:p>
          <w:p w14:paraId="712C272D" w14:textId="77777777" w:rsidR="00B855C1" w:rsidRPr="003A5EE1" w:rsidRDefault="00B855C1" w:rsidP="005D4B74">
            <w:pPr>
              <w:pStyle w:val="BayerTableStyleLeftJustified"/>
              <w:keepNext/>
              <w:rPr>
                <w:rFonts w:ascii="Arial" w:hAnsi="Arial" w:cs="Arial"/>
                <w:szCs w:val="22"/>
              </w:rPr>
            </w:pPr>
            <w:r w:rsidRPr="003A5EE1">
              <w:rPr>
                <w:rFonts w:ascii="Arial" w:hAnsi="Arial" w:cs="Arial"/>
                <w:szCs w:val="22"/>
              </w:rPr>
              <w:t>(1.9, 2.1)</w:t>
            </w:r>
          </w:p>
        </w:tc>
        <w:tc>
          <w:tcPr>
            <w:tcW w:w="1912" w:type="dxa"/>
            <w:shd w:val="clear" w:color="auto" w:fill="auto"/>
          </w:tcPr>
          <w:p w14:paraId="712C272E" w14:textId="77777777" w:rsidR="00B855C1" w:rsidRPr="00D96FE5" w:rsidRDefault="00B855C1" w:rsidP="005D4B74">
            <w:pPr>
              <w:pStyle w:val="BayerTableStyleLeftJustified"/>
              <w:keepNext/>
              <w:rPr>
                <w:rFonts w:ascii="Arial" w:hAnsi="Arial" w:cs="Arial"/>
                <w:szCs w:val="22"/>
              </w:rPr>
            </w:pPr>
            <w:r w:rsidRPr="00D96FE5">
              <w:rPr>
                <w:rFonts w:ascii="Arial" w:hAnsi="Arial" w:cs="Arial"/>
                <w:szCs w:val="22"/>
              </w:rPr>
              <w:t>1.7 months</w:t>
            </w:r>
          </w:p>
          <w:p w14:paraId="712C272F" w14:textId="77777777"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(1.7, 1.7)</w:t>
            </w:r>
          </w:p>
        </w:tc>
      </w:tr>
    </w:tbl>
    <w:p w14:paraId="712C2731" w14:textId="77777777" w:rsidR="006923BD" w:rsidRPr="005F3D99" w:rsidRDefault="006923BD" w:rsidP="005D4B74">
      <w:pPr>
        <w:pStyle w:val="Caption"/>
        <w:keepNext/>
        <w:rPr>
          <w:rFonts w:ascii="Arial" w:hAnsi="Arial" w:cs="Arial"/>
          <w:b w:val="0"/>
        </w:rPr>
      </w:pPr>
      <w:r w:rsidRPr="00805466">
        <w:rPr>
          <w:rFonts w:ascii="Arial" w:hAnsi="Arial" w:cs="Arial"/>
          <w:b w:val="0"/>
          <w:vertAlign w:val="superscript"/>
        </w:rPr>
        <w:t>§</w:t>
      </w:r>
      <w:r>
        <w:rPr>
          <w:rFonts w:ascii="Arial" w:hAnsi="Arial" w:cs="Arial"/>
          <w:b w:val="0"/>
        </w:rPr>
        <w:t xml:space="preserve"> Best Supportive Care</w:t>
      </w:r>
    </w:p>
    <w:p w14:paraId="712C2732" w14:textId="77777777" w:rsidR="00B855C1" w:rsidRPr="0047783E" w:rsidRDefault="00B855C1" w:rsidP="005D4B74">
      <w:pPr>
        <w:pStyle w:val="Caption"/>
        <w:keepNext/>
        <w:rPr>
          <w:rFonts w:ascii="Arial" w:hAnsi="Arial" w:cs="Arial"/>
          <w:b w:val="0"/>
        </w:rPr>
      </w:pPr>
      <w:r w:rsidRPr="0047783E">
        <w:rPr>
          <w:rFonts w:ascii="Arial" w:hAnsi="Arial" w:cs="Arial"/>
          <w:b w:val="0"/>
        </w:rPr>
        <w:t xml:space="preserve">* Hazard ratio &lt; 1 favours </w:t>
      </w:r>
      <w:proofErr w:type="spellStart"/>
      <w:r w:rsidRPr="0047783E">
        <w:rPr>
          <w:rFonts w:ascii="Arial" w:hAnsi="Arial" w:cs="Arial"/>
          <w:b w:val="0"/>
        </w:rPr>
        <w:t>Stivarga</w:t>
      </w:r>
      <w:proofErr w:type="spellEnd"/>
    </w:p>
    <w:p w14:paraId="712C2733" w14:textId="77777777" w:rsidR="00EC5D69" w:rsidRPr="00EC5D69" w:rsidRDefault="00EC5D69" w:rsidP="005D4B74">
      <w:pPr>
        <w:keepNext/>
        <w:rPr>
          <w:rFonts w:ascii="Arial" w:hAnsi="Arial" w:cs="Arial"/>
          <w:sz w:val="20"/>
          <w:szCs w:val="20"/>
        </w:rPr>
      </w:pPr>
      <w:r w:rsidRPr="00EC5D69">
        <w:rPr>
          <w:rFonts w:ascii="Arial" w:hAnsi="Arial" w:cs="Arial"/>
          <w:sz w:val="20"/>
          <w:szCs w:val="20"/>
        </w:rPr>
        <w:t>** Based on Investigator’s assessment of tumour response</w:t>
      </w:r>
    </w:p>
    <w:p w14:paraId="712C2734" w14:textId="77777777" w:rsidR="007E4AA5" w:rsidRPr="007E4AA5" w:rsidRDefault="007E4AA5" w:rsidP="007E4AA5"/>
    <w:p w14:paraId="712C2735" w14:textId="0368D762" w:rsidR="004E3595" w:rsidRDefault="00B855C1" w:rsidP="00F34FCB">
      <w:pPr>
        <w:pStyle w:val="Caption"/>
        <w:rPr>
          <w:noProof/>
          <w:lang w:val="en-AU" w:eastAsia="en-AU"/>
        </w:rPr>
      </w:pPr>
      <w:r w:rsidRPr="003A5EE1">
        <w:rPr>
          <w:rFonts w:ascii="Arial" w:hAnsi="Arial" w:cs="Arial"/>
          <w:sz w:val="22"/>
          <w:szCs w:val="22"/>
        </w:rPr>
        <w:lastRenderedPageBreak/>
        <w:t>Figure 1: Kaplan-Meier curve of Overall Survival</w:t>
      </w:r>
      <w:r w:rsidRPr="001F55B3">
        <w:rPr>
          <w:rFonts w:ascii="Arial" w:hAnsi="Arial" w:cs="Arial"/>
          <w:sz w:val="24"/>
          <w:szCs w:val="24"/>
        </w:rPr>
        <w:t xml:space="preserve"> </w:t>
      </w:r>
      <w:r w:rsidR="00592429">
        <w:rPr>
          <w:noProof/>
          <w:lang w:val="en-AU" w:eastAsia="en-AU"/>
        </w:rPr>
        <w:pict w14:anchorId="712C2C3A">
          <v:shape id="_x0000_i1026" type="#_x0000_t75" alt="Figure 1" style="width:468pt;height:258.8pt;visibility:visible">
            <v:imagedata r:id="rId18" o:title=""/>
          </v:shape>
        </w:pict>
      </w:r>
    </w:p>
    <w:p w14:paraId="712C2736" w14:textId="77777777" w:rsidR="004E3595" w:rsidRDefault="004E3595" w:rsidP="0090345C"/>
    <w:p w14:paraId="712C2737" w14:textId="77777777" w:rsidR="004E3595" w:rsidRDefault="004E3595" w:rsidP="0090345C"/>
    <w:p w14:paraId="712C2738" w14:textId="77777777" w:rsidR="00B855C1" w:rsidRPr="003A5EE1" w:rsidRDefault="00B855C1" w:rsidP="003A5EE1">
      <w:pPr>
        <w:pStyle w:val="Caption"/>
        <w:keepNext/>
        <w:ind w:left="-142"/>
        <w:rPr>
          <w:sz w:val="22"/>
          <w:szCs w:val="22"/>
        </w:rPr>
      </w:pPr>
      <w:r w:rsidRPr="003A5EE1">
        <w:rPr>
          <w:rFonts w:ascii="Arial" w:hAnsi="Arial" w:cs="Arial"/>
          <w:sz w:val="22"/>
          <w:szCs w:val="22"/>
        </w:rPr>
        <w:t>Figure 2: Kaplan-Meier curve of Progression</w:t>
      </w:r>
      <w:r w:rsidR="001E1758" w:rsidRPr="003A5EE1">
        <w:rPr>
          <w:rFonts w:ascii="Arial" w:hAnsi="Arial" w:cs="Arial"/>
          <w:sz w:val="22"/>
          <w:szCs w:val="22"/>
        </w:rPr>
        <w:t>-</w:t>
      </w:r>
      <w:r w:rsidRPr="003A5EE1">
        <w:rPr>
          <w:rFonts w:ascii="Arial" w:hAnsi="Arial" w:cs="Arial"/>
          <w:sz w:val="22"/>
          <w:szCs w:val="22"/>
        </w:rPr>
        <w:t xml:space="preserve">Free Survival </w:t>
      </w:r>
    </w:p>
    <w:p w14:paraId="712C2739" w14:textId="3F7F2FCF" w:rsidR="004E3595" w:rsidRPr="00F34FCB" w:rsidRDefault="00592429" w:rsidP="00F34FCB">
      <w:r>
        <w:rPr>
          <w:noProof/>
          <w:lang w:val="en-AU" w:eastAsia="en-AU"/>
        </w:rPr>
        <w:pict w14:anchorId="712C2C3B">
          <v:shape id="_x0000_i1027" type="#_x0000_t75" alt="Figure 2" style="width:468pt;height:241.8pt;visibility:visible">
            <v:imagedata r:id="rId19" o:title=""/>
          </v:shape>
        </w:pict>
      </w:r>
    </w:p>
    <w:p w14:paraId="712C273A" w14:textId="77777777" w:rsidR="001F55B3" w:rsidRDefault="001F55B3" w:rsidP="00456BB6"/>
    <w:p w14:paraId="712C273B" w14:textId="77777777" w:rsidR="004E3595" w:rsidRDefault="009954BE" w:rsidP="004E3595">
      <w:pPr>
        <w:pStyle w:val="BayerBodyTextFull"/>
        <w:spacing w:before="0" w:after="0"/>
        <w:rPr>
          <w:rFonts w:ascii="Arial" w:hAnsi="Arial" w:cs="Arial"/>
          <w:sz w:val="22"/>
          <w:szCs w:val="22"/>
        </w:rPr>
      </w:pPr>
      <w:r w:rsidRPr="003A5EE1">
        <w:rPr>
          <w:rFonts w:ascii="Arial" w:hAnsi="Arial" w:cs="Arial"/>
          <w:sz w:val="22"/>
          <w:szCs w:val="22"/>
        </w:rPr>
        <w:t xml:space="preserve">The response rate (complete response or partial response) was 1% and 0.4% </w:t>
      </w:r>
      <w:r w:rsidR="006548B2">
        <w:rPr>
          <w:rFonts w:ascii="Arial" w:hAnsi="Arial" w:cs="Arial"/>
          <w:sz w:val="22"/>
          <w:szCs w:val="22"/>
        </w:rPr>
        <w:t>(p=</w:t>
      </w:r>
      <w:r w:rsidR="003C449E">
        <w:rPr>
          <w:rFonts w:ascii="Arial" w:hAnsi="Arial" w:cs="Arial"/>
          <w:sz w:val="22"/>
          <w:szCs w:val="22"/>
        </w:rPr>
        <w:t>0.1884</w:t>
      </w:r>
      <w:r w:rsidR="006548B2">
        <w:rPr>
          <w:rFonts w:ascii="Arial" w:hAnsi="Arial" w:cs="Arial"/>
          <w:sz w:val="22"/>
          <w:szCs w:val="22"/>
        </w:rPr>
        <w:t>3</w:t>
      </w:r>
      <w:r w:rsidR="003C449E">
        <w:rPr>
          <w:rFonts w:ascii="Arial" w:hAnsi="Arial" w:cs="Arial"/>
          <w:sz w:val="22"/>
          <w:szCs w:val="22"/>
        </w:rPr>
        <w:t xml:space="preserve">2) </w:t>
      </w:r>
      <w:r w:rsidRPr="003A5EE1">
        <w:rPr>
          <w:rFonts w:ascii="Arial" w:hAnsi="Arial" w:cs="Arial"/>
          <w:sz w:val="22"/>
          <w:szCs w:val="22"/>
        </w:rPr>
        <w:t xml:space="preserve">for </w:t>
      </w:r>
      <w:r w:rsidR="00601DFC">
        <w:rPr>
          <w:rFonts w:ascii="Arial" w:hAnsi="Arial" w:cs="Arial"/>
          <w:sz w:val="22"/>
          <w:szCs w:val="22"/>
        </w:rPr>
        <w:t xml:space="preserve">STIVARGA </w:t>
      </w:r>
      <w:r w:rsidRPr="003A5EE1">
        <w:rPr>
          <w:rFonts w:ascii="Arial" w:hAnsi="Arial" w:cs="Arial"/>
          <w:sz w:val="22"/>
          <w:szCs w:val="22"/>
        </w:rPr>
        <w:t xml:space="preserve">and placebo treated patients respectively. The disease control rate (complete response or partial response or stable disease) was significantly higher in patients treated with </w:t>
      </w:r>
      <w:r w:rsidR="00601DFC">
        <w:rPr>
          <w:rFonts w:ascii="Arial" w:hAnsi="Arial" w:cs="Arial"/>
          <w:sz w:val="22"/>
          <w:szCs w:val="22"/>
        </w:rPr>
        <w:t xml:space="preserve">STIVARGA </w:t>
      </w:r>
      <w:r w:rsidRPr="003A5EE1">
        <w:rPr>
          <w:rFonts w:ascii="Arial" w:hAnsi="Arial" w:cs="Arial"/>
          <w:sz w:val="22"/>
          <w:szCs w:val="22"/>
        </w:rPr>
        <w:t>(41.0% vs 14.9%, p&lt;0.000001).</w:t>
      </w:r>
    </w:p>
    <w:p w14:paraId="712C273C" w14:textId="77777777" w:rsidR="0092337A" w:rsidRDefault="0092337A" w:rsidP="004E3595">
      <w:pPr>
        <w:pStyle w:val="BayerBodyTextFull"/>
        <w:spacing w:before="0" w:after="0"/>
        <w:rPr>
          <w:rFonts w:ascii="Arial" w:hAnsi="Arial" w:cs="Arial"/>
          <w:sz w:val="22"/>
          <w:szCs w:val="22"/>
        </w:rPr>
      </w:pPr>
    </w:p>
    <w:p w14:paraId="712C273D" w14:textId="77777777" w:rsidR="0092337A" w:rsidRDefault="0092337A" w:rsidP="0092411A">
      <w:pPr>
        <w:autoSpaceDE w:val="0"/>
        <w:autoSpaceDN w:val="0"/>
        <w:adjustRightInd w:val="0"/>
        <w:rPr>
          <w:rFonts w:ascii="Arial" w:hAnsi="Arial" w:cs="Arial"/>
          <w:sz w:val="22"/>
          <w:szCs w:val="22"/>
          <w:lang w:val="en-AU" w:eastAsia="en-AU"/>
        </w:rPr>
      </w:pPr>
      <w:r w:rsidRPr="0092411A">
        <w:rPr>
          <w:rFonts w:ascii="Arial" w:hAnsi="Arial" w:cs="Arial"/>
          <w:sz w:val="22"/>
          <w:szCs w:val="22"/>
          <w:lang w:val="en-AU" w:eastAsia="en-AU"/>
        </w:rPr>
        <w:lastRenderedPageBreak/>
        <w:t>Subgroup</w:t>
      </w:r>
      <w:r w:rsidR="0049774E">
        <w:rPr>
          <w:rFonts w:ascii="Arial" w:hAnsi="Arial" w:cs="Arial"/>
          <w:sz w:val="22"/>
          <w:szCs w:val="22"/>
          <w:lang w:val="en-AU" w:eastAsia="en-AU"/>
        </w:rPr>
        <w:t xml:space="preserve"> analyses for OS and PFS</w:t>
      </w:r>
      <w:r w:rsidRPr="0092411A">
        <w:rPr>
          <w:rFonts w:ascii="Arial" w:hAnsi="Arial" w:cs="Arial"/>
          <w:sz w:val="22"/>
          <w:szCs w:val="22"/>
          <w:lang w:val="en-AU" w:eastAsia="en-AU"/>
        </w:rPr>
        <w:t xml:space="preserve"> according to age (&lt;65; </w:t>
      </w:r>
      <w:r w:rsidRPr="0092411A">
        <w:rPr>
          <w:rFonts w:ascii="Arial" w:eastAsia="TimesNewRomanPSMT" w:hAnsi="Arial" w:cs="Arial"/>
          <w:sz w:val="22"/>
          <w:szCs w:val="22"/>
          <w:lang w:val="en-AU" w:eastAsia="en-AU"/>
        </w:rPr>
        <w:t>≥</w:t>
      </w:r>
      <w:r w:rsidRPr="0092411A">
        <w:rPr>
          <w:rFonts w:ascii="Arial" w:hAnsi="Arial" w:cs="Arial"/>
          <w:sz w:val="22"/>
          <w:szCs w:val="22"/>
          <w:lang w:val="en-AU" w:eastAsia="en-AU"/>
        </w:rPr>
        <w:t>65),</w:t>
      </w:r>
      <w:r>
        <w:rPr>
          <w:rFonts w:ascii="Arial" w:hAnsi="Arial" w:cs="Arial"/>
          <w:sz w:val="22"/>
          <w:szCs w:val="22"/>
          <w:lang w:val="en-AU" w:eastAsia="en-AU"/>
        </w:rPr>
        <w:t xml:space="preserve"> </w:t>
      </w:r>
      <w:r w:rsidRPr="0092411A">
        <w:rPr>
          <w:rFonts w:ascii="Arial" w:hAnsi="Arial" w:cs="Arial"/>
          <w:sz w:val="22"/>
          <w:szCs w:val="22"/>
          <w:lang w:val="en-AU" w:eastAsia="en-AU"/>
        </w:rPr>
        <w:t>gender, ECOG PS, primary site of disease, time from first diagnosis of metastatic disease, prior</w:t>
      </w:r>
      <w:r>
        <w:rPr>
          <w:rFonts w:ascii="Arial" w:hAnsi="Arial" w:cs="Arial"/>
          <w:sz w:val="22"/>
          <w:szCs w:val="22"/>
          <w:lang w:val="en-AU" w:eastAsia="en-AU"/>
        </w:rPr>
        <w:t xml:space="preserve"> </w:t>
      </w:r>
      <w:r w:rsidRPr="0092411A">
        <w:rPr>
          <w:rFonts w:ascii="Arial" w:hAnsi="Arial" w:cs="Arial"/>
          <w:sz w:val="22"/>
          <w:szCs w:val="22"/>
          <w:lang w:val="en-AU" w:eastAsia="en-AU"/>
        </w:rPr>
        <w:t>anticancer treatment, prior treatment lines for metastatic disease, and KRAS mutation showed a</w:t>
      </w:r>
      <w:r>
        <w:rPr>
          <w:rFonts w:ascii="Arial" w:hAnsi="Arial" w:cs="Arial"/>
          <w:sz w:val="22"/>
          <w:szCs w:val="22"/>
          <w:lang w:val="en-AU" w:eastAsia="en-AU"/>
        </w:rPr>
        <w:t xml:space="preserve"> </w:t>
      </w:r>
      <w:r w:rsidRPr="0092411A">
        <w:rPr>
          <w:rFonts w:ascii="Arial" w:hAnsi="Arial" w:cs="Arial"/>
          <w:sz w:val="22"/>
          <w:szCs w:val="22"/>
          <w:lang w:val="en-AU" w:eastAsia="en-AU"/>
        </w:rPr>
        <w:t xml:space="preserve">treatment effect favouring the </w:t>
      </w:r>
      <w:proofErr w:type="spellStart"/>
      <w:r w:rsidRPr="0092411A">
        <w:rPr>
          <w:rFonts w:ascii="Arial" w:hAnsi="Arial" w:cs="Arial"/>
          <w:sz w:val="22"/>
          <w:szCs w:val="22"/>
          <w:lang w:val="en-AU" w:eastAsia="en-AU"/>
        </w:rPr>
        <w:t>regorafenib</w:t>
      </w:r>
      <w:proofErr w:type="spellEnd"/>
      <w:r w:rsidRPr="0092411A">
        <w:rPr>
          <w:rFonts w:ascii="Arial" w:hAnsi="Arial" w:cs="Arial"/>
          <w:sz w:val="22"/>
          <w:szCs w:val="22"/>
          <w:lang w:val="en-AU" w:eastAsia="en-AU"/>
        </w:rPr>
        <w:t xml:space="preserve"> regimen over the placebo regimen.</w:t>
      </w:r>
    </w:p>
    <w:p w14:paraId="712C273E" w14:textId="77777777" w:rsidR="00C02009" w:rsidRPr="0092411A" w:rsidRDefault="00C02009" w:rsidP="0092411A">
      <w:pPr>
        <w:autoSpaceDE w:val="0"/>
        <w:autoSpaceDN w:val="0"/>
        <w:adjustRightInd w:val="0"/>
        <w:rPr>
          <w:rFonts w:ascii="Arial" w:hAnsi="Arial" w:cs="Arial"/>
          <w:sz w:val="22"/>
          <w:szCs w:val="22"/>
          <w:lang w:val="en-AU" w:eastAsia="en-AU"/>
        </w:rPr>
      </w:pPr>
    </w:p>
    <w:p w14:paraId="712C273F" w14:textId="77777777" w:rsidR="0092337A" w:rsidRPr="00812FFE" w:rsidRDefault="0049774E" w:rsidP="0092411A">
      <w:pPr>
        <w:rPr>
          <w:rFonts w:ascii="Arial" w:hAnsi="Arial" w:cs="Arial"/>
          <w:sz w:val="22"/>
          <w:szCs w:val="22"/>
        </w:rPr>
      </w:pPr>
      <w:r w:rsidRPr="0047783E">
        <w:rPr>
          <w:rFonts w:ascii="Arial" w:hAnsi="Arial" w:cs="Arial"/>
          <w:sz w:val="22"/>
          <w:szCs w:val="22"/>
        </w:rPr>
        <w:t xml:space="preserve">Subgroup analysis results by historical KRAS mutational status showed a treatment effect for OS in favour of </w:t>
      </w:r>
      <w:proofErr w:type="spellStart"/>
      <w:r w:rsidRPr="0047783E">
        <w:rPr>
          <w:rFonts w:ascii="Arial" w:hAnsi="Arial" w:cs="Arial"/>
          <w:sz w:val="22"/>
          <w:szCs w:val="22"/>
        </w:rPr>
        <w:t>regorafenib</w:t>
      </w:r>
      <w:proofErr w:type="spellEnd"/>
      <w:r w:rsidRPr="0047783E">
        <w:rPr>
          <w:rFonts w:ascii="Arial" w:hAnsi="Arial" w:cs="Arial"/>
          <w:sz w:val="22"/>
          <w:szCs w:val="22"/>
        </w:rPr>
        <w:t xml:space="preserve"> over placebo for patients with KRAS wild-type tumours whereas a numerically lower effect was reported in patients with KRAS mutant tumours; the treatment effect for PFS favouring </w:t>
      </w:r>
      <w:proofErr w:type="spellStart"/>
      <w:r w:rsidRPr="0047783E">
        <w:rPr>
          <w:rFonts w:ascii="Arial" w:hAnsi="Arial" w:cs="Arial"/>
          <w:sz w:val="22"/>
          <w:szCs w:val="22"/>
        </w:rPr>
        <w:t>regorafenib</w:t>
      </w:r>
      <w:proofErr w:type="spellEnd"/>
      <w:r w:rsidRPr="0047783E">
        <w:rPr>
          <w:rFonts w:ascii="Arial" w:hAnsi="Arial" w:cs="Arial"/>
          <w:sz w:val="22"/>
          <w:szCs w:val="22"/>
        </w:rPr>
        <w:t xml:space="preserve"> was observed regardless of KRAS mutational status. The hazard ratio (95% CI) of overall survival was 0.653 (0.476 to 0.895) for patients with KRAS wild-type tumours and 0.867 (0.670 to 1.123) for patients with KRAS mutant tumours, with no evidence of heterogeneity in treatment effect (non-significant interaction test). The hazard ratio (95% CI) of progression free survival was 0.475 (0.362 to 0.623) for patients with KRAS wild-type tumours and 0.525 (0.425 to 0.649) for patients with KRAS mutant tumours.</w:t>
      </w:r>
    </w:p>
    <w:p w14:paraId="712C2740" w14:textId="77777777" w:rsidR="004E3595" w:rsidRDefault="004E3595" w:rsidP="00456BB6">
      <w:pPr>
        <w:rPr>
          <w:rFonts w:ascii="Arial" w:hAnsi="Arial" w:cs="Arial"/>
          <w:lang w:val="en-US"/>
        </w:rPr>
      </w:pPr>
    </w:p>
    <w:p w14:paraId="712C2741" w14:textId="77777777" w:rsidR="00515E3C" w:rsidRPr="006C3E63" w:rsidRDefault="00515E3C" w:rsidP="00456BB6">
      <w:pPr>
        <w:rPr>
          <w:rFonts w:ascii="Arial" w:hAnsi="Arial" w:cs="Arial"/>
          <w:b/>
          <w:i/>
          <w:sz w:val="22"/>
          <w:szCs w:val="22"/>
          <w:lang w:val="en-US"/>
        </w:rPr>
      </w:pPr>
      <w:r w:rsidRPr="006C3E63">
        <w:rPr>
          <w:rFonts w:ascii="Arial" w:hAnsi="Arial" w:cs="Arial"/>
          <w:b/>
          <w:i/>
          <w:sz w:val="22"/>
          <w:szCs w:val="22"/>
          <w:lang w:val="en-US"/>
        </w:rPr>
        <w:t xml:space="preserve">Gastrointestinal Stromal </w:t>
      </w:r>
      <w:proofErr w:type="spellStart"/>
      <w:r w:rsidRPr="006C3E63">
        <w:rPr>
          <w:rFonts w:ascii="Arial" w:hAnsi="Arial" w:cs="Arial"/>
          <w:b/>
          <w:i/>
          <w:sz w:val="22"/>
          <w:szCs w:val="22"/>
          <w:lang w:val="en-US"/>
        </w:rPr>
        <w:t>Tumours</w:t>
      </w:r>
      <w:proofErr w:type="spellEnd"/>
      <w:r w:rsidRPr="006C3E63">
        <w:rPr>
          <w:rFonts w:ascii="Arial" w:hAnsi="Arial" w:cs="Arial"/>
          <w:b/>
          <w:i/>
          <w:sz w:val="22"/>
          <w:szCs w:val="22"/>
          <w:lang w:val="en-US"/>
        </w:rPr>
        <w:t xml:space="preserve"> </w:t>
      </w:r>
    </w:p>
    <w:p w14:paraId="712C2742" w14:textId="77777777" w:rsidR="00515E3C" w:rsidRPr="006C3E63" w:rsidRDefault="00515E3C" w:rsidP="00456BB6">
      <w:pPr>
        <w:rPr>
          <w:rFonts w:ascii="Arial" w:hAnsi="Arial" w:cs="Arial"/>
          <w:b/>
          <w:i/>
          <w:sz w:val="22"/>
          <w:szCs w:val="22"/>
          <w:lang w:val="en-US"/>
        </w:rPr>
      </w:pPr>
    </w:p>
    <w:p w14:paraId="712C2743" w14:textId="77777777" w:rsidR="00515E3C" w:rsidRPr="00E77ED4" w:rsidRDefault="00515E3C" w:rsidP="00E77ED4">
      <w:pPr>
        <w:autoSpaceDE w:val="0"/>
        <w:autoSpaceDN w:val="0"/>
        <w:adjustRightInd w:val="0"/>
        <w:rPr>
          <w:rFonts w:ascii="Arial" w:hAnsi="Arial" w:cs="Arial"/>
          <w:sz w:val="22"/>
          <w:szCs w:val="22"/>
        </w:rPr>
      </w:pPr>
      <w:r w:rsidRPr="00CF5E09">
        <w:rPr>
          <w:rFonts w:ascii="Arial" w:hAnsi="Arial" w:cs="Arial"/>
          <w:sz w:val="22"/>
          <w:szCs w:val="22"/>
        </w:rPr>
        <w:t xml:space="preserve">The clinical efficacy and safety of </w:t>
      </w:r>
      <w:r w:rsidR="00601DFC">
        <w:rPr>
          <w:rFonts w:ascii="Arial" w:hAnsi="Arial" w:cs="Arial"/>
          <w:sz w:val="22"/>
          <w:szCs w:val="22"/>
        </w:rPr>
        <w:t>STIVARGA</w:t>
      </w:r>
      <w:r w:rsidR="00FF0B8E">
        <w:rPr>
          <w:rFonts w:ascii="Arial" w:hAnsi="Arial" w:cs="Arial"/>
          <w:sz w:val="22"/>
          <w:szCs w:val="22"/>
        </w:rPr>
        <w:t xml:space="preserve"> </w:t>
      </w:r>
      <w:r w:rsidRPr="00CF5E09">
        <w:rPr>
          <w:rFonts w:ascii="Arial" w:hAnsi="Arial" w:cs="Arial"/>
          <w:sz w:val="22"/>
          <w:szCs w:val="22"/>
        </w:rPr>
        <w:t>ha</w:t>
      </w:r>
      <w:r w:rsidR="00FD48A1">
        <w:rPr>
          <w:rFonts w:ascii="Arial" w:hAnsi="Arial" w:cs="Arial"/>
          <w:sz w:val="22"/>
          <w:szCs w:val="22"/>
        </w:rPr>
        <w:t>s</w:t>
      </w:r>
      <w:r w:rsidRPr="00CF5E09">
        <w:rPr>
          <w:rFonts w:ascii="Arial" w:hAnsi="Arial" w:cs="Arial"/>
          <w:sz w:val="22"/>
          <w:szCs w:val="22"/>
        </w:rPr>
        <w:t xml:space="preserve"> been evaluated in an international, multi-cent</w:t>
      </w:r>
      <w:r w:rsidR="00AE73A1">
        <w:rPr>
          <w:rFonts w:ascii="Arial" w:hAnsi="Arial" w:cs="Arial"/>
          <w:sz w:val="22"/>
          <w:szCs w:val="22"/>
        </w:rPr>
        <w:t>re</w:t>
      </w:r>
      <w:r w:rsidRPr="00CF5E09">
        <w:rPr>
          <w:rFonts w:ascii="Arial" w:hAnsi="Arial" w:cs="Arial"/>
          <w:sz w:val="22"/>
          <w:szCs w:val="22"/>
        </w:rPr>
        <w:t>, randomi</w:t>
      </w:r>
      <w:r w:rsidRPr="009C178C">
        <w:rPr>
          <w:rFonts w:ascii="Arial" w:hAnsi="Arial" w:cs="Arial"/>
          <w:sz w:val="22"/>
          <w:szCs w:val="22"/>
        </w:rPr>
        <w:t>sed</w:t>
      </w:r>
      <w:r w:rsidRPr="007B1C84">
        <w:rPr>
          <w:rFonts w:ascii="Arial" w:hAnsi="Arial" w:cs="Arial"/>
          <w:sz w:val="22"/>
          <w:szCs w:val="22"/>
        </w:rPr>
        <w:t>, double-blind, placebo-controlled Phase III study</w:t>
      </w:r>
      <w:r w:rsidR="006C3E63" w:rsidRPr="007B1C84">
        <w:rPr>
          <w:rFonts w:ascii="Arial" w:hAnsi="Arial" w:cs="Arial"/>
          <w:sz w:val="22"/>
          <w:szCs w:val="22"/>
        </w:rPr>
        <w:t xml:space="preserve"> (GRID)</w:t>
      </w:r>
      <w:r w:rsidRPr="007B1C84">
        <w:rPr>
          <w:rFonts w:ascii="Arial" w:hAnsi="Arial" w:cs="Arial"/>
          <w:sz w:val="22"/>
          <w:szCs w:val="22"/>
        </w:rPr>
        <w:t xml:space="preserve"> in patients with </w:t>
      </w:r>
      <w:proofErr w:type="spellStart"/>
      <w:r w:rsidR="00AE73A1">
        <w:rPr>
          <w:rFonts w:ascii="Arial" w:hAnsi="Arial" w:cs="Arial"/>
          <w:sz w:val="22"/>
          <w:szCs w:val="22"/>
        </w:rPr>
        <w:t>unresectable</w:t>
      </w:r>
      <w:proofErr w:type="spellEnd"/>
      <w:r w:rsidR="00AE73A1">
        <w:rPr>
          <w:rFonts w:ascii="Arial" w:hAnsi="Arial" w:cs="Arial"/>
          <w:sz w:val="22"/>
          <w:szCs w:val="22"/>
        </w:rPr>
        <w:t xml:space="preserve"> or metastatic </w:t>
      </w:r>
      <w:r w:rsidRPr="007B1C84">
        <w:rPr>
          <w:rFonts w:ascii="Arial" w:hAnsi="Arial" w:cs="Arial"/>
          <w:sz w:val="22"/>
          <w:szCs w:val="22"/>
        </w:rPr>
        <w:t>gastrointestinal stromal tumo</w:t>
      </w:r>
      <w:r w:rsidR="00A24CF7">
        <w:rPr>
          <w:rFonts w:ascii="Arial" w:hAnsi="Arial" w:cs="Arial"/>
          <w:sz w:val="22"/>
          <w:szCs w:val="22"/>
        </w:rPr>
        <w:t>u</w:t>
      </w:r>
      <w:r w:rsidRPr="007B1C84">
        <w:rPr>
          <w:rFonts w:ascii="Arial" w:hAnsi="Arial" w:cs="Arial"/>
          <w:sz w:val="22"/>
          <w:szCs w:val="22"/>
        </w:rPr>
        <w:t xml:space="preserve">rs </w:t>
      </w:r>
      <w:r w:rsidR="006C3E63" w:rsidRPr="007B1C84">
        <w:rPr>
          <w:rFonts w:ascii="Arial" w:hAnsi="Arial" w:cs="Arial"/>
          <w:sz w:val="22"/>
          <w:szCs w:val="22"/>
        </w:rPr>
        <w:t xml:space="preserve">(GIST) </w:t>
      </w:r>
      <w:r w:rsidR="00E77ED4">
        <w:rPr>
          <w:rFonts w:ascii="Arial" w:hAnsi="Arial" w:cs="Arial"/>
          <w:sz w:val="22"/>
          <w:szCs w:val="22"/>
        </w:rPr>
        <w:t xml:space="preserve">who were </w:t>
      </w:r>
      <w:r w:rsidR="006C3E63" w:rsidRPr="007B1C84">
        <w:rPr>
          <w:rFonts w:ascii="Arial" w:hAnsi="Arial" w:cs="Arial"/>
          <w:sz w:val="22"/>
          <w:szCs w:val="22"/>
        </w:rPr>
        <w:t xml:space="preserve">previously treated with </w:t>
      </w:r>
      <w:proofErr w:type="spellStart"/>
      <w:r w:rsidRPr="004230B3">
        <w:rPr>
          <w:rFonts w:ascii="Arial" w:hAnsi="Arial" w:cs="Arial"/>
          <w:sz w:val="22"/>
          <w:szCs w:val="22"/>
        </w:rPr>
        <w:t>imatinib</w:t>
      </w:r>
      <w:proofErr w:type="spellEnd"/>
      <w:r w:rsidRPr="004230B3">
        <w:rPr>
          <w:rFonts w:ascii="Arial" w:hAnsi="Arial" w:cs="Arial"/>
          <w:sz w:val="22"/>
          <w:szCs w:val="22"/>
        </w:rPr>
        <w:t xml:space="preserve"> and </w:t>
      </w:r>
      <w:proofErr w:type="spellStart"/>
      <w:r w:rsidRPr="004230B3">
        <w:rPr>
          <w:rFonts w:ascii="Arial" w:hAnsi="Arial" w:cs="Arial"/>
          <w:sz w:val="22"/>
          <w:szCs w:val="22"/>
        </w:rPr>
        <w:t>sunitinib</w:t>
      </w:r>
      <w:proofErr w:type="spellEnd"/>
      <w:r w:rsidRPr="004230B3">
        <w:rPr>
          <w:rFonts w:ascii="Arial" w:hAnsi="Arial" w:cs="Arial"/>
          <w:sz w:val="22"/>
          <w:szCs w:val="22"/>
        </w:rPr>
        <w:t>.</w:t>
      </w:r>
      <w:r w:rsidR="00BD0B72">
        <w:rPr>
          <w:rFonts w:ascii="Arial" w:hAnsi="Arial" w:cs="Arial"/>
          <w:sz w:val="22"/>
          <w:szCs w:val="22"/>
        </w:rPr>
        <w:t xml:space="preserve"> </w:t>
      </w:r>
      <w:r w:rsidR="00E77ED4" w:rsidRPr="00E77ED4">
        <w:rPr>
          <w:rFonts w:ascii="Arial" w:hAnsi="Arial" w:cs="Arial"/>
          <w:sz w:val="22"/>
          <w:szCs w:val="22"/>
          <w:lang w:val="en-AU" w:eastAsia="en-AU"/>
        </w:rPr>
        <w:t xml:space="preserve">Patients were treated with STIVARGA if they experienced disease progression or intolerance to </w:t>
      </w:r>
      <w:proofErr w:type="spellStart"/>
      <w:r w:rsidR="00E77ED4" w:rsidRPr="00E77ED4">
        <w:rPr>
          <w:rFonts w:ascii="Arial" w:hAnsi="Arial" w:cs="Arial"/>
          <w:sz w:val="22"/>
          <w:szCs w:val="22"/>
          <w:lang w:val="en-AU" w:eastAsia="en-AU"/>
        </w:rPr>
        <w:t>imatinib</w:t>
      </w:r>
      <w:proofErr w:type="spellEnd"/>
      <w:r w:rsidR="00E77ED4" w:rsidRPr="00E77ED4">
        <w:rPr>
          <w:rFonts w:ascii="Arial" w:hAnsi="Arial" w:cs="Arial"/>
          <w:sz w:val="22"/>
          <w:szCs w:val="22"/>
          <w:lang w:val="en-AU" w:eastAsia="en-AU"/>
        </w:rPr>
        <w:t xml:space="preserve"> and disease progression while on </w:t>
      </w:r>
      <w:proofErr w:type="spellStart"/>
      <w:r w:rsidR="00E77ED4" w:rsidRPr="00E77ED4">
        <w:rPr>
          <w:rFonts w:ascii="Arial" w:hAnsi="Arial" w:cs="Arial"/>
          <w:sz w:val="22"/>
          <w:szCs w:val="22"/>
          <w:lang w:val="en-AU" w:eastAsia="en-AU"/>
        </w:rPr>
        <w:t>sunitinib</w:t>
      </w:r>
      <w:proofErr w:type="spellEnd"/>
      <w:r w:rsidR="00E77ED4" w:rsidRPr="00E77ED4">
        <w:rPr>
          <w:rFonts w:ascii="Arial" w:hAnsi="Arial" w:cs="Arial"/>
          <w:sz w:val="22"/>
          <w:szCs w:val="22"/>
          <w:lang w:val="en-AU" w:eastAsia="en-AU"/>
        </w:rPr>
        <w:t>.</w:t>
      </w:r>
      <w:r w:rsidR="00AE73A1" w:rsidRPr="00E77ED4">
        <w:rPr>
          <w:rFonts w:ascii="Arial" w:hAnsi="Arial" w:cs="Arial"/>
          <w:sz w:val="22"/>
          <w:szCs w:val="22"/>
        </w:rPr>
        <w:t xml:space="preserve"> </w:t>
      </w:r>
    </w:p>
    <w:p w14:paraId="712C2744" w14:textId="77777777" w:rsidR="00BE4D21" w:rsidRPr="002239D7" w:rsidRDefault="00515E3C" w:rsidP="00515E3C">
      <w:pPr>
        <w:pStyle w:val="BayerBodyTextFull"/>
        <w:rPr>
          <w:rFonts w:ascii="Arial" w:hAnsi="Arial" w:cs="Arial"/>
          <w:sz w:val="22"/>
          <w:szCs w:val="22"/>
        </w:rPr>
      </w:pPr>
      <w:r w:rsidRPr="004230B3">
        <w:rPr>
          <w:rFonts w:ascii="Arial" w:hAnsi="Arial" w:cs="Arial"/>
          <w:sz w:val="22"/>
          <w:szCs w:val="22"/>
        </w:rPr>
        <w:t>The analysis of the p</w:t>
      </w:r>
      <w:r w:rsidRPr="002239D7">
        <w:rPr>
          <w:rFonts w:ascii="Arial" w:hAnsi="Arial" w:cs="Arial"/>
          <w:sz w:val="22"/>
          <w:szCs w:val="22"/>
        </w:rPr>
        <w:t xml:space="preserve">rimary efficacy endpoint PFS was conducted after 144 PFS events (central blinded assessment). Secondary endpoints including Time To Progression (TTP) and Overall Survival (OS) (interim analysis) were also assessed. </w:t>
      </w:r>
      <w:r w:rsidR="000F2BC3">
        <w:rPr>
          <w:rFonts w:ascii="Arial" w:hAnsi="Arial" w:cs="Arial"/>
          <w:sz w:val="22"/>
          <w:szCs w:val="22"/>
        </w:rPr>
        <w:t xml:space="preserve">PFS was assessed using modified RECIST 1.1 criteria, in which lymph nodes and bone lesions were not target lesions and a progressively growing new </w:t>
      </w:r>
      <w:proofErr w:type="spellStart"/>
      <w:r w:rsidR="000F2BC3">
        <w:rPr>
          <w:rFonts w:ascii="Arial" w:hAnsi="Arial" w:cs="Arial"/>
          <w:sz w:val="22"/>
          <w:szCs w:val="22"/>
        </w:rPr>
        <w:t>tumour</w:t>
      </w:r>
      <w:proofErr w:type="spellEnd"/>
      <w:r w:rsidR="000F2BC3">
        <w:rPr>
          <w:rFonts w:ascii="Arial" w:hAnsi="Arial" w:cs="Arial"/>
          <w:sz w:val="22"/>
          <w:szCs w:val="22"/>
        </w:rPr>
        <w:t xml:space="preserve"> nodule within a pre-existing </w:t>
      </w:r>
      <w:proofErr w:type="spellStart"/>
      <w:r w:rsidR="000F2BC3">
        <w:rPr>
          <w:rFonts w:ascii="Arial" w:hAnsi="Arial" w:cs="Arial"/>
          <w:sz w:val="22"/>
          <w:szCs w:val="22"/>
        </w:rPr>
        <w:t>tumour</w:t>
      </w:r>
      <w:proofErr w:type="spellEnd"/>
      <w:r w:rsidR="000F2BC3">
        <w:rPr>
          <w:rFonts w:ascii="Arial" w:hAnsi="Arial" w:cs="Arial"/>
          <w:sz w:val="22"/>
          <w:szCs w:val="22"/>
        </w:rPr>
        <w:t xml:space="preserve"> mass was progression.</w:t>
      </w:r>
      <w:r w:rsidR="00BE4D21" w:rsidRPr="002239D7" w:rsidDel="00BE4D21">
        <w:rPr>
          <w:rFonts w:ascii="Arial" w:hAnsi="Arial" w:cs="Arial"/>
          <w:sz w:val="22"/>
          <w:szCs w:val="22"/>
        </w:rPr>
        <w:t xml:space="preserve"> </w:t>
      </w:r>
    </w:p>
    <w:p w14:paraId="712C2745" w14:textId="77777777" w:rsidR="00515E3C" w:rsidRPr="00833F59" w:rsidRDefault="00515E3C" w:rsidP="00515E3C">
      <w:pPr>
        <w:pStyle w:val="BayerBodyTextFull"/>
        <w:rPr>
          <w:rFonts w:ascii="Arial" w:hAnsi="Arial" w:cs="Arial"/>
          <w:sz w:val="22"/>
          <w:szCs w:val="22"/>
        </w:rPr>
      </w:pPr>
      <w:r w:rsidRPr="00833F59">
        <w:rPr>
          <w:rFonts w:ascii="Arial" w:hAnsi="Arial" w:cs="Arial"/>
          <w:sz w:val="22"/>
          <w:szCs w:val="22"/>
        </w:rPr>
        <w:t xml:space="preserve">In total, 199 patients with GIST were </w:t>
      </w:r>
      <w:proofErr w:type="spellStart"/>
      <w:r w:rsidRPr="00833F59">
        <w:rPr>
          <w:rFonts w:ascii="Arial" w:hAnsi="Arial" w:cs="Arial"/>
          <w:sz w:val="22"/>
          <w:szCs w:val="22"/>
        </w:rPr>
        <w:t>randomised</w:t>
      </w:r>
      <w:proofErr w:type="spellEnd"/>
      <w:r w:rsidRPr="00833F59">
        <w:rPr>
          <w:rFonts w:ascii="Arial" w:hAnsi="Arial" w:cs="Arial"/>
          <w:sz w:val="22"/>
          <w:szCs w:val="22"/>
        </w:rPr>
        <w:t xml:space="preserve"> 2:1 to receive either 160 mg </w:t>
      </w:r>
      <w:proofErr w:type="spellStart"/>
      <w:r w:rsidRPr="00833F59">
        <w:rPr>
          <w:rFonts w:ascii="Arial" w:hAnsi="Arial" w:cs="Arial"/>
          <w:sz w:val="22"/>
          <w:szCs w:val="22"/>
        </w:rPr>
        <w:t>regorafenib</w:t>
      </w:r>
      <w:proofErr w:type="spellEnd"/>
      <w:r w:rsidR="00520D28">
        <w:rPr>
          <w:rFonts w:ascii="Arial" w:hAnsi="Arial" w:cs="Arial"/>
          <w:sz w:val="22"/>
          <w:szCs w:val="22"/>
        </w:rPr>
        <w:t xml:space="preserve"> (four </w:t>
      </w:r>
      <w:r w:rsidR="006B2395">
        <w:rPr>
          <w:rFonts w:ascii="Arial" w:hAnsi="Arial" w:cs="Arial"/>
          <w:sz w:val="22"/>
          <w:szCs w:val="22"/>
        </w:rPr>
        <w:t xml:space="preserve">STIVARGA </w:t>
      </w:r>
      <w:r w:rsidR="00520D28">
        <w:rPr>
          <w:rFonts w:ascii="Arial" w:hAnsi="Arial" w:cs="Arial"/>
          <w:sz w:val="22"/>
          <w:szCs w:val="22"/>
        </w:rPr>
        <w:t>tablets each containing 40 mg)</w:t>
      </w:r>
      <w:r w:rsidRPr="00833F59">
        <w:rPr>
          <w:rFonts w:ascii="Arial" w:hAnsi="Arial" w:cs="Arial"/>
          <w:sz w:val="22"/>
          <w:szCs w:val="22"/>
        </w:rPr>
        <w:t xml:space="preserve"> plus Best Supportive Care (BSC; n=133) orally once daily or matching placebo plus BSC (n=66) for </w:t>
      </w:r>
      <w:r w:rsidR="006C3E63" w:rsidRPr="00833F59">
        <w:rPr>
          <w:rFonts w:ascii="Arial" w:hAnsi="Arial" w:cs="Arial"/>
          <w:sz w:val="22"/>
          <w:szCs w:val="22"/>
        </w:rPr>
        <w:t>three weeks on therapy followed by one</w:t>
      </w:r>
      <w:r w:rsidRPr="00833F59">
        <w:rPr>
          <w:rFonts w:ascii="Arial" w:hAnsi="Arial" w:cs="Arial"/>
          <w:sz w:val="22"/>
          <w:szCs w:val="22"/>
        </w:rPr>
        <w:t xml:space="preserve"> week off therapy</w:t>
      </w:r>
      <w:r w:rsidR="004F6F2D">
        <w:rPr>
          <w:rFonts w:ascii="Arial" w:hAnsi="Arial" w:cs="Arial"/>
          <w:sz w:val="22"/>
          <w:szCs w:val="22"/>
        </w:rPr>
        <w:t xml:space="preserve"> per treatment cycle</w:t>
      </w:r>
      <w:r w:rsidRPr="00833F59">
        <w:rPr>
          <w:rFonts w:ascii="Arial" w:hAnsi="Arial" w:cs="Arial"/>
          <w:sz w:val="22"/>
          <w:szCs w:val="22"/>
        </w:rPr>
        <w:t xml:space="preserve">. The mean daily </w:t>
      </w:r>
      <w:proofErr w:type="spellStart"/>
      <w:r w:rsidRPr="00833F59">
        <w:rPr>
          <w:rFonts w:ascii="Arial" w:hAnsi="Arial" w:cs="Arial"/>
          <w:sz w:val="22"/>
          <w:szCs w:val="22"/>
        </w:rPr>
        <w:t>regorafenib</w:t>
      </w:r>
      <w:proofErr w:type="spellEnd"/>
      <w:r w:rsidRPr="00833F59">
        <w:rPr>
          <w:rFonts w:ascii="Arial" w:hAnsi="Arial" w:cs="Arial"/>
          <w:sz w:val="22"/>
          <w:szCs w:val="22"/>
        </w:rPr>
        <w:t xml:space="preserve"> dose received was 140 mg. </w:t>
      </w:r>
    </w:p>
    <w:p w14:paraId="712C2746" w14:textId="77777777" w:rsidR="00515E3C" w:rsidRPr="00833F59" w:rsidRDefault="00515E3C" w:rsidP="00BE4D21">
      <w:pPr>
        <w:pStyle w:val="BayerBodyTextFull"/>
        <w:keepLines/>
        <w:rPr>
          <w:rFonts w:ascii="Arial" w:hAnsi="Arial" w:cs="Arial"/>
          <w:sz w:val="22"/>
          <w:szCs w:val="22"/>
        </w:rPr>
      </w:pPr>
      <w:r w:rsidRPr="00833F59">
        <w:rPr>
          <w:rFonts w:ascii="Arial" w:hAnsi="Arial" w:cs="Arial"/>
          <w:sz w:val="22"/>
          <w:szCs w:val="22"/>
        </w:rPr>
        <w:t xml:space="preserve">Patients continued therapy until disease progression or unacceptable toxicity. Patients receiving placebo who experienced disease progression were offered open-label </w:t>
      </w:r>
      <w:r w:rsidR="00510253">
        <w:rPr>
          <w:rFonts w:ascii="Arial" w:hAnsi="Arial" w:cs="Arial"/>
          <w:sz w:val="22"/>
          <w:szCs w:val="22"/>
        </w:rPr>
        <w:t>STIVARGA</w:t>
      </w:r>
      <w:r w:rsidR="00510253" w:rsidRPr="00833F59">
        <w:rPr>
          <w:rFonts w:ascii="Arial" w:hAnsi="Arial" w:cs="Arial"/>
          <w:sz w:val="22"/>
          <w:szCs w:val="22"/>
        </w:rPr>
        <w:t xml:space="preserve"> </w:t>
      </w:r>
      <w:r w:rsidRPr="00833F59">
        <w:rPr>
          <w:rFonts w:ascii="Arial" w:hAnsi="Arial" w:cs="Arial"/>
          <w:sz w:val="22"/>
          <w:szCs w:val="22"/>
        </w:rPr>
        <w:t xml:space="preserve">(cross-over option). Patients receiving </w:t>
      </w:r>
      <w:r w:rsidR="00510253">
        <w:rPr>
          <w:rFonts w:ascii="Arial" w:hAnsi="Arial" w:cs="Arial"/>
          <w:sz w:val="22"/>
          <w:szCs w:val="22"/>
        </w:rPr>
        <w:t>STIVARGA</w:t>
      </w:r>
      <w:r w:rsidR="00510253" w:rsidRPr="00833F59">
        <w:rPr>
          <w:rFonts w:ascii="Arial" w:hAnsi="Arial" w:cs="Arial"/>
          <w:sz w:val="22"/>
          <w:szCs w:val="22"/>
        </w:rPr>
        <w:t xml:space="preserve"> </w:t>
      </w:r>
      <w:r w:rsidRPr="00833F59">
        <w:rPr>
          <w:rFonts w:ascii="Arial" w:hAnsi="Arial" w:cs="Arial"/>
          <w:sz w:val="22"/>
          <w:szCs w:val="22"/>
        </w:rPr>
        <w:t xml:space="preserve">who experienced disease progression and for whom in the investigator’s opinion, treatment with </w:t>
      </w:r>
      <w:r w:rsidR="00510253">
        <w:rPr>
          <w:rFonts w:ascii="Arial" w:hAnsi="Arial" w:cs="Arial"/>
          <w:sz w:val="22"/>
          <w:szCs w:val="22"/>
        </w:rPr>
        <w:t>STIVARGA</w:t>
      </w:r>
      <w:r w:rsidR="00510253" w:rsidRPr="00833F59">
        <w:rPr>
          <w:rFonts w:ascii="Arial" w:hAnsi="Arial" w:cs="Arial"/>
          <w:sz w:val="22"/>
          <w:szCs w:val="22"/>
        </w:rPr>
        <w:t xml:space="preserve"> </w:t>
      </w:r>
      <w:r w:rsidRPr="00833F59">
        <w:rPr>
          <w:rFonts w:ascii="Arial" w:hAnsi="Arial" w:cs="Arial"/>
          <w:sz w:val="22"/>
          <w:szCs w:val="22"/>
        </w:rPr>
        <w:t xml:space="preserve">was providing clinical benefit were offered the opportunity to continue open-label </w:t>
      </w:r>
      <w:r w:rsidR="00510253">
        <w:rPr>
          <w:rFonts w:ascii="Arial" w:hAnsi="Arial" w:cs="Arial"/>
          <w:sz w:val="22"/>
          <w:szCs w:val="22"/>
        </w:rPr>
        <w:t>STIVARGA</w:t>
      </w:r>
      <w:r w:rsidRPr="00833F59">
        <w:rPr>
          <w:rFonts w:ascii="Arial" w:hAnsi="Arial" w:cs="Arial"/>
          <w:sz w:val="22"/>
          <w:szCs w:val="22"/>
        </w:rPr>
        <w:t>.</w:t>
      </w:r>
    </w:p>
    <w:p w14:paraId="712C2747" w14:textId="77777777" w:rsidR="00BF10D1" w:rsidRDefault="00515E3C" w:rsidP="00687C12">
      <w:pPr>
        <w:autoSpaceDE w:val="0"/>
        <w:autoSpaceDN w:val="0"/>
        <w:adjustRightInd w:val="0"/>
        <w:spacing w:before="120" w:after="120"/>
        <w:rPr>
          <w:rFonts w:ascii="Arial" w:hAnsi="Arial" w:cs="Arial"/>
          <w:sz w:val="22"/>
          <w:szCs w:val="22"/>
        </w:rPr>
      </w:pPr>
      <w:r w:rsidRPr="00833F59">
        <w:rPr>
          <w:rFonts w:ascii="Arial" w:hAnsi="Arial" w:cs="Arial"/>
          <w:sz w:val="22"/>
          <w:szCs w:val="22"/>
        </w:rPr>
        <w:t xml:space="preserve">Of the 199 randomised patients, the </w:t>
      </w:r>
      <w:r w:rsidR="004F6F2D">
        <w:rPr>
          <w:rFonts w:ascii="Arial" w:hAnsi="Arial" w:cs="Arial"/>
          <w:sz w:val="22"/>
          <w:szCs w:val="22"/>
        </w:rPr>
        <w:t>median</w:t>
      </w:r>
      <w:r w:rsidRPr="00833F59">
        <w:rPr>
          <w:rFonts w:ascii="Arial" w:hAnsi="Arial" w:cs="Arial"/>
          <w:sz w:val="22"/>
          <w:szCs w:val="22"/>
        </w:rPr>
        <w:t xml:space="preserve"> age was </w:t>
      </w:r>
      <w:r w:rsidR="004F6F2D">
        <w:rPr>
          <w:rFonts w:ascii="Arial" w:hAnsi="Arial" w:cs="Arial"/>
          <w:sz w:val="22"/>
          <w:szCs w:val="22"/>
        </w:rPr>
        <w:t>60</w:t>
      </w:r>
      <w:r w:rsidRPr="00833F59">
        <w:rPr>
          <w:rFonts w:ascii="Arial" w:hAnsi="Arial" w:cs="Arial"/>
          <w:sz w:val="22"/>
          <w:szCs w:val="22"/>
        </w:rPr>
        <w:t xml:space="preserve"> years</w:t>
      </w:r>
      <w:r w:rsidR="004F6F2D">
        <w:rPr>
          <w:rFonts w:ascii="Arial" w:hAnsi="Arial" w:cs="Arial"/>
          <w:sz w:val="22"/>
          <w:szCs w:val="22"/>
        </w:rPr>
        <w:t xml:space="preserve"> (range 18 – 87)</w:t>
      </w:r>
      <w:r w:rsidRPr="00833F59">
        <w:rPr>
          <w:rFonts w:ascii="Arial" w:hAnsi="Arial" w:cs="Arial"/>
          <w:sz w:val="22"/>
          <w:szCs w:val="22"/>
        </w:rPr>
        <w:t>, 64% were male, 68% were Caucasian, and all patients had basel</w:t>
      </w:r>
      <w:r w:rsidR="006C3E63" w:rsidRPr="00833F59">
        <w:rPr>
          <w:rFonts w:ascii="Arial" w:hAnsi="Arial" w:cs="Arial"/>
          <w:sz w:val="22"/>
          <w:szCs w:val="22"/>
        </w:rPr>
        <w:t>ine ECOG PS</w:t>
      </w:r>
      <w:r w:rsidRPr="0078633F">
        <w:rPr>
          <w:rFonts w:ascii="Arial" w:hAnsi="Arial" w:cs="Arial"/>
          <w:sz w:val="22"/>
          <w:szCs w:val="22"/>
        </w:rPr>
        <w:t xml:space="preserve"> of 0 or 1. The overall median time since most recent progression or relapse to randomis</w:t>
      </w:r>
      <w:r w:rsidRPr="00E961A9">
        <w:rPr>
          <w:rFonts w:ascii="Arial" w:hAnsi="Arial" w:cs="Arial"/>
          <w:sz w:val="22"/>
          <w:szCs w:val="22"/>
        </w:rPr>
        <w:t xml:space="preserve">ation was 6 weeks. </w:t>
      </w:r>
    </w:p>
    <w:p w14:paraId="712C2748" w14:textId="77777777" w:rsidR="00AA1C90" w:rsidRPr="005F3D99" w:rsidRDefault="00AA1C90" w:rsidP="00687C12">
      <w:pPr>
        <w:autoSpaceDE w:val="0"/>
        <w:autoSpaceDN w:val="0"/>
        <w:adjustRightInd w:val="0"/>
        <w:spacing w:before="120" w:after="120"/>
        <w:rPr>
          <w:rFonts w:ascii="Arial" w:hAnsi="Arial" w:cs="Arial"/>
          <w:sz w:val="22"/>
          <w:szCs w:val="22"/>
        </w:rPr>
      </w:pPr>
      <w:r w:rsidRPr="008D5883">
        <w:rPr>
          <w:rFonts w:ascii="Arial" w:hAnsi="Arial" w:cs="Arial"/>
          <w:color w:val="000000"/>
          <w:sz w:val="22"/>
          <w:szCs w:val="22"/>
        </w:rPr>
        <w:t xml:space="preserve">The majority of patients presented with metastatic disease (61.3%). 56.8% of the patients had received 2 prior lines of treatment for metastatic and/or </w:t>
      </w:r>
      <w:proofErr w:type="spellStart"/>
      <w:r w:rsidRPr="008D5883">
        <w:rPr>
          <w:rFonts w:ascii="Arial" w:hAnsi="Arial" w:cs="Arial"/>
          <w:color w:val="000000"/>
          <w:sz w:val="22"/>
          <w:szCs w:val="22"/>
        </w:rPr>
        <w:t>unresectable</w:t>
      </w:r>
      <w:proofErr w:type="spellEnd"/>
      <w:r w:rsidRPr="008D5883">
        <w:rPr>
          <w:rFonts w:ascii="Arial" w:hAnsi="Arial" w:cs="Arial"/>
          <w:color w:val="000000"/>
          <w:sz w:val="22"/>
          <w:szCs w:val="22"/>
        </w:rPr>
        <w:t xml:space="preserve"> GIST, and 43.2% had received more than 2 prior lines of treatment. </w:t>
      </w:r>
    </w:p>
    <w:p w14:paraId="712C274A" w14:textId="65B4C8BC" w:rsidR="008814B7" w:rsidRDefault="00CB7A15">
      <w:pPr>
        <w:pStyle w:val="BayerBodyTextFull"/>
        <w:rPr>
          <w:rFonts w:ascii="Arial" w:hAnsi="Arial" w:cs="Arial"/>
          <w:sz w:val="22"/>
          <w:szCs w:val="22"/>
        </w:rPr>
      </w:pPr>
      <w:r>
        <w:rPr>
          <w:rFonts w:ascii="Arial" w:hAnsi="Arial" w:cs="Arial"/>
          <w:sz w:val="22"/>
          <w:szCs w:val="22"/>
        </w:rPr>
        <w:t xml:space="preserve">STIVARGA significantly increased PFS and TTP </w:t>
      </w:r>
      <w:r w:rsidR="006B1320">
        <w:rPr>
          <w:rFonts w:ascii="Arial" w:hAnsi="Arial" w:cs="Arial"/>
          <w:sz w:val="22"/>
          <w:szCs w:val="22"/>
        </w:rPr>
        <w:t>a</w:t>
      </w:r>
      <w:r>
        <w:rPr>
          <w:rFonts w:ascii="Arial" w:hAnsi="Arial" w:cs="Arial"/>
          <w:sz w:val="22"/>
          <w:szCs w:val="22"/>
        </w:rPr>
        <w:t>nd there was a trend to increased OS</w:t>
      </w:r>
      <w:r w:rsidR="00DC420A">
        <w:rPr>
          <w:rFonts w:ascii="Arial" w:hAnsi="Arial" w:cs="Arial"/>
          <w:sz w:val="22"/>
          <w:szCs w:val="22"/>
        </w:rPr>
        <w:t xml:space="preserve"> </w:t>
      </w:r>
      <w:r w:rsidR="00515E3C" w:rsidRPr="000667BE">
        <w:rPr>
          <w:rFonts w:ascii="Arial" w:hAnsi="Arial" w:cs="Arial"/>
          <w:sz w:val="22"/>
          <w:szCs w:val="22"/>
        </w:rPr>
        <w:t>(</w:t>
      </w:r>
      <w:r w:rsidR="00515E3C" w:rsidRPr="00386290">
        <w:rPr>
          <w:rFonts w:ascii="Arial" w:hAnsi="Arial" w:cs="Arial"/>
          <w:color w:val="000000"/>
          <w:sz w:val="22"/>
          <w:szCs w:val="22"/>
        </w:rPr>
        <w:t xml:space="preserve">see Table </w:t>
      </w:r>
      <w:r w:rsidR="006C3E63" w:rsidRPr="00386290">
        <w:rPr>
          <w:rFonts w:ascii="Arial" w:hAnsi="Arial" w:cs="Arial"/>
          <w:color w:val="000000"/>
          <w:sz w:val="22"/>
          <w:szCs w:val="22"/>
        </w:rPr>
        <w:t>3</w:t>
      </w:r>
      <w:r w:rsidR="00515E3C" w:rsidRPr="00386290">
        <w:rPr>
          <w:rFonts w:ascii="Arial" w:hAnsi="Arial" w:cs="Arial"/>
          <w:color w:val="000000"/>
          <w:sz w:val="22"/>
          <w:szCs w:val="22"/>
        </w:rPr>
        <w:t>, Figure</w:t>
      </w:r>
      <w:r>
        <w:rPr>
          <w:rFonts w:ascii="Arial" w:hAnsi="Arial" w:cs="Arial"/>
          <w:color w:val="000000"/>
          <w:sz w:val="22"/>
          <w:szCs w:val="22"/>
        </w:rPr>
        <w:t>s</w:t>
      </w:r>
      <w:r w:rsidR="00515E3C" w:rsidRPr="00386290">
        <w:rPr>
          <w:rFonts w:ascii="Arial" w:hAnsi="Arial" w:cs="Arial"/>
          <w:color w:val="000000"/>
          <w:sz w:val="22"/>
          <w:szCs w:val="22"/>
        </w:rPr>
        <w:t xml:space="preserve"> </w:t>
      </w:r>
      <w:r w:rsidR="006C3E63" w:rsidRPr="00386290">
        <w:rPr>
          <w:rFonts w:ascii="Arial" w:hAnsi="Arial" w:cs="Arial"/>
          <w:color w:val="000000"/>
          <w:sz w:val="22"/>
          <w:szCs w:val="22"/>
        </w:rPr>
        <w:t>3</w:t>
      </w:r>
      <w:r>
        <w:rPr>
          <w:rFonts w:ascii="Arial" w:hAnsi="Arial" w:cs="Arial"/>
          <w:color w:val="000000"/>
          <w:sz w:val="22"/>
          <w:szCs w:val="22"/>
        </w:rPr>
        <w:t xml:space="preserve"> - 4</w:t>
      </w:r>
      <w:r w:rsidR="00515E3C" w:rsidRPr="00042071">
        <w:rPr>
          <w:rFonts w:ascii="Arial" w:hAnsi="Arial" w:cs="Arial"/>
          <w:sz w:val="22"/>
          <w:szCs w:val="22"/>
        </w:rPr>
        <w:t>).</w:t>
      </w:r>
      <w:r w:rsidR="006C3E63" w:rsidRPr="00042071">
        <w:rPr>
          <w:rFonts w:ascii="Arial" w:hAnsi="Arial" w:cs="Arial"/>
          <w:sz w:val="22"/>
          <w:szCs w:val="22"/>
        </w:rPr>
        <w:t xml:space="preserve"> </w:t>
      </w:r>
      <w:r w:rsidR="00515E3C" w:rsidRPr="00042071">
        <w:rPr>
          <w:rFonts w:ascii="Arial" w:hAnsi="Arial" w:cs="Arial"/>
          <w:sz w:val="22"/>
          <w:szCs w:val="22"/>
        </w:rPr>
        <w:t xml:space="preserve">The increase in PFS was consistent independent of age, sex, geographic region, prior lines of treatment, ECOG performance status. </w:t>
      </w:r>
    </w:p>
    <w:p w14:paraId="712C274B" w14:textId="77777777" w:rsidR="00515E3C" w:rsidRPr="006B66A9" w:rsidRDefault="00515E3C" w:rsidP="00592429">
      <w:pPr>
        <w:pStyle w:val="BayerBodyTextFull"/>
        <w:keepNext/>
        <w:rPr>
          <w:rFonts w:ascii="Arial" w:hAnsi="Arial" w:cs="Arial"/>
          <w:sz w:val="22"/>
          <w:szCs w:val="22"/>
        </w:rPr>
      </w:pPr>
      <w:bookmarkStart w:id="1" w:name="table7"/>
      <w:r w:rsidRPr="006B66A9">
        <w:rPr>
          <w:rFonts w:ascii="Arial" w:hAnsi="Arial" w:cs="Arial"/>
          <w:b/>
          <w:sz w:val="22"/>
          <w:szCs w:val="22"/>
        </w:rPr>
        <w:lastRenderedPageBreak/>
        <w:t xml:space="preserve">Table </w:t>
      </w:r>
      <w:bookmarkEnd w:id="1"/>
      <w:r w:rsidR="006C3E63" w:rsidRPr="006B66A9">
        <w:rPr>
          <w:rFonts w:ascii="Arial" w:hAnsi="Arial" w:cs="Arial"/>
          <w:b/>
          <w:sz w:val="22"/>
          <w:szCs w:val="22"/>
        </w:rPr>
        <w:t>3: Efficacy r</w:t>
      </w:r>
      <w:r w:rsidRPr="006B66A9">
        <w:rPr>
          <w:rFonts w:ascii="Arial" w:hAnsi="Arial" w:cs="Arial"/>
          <w:b/>
          <w:sz w:val="22"/>
          <w:szCs w:val="22"/>
        </w:rPr>
        <w:t>esults from the GRID study</w:t>
      </w:r>
      <w:r w:rsidR="001036B1" w:rsidRPr="006B66A9">
        <w:rPr>
          <w:rFonts w:ascii="Arial" w:hAnsi="Arial" w:cs="Arial"/>
          <w:b/>
          <w:sz w:val="22"/>
          <w:szCs w:val="22"/>
        </w:rPr>
        <w:t xml:space="preserve"> (intent to treat)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2268"/>
        <w:gridCol w:w="1949"/>
      </w:tblGrid>
      <w:tr w:rsidR="008814B7" w:rsidRPr="00062162" w14:paraId="712C2755" w14:textId="77777777" w:rsidTr="006B66A9">
        <w:tc>
          <w:tcPr>
            <w:tcW w:w="2802" w:type="dxa"/>
            <w:shd w:val="clear" w:color="auto" w:fill="auto"/>
          </w:tcPr>
          <w:p w14:paraId="712C274D" w14:textId="77777777" w:rsidR="008814B7" w:rsidRPr="00062162" w:rsidRDefault="008814B7" w:rsidP="006B66A9">
            <w:pPr>
              <w:keepNext/>
              <w:tabs>
                <w:tab w:val="left" w:pos="567"/>
              </w:tabs>
              <w:spacing w:line="260" w:lineRule="exact"/>
              <w:rPr>
                <w:rFonts w:ascii="Arial" w:hAnsi="Arial" w:cs="Arial"/>
                <w:sz w:val="22"/>
                <w:szCs w:val="22"/>
              </w:rPr>
            </w:pPr>
          </w:p>
        </w:tc>
        <w:tc>
          <w:tcPr>
            <w:tcW w:w="2409" w:type="dxa"/>
            <w:shd w:val="clear" w:color="auto" w:fill="auto"/>
          </w:tcPr>
          <w:p w14:paraId="712C274E" w14:textId="77777777" w:rsidR="008814B7" w:rsidRPr="00E80126" w:rsidRDefault="008814B7" w:rsidP="006B66A9">
            <w:pPr>
              <w:pStyle w:val="BayerTableColumnHeadings"/>
              <w:keepNext/>
              <w:tabs>
                <w:tab w:val="left" w:pos="567"/>
              </w:tabs>
              <w:spacing w:line="260" w:lineRule="exact"/>
              <w:rPr>
                <w:rFonts w:ascii="Arial" w:hAnsi="Arial" w:cs="Arial"/>
                <w:szCs w:val="22"/>
              </w:rPr>
            </w:pPr>
            <w:r w:rsidRPr="00062162">
              <w:rPr>
                <w:rFonts w:ascii="Arial" w:hAnsi="Arial" w:cs="Arial"/>
                <w:szCs w:val="22"/>
              </w:rPr>
              <w:t>STIVARGA plus BSC</w:t>
            </w:r>
          </w:p>
          <w:p w14:paraId="712C274F" w14:textId="77777777" w:rsidR="008814B7" w:rsidRPr="00062162" w:rsidRDefault="008814B7" w:rsidP="006B66A9">
            <w:pPr>
              <w:keepNext/>
              <w:tabs>
                <w:tab w:val="left" w:pos="567"/>
              </w:tabs>
              <w:spacing w:line="260" w:lineRule="exact"/>
              <w:jc w:val="center"/>
              <w:rPr>
                <w:rFonts w:ascii="Arial" w:hAnsi="Arial" w:cs="Arial"/>
                <w:b/>
                <w:sz w:val="22"/>
                <w:szCs w:val="22"/>
              </w:rPr>
            </w:pPr>
            <w:r w:rsidRPr="00062162">
              <w:rPr>
                <w:rFonts w:ascii="Arial" w:hAnsi="Arial" w:cs="Arial"/>
                <w:b/>
                <w:sz w:val="22"/>
                <w:szCs w:val="22"/>
              </w:rPr>
              <w:t>(N=133)</w:t>
            </w:r>
          </w:p>
        </w:tc>
        <w:tc>
          <w:tcPr>
            <w:tcW w:w="2268" w:type="dxa"/>
            <w:shd w:val="clear" w:color="auto" w:fill="auto"/>
          </w:tcPr>
          <w:p w14:paraId="712C2750" w14:textId="77777777" w:rsidR="008814B7" w:rsidRPr="00062162" w:rsidRDefault="008814B7" w:rsidP="006B66A9">
            <w:pPr>
              <w:pStyle w:val="BayerTableColumnHeadings"/>
              <w:keepNext/>
              <w:tabs>
                <w:tab w:val="left" w:pos="567"/>
              </w:tabs>
              <w:spacing w:line="260" w:lineRule="exact"/>
              <w:rPr>
                <w:rFonts w:ascii="Arial" w:hAnsi="Arial" w:cs="Arial"/>
                <w:szCs w:val="22"/>
              </w:rPr>
            </w:pPr>
            <w:r w:rsidRPr="00062162">
              <w:rPr>
                <w:rFonts w:ascii="Arial" w:hAnsi="Arial" w:cs="Arial"/>
                <w:szCs w:val="22"/>
              </w:rPr>
              <w:t>Placebo plus BSC</w:t>
            </w:r>
          </w:p>
          <w:p w14:paraId="712C2751" w14:textId="77777777" w:rsidR="008814B7" w:rsidRPr="00062162" w:rsidRDefault="008814B7" w:rsidP="006B66A9">
            <w:pPr>
              <w:keepNext/>
              <w:tabs>
                <w:tab w:val="left" w:pos="567"/>
              </w:tabs>
              <w:spacing w:line="260" w:lineRule="exact"/>
              <w:jc w:val="center"/>
              <w:rPr>
                <w:rFonts w:ascii="Arial" w:hAnsi="Arial" w:cs="Arial"/>
                <w:b/>
                <w:sz w:val="22"/>
                <w:szCs w:val="22"/>
              </w:rPr>
            </w:pPr>
            <w:r w:rsidRPr="00062162">
              <w:rPr>
                <w:rFonts w:ascii="Arial" w:hAnsi="Arial" w:cs="Arial"/>
                <w:b/>
                <w:sz w:val="22"/>
                <w:szCs w:val="22"/>
              </w:rPr>
              <w:t>(N=66)</w:t>
            </w:r>
          </w:p>
        </w:tc>
        <w:tc>
          <w:tcPr>
            <w:tcW w:w="1949" w:type="dxa"/>
            <w:shd w:val="clear" w:color="auto" w:fill="auto"/>
          </w:tcPr>
          <w:p w14:paraId="712C2752" w14:textId="77777777" w:rsidR="008814B7" w:rsidRPr="00E80126" w:rsidRDefault="008814B7" w:rsidP="006B66A9">
            <w:pPr>
              <w:keepNext/>
              <w:tabs>
                <w:tab w:val="left" w:pos="567"/>
              </w:tabs>
              <w:spacing w:line="260" w:lineRule="exact"/>
              <w:jc w:val="center"/>
              <w:rPr>
                <w:rFonts w:ascii="Arial" w:hAnsi="Arial" w:cs="Arial"/>
                <w:b/>
                <w:sz w:val="22"/>
                <w:szCs w:val="22"/>
              </w:rPr>
            </w:pPr>
            <w:r>
              <w:rPr>
                <w:rFonts w:ascii="Arial" w:hAnsi="Arial" w:cs="Arial"/>
                <w:b/>
                <w:sz w:val="22"/>
                <w:szCs w:val="22"/>
              </w:rPr>
              <w:t>Hazard Ratio</w:t>
            </w:r>
          </w:p>
          <w:p w14:paraId="712C2753" w14:textId="77777777" w:rsidR="008814B7" w:rsidRPr="00AE73A1" w:rsidRDefault="008814B7" w:rsidP="006B66A9">
            <w:pPr>
              <w:keepNext/>
              <w:tabs>
                <w:tab w:val="left" w:pos="567"/>
              </w:tabs>
              <w:spacing w:line="260" w:lineRule="exact"/>
              <w:jc w:val="center"/>
              <w:rPr>
                <w:rFonts w:ascii="Arial" w:hAnsi="Arial" w:cs="Arial"/>
                <w:b/>
                <w:sz w:val="22"/>
                <w:szCs w:val="22"/>
              </w:rPr>
            </w:pPr>
            <w:r w:rsidRPr="00DB4035">
              <w:rPr>
                <w:rFonts w:ascii="Arial" w:hAnsi="Arial" w:cs="Arial"/>
                <w:b/>
                <w:sz w:val="22"/>
                <w:szCs w:val="22"/>
              </w:rPr>
              <w:t>[</w:t>
            </w:r>
            <w:r w:rsidRPr="00AE73A1">
              <w:rPr>
                <w:rFonts w:ascii="Arial" w:hAnsi="Arial" w:cs="Arial"/>
                <w:b/>
                <w:sz w:val="22"/>
                <w:szCs w:val="22"/>
              </w:rPr>
              <w:t>95% CI]</w:t>
            </w:r>
          </w:p>
          <w:p w14:paraId="712C2754" w14:textId="77777777" w:rsidR="008814B7" w:rsidRPr="00062162" w:rsidRDefault="008814B7" w:rsidP="006B66A9">
            <w:pPr>
              <w:keepNext/>
              <w:tabs>
                <w:tab w:val="left" w:pos="567"/>
              </w:tabs>
              <w:spacing w:line="260" w:lineRule="exact"/>
              <w:jc w:val="center"/>
              <w:rPr>
                <w:rFonts w:ascii="Arial" w:hAnsi="Arial" w:cs="Arial"/>
                <w:b/>
                <w:sz w:val="22"/>
                <w:szCs w:val="22"/>
              </w:rPr>
            </w:pPr>
            <w:r w:rsidRPr="000F2BC3">
              <w:rPr>
                <w:rFonts w:ascii="Arial" w:hAnsi="Arial" w:cs="Arial"/>
                <w:b/>
                <w:sz w:val="22"/>
                <w:szCs w:val="22"/>
              </w:rPr>
              <w:t>p-value</w:t>
            </w:r>
          </w:p>
        </w:tc>
      </w:tr>
      <w:tr w:rsidR="008814B7" w:rsidRPr="00062162" w14:paraId="712C275C" w14:textId="77777777" w:rsidTr="006B66A9">
        <w:tc>
          <w:tcPr>
            <w:tcW w:w="2802" w:type="dxa"/>
            <w:shd w:val="clear" w:color="auto" w:fill="auto"/>
          </w:tcPr>
          <w:p w14:paraId="712C2756" w14:textId="77777777" w:rsidR="008814B7" w:rsidRPr="00062162" w:rsidRDefault="008814B7" w:rsidP="006B66A9">
            <w:pPr>
              <w:keepNext/>
              <w:tabs>
                <w:tab w:val="left" w:pos="567"/>
              </w:tabs>
              <w:spacing w:line="260" w:lineRule="exact"/>
              <w:rPr>
                <w:rFonts w:ascii="Arial" w:hAnsi="Arial" w:cs="Arial"/>
                <w:sz w:val="22"/>
                <w:szCs w:val="22"/>
              </w:rPr>
            </w:pPr>
            <w:r w:rsidRPr="00062162">
              <w:rPr>
                <w:rFonts w:ascii="Arial" w:hAnsi="Arial" w:cs="Arial"/>
                <w:sz w:val="22"/>
                <w:szCs w:val="22"/>
              </w:rPr>
              <w:t xml:space="preserve">Progression-Free Survival </w:t>
            </w:r>
            <w:r>
              <w:rPr>
                <w:rFonts w:ascii="Arial" w:hAnsi="Arial" w:cs="Arial"/>
                <w:sz w:val="22"/>
                <w:szCs w:val="22"/>
              </w:rPr>
              <w:t xml:space="preserve">median </w:t>
            </w:r>
            <w:r>
              <w:rPr>
                <w:rFonts w:ascii="Arial" w:hAnsi="Arial" w:cs="Arial"/>
                <w:i/>
                <w:sz w:val="22"/>
                <w:szCs w:val="22"/>
              </w:rPr>
              <w:t>months</w:t>
            </w:r>
          </w:p>
        </w:tc>
        <w:tc>
          <w:tcPr>
            <w:tcW w:w="2409" w:type="dxa"/>
            <w:shd w:val="clear" w:color="auto" w:fill="auto"/>
          </w:tcPr>
          <w:p w14:paraId="712C2757"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4.8</w:t>
            </w:r>
          </w:p>
        </w:tc>
        <w:tc>
          <w:tcPr>
            <w:tcW w:w="2268" w:type="dxa"/>
            <w:shd w:val="clear" w:color="auto" w:fill="auto"/>
          </w:tcPr>
          <w:p w14:paraId="712C2758"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0.9</w:t>
            </w:r>
          </w:p>
        </w:tc>
        <w:tc>
          <w:tcPr>
            <w:tcW w:w="1949" w:type="dxa"/>
            <w:shd w:val="clear" w:color="auto" w:fill="auto"/>
          </w:tcPr>
          <w:p w14:paraId="712C2759"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0.27</w:t>
            </w:r>
          </w:p>
          <w:p w14:paraId="712C275A" w14:textId="77777777" w:rsidR="008814B7" w:rsidRPr="00E80126" w:rsidRDefault="008814B7" w:rsidP="006B66A9">
            <w:pPr>
              <w:keepNext/>
              <w:tabs>
                <w:tab w:val="left" w:pos="567"/>
              </w:tabs>
              <w:spacing w:line="260" w:lineRule="exact"/>
              <w:jc w:val="center"/>
              <w:rPr>
                <w:rFonts w:ascii="Arial" w:hAnsi="Arial" w:cs="Arial"/>
                <w:sz w:val="22"/>
                <w:szCs w:val="22"/>
              </w:rPr>
            </w:pPr>
            <w:r w:rsidRPr="00E80126">
              <w:rPr>
                <w:rFonts w:ascii="Arial" w:hAnsi="Arial" w:cs="Arial"/>
                <w:sz w:val="22"/>
                <w:szCs w:val="22"/>
              </w:rPr>
              <w:t>[0.19, 0.39]</w:t>
            </w:r>
          </w:p>
          <w:p w14:paraId="712C275B" w14:textId="77777777" w:rsidR="008814B7" w:rsidRPr="00062162" w:rsidRDefault="008814B7" w:rsidP="006B66A9">
            <w:pPr>
              <w:keepNext/>
              <w:tabs>
                <w:tab w:val="left" w:pos="567"/>
              </w:tabs>
              <w:spacing w:line="260" w:lineRule="exact"/>
              <w:jc w:val="center"/>
              <w:rPr>
                <w:rFonts w:ascii="Arial" w:hAnsi="Arial" w:cs="Arial"/>
                <w:sz w:val="22"/>
                <w:szCs w:val="22"/>
              </w:rPr>
            </w:pPr>
            <w:r w:rsidRPr="00DB4035">
              <w:rPr>
                <w:rFonts w:ascii="Arial" w:hAnsi="Arial" w:cs="Arial"/>
                <w:sz w:val="22"/>
                <w:szCs w:val="22"/>
              </w:rPr>
              <w:t>p</w:t>
            </w:r>
            <w:r w:rsidRPr="00062162">
              <w:rPr>
                <w:rFonts w:ascii="Arial" w:hAnsi="Arial" w:cs="Arial"/>
                <w:sz w:val="22"/>
                <w:szCs w:val="22"/>
              </w:rPr>
              <w:t>&lt;0.000001</w:t>
            </w:r>
          </w:p>
        </w:tc>
      </w:tr>
      <w:tr w:rsidR="008814B7" w:rsidRPr="00062162" w14:paraId="712C2764" w14:textId="77777777" w:rsidTr="006B66A9">
        <w:tc>
          <w:tcPr>
            <w:tcW w:w="2802" w:type="dxa"/>
            <w:shd w:val="clear" w:color="auto" w:fill="auto"/>
          </w:tcPr>
          <w:p w14:paraId="712C275D" w14:textId="77777777" w:rsidR="008814B7" w:rsidRDefault="008814B7" w:rsidP="006B66A9">
            <w:pPr>
              <w:keepNext/>
              <w:tabs>
                <w:tab w:val="left" w:pos="567"/>
              </w:tabs>
              <w:spacing w:line="260" w:lineRule="exact"/>
              <w:rPr>
                <w:rFonts w:ascii="Arial" w:hAnsi="Arial" w:cs="Arial"/>
                <w:sz w:val="22"/>
                <w:szCs w:val="22"/>
              </w:rPr>
            </w:pPr>
            <w:r w:rsidRPr="00062162">
              <w:rPr>
                <w:rFonts w:ascii="Arial" w:hAnsi="Arial" w:cs="Arial"/>
                <w:sz w:val="22"/>
                <w:szCs w:val="22"/>
              </w:rPr>
              <w:t xml:space="preserve">Time To Progression </w:t>
            </w:r>
          </w:p>
          <w:p w14:paraId="712C275E" w14:textId="77777777" w:rsidR="008814B7" w:rsidRPr="00062162" w:rsidRDefault="008814B7" w:rsidP="006B66A9">
            <w:pPr>
              <w:keepNext/>
              <w:tabs>
                <w:tab w:val="left" w:pos="567"/>
              </w:tabs>
              <w:spacing w:line="260" w:lineRule="exact"/>
              <w:rPr>
                <w:rFonts w:ascii="Arial" w:hAnsi="Arial" w:cs="Arial"/>
                <w:sz w:val="22"/>
                <w:szCs w:val="22"/>
              </w:rPr>
            </w:pPr>
            <w:r>
              <w:rPr>
                <w:rFonts w:ascii="Arial" w:hAnsi="Arial" w:cs="Arial"/>
                <w:sz w:val="22"/>
                <w:szCs w:val="22"/>
              </w:rPr>
              <w:t xml:space="preserve">median </w:t>
            </w:r>
            <w:r>
              <w:rPr>
                <w:rFonts w:ascii="Arial" w:hAnsi="Arial" w:cs="Arial"/>
                <w:i/>
                <w:sz w:val="22"/>
                <w:szCs w:val="22"/>
              </w:rPr>
              <w:t>months</w:t>
            </w:r>
          </w:p>
        </w:tc>
        <w:tc>
          <w:tcPr>
            <w:tcW w:w="2409" w:type="dxa"/>
            <w:shd w:val="clear" w:color="auto" w:fill="auto"/>
          </w:tcPr>
          <w:p w14:paraId="712C275F"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5.4</w:t>
            </w:r>
          </w:p>
        </w:tc>
        <w:tc>
          <w:tcPr>
            <w:tcW w:w="2268" w:type="dxa"/>
            <w:shd w:val="clear" w:color="auto" w:fill="auto"/>
          </w:tcPr>
          <w:p w14:paraId="712C2760"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0.9</w:t>
            </w:r>
          </w:p>
        </w:tc>
        <w:tc>
          <w:tcPr>
            <w:tcW w:w="1949" w:type="dxa"/>
            <w:shd w:val="clear" w:color="auto" w:fill="auto"/>
          </w:tcPr>
          <w:p w14:paraId="712C2761"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0.25</w:t>
            </w:r>
          </w:p>
          <w:p w14:paraId="712C2762"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[0.17, 0.36]</w:t>
            </w:r>
          </w:p>
          <w:p w14:paraId="712C2763"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p&lt;0.000001</w:t>
            </w:r>
          </w:p>
        </w:tc>
      </w:tr>
      <w:tr w:rsidR="008814B7" w:rsidRPr="00062162" w14:paraId="712C276C" w14:textId="77777777" w:rsidTr="006B66A9">
        <w:tc>
          <w:tcPr>
            <w:tcW w:w="2802" w:type="dxa"/>
            <w:shd w:val="clear" w:color="auto" w:fill="auto"/>
          </w:tcPr>
          <w:p w14:paraId="712C2765" w14:textId="77777777" w:rsidR="008814B7" w:rsidRDefault="008814B7" w:rsidP="006B66A9">
            <w:pPr>
              <w:pStyle w:val="BayerTableRowHeadings"/>
              <w:keepNext/>
              <w:tabs>
                <w:tab w:val="left" w:pos="567"/>
              </w:tabs>
              <w:spacing w:after="0" w:line="260" w:lineRule="exact"/>
              <w:rPr>
                <w:rFonts w:ascii="Arial" w:hAnsi="Arial" w:cs="Arial"/>
                <w:szCs w:val="22"/>
              </w:rPr>
            </w:pPr>
            <w:r w:rsidRPr="00062162">
              <w:rPr>
                <w:rFonts w:ascii="Arial" w:hAnsi="Arial" w:cs="Arial"/>
                <w:szCs w:val="22"/>
              </w:rPr>
              <w:t>Overall Survival</w:t>
            </w:r>
            <w:r w:rsidRPr="00062162">
              <w:rPr>
                <w:rFonts w:ascii="Arial" w:hAnsi="Arial" w:cs="Arial"/>
                <w:szCs w:val="22"/>
                <w:vertAlign w:val="superscript"/>
              </w:rPr>
              <w:t>1</w:t>
            </w:r>
            <w:r w:rsidRPr="00062162">
              <w:rPr>
                <w:rFonts w:ascii="Arial" w:hAnsi="Arial" w:cs="Arial"/>
                <w:szCs w:val="22"/>
              </w:rPr>
              <w:t xml:space="preserve"> </w:t>
            </w:r>
          </w:p>
          <w:p w14:paraId="712C2766" w14:textId="77777777" w:rsidR="008814B7" w:rsidRPr="00062162" w:rsidRDefault="008814B7" w:rsidP="006B66A9">
            <w:pPr>
              <w:pStyle w:val="BayerTableRowHeadings"/>
              <w:keepNext/>
              <w:tabs>
                <w:tab w:val="left" w:pos="567"/>
              </w:tabs>
              <w:spacing w:after="0" w:line="260" w:lineRule="exact"/>
              <w:rPr>
                <w:rFonts w:ascii="Arial" w:hAnsi="Arial" w:cs="Arial"/>
                <w:szCs w:val="22"/>
              </w:rPr>
            </w:pPr>
            <w:r>
              <w:rPr>
                <w:rFonts w:ascii="Arial" w:hAnsi="Arial" w:cs="Arial"/>
                <w:szCs w:val="22"/>
              </w:rPr>
              <w:t xml:space="preserve">median </w:t>
            </w:r>
            <w:r>
              <w:rPr>
                <w:rFonts w:ascii="Arial" w:hAnsi="Arial" w:cs="Arial"/>
                <w:i/>
                <w:szCs w:val="22"/>
              </w:rPr>
              <w:t xml:space="preserve">months </w:t>
            </w:r>
            <w:r w:rsidRPr="00062162">
              <w:rPr>
                <w:rFonts w:ascii="Arial" w:hAnsi="Arial" w:cs="Arial"/>
                <w:i/>
                <w:szCs w:val="22"/>
              </w:rPr>
              <w:t xml:space="preserve"> </w:t>
            </w:r>
          </w:p>
        </w:tc>
        <w:tc>
          <w:tcPr>
            <w:tcW w:w="2409" w:type="dxa"/>
            <w:shd w:val="clear" w:color="auto" w:fill="auto"/>
          </w:tcPr>
          <w:p w14:paraId="712C2767"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Not reached</w:t>
            </w:r>
          </w:p>
        </w:tc>
        <w:tc>
          <w:tcPr>
            <w:tcW w:w="2268" w:type="dxa"/>
            <w:shd w:val="clear" w:color="auto" w:fill="auto"/>
          </w:tcPr>
          <w:p w14:paraId="712C2768"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Not reached</w:t>
            </w:r>
          </w:p>
        </w:tc>
        <w:tc>
          <w:tcPr>
            <w:tcW w:w="1949" w:type="dxa"/>
            <w:shd w:val="clear" w:color="auto" w:fill="auto"/>
          </w:tcPr>
          <w:p w14:paraId="712C2769"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0.77</w:t>
            </w:r>
          </w:p>
          <w:p w14:paraId="712C276A"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[0.42, 1.41]</w:t>
            </w:r>
          </w:p>
          <w:p w14:paraId="712C276B" w14:textId="77777777" w:rsidR="008814B7" w:rsidRPr="00062162" w:rsidRDefault="008814B7" w:rsidP="006B66A9">
            <w:pPr>
              <w:keepNext/>
              <w:tabs>
                <w:tab w:val="left" w:pos="567"/>
              </w:tabs>
              <w:spacing w:line="260" w:lineRule="exact"/>
              <w:jc w:val="center"/>
              <w:rPr>
                <w:rFonts w:ascii="Arial" w:hAnsi="Arial" w:cs="Arial"/>
                <w:sz w:val="22"/>
                <w:szCs w:val="22"/>
              </w:rPr>
            </w:pPr>
            <w:r w:rsidRPr="00062162">
              <w:rPr>
                <w:rFonts w:ascii="Arial" w:hAnsi="Arial" w:cs="Arial"/>
                <w:sz w:val="22"/>
                <w:szCs w:val="22"/>
              </w:rPr>
              <w:t>p=0.20</w:t>
            </w:r>
          </w:p>
        </w:tc>
      </w:tr>
    </w:tbl>
    <w:p w14:paraId="712C276D" w14:textId="77777777" w:rsidR="008814B7" w:rsidRPr="00181B02" w:rsidRDefault="008814B7" w:rsidP="008814B7">
      <w:pPr>
        <w:keepNext/>
        <w:rPr>
          <w:rFonts w:ascii="Arial" w:hAnsi="Arial" w:cs="Arial"/>
          <w:sz w:val="20"/>
          <w:szCs w:val="20"/>
        </w:rPr>
      </w:pPr>
      <w:r>
        <w:rPr>
          <w:rFonts w:ascii="Arial" w:hAnsi="Arial" w:cs="Arial"/>
          <w:sz w:val="20"/>
          <w:szCs w:val="20"/>
        </w:rPr>
        <w:t>The hazard ratio</w:t>
      </w:r>
      <w:r w:rsidRPr="00181B02">
        <w:rPr>
          <w:rFonts w:ascii="Arial" w:hAnsi="Arial" w:cs="Arial"/>
          <w:sz w:val="20"/>
          <w:szCs w:val="20"/>
        </w:rPr>
        <w:t>s were calculated using the Cox model stratified by line of treatment (3</w:t>
      </w:r>
      <w:r w:rsidRPr="00181B02">
        <w:rPr>
          <w:rFonts w:ascii="Arial" w:hAnsi="Arial" w:cs="Arial"/>
          <w:sz w:val="20"/>
          <w:szCs w:val="20"/>
          <w:vertAlign w:val="superscript"/>
        </w:rPr>
        <w:t>rd</w:t>
      </w:r>
      <w:r w:rsidRPr="00181B02">
        <w:rPr>
          <w:rFonts w:ascii="Arial" w:hAnsi="Arial" w:cs="Arial"/>
          <w:sz w:val="20"/>
          <w:szCs w:val="20"/>
        </w:rPr>
        <w:t xml:space="preserve"> line versus 4</w:t>
      </w:r>
      <w:r w:rsidRPr="00181B02">
        <w:rPr>
          <w:rFonts w:ascii="Arial" w:hAnsi="Arial" w:cs="Arial"/>
          <w:sz w:val="20"/>
          <w:szCs w:val="20"/>
          <w:vertAlign w:val="superscript"/>
        </w:rPr>
        <w:t>th</w:t>
      </w:r>
      <w:r w:rsidRPr="00181B02">
        <w:rPr>
          <w:rFonts w:ascii="Arial" w:hAnsi="Arial" w:cs="Arial"/>
          <w:sz w:val="20"/>
          <w:szCs w:val="20"/>
        </w:rPr>
        <w:t xml:space="preserve"> line or greater) and geographical region (Asian versus rest of world). The p-values were obtained by the log-rank test stratified as above. The medians are Kaplan-Meier estimates.</w:t>
      </w:r>
    </w:p>
    <w:p w14:paraId="712C276E" w14:textId="77777777" w:rsidR="008814B7" w:rsidRPr="00584FE0" w:rsidRDefault="008814B7" w:rsidP="008814B7">
      <w:pPr>
        <w:keepNext/>
        <w:rPr>
          <w:rFonts w:ascii="Arial" w:hAnsi="Arial" w:cs="Arial"/>
          <w:b/>
          <w:sz w:val="22"/>
          <w:szCs w:val="22"/>
        </w:rPr>
      </w:pPr>
      <w:r w:rsidRPr="00584FE0">
        <w:rPr>
          <w:rFonts w:ascii="Arial" w:hAnsi="Arial" w:cs="Arial"/>
          <w:sz w:val="20"/>
          <w:szCs w:val="20"/>
          <w:vertAlign w:val="superscript"/>
        </w:rPr>
        <w:t>1</w:t>
      </w:r>
      <w:r>
        <w:rPr>
          <w:rFonts w:ascii="Arial" w:hAnsi="Arial" w:cs="Arial"/>
          <w:sz w:val="20"/>
          <w:szCs w:val="20"/>
        </w:rPr>
        <w:t>Interim analysis based on 29% of the planned 160 events.</w:t>
      </w:r>
    </w:p>
    <w:p w14:paraId="712C276F" w14:textId="77777777" w:rsidR="008814B7" w:rsidRDefault="008814B7" w:rsidP="006B66A9">
      <w:pPr>
        <w:pStyle w:val="BayerBodyTextFull"/>
        <w:rPr>
          <w:rFonts w:ascii="Arial" w:hAnsi="Arial" w:cs="Arial"/>
          <w:sz w:val="22"/>
          <w:szCs w:val="22"/>
        </w:rPr>
      </w:pPr>
    </w:p>
    <w:p w14:paraId="712C2770" w14:textId="77777777" w:rsidR="006C3E63" w:rsidRPr="006C3E63" w:rsidRDefault="006C3E63" w:rsidP="00BE4D21">
      <w:pPr>
        <w:keepNext/>
        <w:rPr>
          <w:rFonts w:ascii="Arial" w:hAnsi="Arial" w:cs="Arial"/>
          <w:b/>
          <w:sz w:val="22"/>
          <w:szCs w:val="22"/>
          <w:lang w:val="en-US"/>
        </w:rPr>
      </w:pPr>
      <w:r w:rsidRPr="006C3E63">
        <w:rPr>
          <w:rFonts w:ascii="Arial" w:hAnsi="Arial" w:cs="Arial"/>
          <w:b/>
          <w:sz w:val="22"/>
          <w:szCs w:val="22"/>
          <w:lang w:val="en-US"/>
        </w:rPr>
        <w:lastRenderedPageBreak/>
        <w:t>Figure 3: Kaplan-Meier curve of Progression-Free survival</w:t>
      </w:r>
    </w:p>
    <w:p w14:paraId="3194803D" w14:textId="7742729E" w:rsidR="00B53A6A" w:rsidRDefault="00592429" w:rsidP="0034700C">
      <w:pPr>
        <w:pStyle w:val="BayerBodyTextFull"/>
        <w:keepNext/>
        <w:rPr>
          <w:noProof/>
          <w:lang w:eastAsia="de-DE"/>
        </w:rPr>
      </w:pPr>
      <w:r>
        <w:rPr>
          <w:noProof/>
          <w:lang w:eastAsia="de-DE"/>
        </w:rPr>
        <w:pict w14:anchorId="712C2C3C">
          <v:shape id="_x0000_i1028" type="#_x0000_t75" alt="Figure 3" style="width:460.55pt;height:305pt">
            <v:imagedata r:id="rId20" o:title=""/>
          </v:shape>
        </w:pict>
      </w:r>
    </w:p>
    <w:p w14:paraId="712C2771" w14:textId="29087576" w:rsidR="00BF10D1" w:rsidRPr="006C3E63" w:rsidRDefault="006C3E63" w:rsidP="0034700C">
      <w:pPr>
        <w:pStyle w:val="BayerBodyTextFull"/>
        <w:keepNext/>
        <w:rPr>
          <w:rFonts w:ascii="Arial" w:hAnsi="Arial" w:cs="Arial"/>
          <w:b/>
          <w:noProof/>
          <w:sz w:val="22"/>
          <w:szCs w:val="22"/>
          <w:lang w:eastAsia="de-DE"/>
        </w:rPr>
      </w:pPr>
      <w:r w:rsidRPr="006C3E63">
        <w:rPr>
          <w:rFonts w:ascii="Arial" w:hAnsi="Arial" w:cs="Arial"/>
          <w:b/>
          <w:noProof/>
          <w:sz w:val="22"/>
          <w:szCs w:val="22"/>
          <w:lang w:eastAsia="de-DE"/>
        </w:rPr>
        <w:t>Figure 4: Kaplan-Meier curve of Overall Survival</w:t>
      </w:r>
    </w:p>
    <w:p w14:paraId="712C2772" w14:textId="41F50A7B" w:rsidR="00172895" w:rsidRDefault="00592429" w:rsidP="00B803D9">
      <w:pPr>
        <w:pStyle w:val="BayerBodyTextFull"/>
        <w:keepNext/>
        <w:rPr>
          <w:rFonts w:ascii="Arial" w:hAnsi="Arial" w:cs="Arial"/>
          <w:sz w:val="22"/>
          <w:szCs w:val="22"/>
        </w:rPr>
      </w:pPr>
      <w:r>
        <w:rPr>
          <w:rFonts w:ascii="Arial" w:hAnsi="Arial" w:cs="Arial"/>
          <w:sz w:val="22"/>
          <w:szCs w:val="22"/>
        </w:rPr>
        <w:lastRenderedPageBreak/>
        <w:pict w14:anchorId="712C2C3D">
          <v:shape id="_x0000_i1029" type="#_x0000_t75" alt="Figure 4" style="width:459.85pt;height:291.4pt">
            <v:imagedata r:id="rId21" o:title=""/>
          </v:shape>
        </w:pict>
      </w:r>
    </w:p>
    <w:p w14:paraId="712C2773" w14:textId="77777777" w:rsidR="008814B7" w:rsidRDefault="008814B7" w:rsidP="00B803D9">
      <w:pPr>
        <w:pStyle w:val="BayerBodyTextFull"/>
        <w:rPr>
          <w:rFonts w:ascii="Arial" w:hAnsi="Arial" w:cs="Arial"/>
          <w:sz w:val="22"/>
          <w:szCs w:val="22"/>
        </w:rPr>
      </w:pPr>
    </w:p>
    <w:p w14:paraId="712C2774" w14:textId="77777777" w:rsidR="00E77ED4" w:rsidRDefault="00E77ED4" w:rsidP="00B803D9">
      <w:pPr>
        <w:pStyle w:val="BayerBodyTextFull"/>
        <w:spacing w:before="0" w:after="0"/>
        <w:rPr>
          <w:rFonts w:ascii="Arial" w:hAnsi="Arial"/>
          <w:sz w:val="22"/>
        </w:rPr>
      </w:pPr>
      <w:r w:rsidRPr="00FE4664">
        <w:rPr>
          <w:rFonts w:ascii="Arial" w:hAnsi="Arial"/>
          <w:sz w:val="22"/>
        </w:rPr>
        <w:t xml:space="preserve">At progression, crossover from placebo to STIVARGA was allowed. Fifty six patients </w:t>
      </w:r>
      <w:proofErr w:type="spellStart"/>
      <w:r w:rsidRPr="00FE4664">
        <w:rPr>
          <w:rFonts w:ascii="Arial" w:hAnsi="Arial"/>
          <w:sz w:val="22"/>
        </w:rPr>
        <w:t>randomised</w:t>
      </w:r>
      <w:proofErr w:type="spellEnd"/>
      <w:r w:rsidRPr="00FE4664">
        <w:rPr>
          <w:rFonts w:ascii="Arial" w:hAnsi="Arial"/>
          <w:sz w:val="22"/>
        </w:rPr>
        <w:t xml:space="preserve"> to placebo (85%) crossed over to STIVARGA and 41 patients </w:t>
      </w:r>
      <w:proofErr w:type="spellStart"/>
      <w:r w:rsidRPr="00FE4664">
        <w:rPr>
          <w:rFonts w:ascii="Arial" w:hAnsi="Arial"/>
          <w:sz w:val="22"/>
        </w:rPr>
        <w:t>randomised</w:t>
      </w:r>
      <w:proofErr w:type="spellEnd"/>
      <w:r w:rsidRPr="00FE4664">
        <w:rPr>
          <w:rFonts w:ascii="Arial" w:hAnsi="Arial"/>
          <w:sz w:val="22"/>
        </w:rPr>
        <w:t xml:space="preserve"> to STIVARGA (31%) continued on </w:t>
      </w:r>
      <w:r w:rsidRPr="00FE4664">
        <w:rPr>
          <w:rFonts w:ascii="Arial" w:hAnsi="Arial" w:cs="Arial"/>
          <w:sz w:val="22"/>
          <w:szCs w:val="22"/>
        </w:rPr>
        <w:t>STIVARGA.</w:t>
      </w:r>
      <w:r w:rsidRPr="00FE4664">
        <w:rPr>
          <w:rFonts w:ascii="Arial" w:hAnsi="Arial"/>
          <w:sz w:val="22"/>
        </w:rPr>
        <w:t xml:space="preserve"> The median secondary PFS (as measured by the investigator) was 5.0 months for those </w:t>
      </w:r>
      <w:proofErr w:type="spellStart"/>
      <w:r w:rsidRPr="00FE4664">
        <w:rPr>
          <w:rFonts w:ascii="Arial" w:hAnsi="Arial"/>
          <w:sz w:val="22"/>
        </w:rPr>
        <w:t>randomised</w:t>
      </w:r>
      <w:proofErr w:type="spellEnd"/>
      <w:r w:rsidRPr="00FE4664">
        <w:rPr>
          <w:rFonts w:ascii="Arial" w:hAnsi="Arial"/>
          <w:sz w:val="22"/>
        </w:rPr>
        <w:t xml:space="preserve"> to placebo and 4.5 months for those </w:t>
      </w:r>
      <w:proofErr w:type="spellStart"/>
      <w:r w:rsidRPr="00FE4664">
        <w:rPr>
          <w:rFonts w:ascii="Arial" w:hAnsi="Arial"/>
          <w:sz w:val="22"/>
        </w:rPr>
        <w:t>randomised</w:t>
      </w:r>
      <w:proofErr w:type="spellEnd"/>
      <w:r w:rsidRPr="00FE4664">
        <w:rPr>
          <w:rFonts w:ascii="Arial" w:hAnsi="Arial"/>
          <w:sz w:val="22"/>
        </w:rPr>
        <w:t xml:space="preserve"> to STIVARGA. </w:t>
      </w:r>
    </w:p>
    <w:p w14:paraId="712C2775" w14:textId="77777777" w:rsidR="00AB3B28" w:rsidRPr="006C3E63" w:rsidRDefault="00AB3B28" w:rsidP="00AB3B28">
      <w:pPr>
        <w:rPr>
          <w:rFonts w:ascii="Arial" w:hAnsi="Arial" w:cs="Arial"/>
          <w:sz w:val="22"/>
          <w:szCs w:val="22"/>
          <w:lang w:val="en-US"/>
        </w:rPr>
      </w:pPr>
    </w:p>
    <w:p w14:paraId="712C2776" w14:textId="77777777" w:rsidR="001D1004" w:rsidRPr="003A5EE1" w:rsidRDefault="001D1004" w:rsidP="0090345C">
      <w:pPr>
        <w:pStyle w:val="Heading1"/>
        <w:spacing w:before="0" w:after="0" w:line="240" w:lineRule="auto"/>
        <w:ind w:right="46"/>
      </w:pPr>
      <w:r w:rsidRPr="003A5EE1">
        <w:t>INDICATIONS</w:t>
      </w:r>
    </w:p>
    <w:p w14:paraId="712C2777" w14:textId="77777777" w:rsidR="001F55B3" w:rsidRDefault="001F55B3" w:rsidP="0090345C">
      <w:pPr>
        <w:ind w:right="46"/>
        <w:jc w:val="both"/>
        <w:rPr>
          <w:rFonts w:ascii="Arial" w:hAnsi="Arial" w:cs="Arial"/>
          <w:sz w:val="22"/>
          <w:szCs w:val="22"/>
          <w:lang w:val="en-AU"/>
        </w:rPr>
      </w:pPr>
    </w:p>
    <w:p w14:paraId="712C2778" w14:textId="77777777" w:rsidR="001F3445" w:rsidRDefault="00601DFC" w:rsidP="00C8681C">
      <w:pPr>
        <w:ind w:right="45"/>
        <w:rPr>
          <w:rFonts w:ascii="Arial" w:hAnsi="Arial" w:cs="Arial"/>
          <w:snapToGrid w:val="0"/>
          <w:sz w:val="22"/>
          <w:szCs w:val="22"/>
          <w:lang w:eastAsia="de-DE"/>
        </w:rPr>
      </w:pPr>
      <w:r>
        <w:rPr>
          <w:rFonts w:ascii="Arial" w:hAnsi="Arial" w:cs="Arial"/>
          <w:sz w:val="22"/>
          <w:szCs w:val="22"/>
          <w:lang w:val="en-AU"/>
        </w:rPr>
        <w:t xml:space="preserve">STIVARGA </w:t>
      </w:r>
      <w:r w:rsidR="00B855C1" w:rsidRPr="003A5EE1">
        <w:rPr>
          <w:rFonts w:ascii="Arial" w:hAnsi="Arial" w:cs="Arial"/>
          <w:sz w:val="22"/>
          <w:szCs w:val="22"/>
          <w:lang w:val="en-AU"/>
        </w:rPr>
        <w:t xml:space="preserve">is indicated </w:t>
      </w:r>
      <w:r w:rsidR="00B855C1" w:rsidRPr="003A5EE1">
        <w:rPr>
          <w:rFonts w:ascii="Arial" w:hAnsi="Arial" w:cs="Arial"/>
          <w:snapToGrid w:val="0"/>
          <w:sz w:val="22"/>
          <w:szCs w:val="22"/>
          <w:lang w:eastAsia="de-DE"/>
        </w:rPr>
        <w:t xml:space="preserve">for the treatment of patients with metastatic colorectal cancer (CRC) who have been previously treated with  </w:t>
      </w:r>
      <w:proofErr w:type="spellStart"/>
      <w:r w:rsidR="00B855C1" w:rsidRPr="003A5EE1">
        <w:rPr>
          <w:rFonts w:ascii="Arial" w:hAnsi="Arial" w:cs="Arial"/>
          <w:snapToGrid w:val="0"/>
          <w:sz w:val="22"/>
          <w:szCs w:val="22"/>
          <w:lang w:eastAsia="de-DE"/>
        </w:rPr>
        <w:t>fluoropyrimidine</w:t>
      </w:r>
      <w:proofErr w:type="spellEnd"/>
      <w:r w:rsidR="00B855C1" w:rsidRPr="003A5EE1">
        <w:rPr>
          <w:rFonts w:ascii="Arial" w:hAnsi="Arial" w:cs="Arial"/>
          <w:snapToGrid w:val="0"/>
          <w:sz w:val="22"/>
          <w:szCs w:val="22"/>
          <w:lang w:eastAsia="de-DE"/>
        </w:rPr>
        <w:t>-</w:t>
      </w:r>
      <w:r w:rsidR="00C53189" w:rsidRPr="003A5EE1">
        <w:rPr>
          <w:rFonts w:ascii="Arial" w:hAnsi="Arial" w:cs="Arial"/>
          <w:snapToGrid w:val="0"/>
          <w:sz w:val="22"/>
          <w:szCs w:val="22"/>
          <w:lang w:eastAsia="de-DE"/>
        </w:rPr>
        <w:t>,</w:t>
      </w:r>
      <w:r w:rsidR="00C53189" w:rsidRPr="003A5EE1">
        <w:rPr>
          <w:rFonts w:ascii="Arial" w:hAnsi="Arial" w:cs="Arial"/>
          <w:sz w:val="22"/>
          <w:szCs w:val="22"/>
        </w:rPr>
        <w:t xml:space="preserve"> </w:t>
      </w:r>
      <w:proofErr w:type="spellStart"/>
      <w:r w:rsidR="00C53189" w:rsidRPr="003A5EE1">
        <w:rPr>
          <w:rFonts w:ascii="Arial" w:hAnsi="Arial" w:cs="Arial"/>
          <w:iCs/>
          <w:sz w:val="22"/>
          <w:szCs w:val="22"/>
        </w:rPr>
        <w:t>oxaliplatin</w:t>
      </w:r>
      <w:proofErr w:type="spellEnd"/>
      <w:r w:rsidR="00C53189" w:rsidRPr="003A5EE1">
        <w:rPr>
          <w:rFonts w:ascii="Arial" w:hAnsi="Arial" w:cs="Arial"/>
          <w:iCs/>
          <w:sz w:val="22"/>
          <w:szCs w:val="22"/>
        </w:rPr>
        <w:t xml:space="preserve">- and </w:t>
      </w:r>
      <w:proofErr w:type="spellStart"/>
      <w:r w:rsidR="00C53189" w:rsidRPr="003A5EE1">
        <w:rPr>
          <w:rFonts w:ascii="Arial" w:hAnsi="Arial" w:cs="Arial"/>
          <w:iCs/>
          <w:sz w:val="22"/>
          <w:szCs w:val="22"/>
        </w:rPr>
        <w:t>irinotecan</w:t>
      </w:r>
      <w:proofErr w:type="spellEnd"/>
      <w:r w:rsidR="00C53189" w:rsidRPr="003A5EE1">
        <w:rPr>
          <w:rFonts w:ascii="Arial" w:hAnsi="Arial" w:cs="Arial"/>
          <w:iCs/>
          <w:sz w:val="22"/>
          <w:szCs w:val="22"/>
        </w:rPr>
        <w:t>-</w:t>
      </w:r>
      <w:r w:rsidR="00B855C1" w:rsidRPr="003A5EE1">
        <w:rPr>
          <w:rFonts w:ascii="Arial" w:hAnsi="Arial" w:cs="Arial"/>
          <w:snapToGrid w:val="0"/>
          <w:sz w:val="22"/>
          <w:szCs w:val="22"/>
          <w:lang w:eastAsia="de-DE"/>
        </w:rPr>
        <w:t>based chemotherapy, an anti-VEGF therapy, and,</w:t>
      </w:r>
      <w:r w:rsidR="00C8681C" w:rsidRPr="003A5EE1">
        <w:rPr>
          <w:rFonts w:ascii="Arial" w:hAnsi="Arial" w:cs="Arial"/>
          <w:snapToGrid w:val="0"/>
          <w:sz w:val="22"/>
          <w:szCs w:val="22"/>
          <w:lang w:eastAsia="de-DE"/>
        </w:rPr>
        <w:t xml:space="preserve"> if KRAS wild type,</w:t>
      </w:r>
      <w:r w:rsidR="00B855C1" w:rsidRPr="003A5EE1">
        <w:rPr>
          <w:rFonts w:ascii="Arial" w:hAnsi="Arial" w:cs="Arial"/>
          <w:snapToGrid w:val="0"/>
          <w:sz w:val="22"/>
          <w:szCs w:val="22"/>
          <w:lang w:eastAsia="de-DE"/>
        </w:rPr>
        <w:t xml:space="preserve"> an anti-EGFR therapy.</w:t>
      </w:r>
    </w:p>
    <w:p w14:paraId="712C2779" w14:textId="77777777" w:rsidR="0067104F" w:rsidRDefault="0067104F" w:rsidP="00807A76">
      <w:pPr>
        <w:ind w:right="45"/>
        <w:rPr>
          <w:rFonts w:ascii="Arial" w:hAnsi="Arial" w:cs="Arial"/>
          <w:snapToGrid w:val="0"/>
          <w:sz w:val="22"/>
          <w:szCs w:val="22"/>
          <w:lang w:eastAsia="de-DE"/>
        </w:rPr>
      </w:pPr>
    </w:p>
    <w:p w14:paraId="712C277A" w14:textId="77777777" w:rsidR="0067104F" w:rsidRPr="003A5EE1" w:rsidRDefault="0067104F" w:rsidP="00807A76">
      <w:pPr>
        <w:ind w:right="45"/>
        <w:rPr>
          <w:rFonts w:ascii="Arial" w:hAnsi="Arial" w:cs="Arial"/>
          <w:snapToGrid w:val="0"/>
          <w:sz w:val="22"/>
          <w:szCs w:val="22"/>
          <w:lang w:eastAsia="de-DE"/>
        </w:rPr>
      </w:pPr>
      <w:r>
        <w:rPr>
          <w:rFonts w:ascii="Arial" w:hAnsi="Arial" w:cs="Arial"/>
          <w:snapToGrid w:val="0"/>
          <w:sz w:val="22"/>
          <w:szCs w:val="22"/>
          <w:lang w:eastAsia="de-DE"/>
        </w:rPr>
        <w:t>S</w:t>
      </w:r>
      <w:r w:rsidR="00601DFC">
        <w:rPr>
          <w:rFonts w:ascii="Arial" w:hAnsi="Arial" w:cs="Arial"/>
          <w:snapToGrid w:val="0"/>
          <w:sz w:val="22"/>
          <w:szCs w:val="22"/>
          <w:lang w:eastAsia="de-DE"/>
        </w:rPr>
        <w:t xml:space="preserve">TIVARGA </w:t>
      </w:r>
      <w:r>
        <w:rPr>
          <w:rFonts w:ascii="Arial" w:hAnsi="Arial" w:cs="Arial"/>
          <w:snapToGrid w:val="0"/>
          <w:sz w:val="22"/>
          <w:szCs w:val="22"/>
          <w:lang w:eastAsia="de-DE"/>
        </w:rPr>
        <w:t>is indicated for the treatment of patients with</w:t>
      </w:r>
      <w:r w:rsidR="00584FE0">
        <w:rPr>
          <w:rFonts w:ascii="Arial" w:hAnsi="Arial" w:cs="Arial"/>
          <w:snapToGrid w:val="0"/>
          <w:sz w:val="22"/>
          <w:szCs w:val="22"/>
          <w:lang w:eastAsia="de-DE"/>
        </w:rPr>
        <w:t xml:space="preserve"> </w:t>
      </w:r>
      <w:proofErr w:type="spellStart"/>
      <w:r w:rsidR="00584FE0">
        <w:rPr>
          <w:rFonts w:ascii="Arial" w:hAnsi="Arial" w:cs="Arial"/>
          <w:snapToGrid w:val="0"/>
          <w:sz w:val="22"/>
          <w:szCs w:val="22"/>
          <w:lang w:eastAsia="de-DE"/>
        </w:rPr>
        <w:t>unresectable</w:t>
      </w:r>
      <w:proofErr w:type="spellEnd"/>
      <w:r w:rsidR="00584FE0">
        <w:rPr>
          <w:rFonts w:ascii="Arial" w:hAnsi="Arial" w:cs="Arial"/>
          <w:snapToGrid w:val="0"/>
          <w:sz w:val="22"/>
          <w:szCs w:val="22"/>
          <w:lang w:eastAsia="de-DE"/>
        </w:rPr>
        <w:t xml:space="preserve"> or metastatic gastrointestinal</w:t>
      </w:r>
      <w:r>
        <w:rPr>
          <w:rFonts w:ascii="Arial" w:hAnsi="Arial" w:cs="Arial"/>
          <w:snapToGrid w:val="0"/>
          <w:sz w:val="22"/>
          <w:szCs w:val="22"/>
          <w:lang w:eastAsia="de-DE"/>
        </w:rPr>
        <w:t xml:space="preserve"> stromal tumours (GIST) who</w:t>
      </w:r>
      <w:r w:rsidR="00584FE0">
        <w:rPr>
          <w:rFonts w:ascii="Arial" w:hAnsi="Arial" w:cs="Arial"/>
          <w:snapToGrid w:val="0"/>
          <w:sz w:val="22"/>
          <w:szCs w:val="22"/>
          <w:lang w:eastAsia="de-DE"/>
        </w:rPr>
        <w:t xml:space="preserve"> progressed on or are intolerant to prior treatment with </w:t>
      </w:r>
      <w:proofErr w:type="spellStart"/>
      <w:r w:rsidR="00584FE0">
        <w:rPr>
          <w:rFonts w:ascii="Arial" w:hAnsi="Arial" w:cs="Arial"/>
          <w:snapToGrid w:val="0"/>
          <w:sz w:val="22"/>
          <w:szCs w:val="22"/>
          <w:lang w:eastAsia="de-DE"/>
        </w:rPr>
        <w:t>imatinib</w:t>
      </w:r>
      <w:proofErr w:type="spellEnd"/>
      <w:r w:rsidR="00584FE0">
        <w:rPr>
          <w:rFonts w:ascii="Arial" w:hAnsi="Arial" w:cs="Arial"/>
          <w:snapToGrid w:val="0"/>
          <w:sz w:val="22"/>
          <w:szCs w:val="22"/>
          <w:lang w:eastAsia="de-DE"/>
        </w:rPr>
        <w:t xml:space="preserve"> and </w:t>
      </w:r>
      <w:proofErr w:type="spellStart"/>
      <w:r w:rsidR="00584FE0">
        <w:rPr>
          <w:rFonts w:ascii="Arial" w:hAnsi="Arial" w:cs="Arial"/>
          <w:snapToGrid w:val="0"/>
          <w:sz w:val="22"/>
          <w:szCs w:val="22"/>
          <w:lang w:eastAsia="de-DE"/>
        </w:rPr>
        <w:t>sunitinib</w:t>
      </w:r>
      <w:proofErr w:type="spellEnd"/>
      <w:r>
        <w:rPr>
          <w:rFonts w:ascii="Arial" w:hAnsi="Arial" w:cs="Arial"/>
          <w:snapToGrid w:val="0"/>
          <w:sz w:val="22"/>
          <w:szCs w:val="22"/>
          <w:lang w:eastAsia="de-DE"/>
        </w:rPr>
        <w:t xml:space="preserve">. </w:t>
      </w:r>
    </w:p>
    <w:p w14:paraId="712C277B" w14:textId="77777777" w:rsidR="001F55B3" w:rsidRPr="001F55B3" w:rsidRDefault="001F55B3" w:rsidP="0090345C">
      <w:pPr>
        <w:ind w:right="46"/>
        <w:jc w:val="both"/>
        <w:rPr>
          <w:rFonts w:ascii="Arial" w:hAnsi="Arial" w:cs="Arial"/>
          <w:lang w:val="en-AU"/>
        </w:rPr>
      </w:pPr>
    </w:p>
    <w:p w14:paraId="712C277C" w14:textId="77777777" w:rsidR="001D1004" w:rsidRPr="003A5EE1" w:rsidRDefault="001D1004" w:rsidP="0090345C">
      <w:pPr>
        <w:pStyle w:val="Heading1"/>
        <w:spacing w:before="0" w:after="0" w:line="240" w:lineRule="auto"/>
        <w:ind w:right="46"/>
      </w:pPr>
      <w:r w:rsidRPr="003A5EE1">
        <w:t>CONTRAINDICATIONS</w:t>
      </w:r>
    </w:p>
    <w:p w14:paraId="712C277D" w14:textId="77777777" w:rsidR="001F55B3" w:rsidRPr="001F55B3" w:rsidRDefault="001F55B3" w:rsidP="001F55B3">
      <w:pPr>
        <w:rPr>
          <w:lang w:val="en-AU"/>
        </w:rPr>
      </w:pPr>
    </w:p>
    <w:p w14:paraId="712C277E" w14:textId="77777777" w:rsidR="00B855C1" w:rsidRPr="003A5EE1" w:rsidRDefault="00791B8B" w:rsidP="0090345C">
      <w:pPr>
        <w:rPr>
          <w:rFonts w:ascii="Arial" w:hAnsi="Arial" w:cs="Arial"/>
          <w:sz w:val="22"/>
          <w:szCs w:val="22"/>
          <w:lang w:val="en-AU"/>
        </w:rPr>
      </w:pPr>
      <w:r w:rsidRPr="003A5EE1">
        <w:rPr>
          <w:rFonts w:ascii="Arial" w:hAnsi="Arial" w:cs="Arial"/>
          <w:sz w:val="22"/>
          <w:szCs w:val="22"/>
          <w:lang w:val="en-AU"/>
        </w:rPr>
        <w:t xml:space="preserve">Hypersensitivity to any of the ingredients contained in </w:t>
      </w:r>
      <w:r w:rsidR="00FF0B8E">
        <w:rPr>
          <w:rFonts w:ascii="Arial" w:hAnsi="Arial" w:cs="Arial"/>
          <w:sz w:val="22"/>
          <w:szCs w:val="22"/>
          <w:lang w:val="en-AU"/>
        </w:rPr>
        <w:t>STIVARGA</w:t>
      </w:r>
      <w:r w:rsidRPr="003A5EE1">
        <w:rPr>
          <w:rFonts w:ascii="Arial" w:hAnsi="Arial" w:cs="Arial"/>
          <w:sz w:val="22"/>
          <w:szCs w:val="22"/>
          <w:lang w:val="en-AU"/>
        </w:rPr>
        <w:t xml:space="preserve">. </w:t>
      </w:r>
    </w:p>
    <w:p w14:paraId="712C277F" w14:textId="77777777" w:rsidR="001F55B3" w:rsidRPr="001F55B3" w:rsidRDefault="001F55B3" w:rsidP="0090345C">
      <w:pPr>
        <w:rPr>
          <w:rFonts w:ascii="Arial" w:hAnsi="Arial" w:cs="Arial"/>
          <w:lang w:val="en-AU"/>
        </w:rPr>
      </w:pPr>
    </w:p>
    <w:p w14:paraId="712C2780" w14:textId="77777777" w:rsidR="001D1004" w:rsidRPr="003A5EE1" w:rsidRDefault="001D1004" w:rsidP="005D4B74">
      <w:pPr>
        <w:pStyle w:val="Heading1"/>
        <w:spacing w:before="0" w:after="0" w:line="240" w:lineRule="auto"/>
        <w:ind w:right="46"/>
        <w:rPr>
          <w:color w:val="000000"/>
        </w:rPr>
      </w:pPr>
      <w:r w:rsidRPr="003A5EE1">
        <w:rPr>
          <w:color w:val="000000"/>
        </w:rPr>
        <w:lastRenderedPageBreak/>
        <w:t>PRECAUTIONS</w:t>
      </w:r>
    </w:p>
    <w:p w14:paraId="712C2781" w14:textId="77777777" w:rsidR="001F55B3" w:rsidRPr="001F55B3" w:rsidRDefault="001F55B3" w:rsidP="005D4B74">
      <w:pPr>
        <w:keepNext/>
        <w:rPr>
          <w:lang w:val="en-AU"/>
        </w:rPr>
      </w:pPr>
    </w:p>
    <w:p w14:paraId="712C2782" w14:textId="77777777" w:rsidR="00B855C1" w:rsidRPr="003A5EE1" w:rsidRDefault="00B855C1" w:rsidP="005D4B74">
      <w:pPr>
        <w:pStyle w:val="Heading3"/>
        <w:rPr>
          <w:rFonts w:ascii="Arial" w:hAnsi="Arial" w:cs="Arial"/>
          <w:sz w:val="22"/>
          <w:szCs w:val="22"/>
        </w:rPr>
      </w:pPr>
      <w:r w:rsidRPr="003A5EE1">
        <w:rPr>
          <w:rFonts w:ascii="Arial" w:hAnsi="Arial" w:cs="Arial"/>
          <w:sz w:val="22"/>
          <w:szCs w:val="22"/>
        </w:rPr>
        <w:t>Hepat</w:t>
      </w:r>
      <w:r w:rsidR="00F65B34" w:rsidRPr="003A5EE1">
        <w:rPr>
          <w:rFonts w:ascii="Arial" w:hAnsi="Arial" w:cs="Arial"/>
          <w:sz w:val="22"/>
          <w:szCs w:val="22"/>
        </w:rPr>
        <w:t>otox</w:t>
      </w:r>
      <w:r w:rsidR="00F65B34">
        <w:rPr>
          <w:rFonts w:ascii="Arial" w:hAnsi="Arial" w:cs="Arial"/>
          <w:sz w:val="22"/>
          <w:szCs w:val="22"/>
        </w:rPr>
        <w:t>ici</w:t>
      </w:r>
      <w:r w:rsidR="00157EDA" w:rsidRPr="003A5EE1">
        <w:rPr>
          <w:rFonts w:ascii="Arial" w:hAnsi="Arial" w:cs="Arial"/>
          <w:sz w:val="22"/>
          <w:szCs w:val="22"/>
        </w:rPr>
        <w:t>ty</w:t>
      </w:r>
    </w:p>
    <w:p w14:paraId="712C2783" w14:textId="77777777" w:rsidR="001F55B3" w:rsidRPr="003A5EE1" w:rsidRDefault="001F55B3" w:rsidP="005D4B74">
      <w:pPr>
        <w:pStyle w:val="BodyText2"/>
        <w:keepNext/>
        <w:adjustRightInd w:val="0"/>
        <w:spacing w:after="0"/>
        <w:ind w:right="46"/>
        <w:jc w:val="left"/>
        <w:textAlignment w:val="baseline"/>
        <w:rPr>
          <w:rFonts w:ascii="Arial" w:hAnsi="Arial" w:cs="Arial"/>
          <w:i/>
          <w:sz w:val="22"/>
          <w:szCs w:val="22"/>
        </w:rPr>
      </w:pPr>
    </w:p>
    <w:p w14:paraId="712C2784" w14:textId="77777777" w:rsidR="00157EDA" w:rsidRDefault="00157EDA" w:rsidP="00157EDA">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eastAsia="en-AU"/>
        </w:rPr>
        <w:t xml:space="preserve">Severe drug induced liver injury with fatal outcome </w:t>
      </w:r>
      <w:r w:rsidR="008D79FC" w:rsidRPr="003A5EE1">
        <w:rPr>
          <w:rFonts w:ascii="Arial" w:hAnsi="Arial" w:cs="Arial"/>
          <w:sz w:val="22"/>
          <w:szCs w:val="22"/>
          <w:lang w:val="en-AU" w:eastAsia="en-AU"/>
        </w:rPr>
        <w:t xml:space="preserve">has been observed in patients receiving </w:t>
      </w:r>
      <w:r w:rsidR="00FF0B8E">
        <w:rPr>
          <w:rFonts w:ascii="Arial" w:hAnsi="Arial" w:cs="Arial"/>
          <w:sz w:val="22"/>
          <w:szCs w:val="22"/>
          <w:lang w:val="en-AU" w:eastAsia="en-AU"/>
        </w:rPr>
        <w:t>STIVARGA</w:t>
      </w:r>
      <w:r w:rsidRPr="003A5EE1">
        <w:rPr>
          <w:rFonts w:ascii="Arial" w:hAnsi="Arial" w:cs="Arial"/>
          <w:sz w:val="22"/>
          <w:szCs w:val="22"/>
          <w:lang w:val="en-AU" w:eastAsia="en-AU"/>
        </w:rPr>
        <w:t>. Liver biopsy results, when available, showed hepatocyte necrosis with lymphocyte infilt</w:t>
      </w:r>
      <w:r w:rsidR="008D79FC" w:rsidRPr="003A5EE1">
        <w:rPr>
          <w:rFonts w:ascii="Arial" w:hAnsi="Arial" w:cs="Arial"/>
          <w:sz w:val="22"/>
          <w:szCs w:val="22"/>
          <w:lang w:val="en-AU" w:eastAsia="en-AU"/>
        </w:rPr>
        <w:t xml:space="preserve">ration. </w:t>
      </w:r>
    </w:p>
    <w:p w14:paraId="712C2785" w14:textId="77777777" w:rsidR="00DE2521" w:rsidRPr="003A5EE1" w:rsidRDefault="00DE2521" w:rsidP="00157EDA">
      <w:pPr>
        <w:autoSpaceDE w:val="0"/>
        <w:autoSpaceDN w:val="0"/>
        <w:adjustRightInd w:val="0"/>
        <w:rPr>
          <w:rFonts w:ascii="Arial" w:hAnsi="Arial" w:cs="Arial"/>
          <w:sz w:val="22"/>
          <w:szCs w:val="22"/>
          <w:lang w:val="en-AU" w:eastAsia="en-AU"/>
        </w:rPr>
      </w:pPr>
    </w:p>
    <w:p w14:paraId="712C2786" w14:textId="77777777" w:rsidR="00F10BAD" w:rsidRPr="003A5EE1" w:rsidRDefault="00B855C1" w:rsidP="00157EDA">
      <w:pPr>
        <w:autoSpaceDE w:val="0"/>
        <w:autoSpaceDN w:val="0"/>
        <w:adjustRightInd w:val="0"/>
        <w:rPr>
          <w:rFonts w:ascii="Arial" w:hAnsi="Arial" w:cs="Arial"/>
          <w:sz w:val="22"/>
          <w:szCs w:val="22"/>
        </w:rPr>
      </w:pPr>
      <w:r w:rsidRPr="003A5EE1">
        <w:rPr>
          <w:rFonts w:ascii="Arial" w:hAnsi="Arial" w:cs="Arial"/>
          <w:sz w:val="22"/>
          <w:szCs w:val="22"/>
        </w:rPr>
        <w:t>Abnormalities of liver function tests (alanine aminotransferase (ALT), aspartate</w:t>
      </w:r>
    </w:p>
    <w:p w14:paraId="712C2787" w14:textId="77777777" w:rsidR="0047701A" w:rsidRDefault="00B855C1" w:rsidP="003A5EE1">
      <w:pPr>
        <w:autoSpaceDE w:val="0"/>
        <w:autoSpaceDN w:val="0"/>
        <w:adjustRightInd w:val="0"/>
        <w:rPr>
          <w:rFonts w:ascii="Arial" w:hAnsi="Arial" w:cs="Arial"/>
          <w:sz w:val="22"/>
          <w:szCs w:val="22"/>
        </w:rPr>
      </w:pPr>
      <w:r w:rsidRPr="003A5EE1">
        <w:rPr>
          <w:rFonts w:ascii="Arial" w:hAnsi="Arial" w:cs="Arial"/>
          <w:sz w:val="22"/>
          <w:szCs w:val="22"/>
        </w:rPr>
        <w:t>aminotransferase (AST) and bilirubin)</w:t>
      </w:r>
      <w:r w:rsidR="00C625A5">
        <w:rPr>
          <w:rFonts w:ascii="Arial" w:hAnsi="Arial" w:cs="Arial"/>
          <w:sz w:val="22"/>
          <w:szCs w:val="22"/>
        </w:rPr>
        <w:t>)</w:t>
      </w:r>
      <w:r w:rsidRPr="003A5EE1">
        <w:rPr>
          <w:rFonts w:ascii="Arial" w:hAnsi="Arial" w:cs="Arial"/>
          <w:sz w:val="22"/>
          <w:szCs w:val="22"/>
        </w:rPr>
        <w:t xml:space="preserve"> have been frequently observed in patients treated with </w:t>
      </w:r>
      <w:r w:rsidR="00FF0B8E">
        <w:rPr>
          <w:rFonts w:ascii="Arial" w:hAnsi="Arial" w:cs="Arial"/>
          <w:sz w:val="22"/>
          <w:szCs w:val="22"/>
        </w:rPr>
        <w:t>STIVARGA</w:t>
      </w:r>
      <w:r w:rsidRPr="003A5EE1">
        <w:rPr>
          <w:rFonts w:ascii="Arial" w:hAnsi="Arial" w:cs="Arial"/>
          <w:sz w:val="22"/>
          <w:szCs w:val="22"/>
        </w:rPr>
        <w:t xml:space="preserve">. </w:t>
      </w:r>
      <w:r w:rsidR="0047701A" w:rsidRPr="00485B52">
        <w:rPr>
          <w:rFonts w:ascii="Arial" w:hAnsi="Arial" w:cs="Arial"/>
          <w:sz w:val="22"/>
          <w:szCs w:val="22"/>
        </w:rPr>
        <w:t>Severe liver function test abnormalities (Grade 3 to 4) and hepatic dysfunction with clinical manifestations (including fatal outcomes) have been reported in a small proportion of patients</w:t>
      </w:r>
      <w:r w:rsidR="0047701A" w:rsidRPr="003C38E8">
        <w:rPr>
          <w:rFonts w:ascii="Arial" w:hAnsi="Arial" w:cs="Arial"/>
          <w:sz w:val="22"/>
          <w:szCs w:val="22"/>
        </w:rPr>
        <w:t xml:space="preserve"> (see Adverse Effects).</w:t>
      </w:r>
    </w:p>
    <w:p w14:paraId="712C2788" w14:textId="77777777" w:rsidR="0047701A" w:rsidRDefault="0047701A" w:rsidP="003A5EE1">
      <w:pPr>
        <w:autoSpaceDE w:val="0"/>
        <w:autoSpaceDN w:val="0"/>
        <w:adjustRightInd w:val="0"/>
        <w:rPr>
          <w:rFonts w:ascii="Arial" w:hAnsi="Arial" w:cs="Arial"/>
          <w:sz w:val="22"/>
          <w:szCs w:val="22"/>
        </w:rPr>
      </w:pPr>
    </w:p>
    <w:p w14:paraId="712C2789" w14:textId="77777777" w:rsidR="00B855C1" w:rsidRDefault="00B855C1" w:rsidP="003A5EE1">
      <w:pPr>
        <w:autoSpaceDE w:val="0"/>
        <w:autoSpaceDN w:val="0"/>
        <w:adjustRightInd w:val="0"/>
        <w:rPr>
          <w:rFonts w:ascii="Arial" w:hAnsi="Arial" w:cs="Arial"/>
          <w:sz w:val="22"/>
          <w:szCs w:val="22"/>
          <w:lang w:val="en-AU" w:eastAsia="en-AU"/>
        </w:rPr>
      </w:pPr>
      <w:r w:rsidRPr="003A5EE1">
        <w:rPr>
          <w:rFonts w:ascii="Arial" w:hAnsi="Arial" w:cs="Arial"/>
          <w:sz w:val="22"/>
          <w:szCs w:val="22"/>
        </w:rPr>
        <w:t xml:space="preserve">It is recommended to perform liver function tests (ALT, AST and bilirubin) before initiation of treatment with </w:t>
      </w:r>
      <w:r w:rsidR="00601DFC">
        <w:rPr>
          <w:rFonts w:ascii="Arial" w:hAnsi="Arial" w:cs="Arial"/>
          <w:sz w:val="22"/>
          <w:szCs w:val="22"/>
        </w:rPr>
        <w:t xml:space="preserve">STIVARGA </w:t>
      </w:r>
      <w:r w:rsidRPr="003A5EE1">
        <w:rPr>
          <w:rFonts w:ascii="Arial" w:hAnsi="Arial" w:cs="Arial"/>
          <w:sz w:val="22"/>
          <w:szCs w:val="22"/>
        </w:rPr>
        <w:t xml:space="preserve">and monitor closely (at least every two weeks) during the first </w:t>
      </w:r>
      <w:r w:rsidR="007E4AA5" w:rsidRPr="003A5EE1">
        <w:rPr>
          <w:rFonts w:ascii="Arial" w:hAnsi="Arial" w:cs="Arial"/>
          <w:sz w:val="22"/>
          <w:szCs w:val="22"/>
        </w:rPr>
        <w:t>two</w:t>
      </w:r>
      <w:r w:rsidRPr="003A5EE1">
        <w:rPr>
          <w:rFonts w:ascii="Arial" w:hAnsi="Arial" w:cs="Arial"/>
          <w:sz w:val="22"/>
          <w:szCs w:val="22"/>
        </w:rPr>
        <w:t xml:space="preserve"> months of treatment. Thereafter, periodic monitoring should be continued at least monthly and as clinically indicated. </w:t>
      </w:r>
      <w:r w:rsidR="00157EDA" w:rsidRPr="003A5EE1">
        <w:rPr>
          <w:rFonts w:ascii="Arial" w:hAnsi="Arial" w:cs="Arial"/>
          <w:sz w:val="22"/>
          <w:szCs w:val="22"/>
          <w:lang w:val="en-AU" w:eastAsia="en-AU"/>
        </w:rPr>
        <w:t>Monitor liver function tests weekly in patients experiencing elevated liver function tests until improvement to less than 3 times the</w:t>
      </w:r>
      <w:r w:rsidR="00F65B34" w:rsidRPr="003A5EE1">
        <w:rPr>
          <w:rFonts w:ascii="Arial" w:hAnsi="Arial" w:cs="Arial"/>
          <w:sz w:val="22"/>
          <w:szCs w:val="22"/>
          <w:lang w:val="en-AU" w:eastAsia="en-AU"/>
        </w:rPr>
        <w:t xml:space="preserve"> </w:t>
      </w:r>
      <w:r w:rsidR="00157EDA" w:rsidRPr="003A5EE1">
        <w:rPr>
          <w:rFonts w:ascii="Arial" w:hAnsi="Arial" w:cs="Arial"/>
          <w:sz w:val="22"/>
          <w:szCs w:val="22"/>
          <w:lang w:val="en-AU" w:eastAsia="en-AU"/>
        </w:rPr>
        <w:t>ULN or baseline.</w:t>
      </w:r>
    </w:p>
    <w:p w14:paraId="712C278A" w14:textId="77777777" w:rsidR="005F1132" w:rsidRDefault="005F1132" w:rsidP="003A5EE1">
      <w:pPr>
        <w:autoSpaceDE w:val="0"/>
        <w:autoSpaceDN w:val="0"/>
        <w:adjustRightInd w:val="0"/>
        <w:rPr>
          <w:rFonts w:ascii="Arial" w:hAnsi="Arial" w:cs="Arial"/>
        </w:rPr>
      </w:pPr>
    </w:p>
    <w:p w14:paraId="712C278B" w14:textId="77777777" w:rsidR="00B855C1" w:rsidRPr="003A5EE1" w:rsidRDefault="00B855C1" w:rsidP="002E54D9">
      <w:pPr>
        <w:pStyle w:val="BayerBodyTextFull"/>
        <w:spacing w:before="0" w:after="0"/>
        <w:rPr>
          <w:rFonts w:ascii="Arial" w:hAnsi="Arial" w:cs="Arial"/>
          <w:sz w:val="22"/>
          <w:szCs w:val="22"/>
        </w:rPr>
      </w:pP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is a </w:t>
      </w:r>
      <w:r w:rsidR="00BB3DF3" w:rsidRPr="003A5EE1">
        <w:rPr>
          <w:rFonts w:ascii="Arial" w:hAnsi="Arial" w:cs="Arial"/>
          <w:sz w:val="22"/>
          <w:szCs w:val="22"/>
        </w:rPr>
        <w:t xml:space="preserve">uridine diphosphate </w:t>
      </w:r>
      <w:proofErr w:type="spellStart"/>
      <w:r w:rsidR="00BB3DF3" w:rsidRPr="003A5EE1">
        <w:rPr>
          <w:rFonts w:ascii="Arial" w:hAnsi="Arial" w:cs="Arial"/>
          <w:sz w:val="22"/>
          <w:szCs w:val="22"/>
        </w:rPr>
        <w:t>glucuronosyl</w:t>
      </w:r>
      <w:proofErr w:type="spellEnd"/>
      <w:r w:rsidR="00BB3DF3" w:rsidRPr="003A5EE1">
        <w:rPr>
          <w:rFonts w:ascii="Arial" w:hAnsi="Arial" w:cs="Arial"/>
          <w:sz w:val="22"/>
          <w:szCs w:val="22"/>
        </w:rPr>
        <w:t xml:space="preserve"> </w:t>
      </w:r>
      <w:proofErr w:type="spellStart"/>
      <w:r w:rsidR="00BB3DF3" w:rsidRPr="003A5EE1">
        <w:rPr>
          <w:rFonts w:ascii="Arial" w:hAnsi="Arial" w:cs="Arial"/>
          <w:sz w:val="22"/>
          <w:szCs w:val="22"/>
        </w:rPr>
        <w:t>transferase</w:t>
      </w:r>
      <w:proofErr w:type="spellEnd"/>
      <w:r w:rsidR="00BB3DF3" w:rsidRPr="003A5EE1">
        <w:rPr>
          <w:rFonts w:ascii="Arial" w:hAnsi="Arial" w:cs="Arial"/>
          <w:sz w:val="22"/>
          <w:szCs w:val="22"/>
        </w:rPr>
        <w:t xml:space="preserve"> </w:t>
      </w:r>
      <w:r w:rsidRPr="003A5EE1">
        <w:rPr>
          <w:rFonts w:ascii="Arial" w:hAnsi="Arial" w:cs="Arial"/>
          <w:sz w:val="22"/>
          <w:szCs w:val="22"/>
        </w:rPr>
        <w:t>UGT1A1 inhibitor (</w:t>
      </w:r>
      <w:r w:rsidR="00E03A8B" w:rsidRPr="003A5EE1">
        <w:rPr>
          <w:rFonts w:ascii="Arial" w:hAnsi="Arial" w:cs="Arial"/>
          <w:sz w:val="22"/>
          <w:szCs w:val="22"/>
        </w:rPr>
        <w:t xml:space="preserve">see </w:t>
      </w:r>
      <w:r w:rsidR="00613825">
        <w:rPr>
          <w:rFonts w:ascii="Arial" w:hAnsi="Arial" w:cs="Arial"/>
          <w:sz w:val="22"/>
          <w:szCs w:val="22"/>
        </w:rPr>
        <w:t>INTERACTIONS WITH OTHER MEDICINES</w:t>
      </w:r>
      <w:r w:rsidRPr="003A5EE1">
        <w:rPr>
          <w:rFonts w:ascii="Arial" w:hAnsi="Arial" w:cs="Arial"/>
          <w:sz w:val="22"/>
          <w:szCs w:val="22"/>
        </w:rPr>
        <w:t xml:space="preserve">). Mild, indirect (unconjugated) </w:t>
      </w:r>
      <w:proofErr w:type="spellStart"/>
      <w:r w:rsidRPr="003A5EE1">
        <w:rPr>
          <w:rFonts w:ascii="Arial" w:hAnsi="Arial" w:cs="Arial"/>
          <w:sz w:val="22"/>
          <w:szCs w:val="22"/>
        </w:rPr>
        <w:t>hyperbilirubinemia</w:t>
      </w:r>
      <w:proofErr w:type="spellEnd"/>
      <w:r w:rsidRPr="003A5EE1">
        <w:rPr>
          <w:rFonts w:ascii="Arial" w:hAnsi="Arial" w:cs="Arial"/>
          <w:sz w:val="22"/>
          <w:szCs w:val="22"/>
        </w:rPr>
        <w:t xml:space="preserve"> may occur in patients with Gilbert’s syndrome.</w:t>
      </w:r>
    </w:p>
    <w:p w14:paraId="712C278C" w14:textId="77777777" w:rsidR="001F55B3" w:rsidRPr="003A5EE1" w:rsidRDefault="001F55B3" w:rsidP="002E54D9">
      <w:pPr>
        <w:pStyle w:val="BayerBodyTextFull"/>
        <w:spacing w:before="0" w:after="0"/>
        <w:rPr>
          <w:rFonts w:ascii="Arial" w:hAnsi="Arial" w:cs="Arial"/>
          <w:sz w:val="22"/>
          <w:szCs w:val="22"/>
        </w:rPr>
      </w:pPr>
    </w:p>
    <w:p w14:paraId="712C278D" w14:textId="7777777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For patients with observed worsening of liver function tests considered related to treatment with </w:t>
      </w:r>
      <w:r w:rsidR="00601DFC">
        <w:rPr>
          <w:rFonts w:ascii="Arial" w:hAnsi="Arial" w:cs="Arial"/>
          <w:sz w:val="22"/>
          <w:szCs w:val="22"/>
        </w:rPr>
        <w:t xml:space="preserve">STIVARGA </w:t>
      </w:r>
      <w:r w:rsidRPr="003A5EE1">
        <w:rPr>
          <w:rFonts w:ascii="Arial" w:hAnsi="Arial" w:cs="Arial"/>
          <w:sz w:val="22"/>
          <w:szCs w:val="22"/>
        </w:rPr>
        <w:t xml:space="preserve">(i.e. where no alternative cause is evident, such as post-hepatic cholestasis or disease progression), the dose modification and monitoring advice </w:t>
      </w:r>
      <w:r w:rsidR="007B431E" w:rsidRPr="003A5EE1">
        <w:rPr>
          <w:rFonts w:ascii="Arial" w:hAnsi="Arial" w:cs="Arial"/>
          <w:sz w:val="22"/>
          <w:szCs w:val="22"/>
        </w:rPr>
        <w:t xml:space="preserve">should be followed. This is outlined </w:t>
      </w:r>
      <w:r w:rsidRPr="003A5EE1">
        <w:rPr>
          <w:rFonts w:ascii="Arial" w:hAnsi="Arial" w:cs="Arial"/>
          <w:sz w:val="22"/>
          <w:szCs w:val="22"/>
        </w:rPr>
        <w:t xml:space="preserve">in </w:t>
      </w:r>
      <w:r w:rsidR="007E4AA5" w:rsidRPr="003A5EE1">
        <w:rPr>
          <w:rFonts w:ascii="Arial" w:hAnsi="Arial" w:cs="Arial"/>
          <w:sz w:val="22"/>
          <w:szCs w:val="22"/>
        </w:rPr>
        <w:t xml:space="preserve">Table </w:t>
      </w:r>
      <w:r w:rsidR="006C3E63">
        <w:rPr>
          <w:rFonts w:ascii="Arial" w:hAnsi="Arial" w:cs="Arial"/>
          <w:sz w:val="22"/>
          <w:szCs w:val="22"/>
        </w:rPr>
        <w:t>9</w:t>
      </w:r>
      <w:r w:rsidR="007B431E" w:rsidRPr="003A5EE1">
        <w:rPr>
          <w:rFonts w:ascii="Arial" w:hAnsi="Arial" w:cs="Arial"/>
          <w:sz w:val="22"/>
          <w:szCs w:val="22"/>
        </w:rPr>
        <w:t xml:space="preserve">: Recommended measures and dose modifications in case of drug-related liver function tests abnormalities found in </w:t>
      </w:r>
      <w:r w:rsidR="00F00CDC">
        <w:rPr>
          <w:rFonts w:ascii="Arial" w:hAnsi="Arial" w:cs="Arial"/>
          <w:sz w:val="22"/>
          <w:szCs w:val="22"/>
        </w:rPr>
        <w:t>DOSAGE AND ADMINISTRATION</w:t>
      </w:r>
      <w:r w:rsidR="007B431E" w:rsidRPr="003A5EE1">
        <w:rPr>
          <w:rFonts w:ascii="Arial" w:hAnsi="Arial" w:cs="Arial"/>
          <w:sz w:val="22"/>
          <w:szCs w:val="22"/>
        </w:rPr>
        <w:t xml:space="preserve"> – Dose modification section. </w:t>
      </w:r>
    </w:p>
    <w:p w14:paraId="712C278E" w14:textId="77777777" w:rsidR="001F55B3" w:rsidRPr="003A5EE1" w:rsidRDefault="001F55B3" w:rsidP="00F34FCB">
      <w:pPr>
        <w:pStyle w:val="BayerBodyTextFull"/>
        <w:spacing w:before="0" w:after="0"/>
        <w:rPr>
          <w:rFonts w:ascii="Arial" w:hAnsi="Arial" w:cs="Arial"/>
          <w:color w:val="0000FF"/>
          <w:sz w:val="22"/>
          <w:szCs w:val="22"/>
        </w:rPr>
      </w:pPr>
    </w:p>
    <w:p w14:paraId="712C278F" w14:textId="77777777" w:rsidR="00233040" w:rsidRPr="003A5EE1" w:rsidRDefault="00233040" w:rsidP="00233040">
      <w:pPr>
        <w:pStyle w:val="BayerBodyTextFull"/>
        <w:spacing w:before="0" w:after="0"/>
        <w:rPr>
          <w:rFonts w:ascii="Arial" w:hAnsi="Arial" w:cs="Arial"/>
          <w:sz w:val="22"/>
          <w:szCs w:val="22"/>
        </w:rPr>
      </w:pPr>
      <w:r w:rsidRPr="003A5EE1">
        <w:rPr>
          <w:rStyle w:val="BayerBodyTextFullChar"/>
          <w:rFonts w:ascii="Arial" w:hAnsi="Arial" w:cs="Arial"/>
          <w:sz w:val="22"/>
          <w:szCs w:val="22"/>
        </w:rPr>
        <w:t xml:space="preserve">Since limited data is available for patients with </w:t>
      </w:r>
      <w:r w:rsidRPr="003A5EE1">
        <w:rPr>
          <w:rFonts w:ascii="Arial" w:hAnsi="Arial" w:cs="Arial"/>
          <w:sz w:val="22"/>
          <w:szCs w:val="22"/>
        </w:rPr>
        <w:t xml:space="preserve">pre-existing </w:t>
      </w:r>
      <w:r w:rsidRPr="003A5EE1">
        <w:rPr>
          <w:rStyle w:val="BayerBodyTextFullChar"/>
          <w:rFonts w:ascii="Arial" w:hAnsi="Arial" w:cs="Arial"/>
          <w:sz w:val="22"/>
          <w:szCs w:val="22"/>
        </w:rPr>
        <w:t xml:space="preserve">moderate hepatic impairment (Child-Pugh B) and </w:t>
      </w:r>
      <w:proofErr w:type="spellStart"/>
      <w:r w:rsidRPr="003A5EE1">
        <w:rPr>
          <w:rStyle w:val="BayerBodyTextFullChar"/>
          <w:rFonts w:ascii="Arial" w:hAnsi="Arial" w:cs="Arial"/>
          <w:sz w:val="22"/>
          <w:szCs w:val="22"/>
        </w:rPr>
        <w:t>regorafenib</w:t>
      </w:r>
      <w:proofErr w:type="spellEnd"/>
      <w:r w:rsidRPr="003A5EE1">
        <w:rPr>
          <w:rStyle w:val="BayerBodyTextFullChar"/>
          <w:rFonts w:ascii="Arial" w:hAnsi="Arial" w:cs="Arial"/>
          <w:sz w:val="22"/>
          <w:szCs w:val="22"/>
        </w:rPr>
        <w:t xml:space="preserve"> has not been studied in patients with severe hepatic impairment (Child-Pugh C),</w:t>
      </w:r>
      <w:r w:rsidRPr="003A5EE1">
        <w:rPr>
          <w:rFonts w:ascii="Arial" w:hAnsi="Arial" w:cs="Arial"/>
          <w:sz w:val="22"/>
          <w:szCs w:val="22"/>
        </w:rPr>
        <w:t xml:space="preserve"> </w:t>
      </w:r>
      <w:r w:rsidRPr="003A5EE1">
        <w:rPr>
          <w:rStyle w:val="BayerBodyTextFullChar"/>
          <w:rFonts w:ascii="Arial" w:hAnsi="Arial" w:cs="Arial"/>
          <w:sz w:val="22"/>
          <w:szCs w:val="22"/>
        </w:rPr>
        <w:t xml:space="preserve">close monitoring of overall safety is recommended </w:t>
      </w:r>
      <w:r w:rsidRPr="003A5EE1">
        <w:rPr>
          <w:rFonts w:ascii="Arial" w:hAnsi="Arial" w:cs="Arial"/>
          <w:sz w:val="22"/>
          <w:szCs w:val="22"/>
        </w:rPr>
        <w:t xml:space="preserve">in these patients (see </w:t>
      </w:r>
      <w:hyperlink w:anchor="_Dosage_and_method" w:history="1">
        <w:r w:rsidRPr="003A5EE1">
          <w:rPr>
            <w:rFonts w:ascii="Arial" w:hAnsi="Arial" w:cs="Arial"/>
            <w:sz w:val="22"/>
            <w:szCs w:val="22"/>
          </w:rPr>
          <w:t>Dosage and Administration</w:t>
        </w:r>
      </w:hyperlink>
      <w:r w:rsidRPr="003A5EE1">
        <w:rPr>
          <w:rFonts w:ascii="Arial" w:hAnsi="Arial" w:cs="Arial"/>
          <w:sz w:val="22"/>
          <w:szCs w:val="22"/>
        </w:rPr>
        <w:t xml:space="preserve"> – </w:t>
      </w:r>
      <w:hyperlink w:anchor="_Patients_with_hepatic" w:history="1">
        <w:r w:rsidRPr="003A5EE1">
          <w:rPr>
            <w:rFonts w:ascii="Arial" w:hAnsi="Arial" w:cs="Arial"/>
            <w:sz w:val="22"/>
            <w:szCs w:val="22"/>
          </w:rPr>
          <w:t>Patients with hepatic impairment</w:t>
        </w:r>
      </w:hyperlink>
      <w:r w:rsidRPr="003A5EE1">
        <w:rPr>
          <w:rStyle w:val="BayerBodyTextFullChar"/>
          <w:rFonts w:ascii="Arial" w:hAnsi="Arial" w:cs="Arial"/>
          <w:sz w:val="22"/>
          <w:szCs w:val="22"/>
        </w:rPr>
        <w:t>).</w:t>
      </w:r>
      <w:r w:rsidRPr="003A5EE1">
        <w:rPr>
          <w:rFonts w:ascii="Arial" w:hAnsi="Arial" w:cs="Arial"/>
          <w:sz w:val="22"/>
          <w:szCs w:val="22"/>
        </w:rPr>
        <w:t xml:space="preserve"> </w:t>
      </w:r>
    </w:p>
    <w:p w14:paraId="712C2790" w14:textId="77777777" w:rsidR="001F55B3" w:rsidRPr="003A5EE1" w:rsidRDefault="001F55B3" w:rsidP="00F34FCB">
      <w:pPr>
        <w:pStyle w:val="BayerBodyTextFull"/>
        <w:spacing w:before="0" w:after="0"/>
        <w:rPr>
          <w:rFonts w:ascii="Arial" w:hAnsi="Arial" w:cs="Arial"/>
          <w:sz w:val="22"/>
          <w:szCs w:val="22"/>
        </w:rPr>
      </w:pPr>
    </w:p>
    <w:p w14:paraId="712C2791" w14:textId="77777777" w:rsidR="00B855C1" w:rsidRPr="003A5EE1" w:rsidRDefault="00B855C1" w:rsidP="00456BB6">
      <w:pPr>
        <w:pStyle w:val="Heading3"/>
        <w:rPr>
          <w:rFonts w:ascii="Arial" w:hAnsi="Arial" w:cs="Arial"/>
          <w:sz w:val="22"/>
          <w:szCs w:val="22"/>
          <w:lang w:val="en-US"/>
        </w:rPr>
      </w:pPr>
      <w:proofErr w:type="spellStart"/>
      <w:r w:rsidRPr="003A5EE1">
        <w:rPr>
          <w:rFonts w:ascii="Arial" w:hAnsi="Arial" w:cs="Arial"/>
          <w:sz w:val="22"/>
          <w:szCs w:val="22"/>
          <w:lang w:val="en-US"/>
        </w:rPr>
        <w:t>Haemorrhage</w:t>
      </w:r>
      <w:proofErr w:type="spellEnd"/>
    </w:p>
    <w:p w14:paraId="712C2792" w14:textId="77777777" w:rsidR="001F55B3" w:rsidRPr="003A5EE1" w:rsidRDefault="001F55B3" w:rsidP="00F34FCB">
      <w:pPr>
        <w:pStyle w:val="BodyText2"/>
        <w:adjustRightInd w:val="0"/>
        <w:spacing w:after="0"/>
        <w:ind w:right="46"/>
        <w:jc w:val="left"/>
        <w:textAlignment w:val="baseline"/>
        <w:rPr>
          <w:rFonts w:ascii="Arial" w:hAnsi="Arial" w:cs="Arial"/>
          <w:i/>
          <w:sz w:val="22"/>
          <w:szCs w:val="22"/>
          <w:lang w:val="en-US"/>
        </w:rPr>
      </w:pPr>
    </w:p>
    <w:p w14:paraId="712C2793" w14:textId="77777777" w:rsidR="00701A0C" w:rsidRPr="003A5EE1" w:rsidRDefault="00601DFC" w:rsidP="00701A0C">
      <w:pPr>
        <w:autoSpaceDE w:val="0"/>
        <w:autoSpaceDN w:val="0"/>
        <w:adjustRightInd w:val="0"/>
        <w:rPr>
          <w:rFonts w:ascii="Arial" w:hAnsi="Arial" w:cs="Arial"/>
          <w:sz w:val="22"/>
          <w:szCs w:val="22"/>
          <w:lang w:val="en-AU" w:eastAsia="en-AU"/>
        </w:rPr>
      </w:pPr>
      <w:r>
        <w:rPr>
          <w:rFonts w:ascii="Arial" w:hAnsi="Arial" w:cs="Arial"/>
          <w:sz w:val="22"/>
          <w:szCs w:val="22"/>
        </w:rPr>
        <w:t xml:space="preserve">STIVARGA </w:t>
      </w:r>
      <w:r w:rsidR="00B855C1" w:rsidRPr="003A5EE1">
        <w:rPr>
          <w:rFonts w:ascii="Arial" w:hAnsi="Arial" w:cs="Arial"/>
          <w:sz w:val="22"/>
          <w:szCs w:val="22"/>
        </w:rPr>
        <w:t>has been associated with an increased incidence of h</w:t>
      </w:r>
      <w:r w:rsidR="008D4A25" w:rsidRPr="003A5EE1">
        <w:rPr>
          <w:rFonts w:ascii="Arial" w:hAnsi="Arial" w:cs="Arial"/>
          <w:sz w:val="22"/>
          <w:szCs w:val="22"/>
        </w:rPr>
        <w:t>a</w:t>
      </w:r>
      <w:r w:rsidR="00B855C1" w:rsidRPr="003A5EE1">
        <w:rPr>
          <w:rFonts w:ascii="Arial" w:hAnsi="Arial" w:cs="Arial"/>
          <w:sz w:val="22"/>
          <w:szCs w:val="22"/>
        </w:rPr>
        <w:t>emorrhagic events, some of which were fatal (</w:t>
      </w:r>
      <w:r w:rsidR="00537998">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B855C1" w:rsidRPr="003A5EE1">
        <w:rPr>
          <w:rFonts w:ascii="Arial" w:hAnsi="Arial" w:cs="Arial"/>
          <w:sz w:val="22"/>
          <w:szCs w:val="22"/>
        </w:rPr>
        <w:t>).</w:t>
      </w:r>
      <w:r w:rsidR="00701A0C" w:rsidRPr="003A5EE1">
        <w:rPr>
          <w:rFonts w:ascii="Arial" w:hAnsi="Arial" w:cs="Arial"/>
          <w:sz w:val="22"/>
          <w:szCs w:val="22"/>
          <w:lang w:val="en-AU" w:eastAsia="en-AU"/>
        </w:rPr>
        <w:t xml:space="preserve"> Fatal h</w:t>
      </w:r>
      <w:r w:rsidR="008D79FC" w:rsidRPr="003A5EE1">
        <w:rPr>
          <w:rFonts w:ascii="Arial" w:hAnsi="Arial" w:cs="Arial"/>
          <w:sz w:val="22"/>
          <w:szCs w:val="22"/>
          <w:lang w:val="en-AU" w:eastAsia="en-AU"/>
        </w:rPr>
        <w:t>a</w:t>
      </w:r>
      <w:r w:rsidR="00701A0C" w:rsidRPr="003A5EE1">
        <w:rPr>
          <w:rFonts w:ascii="Arial" w:hAnsi="Arial" w:cs="Arial"/>
          <w:sz w:val="22"/>
          <w:szCs w:val="22"/>
          <w:lang w:val="en-AU" w:eastAsia="en-AU"/>
        </w:rPr>
        <w:t xml:space="preserve">emorrhage </w:t>
      </w:r>
      <w:r w:rsidR="008D79FC" w:rsidRPr="003A5EE1">
        <w:rPr>
          <w:rFonts w:ascii="Arial" w:hAnsi="Arial" w:cs="Arial"/>
          <w:sz w:val="22"/>
          <w:szCs w:val="22"/>
          <w:lang w:val="en-AU" w:eastAsia="en-AU"/>
        </w:rPr>
        <w:t>was observed in pa</w:t>
      </w:r>
      <w:r w:rsidR="00022A39" w:rsidRPr="003A5EE1">
        <w:rPr>
          <w:rFonts w:ascii="Arial" w:hAnsi="Arial" w:cs="Arial"/>
          <w:sz w:val="22"/>
          <w:szCs w:val="22"/>
          <w:lang w:val="en-AU" w:eastAsia="en-AU"/>
        </w:rPr>
        <w:t xml:space="preserve">tients treated with </w:t>
      </w:r>
      <w:r>
        <w:rPr>
          <w:rFonts w:ascii="Arial" w:hAnsi="Arial" w:cs="Arial"/>
          <w:sz w:val="22"/>
          <w:szCs w:val="22"/>
          <w:lang w:val="en-AU" w:eastAsia="en-AU"/>
        </w:rPr>
        <w:t xml:space="preserve">STIVARGA </w:t>
      </w:r>
      <w:r w:rsidR="00701A0C" w:rsidRPr="003A5EE1">
        <w:rPr>
          <w:rFonts w:ascii="Arial" w:hAnsi="Arial" w:cs="Arial"/>
          <w:sz w:val="22"/>
          <w:szCs w:val="22"/>
          <w:lang w:val="en-AU" w:eastAsia="en-AU"/>
        </w:rPr>
        <w:t xml:space="preserve">and involved the respiratory, gastrointestinal, or genitourinary tracts. </w:t>
      </w:r>
    </w:p>
    <w:p w14:paraId="712C2794" w14:textId="77777777" w:rsidR="00701A0C" w:rsidRPr="003A5EE1" w:rsidRDefault="00701A0C" w:rsidP="00701A0C">
      <w:pPr>
        <w:autoSpaceDE w:val="0"/>
        <w:autoSpaceDN w:val="0"/>
        <w:adjustRightInd w:val="0"/>
        <w:rPr>
          <w:rFonts w:ascii="Arial" w:hAnsi="Arial" w:cs="Arial"/>
          <w:sz w:val="22"/>
          <w:szCs w:val="22"/>
          <w:lang w:val="en-AU" w:eastAsia="en-AU"/>
        </w:rPr>
      </w:pPr>
    </w:p>
    <w:p w14:paraId="712C2795" w14:textId="77777777" w:rsidR="006C6A9D" w:rsidRPr="003A5EE1" w:rsidRDefault="00B855C1" w:rsidP="00701A0C">
      <w:pPr>
        <w:autoSpaceDE w:val="0"/>
        <w:autoSpaceDN w:val="0"/>
        <w:adjustRightInd w:val="0"/>
        <w:rPr>
          <w:rFonts w:ascii="Arial" w:hAnsi="Arial" w:cs="Arial"/>
          <w:sz w:val="22"/>
          <w:szCs w:val="22"/>
        </w:rPr>
      </w:pPr>
      <w:r w:rsidRPr="003A5EE1">
        <w:rPr>
          <w:rFonts w:ascii="Arial" w:hAnsi="Arial" w:cs="Arial"/>
          <w:sz w:val="22"/>
          <w:szCs w:val="22"/>
        </w:rPr>
        <w:t>Blood counts and coagulation parameters should be monitored in patie</w:t>
      </w:r>
      <w:r w:rsidR="008D4A25" w:rsidRPr="003A5EE1">
        <w:rPr>
          <w:rFonts w:ascii="Arial" w:hAnsi="Arial" w:cs="Arial"/>
          <w:sz w:val="22"/>
          <w:szCs w:val="22"/>
        </w:rPr>
        <w:t>nts with conditions predispose</w:t>
      </w:r>
      <w:r w:rsidRPr="003A5EE1">
        <w:rPr>
          <w:rFonts w:ascii="Arial" w:hAnsi="Arial" w:cs="Arial"/>
          <w:sz w:val="22"/>
          <w:szCs w:val="22"/>
        </w:rPr>
        <w:t xml:space="preserve"> to bleeding, and in those treated with anti</w:t>
      </w:r>
      <w:r w:rsidR="008D4A25" w:rsidRPr="003A5EE1">
        <w:rPr>
          <w:rFonts w:ascii="Arial" w:hAnsi="Arial" w:cs="Arial"/>
          <w:sz w:val="22"/>
          <w:szCs w:val="22"/>
        </w:rPr>
        <w:t>-</w:t>
      </w:r>
      <w:r w:rsidRPr="003A5EE1">
        <w:rPr>
          <w:rFonts w:ascii="Arial" w:hAnsi="Arial" w:cs="Arial"/>
          <w:sz w:val="22"/>
          <w:szCs w:val="22"/>
        </w:rPr>
        <w:t xml:space="preserve">coagulants </w:t>
      </w:r>
      <w:r w:rsidR="00BB3DF3" w:rsidRPr="003A5EE1">
        <w:rPr>
          <w:rFonts w:ascii="Arial" w:hAnsi="Arial" w:cs="Arial"/>
          <w:sz w:val="22"/>
          <w:szCs w:val="22"/>
        </w:rPr>
        <w:t xml:space="preserve">(e.g. warfarin) </w:t>
      </w:r>
      <w:r w:rsidRPr="003A5EE1">
        <w:rPr>
          <w:rFonts w:ascii="Arial" w:hAnsi="Arial" w:cs="Arial"/>
          <w:sz w:val="22"/>
          <w:szCs w:val="22"/>
        </w:rPr>
        <w:t>or other concomitant medic</w:t>
      </w:r>
      <w:r w:rsidR="00537998">
        <w:rPr>
          <w:rFonts w:ascii="Arial" w:hAnsi="Arial" w:cs="Arial"/>
          <w:sz w:val="22"/>
          <w:szCs w:val="22"/>
        </w:rPr>
        <w:t>inal products</w:t>
      </w:r>
      <w:r w:rsidRPr="003A5EE1">
        <w:rPr>
          <w:rFonts w:ascii="Arial" w:hAnsi="Arial" w:cs="Arial"/>
          <w:sz w:val="22"/>
          <w:szCs w:val="22"/>
        </w:rPr>
        <w:t xml:space="preserve"> that increase the risk of bleeding.</w:t>
      </w:r>
      <w:r w:rsidR="006C6A9D" w:rsidRPr="003A5EE1">
        <w:rPr>
          <w:rFonts w:ascii="Arial" w:hAnsi="Arial" w:cs="Arial"/>
          <w:sz w:val="22"/>
          <w:szCs w:val="22"/>
        </w:rPr>
        <w:t xml:space="preserve"> </w:t>
      </w:r>
      <w:r w:rsidR="00C162D8" w:rsidRPr="003A5EE1">
        <w:rPr>
          <w:rFonts w:ascii="Arial" w:hAnsi="Arial" w:cs="Arial"/>
          <w:sz w:val="22"/>
          <w:szCs w:val="22"/>
        </w:rPr>
        <w:t>I</w:t>
      </w:r>
      <w:r w:rsidR="00E4702E" w:rsidRPr="003A5EE1">
        <w:rPr>
          <w:rFonts w:ascii="Arial" w:hAnsi="Arial" w:cs="Arial"/>
          <w:sz w:val="22"/>
          <w:szCs w:val="22"/>
        </w:rPr>
        <w:t>nternational normalised ratio (</w:t>
      </w:r>
      <w:r w:rsidR="006C6A9D" w:rsidRPr="003A5EE1">
        <w:rPr>
          <w:rFonts w:ascii="Arial" w:hAnsi="Arial" w:cs="Arial"/>
          <w:sz w:val="22"/>
          <w:szCs w:val="22"/>
        </w:rPr>
        <w:t>INR</w:t>
      </w:r>
      <w:r w:rsidR="00E4702E" w:rsidRPr="003A5EE1">
        <w:rPr>
          <w:rFonts w:ascii="Arial" w:hAnsi="Arial" w:cs="Arial"/>
          <w:sz w:val="22"/>
          <w:szCs w:val="22"/>
        </w:rPr>
        <w:t>)</w:t>
      </w:r>
      <w:r w:rsidR="006C6A9D" w:rsidRPr="003A5EE1">
        <w:rPr>
          <w:rFonts w:ascii="Arial" w:hAnsi="Arial" w:cs="Arial"/>
          <w:sz w:val="22"/>
          <w:szCs w:val="22"/>
        </w:rPr>
        <w:t xml:space="preserve"> values </w:t>
      </w:r>
      <w:r w:rsidR="00C162D8" w:rsidRPr="003A5EE1">
        <w:rPr>
          <w:rFonts w:ascii="Arial" w:hAnsi="Arial" w:cs="Arial"/>
          <w:sz w:val="22"/>
          <w:szCs w:val="22"/>
        </w:rPr>
        <w:t xml:space="preserve">are to be </w:t>
      </w:r>
      <w:r w:rsidR="006C6A9D" w:rsidRPr="003A5EE1">
        <w:rPr>
          <w:rFonts w:ascii="Arial" w:hAnsi="Arial" w:cs="Arial"/>
          <w:sz w:val="22"/>
          <w:szCs w:val="22"/>
        </w:rPr>
        <w:t xml:space="preserve">more frequently </w:t>
      </w:r>
      <w:r w:rsidR="00C162D8" w:rsidRPr="003A5EE1">
        <w:rPr>
          <w:rFonts w:ascii="Arial" w:hAnsi="Arial" w:cs="Arial"/>
          <w:sz w:val="22"/>
          <w:szCs w:val="22"/>
        </w:rPr>
        <w:t xml:space="preserve">monitored </w:t>
      </w:r>
      <w:r w:rsidR="006C6A9D" w:rsidRPr="003A5EE1">
        <w:rPr>
          <w:rFonts w:ascii="Arial" w:hAnsi="Arial" w:cs="Arial"/>
          <w:sz w:val="22"/>
          <w:szCs w:val="22"/>
        </w:rPr>
        <w:t xml:space="preserve">in patients receiving warfarin. </w:t>
      </w:r>
    </w:p>
    <w:p w14:paraId="712C2796" w14:textId="77777777" w:rsidR="006C6A9D" w:rsidRPr="003A5EE1" w:rsidRDefault="006C6A9D" w:rsidP="00F34FCB">
      <w:pPr>
        <w:pStyle w:val="BayerBodyTextFull"/>
        <w:spacing w:before="0" w:after="0"/>
        <w:rPr>
          <w:rFonts w:ascii="Arial" w:hAnsi="Arial" w:cs="Arial"/>
          <w:sz w:val="22"/>
          <w:szCs w:val="22"/>
        </w:rPr>
      </w:pPr>
    </w:p>
    <w:p w14:paraId="712C2797" w14:textId="77777777" w:rsidR="005F1132" w:rsidRDefault="00701A0C" w:rsidP="00F34FCB">
      <w:pPr>
        <w:pStyle w:val="BayerBodyTextFull"/>
        <w:spacing w:before="0" w:after="0"/>
        <w:rPr>
          <w:rFonts w:ascii="Arial" w:hAnsi="Arial" w:cs="Arial"/>
          <w:sz w:val="22"/>
          <w:szCs w:val="22"/>
        </w:rPr>
      </w:pPr>
      <w:r w:rsidRPr="003A5EE1">
        <w:rPr>
          <w:rFonts w:ascii="Arial" w:hAnsi="Arial" w:cs="Arial"/>
          <w:sz w:val="22"/>
          <w:szCs w:val="22"/>
          <w:lang w:val="en-AU" w:eastAsia="en-AU"/>
        </w:rPr>
        <w:t xml:space="preserve">Permanently discontinue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 xml:space="preserve">in patients with severe </w:t>
      </w:r>
      <w:r w:rsidR="00E03A8B" w:rsidRPr="003A5EE1">
        <w:rPr>
          <w:rFonts w:ascii="Arial" w:hAnsi="Arial" w:cs="Arial"/>
          <w:sz w:val="22"/>
          <w:szCs w:val="22"/>
          <w:lang w:val="en-AU" w:eastAsia="en-AU"/>
        </w:rPr>
        <w:t>or life-threatening haemorrhage</w:t>
      </w:r>
      <w:r w:rsidR="00C23E1F">
        <w:rPr>
          <w:rFonts w:ascii="Arial" w:hAnsi="Arial" w:cs="Arial"/>
          <w:sz w:val="22"/>
          <w:szCs w:val="22"/>
          <w:lang w:val="en-AU" w:eastAsia="en-AU"/>
        </w:rPr>
        <w:t>.</w:t>
      </w:r>
    </w:p>
    <w:p w14:paraId="712C2798" w14:textId="77777777" w:rsidR="008D4A25" w:rsidRPr="003A5EE1" w:rsidRDefault="005F1132" w:rsidP="00F34FCB">
      <w:pPr>
        <w:pStyle w:val="BayerBodyTextFull"/>
        <w:spacing w:before="0" w:after="0"/>
        <w:rPr>
          <w:rFonts w:ascii="Arial" w:hAnsi="Arial" w:cs="Arial"/>
          <w:sz w:val="22"/>
          <w:szCs w:val="22"/>
          <w:lang w:val="en-GB"/>
        </w:rPr>
      </w:pPr>
      <w:r w:rsidRPr="003A5EE1" w:rsidDel="005F1132">
        <w:rPr>
          <w:rFonts w:ascii="Arial" w:hAnsi="Arial" w:cs="Arial"/>
          <w:sz w:val="22"/>
          <w:szCs w:val="22"/>
        </w:rPr>
        <w:t xml:space="preserve"> </w:t>
      </w:r>
    </w:p>
    <w:p w14:paraId="712C2799" w14:textId="77777777" w:rsidR="00B855C1" w:rsidRPr="00765DA5" w:rsidRDefault="002C2F1E">
      <w:pPr>
        <w:pStyle w:val="Heading3"/>
        <w:rPr>
          <w:rFonts w:ascii="Arial" w:hAnsi="Arial" w:cs="Arial"/>
          <w:sz w:val="22"/>
          <w:szCs w:val="22"/>
        </w:rPr>
      </w:pPr>
      <w:r w:rsidRPr="00765DA5">
        <w:rPr>
          <w:rFonts w:ascii="Arial" w:hAnsi="Arial" w:cs="Arial"/>
          <w:sz w:val="22"/>
          <w:szCs w:val="22"/>
        </w:rPr>
        <w:lastRenderedPageBreak/>
        <w:t>Cardiac ischaemia and infarction</w:t>
      </w:r>
    </w:p>
    <w:p w14:paraId="712C279A" w14:textId="77777777" w:rsidR="008D4A25" w:rsidRPr="003A5EE1" w:rsidRDefault="008D4A25" w:rsidP="00C74B51">
      <w:pPr>
        <w:pStyle w:val="BodyText2"/>
        <w:keepNext/>
        <w:adjustRightInd w:val="0"/>
        <w:spacing w:after="0"/>
        <w:ind w:right="46"/>
        <w:jc w:val="left"/>
        <w:textAlignment w:val="baseline"/>
        <w:rPr>
          <w:rFonts w:ascii="Arial" w:hAnsi="Arial" w:cs="Arial"/>
          <w:i/>
          <w:sz w:val="22"/>
          <w:szCs w:val="22"/>
          <w:lang w:val="en-GB"/>
        </w:rPr>
      </w:pPr>
    </w:p>
    <w:p w14:paraId="712C279B" w14:textId="77777777" w:rsidR="008D4A25" w:rsidRDefault="00601DFC" w:rsidP="00C74B51">
      <w:pPr>
        <w:pStyle w:val="BayerBodyTextFull"/>
        <w:keepNext/>
        <w:spacing w:before="0" w:after="0"/>
        <w:rPr>
          <w:rFonts w:ascii="Arial" w:hAnsi="Arial" w:cs="Arial"/>
          <w:sz w:val="22"/>
          <w:szCs w:val="22"/>
        </w:rPr>
      </w:pPr>
      <w:r>
        <w:rPr>
          <w:rFonts w:ascii="Arial" w:hAnsi="Arial" w:cs="Arial"/>
          <w:sz w:val="22"/>
          <w:szCs w:val="22"/>
          <w:lang w:val="en-GB"/>
        </w:rPr>
        <w:t xml:space="preserve">STIVARGA </w:t>
      </w:r>
      <w:r w:rsidR="002C2F1E" w:rsidRPr="003A5EE1">
        <w:rPr>
          <w:rFonts w:ascii="Arial" w:hAnsi="Arial" w:cs="Arial"/>
          <w:sz w:val="22"/>
          <w:szCs w:val="22"/>
        </w:rPr>
        <w:t xml:space="preserve">has been associated with an increased incidence of myocardial </w:t>
      </w:r>
      <w:proofErr w:type="spellStart"/>
      <w:r w:rsidR="002C2F1E" w:rsidRPr="003A5EE1">
        <w:rPr>
          <w:rFonts w:ascii="Arial" w:hAnsi="Arial" w:cs="Arial"/>
          <w:sz w:val="22"/>
          <w:szCs w:val="22"/>
        </w:rPr>
        <w:t>isch</w:t>
      </w:r>
      <w:r w:rsidR="008D4A25" w:rsidRPr="003A5EE1">
        <w:rPr>
          <w:rFonts w:ascii="Arial" w:hAnsi="Arial" w:cs="Arial"/>
          <w:sz w:val="22"/>
          <w:szCs w:val="22"/>
        </w:rPr>
        <w:t>a</w:t>
      </w:r>
      <w:r w:rsidR="002C2F1E" w:rsidRPr="003A5EE1">
        <w:rPr>
          <w:rFonts w:ascii="Arial" w:hAnsi="Arial" w:cs="Arial"/>
          <w:sz w:val="22"/>
          <w:szCs w:val="22"/>
        </w:rPr>
        <w:t>emia</w:t>
      </w:r>
      <w:proofErr w:type="spellEnd"/>
      <w:r w:rsidR="002C2F1E" w:rsidRPr="003A5EE1">
        <w:rPr>
          <w:rFonts w:ascii="Arial" w:hAnsi="Arial" w:cs="Arial"/>
          <w:sz w:val="22"/>
          <w:szCs w:val="22"/>
        </w:rPr>
        <w:t xml:space="preserve"> and infarction</w:t>
      </w:r>
      <w:r w:rsidR="00537998">
        <w:rPr>
          <w:rFonts w:ascii="Arial" w:hAnsi="Arial" w:cs="Arial"/>
          <w:sz w:val="22"/>
          <w:szCs w:val="22"/>
        </w:rPr>
        <w:t xml:space="preserve"> </w:t>
      </w:r>
      <w:r w:rsidR="002C2F1E" w:rsidRPr="003A5EE1">
        <w:rPr>
          <w:rFonts w:ascii="Arial" w:hAnsi="Arial" w:cs="Arial"/>
          <w:sz w:val="22"/>
          <w:szCs w:val="22"/>
        </w:rPr>
        <w:t>(</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2C2F1E" w:rsidRPr="003A5EE1">
        <w:rPr>
          <w:rFonts w:ascii="Arial" w:hAnsi="Arial" w:cs="Arial"/>
          <w:sz w:val="22"/>
          <w:szCs w:val="22"/>
        </w:rPr>
        <w:t>).</w:t>
      </w:r>
      <w:r w:rsidR="008D4A25" w:rsidRPr="003A5EE1">
        <w:rPr>
          <w:rFonts w:ascii="Arial" w:hAnsi="Arial" w:cs="Arial"/>
          <w:sz w:val="22"/>
          <w:szCs w:val="22"/>
        </w:rPr>
        <w:t xml:space="preserve"> </w:t>
      </w:r>
    </w:p>
    <w:p w14:paraId="712C279C" w14:textId="77777777" w:rsidR="00DE2521" w:rsidRPr="003A5EE1" w:rsidRDefault="00DE2521" w:rsidP="00C74B51">
      <w:pPr>
        <w:pStyle w:val="BayerBodyTextFull"/>
        <w:keepNext/>
        <w:spacing w:before="0" w:after="0"/>
        <w:rPr>
          <w:rFonts w:ascii="Arial" w:hAnsi="Arial" w:cs="Arial"/>
          <w:sz w:val="22"/>
          <w:szCs w:val="22"/>
        </w:rPr>
      </w:pPr>
    </w:p>
    <w:p w14:paraId="712C279D" w14:textId="77777777" w:rsidR="002C2F1E" w:rsidRPr="003A5EE1" w:rsidRDefault="002C2F1E" w:rsidP="00C74B51">
      <w:pPr>
        <w:pStyle w:val="BayerBodyTextFull"/>
        <w:keepNext/>
        <w:spacing w:before="0" w:after="0"/>
        <w:rPr>
          <w:rFonts w:ascii="Arial" w:hAnsi="Arial" w:cs="Arial"/>
          <w:sz w:val="22"/>
          <w:szCs w:val="22"/>
        </w:rPr>
      </w:pPr>
      <w:r w:rsidRPr="003A5EE1">
        <w:rPr>
          <w:rFonts w:ascii="Arial" w:hAnsi="Arial" w:cs="Arial"/>
          <w:sz w:val="22"/>
          <w:szCs w:val="22"/>
        </w:rPr>
        <w:t xml:space="preserve">Patients with a history of </w:t>
      </w:r>
      <w:proofErr w:type="spellStart"/>
      <w:r w:rsidRPr="003A5EE1">
        <w:rPr>
          <w:rFonts w:ascii="Arial" w:hAnsi="Arial" w:cs="Arial"/>
          <w:sz w:val="22"/>
          <w:szCs w:val="22"/>
        </w:rPr>
        <w:t>isch</w:t>
      </w:r>
      <w:r w:rsidR="008D4A25" w:rsidRPr="003A5EE1">
        <w:rPr>
          <w:rFonts w:ascii="Arial" w:hAnsi="Arial" w:cs="Arial"/>
          <w:sz w:val="22"/>
          <w:szCs w:val="22"/>
        </w:rPr>
        <w:t>a</w:t>
      </w:r>
      <w:r w:rsidRPr="003A5EE1">
        <w:rPr>
          <w:rFonts w:ascii="Arial" w:hAnsi="Arial" w:cs="Arial"/>
          <w:sz w:val="22"/>
          <w:szCs w:val="22"/>
        </w:rPr>
        <w:t>emic</w:t>
      </w:r>
      <w:proofErr w:type="spellEnd"/>
      <w:r w:rsidRPr="003A5EE1">
        <w:rPr>
          <w:rFonts w:ascii="Arial" w:hAnsi="Arial" w:cs="Arial"/>
          <w:sz w:val="22"/>
          <w:szCs w:val="22"/>
        </w:rPr>
        <w:t xml:space="preserve"> heart disease should be monitored for clinical signs and symptoms of myocardial </w:t>
      </w:r>
      <w:proofErr w:type="spellStart"/>
      <w:r w:rsidRPr="003A5EE1">
        <w:rPr>
          <w:rFonts w:ascii="Arial" w:hAnsi="Arial" w:cs="Arial"/>
          <w:sz w:val="22"/>
          <w:szCs w:val="22"/>
        </w:rPr>
        <w:t>isch</w:t>
      </w:r>
      <w:r w:rsidR="008D4A25" w:rsidRPr="003A5EE1">
        <w:rPr>
          <w:rFonts w:ascii="Arial" w:hAnsi="Arial" w:cs="Arial"/>
          <w:sz w:val="22"/>
          <w:szCs w:val="22"/>
        </w:rPr>
        <w:t>a</w:t>
      </w:r>
      <w:r w:rsidRPr="003A5EE1">
        <w:rPr>
          <w:rFonts w:ascii="Arial" w:hAnsi="Arial" w:cs="Arial"/>
          <w:sz w:val="22"/>
          <w:szCs w:val="22"/>
        </w:rPr>
        <w:t>emia</w:t>
      </w:r>
      <w:proofErr w:type="spellEnd"/>
      <w:r w:rsidRPr="003A5EE1">
        <w:rPr>
          <w:rFonts w:ascii="Arial" w:hAnsi="Arial" w:cs="Arial"/>
          <w:sz w:val="22"/>
          <w:szCs w:val="22"/>
        </w:rPr>
        <w:t>. In patients who develop</w:t>
      </w:r>
      <w:r w:rsidR="00C23E1F">
        <w:rPr>
          <w:rFonts w:ascii="Arial" w:hAnsi="Arial" w:cs="Arial"/>
          <w:sz w:val="22"/>
          <w:szCs w:val="22"/>
        </w:rPr>
        <w:t xml:space="preserve"> new or acute onset </w:t>
      </w:r>
      <w:r w:rsidRPr="003A5EE1">
        <w:rPr>
          <w:rFonts w:ascii="Arial" w:hAnsi="Arial" w:cs="Arial"/>
          <w:sz w:val="22"/>
          <w:szCs w:val="22"/>
        </w:rPr>
        <w:t xml:space="preserve">cardiac </w:t>
      </w:r>
      <w:proofErr w:type="spellStart"/>
      <w:r w:rsidRPr="003A5EE1">
        <w:rPr>
          <w:rFonts w:ascii="Arial" w:hAnsi="Arial" w:cs="Arial"/>
          <w:sz w:val="22"/>
          <w:szCs w:val="22"/>
        </w:rPr>
        <w:t>isch</w:t>
      </w:r>
      <w:r w:rsidR="008D4A25" w:rsidRPr="003A5EE1">
        <w:rPr>
          <w:rFonts w:ascii="Arial" w:hAnsi="Arial" w:cs="Arial"/>
          <w:sz w:val="22"/>
          <w:szCs w:val="22"/>
        </w:rPr>
        <w:t>a</w:t>
      </w:r>
      <w:r w:rsidRPr="003A5EE1">
        <w:rPr>
          <w:rFonts w:ascii="Arial" w:hAnsi="Arial" w:cs="Arial"/>
          <w:sz w:val="22"/>
          <w:szCs w:val="22"/>
        </w:rPr>
        <w:t>emia</w:t>
      </w:r>
      <w:proofErr w:type="spellEnd"/>
      <w:r w:rsidRPr="003A5EE1">
        <w:rPr>
          <w:rFonts w:ascii="Arial" w:hAnsi="Arial" w:cs="Arial"/>
          <w:sz w:val="22"/>
          <w:szCs w:val="22"/>
        </w:rPr>
        <w:t xml:space="preserve"> and/or infarction, interruption of </w:t>
      </w:r>
      <w:r w:rsidR="00601DFC">
        <w:rPr>
          <w:rFonts w:ascii="Arial" w:hAnsi="Arial" w:cs="Arial"/>
          <w:sz w:val="22"/>
          <w:szCs w:val="22"/>
        </w:rPr>
        <w:t xml:space="preserve">STIVARGA </w:t>
      </w:r>
      <w:r w:rsidRPr="003A5EE1">
        <w:rPr>
          <w:rFonts w:ascii="Arial" w:hAnsi="Arial" w:cs="Arial"/>
          <w:sz w:val="22"/>
          <w:szCs w:val="22"/>
        </w:rPr>
        <w:t xml:space="preserve">is recommended until resolution. The decision to re-initiate </w:t>
      </w:r>
      <w:r w:rsidR="009E6264" w:rsidRPr="003A5EE1">
        <w:rPr>
          <w:rFonts w:ascii="Arial" w:hAnsi="Arial" w:cs="Arial"/>
          <w:sz w:val="22"/>
          <w:szCs w:val="22"/>
        </w:rPr>
        <w:t xml:space="preserve">treatment with </w:t>
      </w:r>
      <w:r w:rsidR="00601DFC">
        <w:rPr>
          <w:rFonts w:ascii="Arial" w:hAnsi="Arial" w:cs="Arial"/>
          <w:sz w:val="22"/>
          <w:szCs w:val="22"/>
        </w:rPr>
        <w:t xml:space="preserve">STIVARGA </w:t>
      </w:r>
      <w:r w:rsidRPr="003A5EE1">
        <w:rPr>
          <w:rFonts w:ascii="Arial" w:hAnsi="Arial" w:cs="Arial"/>
          <w:sz w:val="22"/>
          <w:szCs w:val="22"/>
        </w:rPr>
        <w:t xml:space="preserve">should be based on careful consideration of the potential benefits and risks of the individual patient. </w:t>
      </w:r>
      <w:r w:rsidR="00601DFC">
        <w:rPr>
          <w:rFonts w:ascii="Arial" w:hAnsi="Arial" w:cs="Arial"/>
          <w:sz w:val="22"/>
          <w:szCs w:val="22"/>
        </w:rPr>
        <w:t xml:space="preserve">STIVARGA </w:t>
      </w:r>
      <w:r w:rsidRPr="003A5EE1">
        <w:rPr>
          <w:rFonts w:ascii="Arial" w:hAnsi="Arial" w:cs="Arial"/>
          <w:sz w:val="22"/>
          <w:szCs w:val="22"/>
        </w:rPr>
        <w:t xml:space="preserve">should be permanently discontinued if there is no resolution. </w:t>
      </w:r>
    </w:p>
    <w:p w14:paraId="712C279E" w14:textId="77777777" w:rsidR="008D4A25" w:rsidRPr="003A5EE1" w:rsidRDefault="008D4A25" w:rsidP="00F34FCB">
      <w:pPr>
        <w:pStyle w:val="BayerBodyTextFull"/>
        <w:spacing w:before="0" w:after="0"/>
        <w:rPr>
          <w:rFonts w:ascii="Arial" w:hAnsi="Arial" w:cs="Arial"/>
          <w:sz w:val="22"/>
          <w:szCs w:val="22"/>
        </w:rPr>
      </w:pPr>
    </w:p>
    <w:p w14:paraId="712C279F" w14:textId="77777777" w:rsidR="002C2F1E" w:rsidRPr="003A5EE1" w:rsidRDefault="002C2F1E" w:rsidP="00F34FCB">
      <w:pPr>
        <w:pStyle w:val="BodyText2"/>
        <w:adjustRightInd w:val="0"/>
        <w:spacing w:after="0"/>
        <w:ind w:right="46"/>
        <w:jc w:val="left"/>
        <w:textAlignment w:val="baseline"/>
        <w:rPr>
          <w:rFonts w:ascii="Arial" w:hAnsi="Arial" w:cs="Arial"/>
          <w:b w:val="0"/>
          <w:sz w:val="22"/>
          <w:szCs w:val="22"/>
        </w:rPr>
      </w:pPr>
      <w:r w:rsidRPr="003A5EE1">
        <w:rPr>
          <w:rFonts w:ascii="Arial" w:hAnsi="Arial" w:cs="Arial"/>
          <w:b w:val="0"/>
          <w:sz w:val="22"/>
          <w:szCs w:val="22"/>
        </w:rPr>
        <w:t>No difference</w:t>
      </w:r>
      <w:r w:rsidR="008D4A25" w:rsidRPr="003A5EE1">
        <w:rPr>
          <w:rFonts w:ascii="Arial" w:hAnsi="Arial" w:cs="Arial"/>
          <w:b w:val="0"/>
          <w:sz w:val="22"/>
          <w:szCs w:val="22"/>
        </w:rPr>
        <w:t>s</w:t>
      </w:r>
      <w:r w:rsidRPr="003A5EE1">
        <w:rPr>
          <w:rFonts w:ascii="Arial" w:hAnsi="Arial" w:cs="Arial"/>
          <w:b w:val="0"/>
          <w:sz w:val="22"/>
          <w:szCs w:val="22"/>
        </w:rPr>
        <w:t xml:space="preserve"> </w:t>
      </w:r>
      <w:r w:rsidR="008D4A25" w:rsidRPr="003A5EE1">
        <w:rPr>
          <w:rFonts w:ascii="Arial" w:hAnsi="Arial" w:cs="Arial"/>
          <w:b w:val="0"/>
          <w:sz w:val="22"/>
          <w:szCs w:val="22"/>
        </w:rPr>
        <w:t xml:space="preserve">were observed </w:t>
      </w:r>
      <w:r w:rsidRPr="003A5EE1">
        <w:rPr>
          <w:rFonts w:ascii="Arial" w:hAnsi="Arial" w:cs="Arial"/>
          <w:b w:val="0"/>
          <w:sz w:val="22"/>
          <w:szCs w:val="22"/>
        </w:rPr>
        <w:t xml:space="preserve">between </w:t>
      </w:r>
      <w:r w:rsidR="00601DFC">
        <w:rPr>
          <w:rFonts w:ascii="Arial" w:hAnsi="Arial" w:cs="Arial"/>
          <w:b w:val="0"/>
          <w:sz w:val="22"/>
          <w:szCs w:val="22"/>
        </w:rPr>
        <w:t xml:space="preserve">STIVARGA </w:t>
      </w:r>
      <w:r w:rsidRPr="003A5EE1">
        <w:rPr>
          <w:rFonts w:ascii="Arial" w:hAnsi="Arial" w:cs="Arial"/>
          <w:b w:val="0"/>
          <w:sz w:val="22"/>
          <w:szCs w:val="22"/>
        </w:rPr>
        <w:t>and p</w:t>
      </w:r>
      <w:r w:rsidR="008D4A25" w:rsidRPr="003A5EE1">
        <w:rPr>
          <w:rFonts w:ascii="Arial" w:hAnsi="Arial" w:cs="Arial"/>
          <w:b w:val="0"/>
          <w:sz w:val="22"/>
          <w:szCs w:val="22"/>
        </w:rPr>
        <w:t xml:space="preserve">lacebo </w:t>
      </w:r>
      <w:r w:rsidRPr="003A5EE1">
        <w:rPr>
          <w:rFonts w:ascii="Arial" w:hAnsi="Arial" w:cs="Arial"/>
          <w:b w:val="0"/>
          <w:sz w:val="22"/>
          <w:szCs w:val="22"/>
        </w:rPr>
        <w:t>in the incidence of clinically relevant cardiac arrhythmias or heart failure.</w:t>
      </w:r>
    </w:p>
    <w:p w14:paraId="712C27A0" w14:textId="77777777" w:rsidR="008D4A25" w:rsidRPr="003A5EE1" w:rsidRDefault="008D4A25" w:rsidP="00F34FCB">
      <w:pPr>
        <w:pStyle w:val="BodyText2"/>
        <w:adjustRightInd w:val="0"/>
        <w:spacing w:after="0"/>
        <w:ind w:right="46"/>
        <w:jc w:val="left"/>
        <w:textAlignment w:val="baseline"/>
        <w:rPr>
          <w:rFonts w:ascii="Arial" w:hAnsi="Arial" w:cs="Arial"/>
          <w:b w:val="0"/>
          <w:i/>
          <w:sz w:val="22"/>
          <w:szCs w:val="22"/>
          <w:lang w:val="en-GB"/>
        </w:rPr>
      </w:pPr>
    </w:p>
    <w:p w14:paraId="712C27A1" w14:textId="77777777" w:rsidR="00963DBF" w:rsidRPr="003A5EE1" w:rsidRDefault="002C2F1E" w:rsidP="00456BB6">
      <w:pPr>
        <w:pStyle w:val="Heading3"/>
        <w:rPr>
          <w:rFonts w:ascii="Arial" w:hAnsi="Arial" w:cs="Arial"/>
          <w:sz w:val="22"/>
          <w:szCs w:val="22"/>
          <w:lang w:val="en-AU"/>
        </w:rPr>
      </w:pPr>
      <w:r w:rsidRPr="003A5EE1">
        <w:rPr>
          <w:rFonts w:ascii="Arial" w:hAnsi="Arial" w:cs="Arial"/>
          <w:sz w:val="22"/>
          <w:szCs w:val="22"/>
          <w:lang w:val="en-AU"/>
        </w:rPr>
        <w:t>Reversible Posterior Leukoencephalopathy Syndrome</w:t>
      </w:r>
    </w:p>
    <w:p w14:paraId="712C27A2" w14:textId="77777777" w:rsidR="008D4A25" w:rsidRPr="003A5EE1" w:rsidRDefault="008D4A25" w:rsidP="00F34FCB">
      <w:pPr>
        <w:rPr>
          <w:rFonts w:ascii="Arial" w:hAnsi="Arial" w:cs="Arial"/>
          <w:b/>
          <w:i/>
          <w:sz w:val="22"/>
          <w:szCs w:val="22"/>
          <w:lang w:val="en-AU"/>
        </w:rPr>
      </w:pPr>
    </w:p>
    <w:p w14:paraId="712C27A3" w14:textId="77777777" w:rsidR="008D4A25" w:rsidRPr="003A5EE1" w:rsidRDefault="002C2F1E" w:rsidP="00F34FCB">
      <w:pPr>
        <w:pStyle w:val="BayerBodyTextFull"/>
        <w:spacing w:before="0" w:after="0"/>
        <w:rPr>
          <w:rFonts w:ascii="Arial" w:hAnsi="Arial" w:cs="Arial"/>
          <w:sz w:val="22"/>
          <w:szCs w:val="22"/>
        </w:rPr>
      </w:pPr>
      <w:r w:rsidRPr="003A5EE1">
        <w:rPr>
          <w:rFonts w:ascii="Arial" w:hAnsi="Arial" w:cs="Arial"/>
          <w:sz w:val="22"/>
          <w:szCs w:val="22"/>
        </w:rPr>
        <w:t xml:space="preserve">Reversible Posterior Leukoencephalopathy Syndrome (RPLS) has been reported in association with </w:t>
      </w:r>
      <w:r w:rsidR="00601DFC">
        <w:rPr>
          <w:rFonts w:ascii="Arial" w:hAnsi="Arial" w:cs="Arial"/>
          <w:sz w:val="22"/>
          <w:szCs w:val="22"/>
        </w:rPr>
        <w:t xml:space="preserve">STIVARGA </w:t>
      </w:r>
      <w:r w:rsidRPr="003A5EE1">
        <w:rPr>
          <w:rFonts w:ascii="Arial" w:hAnsi="Arial" w:cs="Arial"/>
          <w:sz w:val="22"/>
          <w:szCs w:val="22"/>
        </w:rPr>
        <w:t>treatment (</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Pr="003A5EE1">
        <w:rPr>
          <w:rFonts w:ascii="Arial" w:hAnsi="Arial" w:cs="Arial"/>
          <w:sz w:val="22"/>
          <w:szCs w:val="22"/>
        </w:rPr>
        <w:t>).</w:t>
      </w:r>
    </w:p>
    <w:p w14:paraId="712C27A4" w14:textId="77777777" w:rsidR="002C2F1E" w:rsidRPr="003A5EE1" w:rsidRDefault="002C2F1E" w:rsidP="00F34FCB">
      <w:pPr>
        <w:pStyle w:val="BayerBodyTextFull"/>
        <w:spacing w:before="0" w:after="0"/>
        <w:rPr>
          <w:rFonts w:ascii="Arial" w:hAnsi="Arial" w:cs="Arial"/>
          <w:sz w:val="22"/>
          <w:szCs w:val="22"/>
        </w:rPr>
      </w:pPr>
    </w:p>
    <w:p w14:paraId="712C27A5" w14:textId="77777777" w:rsidR="008D4A25" w:rsidRPr="003A5EE1" w:rsidRDefault="002C2F1E" w:rsidP="00F34FCB">
      <w:pPr>
        <w:rPr>
          <w:rFonts w:ascii="Arial" w:hAnsi="Arial" w:cs="Arial"/>
          <w:sz w:val="22"/>
          <w:szCs w:val="22"/>
        </w:rPr>
      </w:pPr>
      <w:r w:rsidRPr="003A5EE1">
        <w:rPr>
          <w:rFonts w:ascii="Arial" w:hAnsi="Arial" w:cs="Arial"/>
          <w:sz w:val="22"/>
          <w:szCs w:val="22"/>
        </w:rPr>
        <w:t xml:space="preserve">Signs and symptoms of RPLS include seizures, headache, altered mental status, visual disturbance or cortical blindness, with or without associated hypertension. A diagnosis of RPLS requires confirmation by brain imaging. In patients developing RPLS, discontinuation of </w:t>
      </w:r>
      <w:r w:rsidR="00FF0B8E">
        <w:rPr>
          <w:rFonts w:ascii="Arial" w:hAnsi="Arial" w:cs="Arial"/>
          <w:sz w:val="22"/>
          <w:szCs w:val="22"/>
        </w:rPr>
        <w:t>STIVARGA</w:t>
      </w:r>
      <w:r w:rsidRPr="003A5EE1">
        <w:rPr>
          <w:rFonts w:ascii="Arial" w:hAnsi="Arial" w:cs="Arial"/>
          <w:i/>
          <w:sz w:val="22"/>
          <w:szCs w:val="22"/>
        </w:rPr>
        <w:t>,</w:t>
      </w:r>
      <w:r w:rsidRPr="003A5EE1">
        <w:rPr>
          <w:rFonts w:ascii="Arial" w:hAnsi="Arial" w:cs="Arial"/>
          <w:sz w:val="22"/>
          <w:szCs w:val="22"/>
        </w:rPr>
        <w:t xml:space="preserve"> along with control of hypertension and supportive medical management of other symptoms is recommended. </w:t>
      </w:r>
    </w:p>
    <w:p w14:paraId="712C27A6" w14:textId="77777777" w:rsidR="008D4A25" w:rsidRPr="003A5EE1" w:rsidRDefault="008D4A25" w:rsidP="00F34FCB">
      <w:pPr>
        <w:rPr>
          <w:rFonts w:ascii="Arial" w:hAnsi="Arial" w:cs="Arial"/>
          <w:sz w:val="22"/>
          <w:szCs w:val="22"/>
        </w:rPr>
      </w:pPr>
    </w:p>
    <w:p w14:paraId="712C27A7" w14:textId="77777777" w:rsidR="002C2F1E" w:rsidRPr="003A5EE1" w:rsidRDefault="002C2F1E" w:rsidP="00F34FCB">
      <w:pPr>
        <w:rPr>
          <w:rFonts w:ascii="Arial" w:hAnsi="Arial" w:cs="Arial"/>
          <w:sz w:val="22"/>
          <w:szCs w:val="22"/>
        </w:rPr>
      </w:pPr>
      <w:r w:rsidRPr="003A5EE1">
        <w:rPr>
          <w:rFonts w:ascii="Arial" w:hAnsi="Arial" w:cs="Arial"/>
          <w:sz w:val="22"/>
          <w:szCs w:val="22"/>
        </w:rPr>
        <w:t xml:space="preserve">The safety of re-initiating </w:t>
      </w:r>
      <w:r w:rsidR="00601DFC">
        <w:rPr>
          <w:rFonts w:ascii="Arial" w:hAnsi="Arial" w:cs="Arial"/>
          <w:sz w:val="22"/>
          <w:szCs w:val="22"/>
        </w:rPr>
        <w:t xml:space="preserve">STIVARGA </w:t>
      </w:r>
      <w:r w:rsidRPr="003A5EE1">
        <w:rPr>
          <w:rFonts w:ascii="Arial" w:hAnsi="Arial" w:cs="Arial"/>
          <w:sz w:val="22"/>
          <w:szCs w:val="22"/>
        </w:rPr>
        <w:t xml:space="preserve">therapy in patients </w:t>
      </w:r>
      <w:r w:rsidR="009E63D5" w:rsidRPr="003A5EE1">
        <w:rPr>
          <w:rFonts w:ascii="Arial" w:hAnsi="Arial" w:cs="Arial"/>
          <w:sz w:val="22"/>
          <w:szCs w:val="22"/>
        </w:rPr>
        <w:t xml:space="preserve">having </w:t>
      </w:r>
      <w:r w:rsidRPr="003A5EE1">
        <w:rPr>
          <w:rFonts w:ascii="Arial" w:hAnsi="Arial" w:cs="Arial"/>
          <w:sz w:val="22"/>
          <w:szCs w:val="22"/>
        </w:rPr>
        <w:t>previously experienc</w:t>
      </w:r>
      <w:r w:rsidR="009E63D5" w:rsidRPr="003A5EE1">
        <w:rPr>
          <w:rFonts w:ascii="Arial" w:hAnsi="Arial" w:cs="Arial"/>
          <w:sz w:val="22"/>
          <w:szCs w:val="22"/>
        </w:rPr>
        <w:t>ed</w:t>
      </w:r>
      <w:r w:rsidRPr="003A5EE1">
        <w:rPr>
          <w:rFonts w:ascii="Arial" w:hAnsi="Arial" w:cs="Arial"/>
          <w:sz w:val="22"/>
          <w:szCs w:val="22"/>
        </w:rPr>
        <w:t xml:space="preserve"> RPLS is not known.</w:t>
      </w:r>
    </w:p>
    <w:p w14:paraId="712C27A8" w14:textId="77777777" w:rsidR="00EE78AC" w:rsidRPr="003A5EE1" w:rsidRDefault="00EE78AC" w:rsidP="00F34FCB">
      <w:pPr>
        <w:rPr>
          <w:rFonts w:ascii="Arial" w:hAnsi="Arial" w:cs="Arial"/>
          <w:sz w:val="22"/>
          <w:szCs w:val="22"/>
        </w:rPr>
      </w:pPr>
    </w:p>
    <w:p w14:paraId="712C27A9" w14:textId="77777777" w:rsidR="00E16D20" w:rsidRPr="003A5EE1" w:rsidRDefault="00E16D20" w:rsidP="00E16D20">
      <w:pPr>
        <w:pStyle w:val="Heading3"/>
        <w:ind w:right="46"/>
        <w:jc w:val="left"/>
        <w:rPr>
          <w:rFonts w:ascii="Arial" w:hAnsi="Arial" w:cs="Arial"/>
          <w:sz w:val="22"/>
          <w:szCs w:val="22"/>
          <w:lang w:val="en-AU"/>
        </w:rPr>
      </w:pPr>
      <w:r w:rsidRPr="003A5EE1">
        <w:rPr>
          <w:rFonts w:ascii="Arial" w:hAnsi="Arial" w:cs="Arial"/>
          <w:sz w:val="22"/>
          <w:szCs w:val="22"/>
          <w:lang w:val="en-AU"/>
        </w:rPr>
        <w:t>Gastrointestinal perforation and fistula</w:t>
      </w:r>
    </w:p>
    <w:p w14:paraId="712C27AA" w14:textId="77777777" w:rsidR="00E16D20" w:rsidRPr="003A5EE1" w:rsidRDefault="00E16D20" w:rsidP="00E16D20">
      <w:pPr>
        <w:rPr>
          <w:sz w:val="22"/>
          <w:szCs w:val="22"/>
          <w:lang w:val="en-AU"/>
        </w:rPr>
      </w:pPr>
    </w:p>
    <w:p w14:paraId="712C27AB" w14:textId="77777777" w:rsidR="00493702" w:rsidRPr="003A5EE1" w:rsidRDefault="00E16D20" w:rsidP="00E16D20">
      <w:pPr>
        <w:ind w:right="46"/>
        <w:rPr>
          <w:rFonts w:ascii="Arial" w:hAnsi="Arial" w:cs="Arial"/>
          <w:sz w:val="22"/>
          <w:szCs w:val="22"/>
        </w:rPr>
      </w:pPr>
      <w:r w:rsidRPr="003A5EE1">
        <w:rPr>
          <w:rFonts w:ascii="Arial" w:hAnsi="Arial" w:cs="Arial"/>
          <w:sz w:val="22"/>
          <w:szCs w:val="22"/>
        </w:rPr>
        <w:t xml:space="preserve">Gastrointestinal perforation </w:t>
      </w:r>
      <w:r w:rsidR="00285769">
        <w:rPr>
          <w:rFonts w:ascii="Arial" w:hAnsi="Arial" w:cs="Arial"/>
          <w:sz w:val="22"/>
          <w:szCs w:val="22"/>
        </w:rPr>
        <w:t xml:space="preserve">(including fatal outcomes) </w:t>
      </w:r>
      <w:r w:rsidRPr="003A5EE1">
        <w:rPr>
          <w:rFonts w:ascii="Arial" w:hAnsi="Arial" w:cs="Arial"/>
          <w:sz w:val="22"/>
          <w:szCs w:val="22"/>
        </w:rPr>
        <w:t xml:space="preserve">and fistula have been reported </w:t>
      </w:r>
      <w:r w:rsidR="00233040">
        <w:rPr>
          <w:rFonts w:ascii="Arial" w:hAnsi="Arial" w:cs="Arial"/>
          <w:sz w:val="22"/>
          <w:szCs w:val="22"/>
        </w:rPr>
        <w:t xml:space="preserve">with an increased incidence </w:t>
      </w:r>
      <w:r w:rsidRPr="003A5EE1">
        <w:rPr>
          <w:rFonts w:ascii="Arial" w:hAnsi="Arial" w:cs="Arial"/>
          <w:sz w:val="22"/>
          <w:szCs w:val="22"/>
        </w:rPr>
        <w:t xml:space="preserve">in patients treated with </w:t>
      </w:r>
      <w:r w:rsidR="00601DFC">
        <w:rPr>
          <w:rFonts w:ascii="Arial" w:hAnsi="Arial" w:cs="Arial"/>
          <w:sz w:val="22"/>
          <w:szCs w:val="22"/>
        </w:rPr>
        <w:t xml:space="preserve">STIVARGA </w:t>
      </w:r>
      <w:r w:rsidRPr="003A5EE1">
        <w:rPr>
          <w:rFonts w:ascii="Arial" w:hAnsi="Arial" w:cs="Arial"/>
          <w:sz w:val="22"/>
          <w:szCs w:val="22"/>
        </w:rPr>
        <w:t>(</w:t>
      </w:r>
      <w:r w:rsidR="00537998">
        <w:rPr>
          <w:rFonts w:ascii="Arial" w:hAnsi="Arial" w:cs="Arial"/>
          <w:sz w:val="22"/>
          <w:szCs w:val="22"/>
        </w:rPr>
        <w:t xml:space="preserve">see </w:t>
      </w:r>
      <w:r w:rsidR="00F00CDC">
        <w:rPr>
          <w:rFonts w:ascii="Arial" w:hAnsi="Arial" w:cs="Arial"/>
          <w:sz w:val="22"/>
          <w:szCs w:val="22"/>
        </w:rPr>
        <w:t>ADVERSE EFFECTS</w:t>
      </w:r>
      <w:r w:rsidRPr="003A5EE1">
        <w:rPr>
          <w:rFonts w:ascii="Arial" w:hAnsi="Arial" w:cs="Arial"/>
          <w:sz w:val="22"/>
          <w:szCs w:val="22"/>
        </w:rPr>
        <w:t>). These events are also known to be common disease-related complications in patients with intra-abdominal malignancies.</w:t>
      </w:r>
    </w:p>
    <w:p w14:paraId="712C27AC" w14:textId="77777777" w:rsidR="00E16D20" w:rsidRPr="003A5EE1" w:rsidRDefault="00493702" w:rsidP="00E16D20">
      <w:pPr>
        <w:ind w:right="46"/>
        <w:rPr>
          <w:rFonts w:ascii="Arial" w:hAnsi="Arial" w:cs="Arial"/>
          <w:noProof/>
          <w:sz w:val="22"/>
          <w:szCs w:val="22"/>
          <w:lang w:val="en-AU"/>
        </w:rPr>
      </w:pPr>
      <w:r w:rsidRPr="003A5EE1">
        <w:rPr>
          <w:rFonts w:ascii="Arial" w:hAnsi="Arial" w:cs="Arial"/>
          <w:sz w:val="22"/>
          <w:szCs w:val="22"/>
          <w:lang w:val="en-AU" w:eastAsia="en-AU"/>
        </w:rPr>
        <w:t xml:space="preserve">Permanently discontinue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in patients who develop gastrointestinal perforation or fistula.</w:t>
      </w:r>
    </w:p>
    <w:p w14:paraId="712C27AD" w14:textId="77777777" w:rsidR="00E16D20" w:rsidRPr="003A5EE1" w:rsidRDefault="00E16D20" w:rsidP="0047783E">
      <w:pPr>
        <w:ind w:right="46"/>
        <w:rPr>
          <w:rFonts w:ascii="Arial" w:hAnsi="Arial" w:cs="Arial"/>
          <w:sz w:val="22"/>
          <w:szCs w:val="22"/>
          <w:lang w:val="en-AU"/>
        </w:rPr>
      </w:pPr>
    </w:p>
    <w:p w14:paraId="712C27AE" w14:textId="77777777" w:rsidR="002C2F1E" w:rsidRPr="00765DA5" w:rsidRDefault="002C2F1E" w:rsidP="00765DA5">
      <w:pPr>
        <w:pStyle w:val="Heading3"/>
        <w:rPr>
          <w:rFonts w:ascii="Arial" w:hAnsi="Arial" w:cs="Arial"/>
          <w:sz w:val="22"/>
          <w:szCs w:val="22"/>
          <w:lang w:val="en-AU"/>
        </w:rPr>
      </w:pPr>
      <w:r w:rsidRPr="00765DA5">
        <w:rPr>
          <w:rFonts w:ascii="Arial" w:hAnsi="Arial" w:cs="Arial"/>
          <w:sz w:val="22"/>
          <w:szCs w:val="22"/>
          <w:lang w:val="en-AU"/>
        </w:rPr>
        <w:t>Arterial hypertension</w:t>
      </w:r>
    </w:p>
    <w:p w14:paraId="712C27AF" w14:textId="77777777" w:rsidR="008D4A25" w:rsidRPr="003A5EE1" w:rsidRDefault="008D4A25" w:rsidP="006C3E63">
      <w:pPr>
        <w:keepNext/>
        <w:rPr>
          <w:rFonts w:ascii="Arial" w:hAnsi="Arial" w:cs="Arial"/>
          <w:b/>
          <w:i/>
          <w:sz w:val="22"/>
          <w:szCs w:val="22"/>
          <w:lang w:val="en-AU"/>
        </w:rPr>
      </w:pPr>
    </w:p>
    <w:p w14:paraId="712C27B0" w14:textId="77777777" w:rsidR="00E03A8B" w:rsidRPr="003A5EE1" w:rsidRDefault="00601DFC" w:rsidP="006C3E63">
      <w:pPr>
        <w:keepNext/>
        <w:autoSpaceDE w:val="0"/>
        <w:autoSpaceDN w:val="0"/>
        <w:adjustRightInd w:val="0"/>
        <w:rPr>
          <w:rFonts w:ascii="Arial" w:hAnsi="Arial" w:cs="Arial"/>
          <w:sz w:val="22"/>
          <w:szCs w:val="22"/>
          <w:lang w:val="en-AU" w:eastAsia="en-AU"/>
        </w:rPr>
      </w:pPr>
      <w:r>
        <w:rPr>
          <w:rFonts w:ascii="Arial" w:hAnsi="Arial" w:cs="Arial"/>
          <w:sz w:val="22"/>
          <w:szCs w:val="22"/>
          <w:lang w:val="en-AU"/>
        </w:rPr>
        <w:t xml:space="preserve">STIVARGA </w:t>
      </w:r>
      <w:r w:rsidR="002C2F1E" w:rsidRPr="003A5EE1">
        <w:rPr>
          <w:rFonts w:ascii="Arial" w:hAnsi="Arial" w:cs="Arial"/>
          <w:sz w:val="22"/>
          <w:szCs w:val="22"/>
        </w:rPr>
        <w:t>has been associated with an increased incidence of arterial hypertension (</w:t>
      </w:r>
      <w:r w:rsidR="00E03A8B"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2C2F1E" w:rsidRPr="003A5EE1">
        <w:rPr>
          <w:rFonts w:ascii="Arial" w:hAnsi="Arial" w:cs="Arial"/>
          <w:sz w:val="22"/>
          <w:szCs w:val="22"/>
        </w:rPr>
        <w:t xml:space="preserve">). </w:t>
      </w:r>
      <w:r w:rsidR="00701A0C" w:rsidRPr="003A5EE1">
        <w:rPr>
          <w:rFonts w:ascii="Arial" w:hAnsi="Arial" w:cs="Arial"/>
          <w:sz w:val="22"/>
          <w:szCs w:val="22"/>
          <w:lang w:val="en-AU" w:eastAsia="en-AU"/>
        </w:rPr>
        <w:t xml:space="preserve">The onset of hypertension occurred during the first cycle of treatment in most patients who developed hypertension. </w:t>
      </w:r>
    </w:p>
    <w:p w14:paraId="712C27B1" w14:textId="77777777" w:rsidR="00E03A8B" w:rsidRPr="003A5EE1" w:rsidRDefault="00E03A8B" w:rsidP="006C3E63">
      <w:pPr>
        <w:keepNext/>
        <w:autoSpaceDE w:val="0"/>
        <w:autoSpaceDN w:val="0"/>
        <w:adjustRightInd w:val="0"/>
        <w:rPr>
          <w:rFonts w:ascii="Arial" w:hAnsi="Arial" w:cs="Arial"/>
          <w:sz w:val="22"/>
          <w:szCs w:val="22"/>
          <w:lang w:val="en-AU" w:eastAsia="en-AU"/>
        </w:rPr>
      </w:pPr>
    </w:p>
    <w:p w14:paraId="712C27B2" w14:textId="77777777" w:rsidR="00E03A8B" w:rsidRPr="00D96FE5" w:rsidRDefault="00E03A8B" w:rsidP="006C3E63">
      <w:pPr>
        <w:keepNext/>
        <w:autoSpaceDE w:val="0"/>
        <w:autoSpaceDN w:val="0"/>
        <w:adjustRightInd w:val="0"/>
        <w:rPr>
          <w:rFonts w:ascii="Arial" w:hAnsi="Arial" w:cs="Arial"/>
          <w:sz w:val="22"/>
          <w:szCs w:val="22"/>
          <w:lang w:val="en-AU" w:eastAsia="en-AU"/>
        </w:rPr>
      </w:pPr>
      <w:r w:rsidRPr="00D96FE5">
        <w:rPr>
          <w:rFonts w:ascii="Arial" w:hAnsi="Arial" w:cs="Arial"/>
          <w:sz w:val="22"/>
          <w:szCs w:val="22"/>
          <w:lang w:val="en-AU" w:eastAsia="en-AU"/>
        </w:rPr>
        <w:t xml:space="preserve">Hypertensive crisis was observed in patients treated with </w:t>
      </w:r>
      <w:r w:rsidR="00FF0B8E">
        <w:rPr>
          <w:rFonts w:ascii="Arial" w:hAnsi="Arial" w:cs="Arial"/>
          <w:sz w:val="22"/>
          <w:szCs w:val="22"/>
          <w:lang w:val="en-AU" w:eastAsia="en-AU"/>
        </w:rPr>
        <w:t>STIVARGA</w:t>
      </w:r>
      <w:r w:rsidRPr="00D96FE5">
        <w:rPr>
          <w:rFonts w:ascii="Arial" w:hAnsi="Arial" w:cs="Arial"/>
          <w:sz w:val="22"/>
          <w:szCs w:val="22"/>
          <w:lang w:val="en-AU" w:eastAsia="en-AU"/>
        </w:rPr>
        <w:t xml:space="preserve">. </w:t>
      </w:r>
    </w:p>
    <w:p w14:paraId="712C27B3" w14:textId="77777777" w:rsidR="00E03A8B" w:rsidRPr="00992991" w:rsidRDefault="00E03A8B" w:rsidP="00493702">
      <w:pPr>
        <w:autoSpaceDE w:val="0"/>
        <w:autoSpaceDN w:val="0"/>
        <w:adjustRightInd w:val="0"/>
        <w:rPr>
          <w:rFonts w:ascii="Arial" w:hAnsi="Arial" w:cs="Arial"/>
          <w:sz w:val="22"/>
          <w:szCs w:val="22"/>
          <w:lang w:val="en-AU" w:eastAsia="en-AU"/>
        </w:rPr>
      </w:pPr>
    </w:p>
    <w:p w14:paraId="712C27B4" w14:textId="77777777" w:rsidR="00493702" w:rsidRPr="0092411A" w:rsidRDefault="00701A0C" w:rsidP="00493702">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eastAsia="en-AU"/>
        </w:rPr>
        <w:t xml:space="preserve">Do not initiate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 xml:space="preserve">unless blood pressure is adequately controlled. Monitor blood pressure weekly for the first 6 weeks of treatment and then every cycle, or more frequently, as clinically indicated. Temporarily or permanently withhold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 xml:space="preserve">for severe or uncontrolled </w:t>
      </w:r>
      <w:r w:rsidR="00493702" w:rsidRPr="003A5EE1">
        <w:rPr>
          <w:rFonts w:ascii="Arial" w:hAnsi="Arial" w:cs="Arial"/>
          <w:sz w:val="22"/>
          <w:szCs w:val="22"/>
          <w:lang w:val="en-AU" w:eastAsia="en-AU"/>
        </w:rPr>
        <w:lastRenderedPageBreak/>
        <w:t>hypertension</w:t>
      </w:r>
      <w:r w:rsidR="00E03A8B" w:rsidRPr="003A5EE1">
        <w:rPr>
          <w:rFonts w:ascii="Arial" w:hAnsi="Arial" w:cs="Arial"/>
          <w:sz w:val="22"/>
          <w:szCs w:val="22"/>
          <w:lang w:val="en-AU" w:eastAsia="en-AU"/>
        </w:rPr>
        <w:t xml:space="preserve"> </w:t>
      </w:r>
      <w:r w:rsidR="00E03A8B" w:rsidRPr="003A5EE1">
        <w:rPr>
          <w:rFonts w:ascii="Arial" w:hAnsi="Arial" w:cs="Arial"/>
          <w:sz w:val="22"/>
          <w:szCs w:val="22"/>
        </w:rPr>
        <w:t xml:space="preserve">(see </w:t>
      </w:r>
      <w:r w:rsidR="00F00CDC">
        <w:rPr>
          <w:rFonts w:ascii="Arial" w:hAnsi="Arial" w:cs="Arial"/>
          <w:sz w:val="22"/>
          <w:szCs w:val="22"/>
        </w:rPr>
        <w:t>DOSAGE AND ADMINISTRATION</w:t>
      </w:r>
      <w:r w:rsidR="00E03A8B" w:rsidRPr="003A5EE1">
        <w:rPr>
          <w:rFonts w:ascii="Arial" w:hAnsi="Arial" w:cs="Arial"/>
          <w:sz w:val="22"/>
          <w:szCs w:val="22"/>
        </w:rPr>
        <w:t xml:space="preserve"> – Dose Modification). In case of hypertensive crisis, </w:t>
      </w:r>
      <w:r w:rsidR="00601DFC">
        <w:rPr>
          <w:rFonts w:ascii="Arial" w:hAnsi="Arial" w:cs="Arial"/>
          <w:sz w:val="22"/>
          <w:szCs w:val="22"/>
        </w:rPr>
        <w:t xml:space="preserve">STIVARGA </w:t>
      </w:r>
      <w:r w:rsidR="00E03A8B" w:rsidRPr="003A5EE1">
        <w:rPr>
          <w:rFonts w:ascii="Arial" w:hAnsi="Arial" w:cs="Arial"/>
          <w:sz w:val="22"/>
          <w:szCs w:val="22"/>
        </w:rPr>
        <w:t>should be discontinued</w:t>
      </w:r>
      <w:r w:rsidR="00493702" w:rsidRPr="0092411A">
        <w:rPr>
          <w:rFonts w:ascii="Arial" w:hAnsi="Arial" w:cs="Arial"/>
          <w:sz w:val="22"/>
          <w:szCs w:val="22"/>
          <w:lang w:val="en-AU" w:eastAsia="en-AU"/>
        </w:rPr>
        <w:t>.</w:t>
      </w:r>
    </w:p>
    <w:p w14:paraId="712C27B5" w14:textId="77777777" w:rsidR="00493702" w:rsidRPr="0092411A" w:rsidRDefault="00493702" w:rsidP="00493702">
      <w:pPr>
        <w:autoSpaceDE w:val="0"/>
        <w:autoSpaceDN w:val="0"/>
        <w:adjustRightInd w:val="0"/>
        <w:rPr>
          <w:rFonts w:ascii="Arial" w:hAnsi="Arial" w:cs="Arial"/>
          <w:sz w:val="22"/>
          <w:szCs w:val="22"/>
          <w:lang w:val="en-AU" w:eastAsia="en-AU"/>
        </w:rPr>
      </w:pPr>
    </w:p>
    <w:p w14:paraId="712C27B6" w14:textId="77777777" w:rsidR="001D1004" w:rsidRPr="003A5EE1" w:rsidRDefault="002C2F1E" w:rsidP="00CF7423">
      <w:pPr>
        <w:pStyle w:val="Heading3"/>
        <w:ind w:right="46"/>
        <w:jc w:val="left"/>
        <w:rPr>
          <w:rFonts w:ascii="Arial" w:hAnsi="Arial" w:cs="Arial"/>
          <w:bCs w:val="0"/>
          <w:sz w:val="22"/>
          <w:szCs w:val="22"/>
          <w:lang w:val="en-AU"/>
        </w:rPr>
      </w:pPr>
      <w:r w:rsidRPr="003A5EE1">
        <w:rPr>
          <w:rFonts w:ascii="Arial" w:hAnsi="Arial" w:cs="Arial"/>
          <w:bCs w:val="0"/>
          <w:sz w:val="22"/>
          <w:szCs w:val="22"/>
          <w:lang w:val="en-AU"/>
        </w:rPr>
        <w:t>Wound healing complications</w:t>
      </w:r>
    </w:p>
    <w:p w14:paraId="712C27B7" w14:textId="77777777" w:rsidR="008D4A25" w:rsidRPr="003A5EE1" w:rsidRDefault="008D4A25" w:rsidP="00CF7423">
      <w:pPr>
        <w:rPr>
          <w:rFonts w:ascii="Arial" w:hAnsi="Arial" w:cs="Arial"/>
          <w:sz w:val="22"/>
          <w:szCs w:val="22"/>
          <w:lang w:val="en-AU"/>
        </w:rPr>
      </w:pPr>
    </w:p>
    <w:p w14:paraId="712C27B8" w14:textId="77777777" w:rsidR="00E03A8B" w:rsidRPr="003A5EE1" w:rsidRDefault="002C2F1E" w:rsidP="002149CB">
      <w:pPr>
        <w:rPr>
          <w:rFonts w:ascii="Arial" w:hAnsi="Arial" w:cs="Arial"/>
          <w:sz w:val="22"/>
          <w:szCs w:val="22"/>
        </w:rPr>
      </w:pPr>
      <w:r w:rsidRPr="003A5EE1">
        <w:rPr>
          <w:rFonts w:ascii="Arial" w:hAnsi="Arial" w:cs="Arial"/>
          <w:sz w:val="22"/>
          <w:szCs w:val="22"/>
        </w:rPr>
        <w:t xml:space="preserve">No formal studies of the effect of </w:t>
      </w:r>
      <w:r w:rsidR="00601DFC">
        <w:rPr>
          <w:rFonts w:ascii="Arial" w:hAnsi="Arial" w:cs="Arial"/>
          <w:sz w:val="22"/>
          <w:szCs w:val="22"/>
        </w:rPr>
        <w:t xml:space="preserve">STIVARGA </w:t>
      </w:r>
      <w:r w:rsidRPr="003A5EE1">
        <w:rPr>
          <w:rFonts w:ascii="Arial" w:hAnsi="Arial" w:cs="Arial"/>
          <w:sz w:val="22"/>
          <w:szCs w:val="22"/>
        </w:rPr>
        <w:t xml:space="preserve">on wound healing have been conducted. </w:t>
      </w:r>
      <w:r w:rsidR="008D4A25" w:rsidRPr="003A5EE1">
        <w:rPr>
          <w:rFonts w:ascii="Arial" w:hAnsi="Arial" w:cs="Arial"/>
          <w:sz w:val="22"/>
          <w:szCs w:val="22"/>
        </w:rPr>
        <w:t>However, medicines</w:t>
      </w:r>
      <w:r w:rsidRPr="003A5EE1">
        <w:rPr>
          <w:rFonts w:ascii="Arial" w:hAnsi="Arial" w:cs="Arial"/>
          <w:sz w:val="22"/>
          <w:szCs w:val="22"/>
        </w:rPr>
        <w:t xml:space="preserve"> with anti-angiogenic properties may suppress or interfere with wound </w:t>
      </w:r>
      <w:r w:rsidR="008D4A25" w:rsidRPr="003A5EE1">
        <w:rPr>
          <w:rFonts w:ascii="Arial" w:hAnsi="Arial" w:cs="Arial"/>
          <w:sz w:val="22"/>
          <w:szCs w:val="22"/>
        </w:rPr>
        <w:t>healing;</w:t>
      </w:r>
      <w:r w:rsidRPr="003A5EE1">
        <w:rPr>
          <w:rFonts w:ascii="Arial" w:hAnsi="Arial" w:cs="Arial"/>
          <w:sz w:val="22"/>
          <w:szCs w:val="22"/>
        </w:rPr>
        <w:t xml:space="preserve"> </w:t>
      </w:r>
      <w:r w:rsidR="002149CB">
        <w:rPr>
          <w:rFonts w:ascii="Arial" w:hAnsi="Arial" w:cs="Arial"/>
          <w:sz w:val="22"/>
          <w:szCs w:val="22"/>
        </w:rPr>
        <w:t xml:space="preserve">treatment with </w:t>
      </w:r>
      <w:proofErr w:type="spellStart"/>
      <w:r w:rsidR="002149CB">
        <w:rPr>
          <w:rFonts w:ascii="Arial" w:hAnsi="Arial" w:cs="Arial"/>
          <w:sz w:val="22"/>
          <w:szCs w:val="22"/>
        </w:rPr>
        <w:t>regorafenib</w:t>
      </w:r>
      <w:proofErr w:type="spellEnd"/>
      <w:r w:rsidR="002149CB">
        <w:rPr>
          <w:rFonts w:ascii="Arial" w:hAnsi="Arial" w:cs="Arial"/>
          <w:sz w:val="22"/>
          <w:szCs w:val="22"/>
        </w:rPr>
        <w:t xml:space="preserve"> should be stopped at least 2 weeks prior to scheduled surgery. The decision to resume</w:t>
      </w:r>
      <w:r w:rsidR="00537998">
        <w:rPr>
          <w:rFonts w:ascii="Arial" w:hAnsi="Arial" w:cs="Arial"/>
          <w:sz w:val="22"/>
          <w:szCs w:val="22"/>
        </w:rPr>
        <w:t xml:space="preserve"> treatment</w:t>
      </w:r>
      <w:r w:rsidR="002149CB">
        <w:rPr>
          <w:rFonts w:ascii="Arial" w:hAnsi="Arial" w:cs="Arial"/>
          <w:sz w:val="22"/>
          <w:szCs w:val="22"/>
        </w:rPr>
        <w:t xml:space="preserve"> after surgery should be based on clinical judgement of adequate wound healing. </w:t>
      </w:r>
    </w:p>
    <w:p w14:paraId="712C27B9" w14:textId="77777777" w:rsidR="00E03A8B" w:rsidRPr="00D96FE5" w:rsidRDefault="00E03A8B" w:rsidP="00CF7423">
      <w:pPr>
        <w:rPr>
          <w:rFonts w:ascii="Arial" w:hAnsi="Arial" w:cs="Arial"/>
          <w:sz w:val="22"/>
          <w:szCs w:val="22"/>
        </w:rPr>
      </w:pPr>
    </w:p>
    <w:p w14:paraId="712C27BA" w14:textId="77777777" w:rsidR="004538C6" w:rsidRPr="003A5EE1" w:rsidRDefault="00601DFC" w:rsidP="00CF7423">
      <w:pPr>
        <w:rPr>
          <w:rFonts w:ascii="Arial" w:hAnsi="Arial" w:cs="Arial"/>
          <w:sz w:val="22"/>
          <w:szCs w:val="22"/>
        </w:rPr>
      </w:pPr>
      <w:r>
        <w:rPr>
          <w:rFonts w:ascii="Arial" w:hAnsi="Arial" w:cs="Arial"/>
          <w:sz w:val="22"/>
          <w:szCs w:val="22"/>
          <w:lang w:val="en-AU" w:eastAsia="en-AU"/>
        </w:rPr>
        <w:t xml:space="preserve">STIVARGA </w:t>
      </w:r>
      <w:r w:rsidR="00C32BA7" w:rsidRPr="003A5EE1">
        <w:rPr>
          <w:rFonts w:ascii="Arial" w:hAnsi="Arial" w:cs="Arial"/>
          <w:sz w:val="22"/>
          <w:szCs w:val="22"/>
          <w:lang w:val="en-AU" w:eastAsia="en-AU"/>
        </w:rPr>
        <w:t>should be discontinued in patients with wound dehiscence.</w:t>
      </w:r>
    </w:p>
    <w:p w14:paraId="712C27BB" w14:textId="77777777" w:rsidR="008D4A25" w:rsidRPr="003A5EE1" w:rsidRDefault="008D4A25" w:rsidP="00CF7423">
      <w:pPr>
        <w:rPr>
          <w:rFonts w:ascii="Arial" w:hAnsi="Arial" w:cs="Arial"/>
          <w:i/>
          <w:sz w:val="22"/>
          <w:szCs w:val="22"/>
        </w:rPr>
      </w:pPr>
    </w:p>
    <w:p w14:paraId="712C27BC" w14:textId="77777777" w:rsidR="001D1004" w:rsidRPr="003A5EE1" w:rsidRDefault="002C2F1E" w:rsidP="00C34AF3">
      <w:pPr>
        <w:pStyle w:val="Heading3"/>
        <w:ind w:right="46"/>
        <w:jc w:val="left"/>
        <w:rPr>
          <w:rFonts w:ascii="Arial" w:hAnsi="Arial" w:cs="Arial"/>
          <w:bCs w:val="0"/>
          <w:sz w:val="22"/>
          <w:szCs w:val="22"/>
          <w:lang w:val="en-AU"/>
        </w:rPr>
      </w:pPr>
      <w:r w:rsidRPr="003A5EE1">
        <w:rPr>
          <w:rFonts w:ascii="Arial" w:hAnsi="Arial" w:cs="Arial"/>
          <w:bCs w:val="0"/>
          <w:sz w:val="22"/>
          <w:szCs w:val="22"/>
          <w:lang w:val="en-AU"/>
        </w:rPr>
        <w:t xml:space="preserve">Dermatological toxicity </w:t>
      </w:r>
    </w:p>
    <w:p w14:paraId="712C27BD" w14:textId="77777777" w:rsidR="008D4A25" w:rsidRPr="003A5EE1" w:rsidRDefault="008D4A25" w:rsidP="00C34AF3">
      <w:pPr>
        <w:keepNext/>
        <w:rPr>
          <w:sz w:val="22"/>
          <w:szCs w:val="22"/>
          <w:lang w:val="en-AU"/>
        </w:rPr>
      </w:pPr>
    </w:p>
    <w:p w14:paraId="712C27BE" w14:textId="77777777" w:rsidR="008D79FC" w:rsidRPr="00AB3B28" w:rsidRDefault="002B70DA" w:rsidP="00B803D9">
      <w:pPr>
        <w:autoSpaceDE w:val="0"/>
        <w:autoSpaceDN w:val="0"/>
        <w:adjustRightInd w:val="0"/>
        <w:rPr>
          <w:rFonts w:ascii="Arial" w:hAnsi="Arial" w:cs="Arial"/>
          <w:sz w:val="22"/>
          <w:szCs w:val="22"/>
        </w:rPr>
      </w:pPr>
      <w:r w:rsidRPr="0047783E">
        <w:rPr>
          <w:rStyle w:val="CommentReference"/>
          <w:rFonts w:ascii="Arial" w:hAnsi="Arial" w:cs="Arial"/>
          <w:sz w:val="22"/>
          <w:szCs w:val="22"/>
        </w:rPr>
        <w:t>H</w:t>
      </w:r>
      <w:r w:rsidR="002C2F1E" w:rsidRPr="00A149EB">
        <w:rPr>
          <w:rFonts w:ascii="Arial" w:hAnsi="Arial" w:cs="Arial"/>
          <w:sz w:val="22"/>
          <w:szCs w:val="22"/>
        </w:rPr>
        <w:t>and</w:t>
      </w:r>
      <w:r w:rsidR="002C2F1E" w:rsidRPr="003A5EE1">
        <w:rPr>
          <w:rFonts w:ascii="Arial" w:hAnsi="Arial" w:cs="Arial"/>
          <w:sz w:val="22"/>
          <w:szCs w:val="22"/>
        </w:rPr>
        <w:t>-foot skin reaction (HFSR)</w:t>
      </w:r>
      <w:r w:rsidR="008D4A25" w:rsidRPr="003A5EE1">
        <w:rPr>
          <w:rFonts w:ascii="Arial" w:hAnsi="Arial" w:cs="Arial"/>
          <w:sz w:val="22"/>
          <w:szCs w:val="22"/>
        </w:rPr>
        <w:t xml:space="preserve">/palmar-plantar </w:t>
      </w:r>
      <w:proofErr w:type="spellStart"/>
      <w:r w:rsidR="002C2F1E" w:rsidRPr="003A5EE1">
        <w:rPr>
          <w:rFonts w:ascii="Arial" w:hAnsi="Arial" w:cs="Arial"/>
          <w:sz w:val="22"/>
          <w:szCs w:val="22"/>
        </w:rPr>
        <w:t>erythrodys</w:t>
      </w:r>
      <w:r w:rsidR="009E63D5" w:rsidRPr="003A5EE1">
        <w:rPr>
          <w:rFonts w:ascii="Arial" w:hAnsi="Arial" w:cs="Arial"/>
          <w:sz w:val="22"/>
          <w:szCs w:val="22"/>
        </w:rPr>
        <w:t>a</w:t>
      </w:r>
      <w:r w:rsidR="002C2F1E" w:rsidRPr="003A5EE1">
        <w:rPr>
          <w:rFonts w:ascii="Arial" w:hAnsi="Arial" w:cs="Arial"/>
          <w:sz w:val="22"/>
          <w:szCs w:val="22"/>
        </w:rPr>
        <w:t>esthesia</w:t>
      </w:r>
      <w:proofErr w:type="spellEnd"/>
      <w:r w:rsidR="002C2F1E" w:rsidRPr="003A5EE1">
        <w:rPr>
          <w:rFonts w:ascii="Arial" w:hAnsi="Arial" w:cs="Arial"/>
          <w:sz w:val="22"/>
          <w:szCs w:val="22"/>
        </w:rPr>
        <w:t xml:space="preserve"> syndrome</w:t>
      </w:r>
      <w:r w:rsidR="00520D28">
        <w:rPr>
          <w:rFonts w:ascii="Arial" w:hAnsi="Arial" w:cs="Arial"/>
          <w:sz w:val="22"/>
          <w:szCs w:val="22"/>
        </w:rPr>
        <w:t xml:space="preserve"> (PPE)</w:t>
      </w:r>
      <w:r w:rsidR="002C2F1E" w:rsidRPr="003A5EE1">
        <w:rPr>
          <w:rFonts w:ascii="Arial" w:hAnsi="Arial" w:cs="Arial"/>
          <w:sz w:val="22"/>
          <w:szCs w:val="22"/>
        </w:rPr>
        <w:t xml:space="preserve">) and rash represent the most frequently observed dermatological adverse drug reactions with </w:t>
      </w:r>
      <w:r w:rsidR="00601DFC">
        <w:rPr>
          <w:rFonts w:ascii="Arial" w:hAnsi="Arial" w:cs="Arial"/>
          <w:sz w:val="22"/>
          <w:szCs w:val="22"/>
        </w:rPr>
        <w:t xml:space="preserve">STIVARGA </w:t>
      </w:r>
      <w:r w:rsidR="002C2F1E" w:rsidRPr="003A5EE1">
        <w:rPr>
          <w:rFonts w:ascii="Arial" w:hAnsi="Arial" w:cs="Arial"/>
          <w:sz w:val="22"/>
          <w:szCs w:val="22"/>
        </w:rPr>
        <w:t>(</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2C2F1E" w:rsidRPr="003A5EE1">
        <w:rPr>
          <w:rFonts w:ascii="Arial" w:hAnsi="Arial" w:cs="Arial"/>
          <w:sz w:val="22"/>
          <w:szCs w:val="22"/>
        </w:rPr>
        <w:t xml:space="preserve">). </w:t>
      </w:r>
    </w:p>
    <w:p w14:paraId="712C27BF" w14:textId="77777777" w:rsidR="008D79FC" w:rsidRPr="003A5EE1" w:rsidRDefault="008D79FC" w:rsidP="008D79FC">
      <w:pPr>
        <w:autoSpaceDE w:val="0"/>
        <w:autoSpaceDN w:val="0"/>
        <w:adjustRightInd w:val="0"/>
        <w:rPr>
          <w:rFonts w:ascii="Arial" w:hAnsi="Arial" w:cs="Arial"/>
          <w:sz w:val="22"/>
          <w:szCs w:val="22"/>
        </w:rPr>
      </w:pPr>
    </w:p>
    <w:p w14:paraId="712C27C0" w14:textId="77777777" w:rsidR="008D4A25" w:rsidRPr="003A5EE1" w:rsidRDefault="002C2F1E" w:rsidP="008D79FC">
      <w:pPr>
        <w:autoSpaceDE w:val="0"/>
        <w:autoSpaceDN w:val="0"/>
        <w:adjustRightInd w:val="0"/>
        <w:rPr>
          <w:rFonts w:ascii="Arial" w:hAnsi="Arial" w:cs="Arial"/>
          <w:sz w:val="22"/>
          <w:szCs w:val="22"/>
        </w:rPr>
      </w:pPr>
      <w:r w:rsidRPr="003A5EE1">
        <w:rPr>
          <w:rFonts w:ascii="Arial" w:hAnsi="Arial" w:cs="Arial"/>
          <w:sz w:val="22"/>
          <w:szCs w:val="22"/>
        </w:rPr>
        <w:t xml:space="preserve">Measures for the prevention of HFSR include control of calluses and use of shoe cushions and gloves to prevent pressure stress to soles and palms. </w:t>
      </w:r>
    </w:p>
    <w:p w14:paraId="712C27C1" w14:textId="77777777" w:rsidR="008D4A25" w:rsidRPr="003A5EE1" w:rsidRDefault="008D4A25" w:rsidP="00C14601">
      <w:pPr>
        <w:rPr>
          <w:rFonts w:ascii="Arial" w:hAnsi="Arial" w:cs="Arial"/>
          <w:sz w:val="22"/>
          <w:szCs w:val="22"/>
        </w:rPr>
      </w:pPr>
    </w:p>
    <w:p w14:paraId="712C27C2" w14:textId="77777777" w:rsidR="008D79FC" w:rsidRPr="003A5EE1" w:rsidRDefault="002C2F1E" w:rsidP="00C14601">
      <w:pPr>
        <w:rPr>
          <w:rFonts w:ascii="Arial" w:hAnsi="Arial" w:cs="Arial"/>
          <w:sz w:val="22"/>
          <w:szCs w:val="22"/>
        </w:rPr>
      </w:pPr>
      <w:r w:rsidRPr="003A5EE1">
        <w:rPr>
          <w:rFonts w:ascii="Arial" w:hAnsi="Arial" w:cs="Arial"/>
          <w:sz w:val="22"/>
          <w:szCs w:val="22"/>
        </w:rPr>
        <w:t xml:space="preserve">Management of HFSR may include the use of </w:t>
      </w:r>
      <w:proofErr w:type="spellStart"/>
      <w:r w:rsidRPr="003A5EE1">
        <w:rPr>
          <w:rFonts w:ascii="Arial" w:hAnsi="Arial" w:cs="Arial"/>
          <w:sz w:val="22"/>
          <w:szCs w:val="22"/>
        </w:rPr>
        <w:t>keratolytic</w:t>
      </w:r>
      <w:proofErr w:type="spellEnd"/>
      <w:r w:rsidRPr="003A5EE1">
        <w:rPr>
          <w:rFonts w:ascii="Arial" w:hAnsi="Arial" w:cs="Arial"/>
          <w:sz w:val="22"/>
          <w:szCs w:val="22"/>
        </w:rPr>
        <w:t xml:space="preserve"> creams (</w:t>
      </w:r>
      <w:r w:rsidR="00E16D20" w:rsidRPr="003A5EE1">
        <w:rPr>
          <w:rFonts w:ascii="Arial" w:hAnsi="Arial" w:cs="Arial"/>
          <w:sz w:val="22"/>
          <w:szCs w:val="22"/>
        </w:rPr>
        <w:t xml:space="preserve">e.g. urea-, salicylic acid-, or alpha hydroxyl acid-based creams </w:t>
      </w:r>
      <w:r w:rsidRPr="003A5EE1">
        <w:rPr>
          <w:rFonts w:ascii="Arial" w:hAnsi="Arial" w:cs="Arial"/>
          <w:sz w:val="22"/>
          <w:szCs w:val="22"/>
        </w:rPr>
        <w:t xml:space="preserve">applied sparingly only on affected areas), </w:t>
      </w:r>
      <w:r w:rsidR="00E16D20" w:rsidRPr="003A5EE1">
        <w:rPr>
          <w:rFonts w:ascii="Arial" w:hAnsi="Arial" w:cs="Arial"/>
          <w:sz w:val="22"/>
          <w:szCs w:val="22"/>
        </w:rPr>
        <w:t xml:space="preserve">and moisturising </w:t>
      </w:r>
      <w:r w:rsidRPr="003A5EE1">
        <w:rPr>
          <w:rFonts w:ascii="Arial" w:hAnsi="Arial" w:cs="Arial"/>
          <w:sz w:val="22"/>
          <w:szCs w:val="22"/>
        </w:rPr>
        <w:t xml:space="preserve">creams </w:t>
      </w:r>
      <w:r w:rsidR="00E16D20" w:rsidRPr="003A5EE1">
        <w:rPr>
          <w:rFonts w:ascii="Arial" w:hAnsi="Arial" w:cs="Arial"/>
          <w:sz w:val="22"/>
          <w:szCs w:val="22"/>
        </w:rPr>
        <w:t>(</w:t>
      </w:r>
      <w:r w:rsidRPr="003A5EE1">
        <w:rPr>
          <w:rFonts w:ascii="Arial" w:hAnsi="Arial" w:cs="Arial"/>
          <w:sz w:val="22"/>
          <w:szCs w:val="22"/>
        </w:rPr>
        <w:t>applied liberally</w:t>
      </w:r>
      <w:r w:rsidR="00E16D20" w:rsidRPr="003A5EE1">
        <w:rPr>
          <w:rFonts w:ascii="Arial" w:hAnsi="Arial" w:cs="Arial"/>
          <w:sz w:val="22"/>
          <w:szCs w:val="22"/>
        </w:rPr>
        <w:t>)</w:t>
      </w:r>
      <w:r w:rsidRPr="003A5EE1">
        <w:rPr>
          <w:rFonts w:ascii="Arial" w:hAnsi="Arial" w:cs="Arial"/>
          <w:sz w:val="22"/>
          <w:szCs w:val="22"/>
        </w:rPr>
        <w:t xml:space="preserve"> for symptomatic relief. </w:t>
      </w:r>
    </w:p>
    <w:p w14:paraId="712C27C3" w14:textId="77777777" w:rsidR="008D79FC" w:rsidRPr="003A5EE1" w:rsidRDefault="008D79FC" w:rsidP="00C14601">
      <w:pPr>
        <w:rPr>
          <w:rFonts w:ascii="Arial" w:hAnsi="Arial" w:cs="Arial"/>
          <w:sz w:val="22"/>
          <w:szCs w:val="22"/>
        </w:rPr>
      </w:pPr>
    </w:p>
    <w:p w14:paraId="712C27C4" w14:textId="77777777" w:rsidR="008D79FC" w:rsidRPr="003A5EE1" w:rsidRDefault="00B523DE" w:rsidP="00C14601">
      <w:pPr>
        <w:rPr>
          <w:rFonts w:ascii="Arial" w:hAnsi="Arial" w:cs="Arial"/>
          <w:sz w:val="22"/>
          <w:szCs w:val="22"/>
        </w:rPr>
      </w:pPr>
      <w:r>
        <w:rPr>
          <w:rFonts w:ascii="Arial" w:hAnsi="Arial" w:cs="Arial"/>
          <w:sz w:val="22"/>
          <w:szCs w:val="22"/>
          <w:lang w:val="en-AU" w:eastAsia="en-AU"/>
        </w:rPr>
        <w:t>Stevens-Johnson syndrome and t</w:t>
      </w:r>
      <w:r w:rsidR="008D79FC" w:rsidRPr="003A5EE1">
        <w:rPr>
          <w:rFonts w:ascii="Arial" w:hAnsi="Arial" w:cs="Arial"/>
          <w:sz w:val="22"/>
          <w:szCs w:val="22"/>
          <w:lang w:val="en-AU" w:eastAsia="en-AU"/>
        </w:rPr>
        <w:t xml:space="preserve">oxic epidermal </w:t>
      </w:r>
      <w:proofErr w:type="spellStart"/>
      <w:r w:rsidR="008D79FC" w:rsidRPr="003A5EE1">
        <w:rPr>
          <w:rFonts w:ascii="Arial" w:hAnsi="Arial" w:cs="Arial"/>
          <w:sz w:val="22"/>
          <w:szCs w:val="22"/>
          <w:lang w:val="en-AU" w:eastAsia="en-AU"/>
        </w:rPr>
        <w:t>necrolysis</w:t>
      </w:r>
      <w:proofErr w:type="spellEnd"/>
      <w:r w:rsidR="008D79FC" w:rsidRPr="003A5EE1">
        <w:rPr>
          <w:rFonts w:ascii="Arial" w:hAnsi="Arial" w:cs="Arial"/>
          <w:sz w:val="22"/>
          <w:szCs w:val="22"/>
          <w:lang w:val="en-AU" w:eastAsia="en-AU"/>
        </w:rPr>
        <w:t xml:space="preserve"> w</w:t>
      </w:r>
      <w:r>
        <w:rPr>
          <w:rFonts w:ascii="Arial" w:hAnsi="Arial" w:cs="Arial"/>
          <w:sz w:val="22"/>
          <w:szCs w:val="22"/>
          <w:lang w:val="en-AU" w:eastAsia="en-AU"/>
        </w:rPr>
        <w:t>ere rarely</w:t>
      </w:r>
      <w:r w:rsidR="008D79FC" w:rsidRPr="003A5EE1">
        <w:rPr>
          <w:rFonts w:ascii="Arial" w:hAnsi="Arial" w:cs="Arial"/>
          <w:sz w:val="22"/>
          <w:szCs w:val="22"/>
          <w:lang w:val="en-AU" w:eastAsia="en-AU"/>
        </w:rPr>
        <w:t xml:space="preserve"> observed in patients treated with </w:t>
      </w:r>
      <w:r w:rsidR="00CF2684">
        <w:rPr>
          <w:rFonts w:ascii="Arial" w:hAnsi="Arial" w:cs="Arial"/>
          <w:sz w:val="22"/>
          <w:szCs w:val="22"/>
          <w:lang w:val="en-AU" w:eastAsia="en-AU"/>
        </w:rPr>
        <w:t>STIVARGA</w:t>
      </w:r>
      <w:r w:rsidR="008D79FC" w:rsidRPr="003A5EE1">
        <w:rPr>
          <w:rFonts w:ascii="Arial" w:hAnsi="Arial" w:cs="Arial"/>
          <w:sz w:val="22"/>
          <w:szCs w:val="22"/>
          <w:lang w:val="en-AU" w:eastAsia="en-AU"/>
        </w:rPr>
        <w:t xml:space="preserve">. </w:t>
      </w:r>
    </w:p>
    <w:p w14:paraId="712C27C5" w14:textId="77777777" w:rsidR="008D79FC" w:rsidRPr="003A5EE1" w:rsidRDefault="008D79FC" w:rsidP="00C14601">
      <w:pPr>
        <w:rPr>
          <w:rFonts w:ascii="Arial" w:hAnsi="Arial" w:cs="Arial"/>
          <w:sz w:val="22"/>
          <w:szCs w:val="22"/>
        </w:rPr>
      </w:pPr>
    </w:p>
    <w:p w14:paraId="712C27C6" w14:textId="77777777" w:rsidR="00AB3B28" w:rsidRDefault="002C2F1E" w:rsidP="00B803D9">
      <w:pPr>
        <w:autoSpaceDE w:val="0"/>
        <w:autoSpaceDN w:val="0"/>
        <w:adjustRightInd w:val="0"/>
        <w:rPr>
          <w:rFonts w:ascii="Arial" w:hAnsi="Arial" w:cs="Arial"/>
          <w:color w:val="000000"/>
          <w:sz w:val="22"/>
          <w:szCs w:val="22"/>
        </w:rPr>
      </w:pPr>
      <w:r w:rsidRPr="003A5EE1">
        <w:rPr>
          <w:rFonts w:ascii="Arial" w:hAnsi="Arial" w:cs="Arial"/>
          <w:sz w:val="22"/>
          <w:szCs w:val="22"/>
        </w:rPr>
        <w:t xml:space="preserve">Dose reduction and/or temporary interruption of </w:t>
      </w:r>
      <w:r w:rsidR="00601DFC">
        <w:rPr>
          <w:rFonts w:ascii="Arial" w:hAnsi="Arial" w:cs="Arial"/>
          <w:sz w:val="22"/>
          <w:szCs w:val="22"/>
        </w:rPr>
        <w:t>STIVARGA</w:t>
      </w:r>
      <w:r w:rsidRPr="003A5EE1">
        <w:rPr>
          <w:rFonts w:ascii="Arial" w:hAnsi="Arial" w:cs="Arial"/>
          <w:sz w:val="22"/>
          <w:szCs w:val="22"/>
        </w:rPr>
        <w:t xml:space="preserve">, or in severe or persistent cases, permanent discontinuation of </w:t>
      </w:r>
      <w:r w:rsidR="00601DFC">
        <w:rPr>
          <w:rFonts w:ascii="Arial" w:hAnsi="Arial" w:cs="Arial"/>
          <w:sz w:val="22"/>
          <w:szCs w:val="22"/>
        </w:rPr>
        <w:t xml:space="preserve">STIVARGA </w:t>
      </w:r>
      <w:r w:rsidRPr="003A5EE1">
        <w:rPr>
          <w:rFonts w:ascii="Arial" w:hAnsi="Arial" w:cs="Arial"/>
          <w:sz w:val="22"/>
          <w:szCs w:val="22"/>
        </w:rPr>
        <w:t>should be considered (</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DOSAGE AND ADMINISTRATION</w:t>
      </w:r>
      <w:r w:rsidRPr="003A5EE1">
        <w:rPr>
          <w:rFonts w:ascii="Arial" w:hAnsi="Arial" w:cs="Arial"/>
          <w:sz w:val="22"/>
          <w:szCs w:val="22"/>
        </w:rPr>
        <w:t>–</w:t>
      </w:r>
      <w:r w:rsidR="008D4A25" w:rsidRPr="003A5EE1">
        <w:rPr>
          <w:rFonts w:ascii="Arial" w:hAnsi="Arial" w:cs="Arial"/>
          <w:sz w:val="22"/>
          <w:szCs w:val="22"/>
        </w:rPr>
        <w:t xml:space="preserve"> </w:t>
      </w:r>
      <w:hyperlink w:anchor="_Dose_modification" w:history="1">
        <w:r w:rsidRPr="003A5EE1">
          <w:rPr>
            <w:rFonts w:ascii="Arial" w:hAnsi="Arial" w:cs="Arial"/>
            <w:sz w:val="22"/>
            <w:szCs w:val="22"/>
          </w:rPr>
          <w:t>Dose modification</w:t>
        </w:r>
      </w:hyperlink>
      <w:r w:rsidRPr="003A5EE1">
        <w:rPr>
          <w:rFonts w:ascii="Arial" w:hAnsi="Arial" w:cs="Arial"/>
          <w:sz w:val="22"/>
          <w:szCs w:val="22"/>
        </w:rPr>
        <w:t>).</w:t>
      </w:r>
    </w:p>
    <w:p w14:paraId="712C27C7" w14:textId="77777777" w:rsidR="00ED1BB4" w:rsidRPr="003A5EE1" w:rsidRDefault="00ED1BB4" w:rsidP="00B803D9">
      <w:pPr>
        <w:autoSpaceDE w:val="0"/>
        <w:autoSpaceDN w:val="0"/>
        <w:adjustRightInd w:val="0"/>
        <w:rPr>
          <w:rFonts w:ascii="Arial" w:hAnsi="Arial" w:cs="Arial"/>
          <w:sz w:val="22"/>
          <w:szCs w:val="22"/>
        </w:rPr>
      </w:pPr>
    </w:p>
    <w:p w14:paraId="712C27C8" w14:textId="77777777" w:rsidR="009E6264" w:rsidRPr="00765DA5" w:rsidRDefault="009E6264" w:rsidP="00765DA5">
      <w:pPr>
        <w:pStyle w:val="Heading3"/>
        <w:rPr>
          <w:rFonts w:ascii="Arial" w:hAnsi="Arial" w:cs="Arial"/>
          <w:sz w:val="22"/>
          <w:szCs w:val="22"/>
          <w:lang w:val="en-AU" w:eastAsia="en-AU"/>
        </w:rPr>
      </w:pPr>
      <w:r w:rsidRPr="00765DA5">
        <w:rPr>
          <w:rFonts w:ascii="Arial" w:hAnsi="Arial" w:cs="Arial"/>
          <w:sz w:val="22"/>
          <w:szCs w:val="22"/>
          <w:lang w:val="en-AU" w:eastAsia="en-AU"/>
        </w:rPr>
        <w:t xml:space="preserve">Biochemical and metabolic laboratory test abnormalities </w:t>
      </w:r>
    </w:p>
    <w:p w14:paraId="712C27C9" w14:textId="77777777" w:rsidR="009E6264" w:rsidRPr="003A5EE1" w:rsidRDefault="009E6264" w:rsidP="009E6264">
      <w:pPr>
        <w:autoSpaceDE w:val="0"/>
        <w:autoSpaceDN w:val="0"/>
        <w:adjustRightInd w:val="0"/>
        <w:rPr>
          <w:rFonts w:ascii="Arial" w:hAnsi="Arial" w:cs="Arial"/>
          <w:i/>
          <w:color w:val="000000"/>
          <w:sz w:val="22"/>
          <w:szCs w:val="22"/>
          <w:lang w:val="en-AU" w:eastAsia="en-AU"/>
        </w:rPr>
      </w:pPr>
    </w:p>
    <w:p w14:paraId="712C27CA" w14:textId="77777777" w:rsidR="00E03A8B" w:rsidRPr="003A5EE1" w:rsidRDefault="00601DFC" w:rsidP="009E6264">
      <w:pPr>
        <w:rPr>
          <w:rFonts w:ascii="Arial" w:hAnsi="Arial" w:cs="Arial"/>
          <w:color w:val="000000"/>
          <w:sz w:val="22"/>
          <w:szCs w:val="22"/>
          <w:lang w:val="en-AU" w:eastAsia="en-AU"/>
        </w:rPr>
      </w:pPr>
      <w:r>
        <w:rPr>
          <w:rFonts w:ascii="Arial" w:hAnsi="Arial" w:cs="Arial"/>
          <w:iCs/>
          <w:color w:val="000000"/>
          <w:sz w:val="22"/>
          <w:szCs w:val="22"/>
          <w:lang w:val="en-AU" w:eastAsia="en-AU"/>
        </w:rPr>
        <w:t xml:space="preserve">STIVARGA </w:t>
      </w:r>
      <w:r w:rsidR="009E6264" w:rsidRPr="003A5EE1">
        <w:rPr>
          <w:rFonts w:ascii="Arial" w:hAnsi="Arial" w:cs="Arial"/>
          <w:color w:val="000000"/>
          <w:sz w:val="22"/>
          <w:szCs w:val="22"/>
          <w:lang w:val="en-AU" w:eastAsia="en-AU"/>
        </w:rPr>
        <w:t xml:space="preserve">has been associated with an increased incidence of electrolyte abnormalities (including hypophosphatemia, hypocalcaemia, hyponatremia and hypokalaemia) and metabolic abnormalities (including increases in thyroid stimulating hormone, lipase and amylase). </w:t>
      </w:r>
    </w:p>
    <w:p w14:paraId="712C27CB" w14:textId="77777777" w:rsidR="00E03A8B" w:rsidRPr="00D96FE5" w:rsidRDefault="00E03A8B" w:rsidP="009E6264">
      <w:pPr>
        <w:rPr>
          <w:rFonts w:ascii="Arial" w:hAnsi="Arial" w:cs="Arial"/>
          <w:color w:val="000000"/>
          <w:sz w:val="22"/>
          <w:szCs w:val="22"/>
          <w:lang w:val="en-AU" w:eastAsia="en-AU"/>
        </w:rPr>
      </w:pPr>
    </w:p>
    <w:p w14:paraId="712C27CC" w14:textId="77777777" w:rsidR="009E6264" w:rsidRPr="003A5EE1" w:rsidRDefault="009E6264" w:rsidP="009E6264">
      <w:pPr>
        <w:rPr>
          <w:rFonts w:ascii="Arial" w:hAnsi="Arial" w:cs="Arial"/>
          <w:color w:val="000000"/>
          <w:sz w:val="22"/>
          <w:szCs w:val="22"/>
          <w:lang w:val="en-AU" w:eastAsia="en-AU"/>
        </w:rPr>
      </w:pPr>
      <w:r w:rsidRPr="003A5EE1">
        <w:rPr>
          <w:rFonts w:ascii="Arial" w:hAnsi="Arial" w:cs="Arial"/>
          <w:color w:val="000000"/>
          <w:sz w:val="22"/>
          <w:szCs w:val="22"/>
          <w:lang w:val="en-AU" w:eastAsia="en-AU"/>
        </w:rPr>
        <w:t xml:space="preserve">The abnormalities are generally mild to moderate severity, not associated with clinical manifestations, and do not usually require dose interruptions or reductions. It is recommended to monitor biochemical and metabolic parameters during </w:t>
      </w:r>
      <w:r w:rsidR="00601DFC">
        <w:rPr>
          <w:rFonts w:ascii="Arial" w:hAnsi="Arial" w:cs="Arial"/>
          <w:color w:val="000000"/>
          <w:sz w:val="22"/>
          <w:szCs w:val="22"/>
          <w:lang w:val="en-AU" w:eastAsia="en-AU"/>
        </w:rPr>
        <w:t xml:space="preserve">STIVARGA </w:t>
      </w:r>
      <w:r w:rsidRPr="003A5EE1">
        <w:rPr>
          <w:rFonts w:ascii="Arial" w:hAnsi="Arial" w:cs="Arial"/>
          <w:color w:val="000000"/>
          <w:sz w:val="22"/>
          <w:szCs w:val="22"/>
          <w:lang w:val="en-AU" w:eastAsia="en-AU"/>
        </w:rPr>
        <w:t xml:space="preserve">treatment and to institute appropriate replacement therapy according to standard clinical practice if required. </w:t>
      </w:r>
    </w:p>
    <w:p w14:paraId="712C27CD" w14:textId="77777777" w:rsidR="009E6264" w:rsidRPr="003A5EE1" w:rsidRDefault="009E6264" w:rsidP="009E6264">
      <w:pPr>
        <w:rPr>
          <w:rFonts w:ascii="Arial" w:hAnsi="Arial" w:cs="Arial"/>
          <w:color w:val="000000"/>
          <w:sz w:val="22"/>
          <w:szCs w:val="22"/>
          <w:lang w:val="en-AU" w:eastAsia="en-AU"/>
        </w:rPr>
      </w:pPr>
    </w:p>
    <w:p w14:paraId="712C27CE" w14:textId="77777777" w:rsidR="009E6264" w:rsidRPr="003A5EE1" w:rsidRDefault="009E6264" w:rsidP="009E6264">
      <w:pPr>
        <w:rPr>
          <w:rFonts w:ascii="Arial" w:hAnsi="Arial" w:cs="Arial"/>
          <w:sz w:val="22"/>
          <w:szCs w:val="22"/>
          <w:lang w:val="en-AU" w:eastAsia="en-AU"/>
        </w:rPr>
      </w:pPr>
      <w:r w:rsidRPr="003A5EE1">
        <w:rPr>
          <w:rFonts w:ascii="Arial" w:hAnsi="Arial" w:cs="Arial"/>
          <w:color w:val="000000"/>
          <w:sz w:val="22"/>
          <w:szCs w:val="22"/>
          <w:lang w:val="en-AU" w:eastAsia="en-AU"/>
        </w:rPr>
        <w:t xml:space="preserve">Dose interruption or reduction, or permanent discontinuation of </w:t>
      </w:r>
      <w:r w:rsidR="00601DFC">
        <w:rPr>
          <w:rFonts w:ascii="Arial" w:hAnsi="Arial" w:cs="Arial"/>
          <w:iCs/>
          <w:color w:val="000000"/>
          <w:sz w:val="22"/>
          <w:szCs w:val="22"/>
          <w:lang w:val="en-AU" w:eastAsia="en-AU"/>
        </w:rPr>
        <w:t xml:space="preserve">STIVARGA </w:t>
      </w:r>
      <w:r w:rsidRPr="003A5EE1">
        <w:rPr>
          <w:rFonts w:ascii="Arial" w:hAnsi="Arial" w:cs="Arial"/>
          <w:color w:val="000000"/>
          <w:sz w:val="22"/>
          <w:szCs w:val="22"/>
          <w:lang w:val="en-AU" w:eastAsia="en-AU"/>
        </w:rPr>
        <w:t>should be considered in case of persistent or recurrent significant abnormalities (</w:t>
      </w:r>
      <w:r w:rsidR="008D79FC" w:rsidRPr="003A5EE1">
        <w:rPr>
          <w:rFonts w:ascii="Arial" w:hAnsi="Arial" w:cs="Arial"/>
          <w:color w:val="000000"/>
          <w:sz w:val="22"/>
          <w:szCs w:val="22"/>
          <w:lang w:val="en-AU" w:eastAsia="en-AU"/>
        </w:rPr>
        <w:t>see</w:t>
      </w:r>
      <w:r w:rsidRPr="003A5EE1">
        <w:rPr>
          <w:rFonts w:ascii="Arial" w:hAnsi="Arial" w:cs="Arial"/>
          <w:sz w:val="22"/>
          <w:szCs w:val="22"/>
          <w:lang w:val="en-AU" w:eastAsia="en-AU"/>
        </w:rPr>
        <w:t xml:space="preserve"> </w:t>
      </w:r>
      <w:r w:rsidR="00F00CDC">
        <w:rPr>
          <w:rFonts w:ascii="Arial" w:hAnsi="Arial" w:cs="Arial"/>
          <w:sz w:val="22"/>
          <w:szCs w:val="22"/>
          <w:lang w:val="en-AU" w:eastAsia="en-AU"/>
        </w:rPr>
        <w:t>DOSAGE AND ADMINISTRATION</w:t>
      </w:r>
      <w:r w:rsidRPr="003A5EE1">
        <w:rPr>
          <w:rFonts w:ascii="Arial" w:hAnsi="Arial" w:cs="Arial"/>
          <w:sz w:val="22"/>
          <w:szCs w:val="22"/>
          <w:lang w:val="en-AU" w:eastAsia="en-AU"/>
        </w:rPr>
        <w:t xml:space="preserve"> - Dose modification). </w:t>
      </w:r>
    </w:p>
    <w:p w14:paraId="712C27CF" w14:textId="77777777" w:rsidR="009E6264" w:rsidRPr="003A5EE1" w:rsidRDefault="009E6264" w:rsidP="009E6264">
      <w:pPr>
        <w:rPr>
          <w:sz w:val="22"/>
          <w:szCs w:val="22"/>
        </w:rPr>
      </w:pPr>
    </w:p>
    <w:p w14:paraId="712C27D0" w14:textId="77777777" w:rsidR="001D1004" w:rsidRPr="003A5EE1" w:rsidRDefault="001D1004" w:rsidP="00CF7423">
      <w:pPr>
        <w:pStyle w:val="Heading3"/>
        <w:ind w:right="46"/>
        <w:jc w:val="left"/>
        <w:rPr>
          <w:rFonts w:ascii="Arial" w:hAnsi="Arial" w:cs="Arial"/>
          <w:sz w:val="22"/>
          <w:szCs w:val="22"/>
          <w:lang w:val="en-AU"/>
        </w:rPr>
      </w:pPr>
      <w:r w:rsidRPr="003A5EE1">
        <w:rPr>
          <w:rFonts w:ascii="Arial" w:hAnsi="Arial" w:cs="Arial"/>
          <w:sz w:val="22"/>
          <w:szCs w:val="22"/>
          <w:lang w:val="en-AU"/>
        </w:rPr>
        <w:t>Effects on Fertility</w:t>
      </w:r>
    </w:p>
    <w:p w14:paraId="712C27D1" w14:textId="77777777" w:rsidR="008D4A25" w:rsidRPr="003A5EE1" w:rsidRDefault="008D4A25" w:rsidP="00CF7423">
      <w:pPr>
        <w:rPr>
          <w:sz w:val="22"/>
          <w:szCs w:val="22"/>
          <w:lang w:val="en-AU"/>
        </w:rPr>
      </w:pPr>
    </w:p>
    <w:p w14:paraId="712C27D2" w14:textId="77777777" w:rsidR="003051BF" w:rsidRDefault="00D13105" w:rsidP="00CF7423">
      <w:pPr>
        <w:ind w:right="46"/>
        <w:rPr>
          <w:rFonts w:ascii="Arial" w:hAnsi="Arial" w:cs="Arial"/>
          <w:sz w:val="22"/>
          <w:szCs w:val="22"/>
          <w:lang w:val="en-AU" w:eastAsia="de-DE"/>
        </w:rPr>
      </w:pPr>
      <w:r w:rsidRPr="003A5EE1">
        <w:rPr>
          <w:rFonts w:ascii="Arial" w:hAnsi="Arial" w:cs="Arial"/>
          <w:sz w:val="22"/>
          <w:szCs w:val="22"/>
          <w:lang w:val="en-AU" w:eastAsia="de-DE"/>
        </w:rPr>
        <w:lastRenderedPageBreak/>
        <w:t xml:space="preserve">There is no data on the effect of </w:t>
      </w:r>
      <w:r w:rsidR="00601DFC">
        <w:rPr>
          <w:rFonts w:ascii="Arial" w:hAnsi="Arial" w:cs="Arial"/>
          <w:sz w:val="22"/>
          <w:szCs w:val="22"/>
          <w:lang w:val="en-AU" w:eastAsia="de-DE"/>
        </w:rPr>
        <w:t xml:space="preserve">STIVARGA </w:t>
      </w:r>
      <w:r w:rsidRPr="003A5EE1">
        <w:rPr>
          <w:rFonts w:ascii="Arial" w:hAnsi="Arial" w:cs="Arial"/>
          <w:sz w:val="22"/>
          <w:szCs w:val="22"/>
          <w:lang w:val="en-AU" w:eastAsia="de-DE"/>
        </w:rPr>
        <w:t xml:space="preserve">on human fertility. </w:t>
      </w:r>
      <w:r w:rsidR="00DC4328" w:rsidRPr="003A5EE1">
        <w:rPr>
          <w:rFonts w:ascii="Arial" w:hAnsi="Arial" w:cs="Arial"/>
          <w:sz w:val="22"/>
          <w:szCs w:val="22"/>
          <w:lang w:val="en-AU" w:eastAsia="de-DE"/>
        </w:rPr>
        <w:t xml:space="preserve">Based on histological changes (mostly atrophic) in the testes, ovaries and uterus observed after repeated dosing with </w:t>
      </w:r>
      <w:proofErr w:type="spellStart"/>
      <w:r w:rsidR="00DC4328" w:rsidRPr="003A5EE1">
        <w:rPr>
          <w:rFonts w:ascii="Arial" w:hAnsi="Arial" w:cs="Arial"/>
          <w:sz w:val="22"/>
          <w:szCs w:val="22"/>
          <w:lang w:val="en-AU" w:eastAsia="de-DE"/>
        </w:rPr>
        <w:t>regorafenib</w:t>
      </w:r>
      <w:proofErr w:type="spellEnd"/>
      <w:r w:rsidR="00DC4328" w:rsidRPr="003A5EE1">
        <w:rPr>
          <w:rFonts w:ascii="Arial" w:hAnsi="Arial" w:cs="Arial"/>
          <w:sz w:val="22"/>
          <w:szCs w:val="22"/>
          <w:lang w:val="en-AU" w:eastAsia="de-DE"/>
        </w:rPr>
        <w:t xml:space="preserve"> in rats and dogs at exposures below the anticipated human exposure (based on AUC), </w:t>
      </w:r>
      <w:proofErr w:type="spellStart"/>
      <w:r w:rsidR="00DC4328" w:rsidRPr="003A5EE1">
        <w:rPr>
          <w:rFonts w:ascii="Arial" w:hAnsi="Arial" w:cs="Arial"/>
          <w:sz w:val="22"/>
          <w:szCs w:val="22"/>
          <w:lang w:val="en-AU" w:eastAsia="de-DE"/>
        </w:rPr>
        <w:t>regorafenib</w:t>
      </w:r>
      <w:proofErr w:type="spellEnd"/>
      <w:r w:rsidR="00DC4328" w:rsidRPr="003A5EE1">
        <w:rPr>
          <w:rFonts w:ascii="Arial" w:hAnsi="Arial" w:cs="Arial"/>
          <w:sz w:val="22"/>
          <w:szCs w:val="22"/>
          <w:lang w:val="en-AU" w:eastAsia="de-DE"/>
        </w:rPr>
        <w:t xml:space="preserve"> has the potential to adversely affect male and female reproduction in humans. </w:t>
      </w:r>
    </w:p>
    <w:p w14:paraId="27C5839F" w14:textId="77777777" w:rsidR="007A45D1" w:rsidRPr="003A5EE1" w:rsidRDefault="007A45D1" w:rsidP="00CF7423">
      <w:pPr>
        <w:ind w:right="46"/>
        <w:rPr>
          <w:rFonts w:ascii="Arial" w:hAnsi="Arial" w:cs="Arial"/>
          <w:sz w:val="22"/>
          <w:szCs w:val="22"/>
          <w:lang w:val="en-AU" w:eastAsia="de-DE"/>
        </w:rPr>
      </w:pPr>
    </w:p>
    <w:p w14:paraId="712C27D3" w14:textId="77777777" w:rsidR="00D13105" w:rsidRDefault="00D13105" w:rsidP="002E54D9">
      <w:pPr>
        <w:ind w:right="46"/>
        <w:rPr>
          <w:rFonts w:ascii="Arial" w:hAnsi="Arial" w:cs="Arial"/>
          <w:sz w:val="22"/>
          <w:szCs w:val="22"/>
        </w:rPr>
      </w:pPr>
      <w:r w:rsidRPr="003A5EE1">
        <w:rPr>
          <w:rFonts w:ascii="Arial" w:hAnsi="Arial" w:cs="Arial"/>
          <w:sz w:val="22"/>
          <w:szCs w:val="22"/>
        </w:rPr>
        <w:t xml:space="preserve">Women of childbearing potential must be informed that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may cause </w:t>
      </w:r>
      <w:proofErr w:type="spellStart"/>
      <w:r w:rsidRPr="003A5EE1">
        <w:rPr>
          <w:rFonts w:ascii="Arial" w:hAnsi="Arial" w:cs="Arial"/>
          <w:sz w:val="22"/>
          <w:szCs w:val="22"/>
        </w:rPr>
        <w:t>fetal</w:t>
      </w:r>
      <w:proofErr w:type="spellEnd"/>
      <w:r w:rsidRPr="003A5EE1">
        <w:rPr>
          <w:rFonts w:ascii="Arial" w:hAnsi="Arial" w:cs="Arial"/>
          <w:sz w:val="22"/>
          <w:szCs w:val="22"/>
        </w:rPr>
        <w:t xml:space="preserve"> harm. </w:t>
      </w:r>
    </w:p>
    <w:p w14:paraId="712C27D4" w14:textId="77777777" w:rsidR="006B7A11" w:rsidRPr="003A5EE1" w:rsidRDefault="006B7A11" w:rsidP="002E54D9">
      <w:pPr>
        <w:ind w:right="46"/>
        <w:rPr>
          <w:rFonts w:ascii="Arial" w:hAnsi="Arial" w:cs="Arial"/>
          <w:sz w:val="22"/>
          <w:szCs w:val="22"/>
        </w:rPr>
      </w:pPr>
    </w:p>
    <w:p w14:paraId="712C27D5" w14:textId="77777777" w:rsidR="001D1004" w:rsidRPr="003A5EE1" w:rsidRDefault="001D1004" w:rsidP="00082837">
      <w:pPr>
        <w:pStyle w:val="Heading3"/>
        <w:ind w:right="46"/>
        <w:jc w:val="left"/>
        <w:rPr>
          <w:rFonts w:ascii="Arial" w:hAnsi="Arial" w:cs="Arial"/>
          <w:sz w:val="22"/>
          <w:szCs w:val="22"/>
          <w:lang w:val="en-AU"/>
        </w:rPr>
      </w:pPr>
      <w:r w:rsidRPr="003A5EE1">
        <w:rPr>
          <w:rFonts w:ascii="Arial" w:hAnsi="Arial" w:cs="Arial"/>
          <w:sz w:val="22"/>
          <w:szCs w:val="22"/>
          <w:lang w:val="en-AU"/>
        </w:rPr>
        <w:t>Use in Pregnancy</w:t>
      </w:r>
    </w:p>
    <w:p w14:paraId="712C27D6" w14:textId="77777777" w:rsidR="008D4A25" w:rsidRPr="003A5EE1" w:rsidRDefault="008D4A25" w:rsidP="0047783E">
      <w:pPr>
        <w:keepNext/>
        <w:rPr>
          <w:sz w:val="22"/>
          <w:szCs w:val="22"/>
          <w:lang w:val="en-AU"/>
        </w:rPr>
      </w:pPr>
    </w:p>
    <w:p w14:paraId="712C27D7" w14:textId="77777777" w:rsidR="001D1004" w:rsidRPr="003A5EE1" w:rsidRDefault="001D1004" w:rsidP="0047783E">
      <w:pPr>
        <w:keepNext/>
        <w:ind w:right="46"/>
        <w:rPr>
          <w:rFonts w:ascii="Arial" w:hAnsi="Arial" w:cs="Arial"/>
          <w:sz w:val="22"/>
          <w:szCs w:val="22"/>
          <w:lang w:val="en-AU"/>
        </w:rPr>
      </w:pPr>
      <w:proofErr w:type="gramStart"/>
      <w:r w:rsidRPr="003A5EE1">
        <w:rPr>
          <w:rFonts w:ascii="Arial" w:hAnsi="Arial" w:cs="Arial"/>
          <w:sz w:val="22"/>
          <w:szCs w:val="22"/>
          <w:lang w:val="en-AU"/>
        </w:rPr>
        <w:t xml:space="preserve">Pregnancy Category </w:t>
      </w:r>
      <w:r w:rsidR="00D13105" w:rsidRPr="003A5EE1">
        <w:rPr>
          <w:rFonts w:ascii="Arial" w:hAnsi="Arial" w:cs="Arial"/>
          <w:sz w:val="22"/>
          <w:szCs w:val="22"/>
          <w:lang w:val="en-AU"/>
        </w:rPr>
        <w:t>D</w:t>
      </w:r>
      <w:r w:rsidR="008D4A25" w:rsidRPr="003A5EE1">
        <w:rPr>
          <w:rFonts w:ascii="Arial" w:hAnsi="Arial" w:cs="Arial"/>
          <w:sz w:val="22"/>
          <w:szCs w:val="22"/>
          <w:lang w:val="en-AU"/>
        </w:rPr>
        <w:t>.</w:t>
      </w:r>
      <w:proofErr w:type="gramEnd"/>
    </w:p>
    <w:p w14:paraId="712C27D8" w14:textId="77777777" w:rsidR="008D4A25" w:rsidRPr="003A5EE1" w:rsidRDefault="008D4A25" w:rsidP="00CF7423">
      <w:pPr>
        <w:ind w:right="46"/>
        <w:rPr>
          <w:rFonts w:ascii="Arial" w:hAnsi="Arial" w:cs="Arial"/>
          <w:sz w:val="22"/>
          <w:szCs w:val="22"/>
          <w:lang w:val="en-AU"/>
        </w:rPr>
      </w:pPr>
    </w:p>
    <w:p w14:paraId="712C27D9" w14:textId="77777777" w:rsidR="008D4A25" w:rsidRPr="003A5EE1" w:rsidRDefault="00EA74F1" w:rsidP="00CF7423">
      <w:pPr>
        <w:pStyle w:val="BayerBodyTextFull"/>
        <w:spacing w:before="0" w:after="0"/>
        <w:rPr>
          <w:rFonts w:ascii="Arial" w:hAnsi="Arial" w:cs="Arial"/>
          <w:sz w:val="22"/>
          <w:szCs w:val="22"/>
        </w:rPr>
      </w:pPr>
      <w:r w:rsidRPr="003A5EE1">
        <w:rPr>
          <w:rFonts w:ascii="Arial" w:hAnsi="Arial" w:cs="Arial"/>
          <w:sz w:val="22"/>
          <w:szCs w:val="22"/>
        </w:rPr>
        <w:t xml:space="preserve">There are no adequate or well-controlled studies with </w:t>
      </w:r>
      <w:r w:rsidR="00601DFC">
        <w:rPr>
          <w:rFonts w:ascii="Arial" w:hAnsi="Arial" w:cs="Arial"/>
          <w:sz w:val="22"/>
          <w:szCs w:val="22"/>
        </w:rPr>
        <w:t xml:space="preserve">STIVARGA </w:t>
      </w:r>
      <w:r w:rsidRPr="003A5EE1">
        <w:rPr>
          <w:rFonts w:ascii="Arial" w:hAnsi="Arial" w:cs="Arial"/>
          <w:sz w:val="22"/>
          <w:szCs w:val="22"/>
        </w:rPr>
        <w:t xml:space="preserve">in pregnant women. Based on its mechanism of action and findings in animal studies,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may cause fetal harm when administered during pregnancy.  </w:t>
      </w:r>
    </w:p>
    <w:p w14:paraId="712C27DA" w14:textId="77777777" w:rsidR="00C162D8" w:rsidRPr="003A5EE1" w:rsidRDefault="00C162D8" w:rsidP="00CF7423">
      <w:pPr>
        <w:pStyle w:val="BayerBodyTextFull"/>
        <w:spacing w:before="0" w:after="0"/>
        <w:rPr>
          <w:rFonts w:ascii="Arial" w:hAnsi="Arial" w:cs="Arial"/>
          <w:sz w:val="22"/>
          <w:szCs w:val="22"/>
        </w:rPr>
      </w:pPr>
    </w:p>
    <w:p w14:paraId="712C27DB" w14:textId="77777777" w:rsidR="006C3E63" w:rsidRDefault="00EA74F1" w:rsidP="00CF7423">
      <w:pPr>
        <w:pStyle w:val="BayerBodyTextFull"/>
        <w:spacing w:before="0" w:after="0"/>
        <w:rPr>
          <w:rFonts w:ascii="Arial" w:hAnsi="Arial" w:cs="Arial"/>
          <w:sz w:val="22"/>
          <w:szCs w:val="22"/>
        </w:rPr>
      </w:pPr>
      <w:r w:rsidRPr="003A5EE1">
        <w:rPr>
          <w:rFonts w:ascii="Arial" w:hAnsi="Arial" w:cs="Arial"/>
          <w:sz w:val="22"/>
          <w:szCs w:val="22"/>
        </w:rPr>
        <w:t>A teratogenic effect was obse</w:t>
      </w:r>
      <w:r w:rsidR="00E16AE7" w:rsidRPr="003A5EE1">
        <w:rPr>
          <w:rFonts w:ascii="Arial" w:hAnsi="Arial" w:cs="Arial"/>
          <w:sz w:val="22"/>
          <w:szCs w:val="22"/>
        </w:rPr>
        <w:t>rved in</w:t>
      </w:r>
      <w:r w:rsidRPr="003A5EE1">
        <w:rPr>
          <w:rFonts w:ascii="Arial" w:hAnsi="Arial" w:cs="Arial"/>
          <w:sz w:val="22"/>
          <w:szCs w:val="22"/>
        </w:rPr>
        <w:t xml:space="preserve"> pregnant rats and rabbits treated orally with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during the period of organogenesis </w:t>
      </w:r>
      <w:r w:rsidR="008D4A25" w:rsidRPr="003A5EE1">
        <w:rPr>
          <w:rFonts w:ascii="Arial" w:hAnsi="Arial" w:cs="Arial"/>
          <w:sz w:val="22"/>
          <w:szCs w:val="22"/>
        </w:rPr>
        <w:t xml:space="preserve">at exposures below the anticipated human exposure </w:t>
      </w:r>
      <w:r w:rsidR="008D4A25" w:rsidRPr="003A5EE1">
        <w:rPr>
          <w:rFonts w:ascii="Arial" w:hAnsi="Arial" w:cs="Arial"/>
          <w:sz w:val="22"/>
          <w:szCs w:val="22"/>
          <w:lang w:val="en-GB" w:eastAsia="ja-JP"/>
        </w:rPr>
        <w:t>(based on AUC</w:t>
      </w:r>
      <w:r w:rsidR="008D4A25" w:rsidRPr="003A5EE1">
        <w:rPr>
          <w:rFonts w:ascii="Arial" w:hAnsi="Arial" w:cs="Arial"/>
          <w:sz w:val="22"/>
          <w:szCs w:val="22"/>
        </w:rPr>
        <w:t xml:space="preserve">). </w:t>
      </w:r>
      <w:r w:rsidRPr="003A5EE1">
        <w:rPr>
          <w:rFonts w:ascii="Arial" w:hAnsi="Arial" w:cs="Arial"/>
          <w:sz w:val="22"/>
          <w:szCs w:val="22"/>
        </w:rPr>
        <w:t>The m</w:t>
      </w:r>
      <w:r w:rsidR="008D4A25" w:rsidRPr="003A5EE1">
        <w:rPr>
          <w:rFonts w:ascii="Arial" w:hAnsi="Arial" w:cs="Arial"/>
          <w:sz w:val="22"/>
          <w:szCs w:val="22"/>
        </w:rPr>
        <w:t xml:space="preserve">ain findings </w:t>
      </w:r>
      <w:r w:rsidRPr="003A5EE1">
        <w:rPr>
          <w:rFonts w:ascii="Arial" w:hAnsi="Arial" w:cs="Arial"/>
          <w:sz w:val="22"/>
          <w:szCs w:val="22"/>
        </w:rPr>
        <w:t xml:space="preserve">were </w:t>
      </w:r>
      <w:r w:rsidR="008D4A25" w:rsidRPr="003A5EE1">
        <w:rPr>
          <w:rFonts w:ascii="Arial" w:hAnsi="Arial" w:cs="Arial"/>
          <w:sz w:val="22"/>
          <w:szCs w:val="22"/>
        </w:rPr>
        <w:t>malformations of the urinary system</w:t>
      </w:r>
      <w:r w:rsidRPr="003A5EE1">
        <w:rPr>
          <w:rFonts w:ascii="Arial" w:hAnsi="Arial" w:cs="Arial"/>
          <w:sz w:val="22"/>
          <w:szCs w:val="22"/>
        </w:rPr>
        <w:t xml:space="preserve"> (rabbits only)</w:t>
      </w:r>
      <w:r w:rsidR="008D4A25" w:rsidRPr="003A5EE1">
        <w:rPr>
          <w:rFonts w:ascii="Arial" w:hAnsi="Arial" w:cs="Arial"/>
          <w:sz w:val="22"/>
          <w:szCs w:val="22"/>
        </w:rPr>
        <w:t>, the heart and major vessels, and the skeleton</w:t>
      </w:r>
      <w:r w:rsidRPr="003A5EE1">
        <w:rPr>
          <w:rFonts w:ascii="Arial" w:hAnsi="Arial" w:cs="Arial"/>
          <w:sz w:val="22"/>
          <w:szCs w:val="22"/>
        </w:rPr>
        <w:t xml:space="preserve"> and </w:t>
      </w:r>
      <w:proofErr w:type="spellStart"/>
      <w:r w:rsidRPr="003A5EE1">
        <w:rPr>
          <w:rFonts w:ascii="Arial" w:hAnsi="Arial" w:cs="Arial"/>
          <w:sz w:val="22"/>
          <w:szCs w:val="22"/>
        </w:rPr>
        <w:t>embryofetal</w:t>
      </w:r>
      <w:proofErr w:type="spellEnd"/>
      <w:r w:rsidRPr="003A5EE1">
        <w:rPr>
          <w:rFonts w:ascii="Arial" w:hAnsi="Arial" w:cs="Arial"/>
          <w:sz w:val="22"/>
          <w:szCs w:val="22"/>
        </w:rPr>
        <w:t xml:space="preserve"> deaths</w:t>
      </w:r>
      <w:r w:rsidR="008D4A25" w:rsidRPr="003A5EE1">
        <w:rPr>
          <w:rFonts w:ascii="Arial" w:hAnsi="Arial" w:cs="Arial"/>
          <w:sz w:val="22"/>
          <w:szCs w:val="22"/>
        </w:rPr>
        <w:t>.</w:t>
      </w:r>
      <w:r w:rsidRPr="003A5EE1">
        <w:rPr>
          <w:rFonts w:ascii="Arial" w:hAnsi="Arial" w:cs="Arial"/>
          <w:sz w:val="22"/>
          <w:szCs w:val="22"/>
        </w:rPr>
        <w:t xml:space="preserve"> </w:t>
      </w:r>
    </w:p>
    <w:p w14:paraId="712C27DC" w14:textId="77777777" w:rsidR="006C3E63" w:rsidRDefault="006C3E63" w:rsidP="00CF7423">
      <w:pPr>
        <w:pStyle w:val="BayerBodyTextFull"/>
        <w:spacing w:before="0" w:after="0"/>
        <w:rPr>
          <w:rFonts w:ascii="Arial" w:hAnsi="Arial" w:cs="Arial"/>
          <w:sz w:val="22"/>
          <w:szCs w:val="22"/>
        </w:rPr>
      </w:pPr>
    </w:p>
    <w:p w14:paraId="712C27DD" w14:textId="77777777" w:rsidR="008D4A25" w:rsidRPr="003A5EE1" w:rsidRDefault="00992991" w:rsidP="00CF7423">
      <w:pPr>
        <w:pStyle w:val="BayerBodyTextFull"/>
        <w:spacing w:before="0" w:after="0"/>
        <w:rPr>
          <w:rFonts w:ascii="Arial" w:hAnsi="Arial" w:cs="Arial"/>
          <w:sz w:val="22"/>
          <w:szCs w:val="22"/>
        </w:rPr>
      </w:pPr>
      <w:proofErr w:type="spellStart"/>
      <w:r>
        <w:rPr>
          <w:rFonts w:ascii="Arial" w:hAnsi="Arial" w:cs="Arial"/>
          <w:sz w:val="22"/>
          <w:szCs w:val="22"/>
        </w:rPr>
        <w:t>R</w:t>
      </w:r>
      <w:r w:rsidR="00EA74F1" w:rsidRPr="003A5EE1">
        <w:rPr>
          <w:rFonts w:ascii="Arial" w:hAnsi="Arial" w:cs="Arial"/>
          <w:sz w:val="22"/>
          <w:szCs w:val="22"/>
        </w:rPr>
        <w:t>egorafenib</w:t>
      </w:r>
      <w:proofErr w:type="spellEnd"/>
      <w:r w:rsidR="00EA74F1" w:rsidRPr="003A5EE1">
        <w:rPr>
          <w:rFonts w:ascii="Arial" w:hAnsi="Arial" w:cs="Arial"/>
          <w:sz w:val="22"/>
          <w:szCs w:val="22"/>
        </w:rPr>
        <w:t xml:space="preserve">/metabolites crossed the placenta in rats. </w:t>
      </w:r>
    </w:p>
    <w:p w14:paraId="712C27DE" w14:textId="77777777" w:rsidR="008D4A25" w:rsidRPr="003A5EE1" w:rsidRDefault="008D4A25" w:rsidP="002E54D9">
      <w:pPr>
        <w:pStyle w:val="BayerBodyTextFull"/>
        <w:spacing w:before="0" w:after="0"/>
        <w:rPr>
          <w:rFonts w:ascii="Arial" w:hAnsi="Arial" w:cs="Arial"/>
          <w:sz w:val="22"/>
          <w:szCs w:val="22"/>
          <w:lang w:val="en-AU"/>
        </w:rPr>
      </w:pPr>
    </w:p>
    <w:p w14:paraId="712C27DF" w14:textId="77777777" w:rsidR="00EA74F1" w:rsidRPr="003A5EE1" w:rsidRDefault="00601DFC" w:rsidP="00EA74F1">
      <w:pPr>
        <w:pStyle w:val="BayerBodyTextFull"/>
        <w:spacing w:before="0" w:after="0"/>
        <w:rPr>
          <w:rFonts w:ascii="Arial" w:hAnsi="Arial" w:cs="Arial"/>
          <w:sz w:val="22"/>
          <w:szCs w:val="22"/>
          <w:lang w:val="en-GB"/>
        </w:rPr>
      </w:pPr>
      <w:r>
        <w:rPr>
          <w:rFonts w:ascii="Arial" w:hAnsi="Arial" w:cs="Arial"/>
          <w:sz w:val="22"/>
          <w:szCs w:val="22"/>
          <w:lang w:val="en-GB"/>
        </w:rPr>
        <w:t xml:space="preserve">STIVARGA </w:t>
      </w:r>
      <w:r w:rsidR="00D13105" w:rsidRPr="003A5EE1">
        <w:rPr>
          <w:rFonts w:ascii="Arial" w:hAnsi="Arial" w:cs="Arial"/>
          <w:sz w:val="22"/>
          <w:szCs w:val="22"/>
        </w:rPr>
        <w:t>should not be used during pregnancy</w:t>
      </w:r>
      <w:r w:rsidR="00DE7007" w:rsidRPr="003A5EE1">
        <w:rPr>
          <w:rFonts w:ascii="Arial" w:hAnsi="Arial" w:cs="Arial"/>
          <w:sz w:val="22"/>
          <w:szCs w:val="22"/>
        </w:rPr>
        <w:t xml:space="preserve"> </w:t>
      </w:r>
      <w:r w:rsidR="00D13105" w:rsidRPr="003A5EE1">
        <w:rPr>
          <w:rFonts w:ascii="Arial" w:hAnsi="Arial" w:cs="Arial"/>
          <w:sz w:val="22"/>
          <w:szCs w:val="22"/>
        </w:rPr>
        <w:t>unless necessary and after careful consideration of the benefits for the mother and the risk to the fetus.</w:t>
      </w:r>
      <w:r w:rsidR="00EA74F1" w:rsidRPr="003A5EE1">
        <w:rPr>
          <w:rFonts w:ascii="Arial" w:hAnsi="Arial" w:cs="Arial"/>
          <w:sz w:val="22"/>
          <w:szCs w:val="22"/>
          <w:lang w:val="en-GB"/>
        </w:rPr>
        <w:t xml:space="preserve"> Women of childbearing</w:t>
      </w:r>
      <w:r w:rsidR="00EA74F1" w:rsidRPr="00FE4A56">
        <w:rPr>
          <w:rFonts w:ascii="Arial" w:hAnsi="Arial" w:cs="Arial"/>
          <w:szCs w:val="24"/>
          <w:lang w:val="en-GB"/>
        </w:rPr>
        <w:t xml:space="preserve"> </w:t>
      </w:r>
      <w:r w:rsidR="00EA74F1" w:rsidRPr="003A5EE1">
        <w:rPr>
          <w:rFonts w:ascii="Arial" w:hAnsi="Arial" w:cs="Arial"/>
          <w:sz w:val="22"/>
          <w:szCs w:val="22"/>
          <w:lang w:val="en-GB"/>
        </w:rPr>
        <w:t xml:space="preserve">potential and men </w:t>
      </w:r>
      <w:r w:rsidR="00EA74F1" w:rsidRPr="003A5EE1">
        <w:rPr>
          <w:rFonts w:ascii="Arial" w:hAnsi="Arial" w:cs="Arial"/>
          <w:sz w:val="22"/>
          <w:szCs w:val="22"/>
        </w:rPr>
        <w:t>should</w:t>
      </w:r>
      <w:r w:rsidR="00EA74F1" w:rsidRPr="003A5EE1">
        <w:rPr>
          <w:rFonts w:ascii="Arial" w:hAnsi="Arial" w:cs="Arial"/>
          <w:sz w:val="22"/>
          <w:szCs w:val="22"/>
          <w:lang w:val="en-GB"/>
        </w:rPr>
        <w:t xml:space="preserve"> ensure effective contraception during treatment and up to 8 weeks after completion of therapy.</w:t>
      </w:r>
    </w:p>
    <w:p w14:paraId="712C27E0" w14:textId="77777777" w:rsidR="008D4A25" w:rsidRPr="003A5EE1" w:rsidRDefault="008D4A25" w:rsidP="002E54D9">
      <w:pPr>
        <w:pStyle w:val="BayerBodyTextFull"/>
        <w:spacing w:before="0" w:after="0"/>
        <w:rPr>
          <w:rFonts w:ascii="Arial" w:hAnsi="Arial" w:cs="Arial"/>
          <w:sz w:val="22"/>
          <w:szCs w:val="22"/>
          <w:lang w:val="en-AU"/>
        </w:rPr>
      </w:pPr>
    </w:p>
    <w:p w14:paraId="712C27E1" w14:textId="77777777" w:rsidR="001D1004" w:rsidRPr="003A5EE1" w:rsidRDefault="001D1004" w:rsidP="00CF7423">
      <w:pPr>
        <w:pStyle w:val="Heading3"/>
        <w:ind w:right="46"/>
        <w:jc w:val="left"/>
        <w:rPr>
          <w:rFonts w:ascii="Arial" w:hAnsi="Arial" w:cs="Arial"/>
          <w:sz w:val="22"/>
          <w:szCs w:val="22"/>
          <w:lang w:val="en-AU"/>
        </w:rPr>
      </w:pPr>
      <w:r w:rsidRPr="003A5EE1">
        <w:rPr>
          <w:rFonts w:ascii="Arial" w:hAnsi="Arial" w:cs="Arial"/>
          <w:sz w:val="22"/>
          <w:szCs w:val="22"/>
          <w:lang w:val="en-AU"/>
        </w:rPr>
        <w:t>Use in Lactation</w:t>
      </w:r>
    </w:p>
    <w:p w14:paraId="712C27E2" w14:textId="77777777" w:rsidR="005818DE" w:rsidRPr="003A5EE1" w:rsidRDefault="005818DE" w:rsidP="00CF7423">
      <w:pPr>
        <w:rPr>
          <w:sz w:val="22"/>
          <w:szCs w:val="22"/>
          <w:lang w:val="en-AU"/>
        </w:rPr>
      </w:pPr>
    </w:p>
    <w:p w14:paraId="712C27E3" w14:textId="77777777" w:rsidR="005818DE" w:rsidRPr="003A5EE1" w:rsidRDefault="00D13105" w:rsidP="00CF7423">
      <w:pPr>
        <w:pStyle w:val="BayerBodyTextFull"/>
        <w:spacing w:before="0" w:after="0"/>
        <w:rPr>
          <w:rFonts w:ascii="Arial" w:hAnsi="Arial" w:cs="Arial"/>
          <w:sz w:val="22"/>
          <w:szCs w:val="22"/>
          <w:lang w:val="en-GB"/>
        </w:rPr>
      </w:pPr>
      <w:r w:rsidRPr="003A5EE1">
        <w:rPr>
          <w:rFonts w:ascii="Arial" w:hAnsi="Arial" w:cs="Arial"/>
          <w:sz w:val="22"/>
          <w:szCs w:val="22"/>
          <w:lang w:val="en-GB"/>
        </w:rPr>
        <w:t xml:space="preserve">It is unknown whether </w:t>
      </w:r>
      <w:proofErr w:type="spellStart"/>
      <w:r w:rsidRPr="003A5EE1">
        <w:rPr>
          <w:rFonts w:ascii="Arial" w:hAnsi="Arial" w:cs="Arial"/>
          <w:sz w:val="22"/>
          <w:szCs w:val="22"/>
          <w:lang w:val="en-GB"/>
        </w:rPr>
        <w:t>regorafenib</w:t>
      </w:r>
      <w:proofErr w:type="spellEnd"/>
      <w:r w:rsidRPr="003A5EE1">
        <w:rPr>
          <w:rFonts w:ascii="Arial" w:hAnsi="Arial" w:cs="Arial"/>
          <w:sz w:val="22"/>
          <w:szCs w:val="22"/>
          <w:lang w:val="en-GB"/>
        </w:rPr>
        <w:t xml:space="preserve"> and</w:t>
      </w:r>
      <w:r w:rsidR="00FE0012" w:rsidRPr="003A5EE1">
        <w:rPr>
          <w:rFonts w:ascii="Arial" w:hAnsi="Arial" w:cs="Arial"/>
          <w:sz w:val="22"/>
          <w:szCs w:val="22"/>
          <w:lang w:val="en-GB"/>
        </w:rPr>
        <w:t>/or</w:t>
      </w:r>
      <w:r w:rsidRPr="003A5EE1">
        <w:rPr>
          <w:rFonts w:ascii="Arial" w:hAnsi="Arial" w:cs="Arial"/>
          <w:sz w:val="22"/>
          <w:szCs w:val="22"/>
          <w:lang w:val="en-GB"/>
        </w:rPr>
        <w:t xml:space="preserve"> its metabolites are excreted in human milk.</w:t>
      </w:r>
      <w:r w:rsidR="005818DE" w:rsidRPr="003A5EE1">
        <w:rPr>
          <w:rFonts w:ascii="Arial" w:hAnsi="Arial" w:cs="Arial"/>
          <w:sz w:val="22"/>
          <w:szCs w:val="22"/>
          <w:lang w:val="en-GB"/>
        </w:rPr>
        <w:t xml:space="preserve"> </w:t>
      </w:r>
    </w:p>
    <w:p w14:paraId="712C27E4" w14:textId="77777777" w:rsidR="00D13105" w:rsidRPr="003A5EE1" w:rsidRDefault="00D13105" w:rsidP="00CF7423">
      <w:pPr>
        <w:pStyle w:val="BayerBodyTextFull"/>
        <w:spacing w:before="0" w:after="0"/>
        <w:rPr>
          <w:rFonts w:ascii="Arial" w:hAnsi="Arial" w:cs="Arial"/>
          <w:sz w:val="22"/>
          <w:szCs w:val="22"/>
        </w:rPr>
      </w:pPr>
      <w:r w:rsidRPr="003A5EE1">
        <w:rPr>
          <w:rFonts w:ascii="Arial" w:hAnsi="Arial" w:cs="Arial"/>
          <w:sz w:val="22"/>
          <w:szCs w:val="22"/>
        </w:rPr>
        <w:t xml:space="preserve">In rats,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and</w:t>
      </w:r>
      <w:r w:rsidR="00FE0012" w:rsidRPr="003A5EE1">
        <w:rPr>
          <w:rFonts w:ascii="Arial" w:hAnsi="Arial" w:cs="Arial"/>
          <w:sz w:val="22"/>
          <w:szCs w:val="22"/>
        </w:rPr>
        <w:t>/or</w:t>
      </w:r>
      <w:r w:rsidRPr="003A5EE1">
        <w:rPr>
          <w:rFonts w:ascii="Arial" w:hAnsi="Arial" w:cs="Arial"/>
          <w:sz w:val="22"/>
          <w:szCs w:val="22"/>
        </w:rPr>
        <w:t xml:space="preserve"> its metabolites are excreted in milk.</w:t>
      </w:r>
    </w:p>
    <w:p w14:paraId="712C27E5" w14:textId="77777777" w:rsidR="005818DE" w:rsidRPr="003A5EE1" w:rsidRDefault="005818DE" w:rsidP="002E54D9">
      <w:pPr>
        <w:pStyle w:val="BayerBodyTextFull"/>
        <w:spacing w:before="0" w:after="0"/>
        <w:rPr>
          <w:rFonts w:ascii="Arial" w:hAnsi="Arial" w:cs="Arial"/>
          <w:sz w:val="22"/>
          <w:szCs w:val="22"/>
        </w:rPr>
      </w:pPr>
    </w:p>
    <w:p w14:paraId="712C27E6" w14:textId="77777777" w:rsidR="00D13105" w:rsidRPr="003A5EE1" w:rsidRDefault="00D13105" w:rsidP="002E54D9">
      <w:pPr>
        <w:pStyle w:val="BayerBodyTextFull"/>
        <w:spacing w:before="0" w:after="0"/>
        <w:rPr>
          <w:rFonts w:ascii="Arial" w:hAnsi="Arial" w:cs="Arial"/>
          <w:sz w:val="22"/>
          <w:szCs w:val="22"/>
        </w:rPr>
      </w:pPr>
      <w:r w:rsidRPr="003A5EE1">
        <w:rPr>
          <w:rFonts w:ascii="Arial" w:hAnsi="Arial" w:cs="Arial"/>
          <w:sz w:val="22"/>
          <w:szCs w:val="22"/>
          <w:lang w:val="en-GB"/>
        </w:rPr>
        <w:t xml:space="preserve">A risk to the breast-fed child cannot be excluded.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could harm infant growth and development</w:t>
      </w:r>
      <w:r w:rsidR="006C3E63">
        <w:rPr>
          <w:rFonts w:ascii="Arial" w:hAnsi="Arial" w:cs="Arial"/>
          <w:sz w:val="22"/>
          <w:szCs w:val="22"/>
        </w:rPr>
        <w:t xml:space="preserve"> (see Systemic Toxicity</w:t>
      </w:r>
      <w:r w:rsidR="00B26D0F">
        <w:rPr>
          <w:rFonts w:ascii="Arial" w:hAnsi="Arial" w:cs="Arial"/>
          <w:sz w:val="22"/>
          <w:szCs w:val="22"/>
        </w:rPr>
        <w:t>)</w:t>
      </w:r>
      <w:r w:rsidR="005818DE" w:rsidRPr="003A5EE1">
        <w:rPr>
          <w:rFonts w:ascii="Arial" w:hAnsi="Arial" w:cs="Arial"/>
          <w:sz w:val="22"/>
          <w:szCs w:val="22"/>
        </w:rPr>
        <w:t xml:space="preserve">. </w:t>
      </w:r>
      <w:bookmarkStart w:id="2" w:name="OLE_LINK1"/>
      <w:r w:rsidRPr="003A5EE1">
        <w:rPr>
          <w:rFonts w:ascii="Arial" w:hAnsi="Arial" w:cs="Arial"/>
          <w:sz w:val="22"/>
          <w:szCs w:val="22"/>
        </w:rPr>
        <w:t xml:space="preserve">Breast-feeding must be discontinued during treatment with </w:t>
      </w:r>
      <w:r w:rsidR="00FF0B8E">
        <w:rPr>
          <w:rFonts w:ascii="Arial" w:hAnsi="Arial" w:cs="Arial"/>
          <w:sz w:val="22"/>
          <w:szCs w:val="22"/>
        </w:rPr>
        <w:t>STIVARGA</w:t>
      </w:r>
      <w:r w:rsidRPr="003A5EE1">
        <w:rPr>
          <w:rFonts w:ascii="Arial" w:hAnsi="Arial" w:cs="Arial"/>
          <w:sz w:val="22"/>
          <w:szCs w:val="22"/>
        </w:rPr>
        <w:t>.</w:t>
      </w:r>
      <w:bookmarkEnd w:id="2"/>
    </w:p>
    <w:p w14:paraId="712C27E7" w14:textId="77777777" w:rsidR="00CF7423" w:rsidRPr="003A5EE1" w:rsidRDefault="00CF7423" w:rsidP="002E54D9">
      <w:pPr>
        <w:pStyle w:val="BayerBodyTextFull"/>
        <w:spacing w:before="0" w:after="0"/>
        <w:rPr>
          <w:rFonts w:ascii="Arial" w:hAnsi="Arial" w:cs="Arial"/>
          <w:sz w:val="22"/>
          <w:szCs w:val="22"/>
        </w:rPr>
      </w:pPr>
    </w:p>
    <w:p w14:paraId="712C27E8" w14:textId="77777777" w:rsidR="00CF7423" w:rsidRPr="00765DA5" w:rsidRDefault="00CF7423" w:rsidP="00765DA5">
      <w:pPr>
        <w:pStyle w:val="Heading3"/>
        <w:rPr>
          <w:rFonts w:ascii="Arial" w:hAnsi="Arial" w:cs="Arial"/>
          <w:sz w:val="22"/>
          <w:szCs w:val="22"/>
        </w:rPr>
      </w:pPr>
      <w:r w:rsidRPr="00765DA5">
        <w:rPr>
          <w:rFonts w:ascii="Arial" w:hAnsi="Arial" w:cs="Arial"/>
          <w:sz w:val="22"/>
          <w:szCs w:val="22"/>
        </w:rPr>
        <w:t>Use in Children</w:t>
      </w:r>
    </w:p>
    <w:p w14:paraId="712C27E9" w14:textId="77777777" w:rsidR="00CF7423" w:rsidRPr="003A5EE1" w:rsidRDefault="00CF7423" w:rsidP="00B803D9">
      <w:pPr>
        <w:pStyle w:val="BayerBodyTextFull"/>
        <w:keepNext/>
        <w:spacing w:before="0" w:after="0"/>
        <w:rPr>
          <w:rFonts w:ascii="Arial" w:hAnsi="Arial" w:cs="Arial"/>
          <w:sz w:val="22"/>
          <w:szCs w:val="22"/>
          <w:lang w:val="en-GB"/>
        </w:rPr>
      </w:pPr>
    </w:p>
    <w:p w14:paraId="712C27EA" w14:textId="77777777" w:rsidR="00CF7423" w:rsidRPr="00340999" w:rsidRDefault="00CF7423" w:rsidP="00B803D9">
      <w:pPr>
        <w:pStyle w:val="BayerBodyTextFull"/>
        <w:keepNext/>
        <w:spacing w:before="0" w:after="0"/>
        <w:rPr>
          <w:rFonts w:ascii="Arial" w:hAnsi="Arial" w:cs="Arial"/>
          <w:sz w:val="22"/>
          <w:szCs w:val="22"/>
          <w:lang w:val="en-GB"/>
        </w:rPr>
      </w:pPr>
      <w:r w:rsidRPr="003A5EE1">
        <w:rPr>
          <w:rFonts w:ascii="Arial" w:hAnsi="Arial" w:cs="Arial"/>
          <w:sz w:val="22"/>
          <w:szCs w:val="22"/>
          <w:lang w:val="en-GB"/>
        </w:rPr>
        <w:t xml:space="preserve">The safety and efficacy of </w:t>
      </w:r>
      <w:r w:rsidR="00601DFC">
        <w:rPr>
          <w:rFonts w:ascii="Arial" w:hAnsi="Arial" w:cs="Arial"/>
          <w:sz w:val="22"/>
          <w:szCs w:val="22"/>
          <w:lang w:val="en-GB"/>
        </w:rPr>
        <w:t xml:space="preserve">STIVARGA </w:t>
      </w:r>
      <w:r w:rsidRPr="003A5EE1">
        <w:rPr>
          <w:rFonts w:ascii="Arial" w:hAnsi="Arial" w:cs="Arial"/>
          <w:sz w:val="22"/>
          <w:szCs w:val="22"/>
          <w:lang w:val="en-GB"/>
        </w:rPr>
        <w:t>in children and adolescents below 18 years of age have not been established</w:t>
      </w:r>
      <w:r w:rsidR="00FC03B4">
        <w:rPr>
          <w:rFonts w:ascii="Arial" w:hAnsi="Arial" w:cs="Arial"/>
          <w:sz w:val="22"/>
          <w:szCs w:val="22"/>
          <w:lang w:val="en-GB"/>
        </w:rPr>
        <w:t>.</w:t>
      </w:r>
      <w:r w:rsidR="00340999">
        <w:rPr>
          <w:rFonts w:ascii="Arial" w:hAnsi="Arial" w:cs="Arial"/>
          <w:sz w:val="22"/>
          <w:szCs w:val="22"/>
          <w:lang w:val="en-GB"/>
        </w:rPr>
        <w:t xml:space="preserve"> </w:t>
      </w:r>
      <w:proofErr w:type="spellStart"/>
      <w:r w:rsidR="00FC03B4">
        <w:rPr>
          <w:rFonts w:ascii="Arial" w:hAnsi="Arial" w:cs="Arial"/>
          <w:sz w:val="22"/>
          <w:szCs w:val="22"/>
          <w:lang w:val="en-GB"/>
        </w:rPr>
        <w:t>Regorafenib</w:t>
      </w:r>
      <w:proofErr w:type="spellEnd"/>
      <w:r w:rsidR="00FC03B4">
        <w:rPr>
          <w:rFonts w:ascii="Arial" w:hAnsi="Arial" w:cs="Arial"/>
          <w:sz w:val="22"/>
          <w:szCs w:val="22"/>
          <w:lang w:val="en-GB"/>
        </w:rPr>
        <w:t xml:space="preserve"> treatment to juvenile animals resulted in delayed development and other adverse effects </w:t>
      </w:r>
      <w:r w:rsidR="00340999">
        <w:rPr>
          <w:rFonts w:ascii="Arial" w:hAnsi="Arial" w:cs="Arial"/>
          <w:sz w:val="22"/>
          <w:szCs w:val="22"/>
          <w:lang w:val="en-GB"/>
        </w:rPr>
        <w:t>(see Systemic Toxicity)</w:t>
      </w:r>
      <w:r w:rsidRPr="003A5EE1">
        <w:rPr>
          <w:rFonts w:ascii="Arial" w:hAnsi="Arial" w:cs="Arial"/>
          <w:sz w:val="22"/>
          <w:szCs w:val="22"/>
          <w:lang w:val="en-GB"/>
        </w:rPr>
        <w:t xml:space="preserve">. </w:t>
      </w:r>
    </w:p>
    <w:p w14:paraId="712C27EB" w14:textId="77777777" w:rsidR="00CF7423" w:rsidRPr="005F3D99" w:rsidRDefault="00CF7423" w:rsidP="00B803D9">
      <w:pPr>
        <w:pStyle w:val="BayerBodyTextFull"/>
        <w:keepNext/>
        <w:spacing w:before="0" w:after="0"/>
        <w:rPr>
          <w:rFonts w:ascii="Arial" w:hAnsi="Arial" w:cs="Arial"/>
          <w:sz w:val="22"/>
          <w:szCs w:val="22"/>
          <w:lang w:val="en-GB"/>
        </w:rPr>
      </w:pPr>
    </w:p>
    <w:p w14:paraId="712C27EC" w14:textId="77777777" w:rsidR="00CF7423" w:rsidRPr="00765DA5" w:rsidRDefault="00CF7423" w:rsidP="00765DA5">
      <w:pPr>
        <w:pStyle w:val="Heading3"/>
        <w:rPr>
          <w:rFonts w:ascii="Arial" w:hAnsi="Arial" w:cs="Arial"/>
          <w:sz w:val="22"/>
          <w:szCs w:val="22"/>
        </w:rPr>
      </w:pPr>
      <w:r w:rsidRPr="00765DA5">
        <w:rPr>
          <w:rFonts w:ascii="Arial" w:hAnsi="Arial" w:cs="Arial"/>
          <w:sz w:val="22"/>
          <w:szCs w:val="22"/>
        </w:rPr>
        <w:t>Use in the Elderly</w:t>
      </w:r>
    </w:p>
    <w:p w14:paraId="712C27ED" w14:textId="77777777" w:rsidR="00F34FCB" w:rsidRPr="003A5EE1" w:rsidRDefault="00F34FCB" w:rsidP="00B803D9">
      <w:pPr>
        <w:pStyle w:val="BayerBodyTextFull"/>
        <w:keepNext/>
        <w:spacing w:before="0" w:after="0"/>
        <w:rPr>
          <w:rFonts w:ascii="Arial" w:hAnsi="Arial" w:cs="Arial"/>
          <w:b/>
          <w:i/>
          <w:sz w:val="22"/>
          <w:szCs w:val="22"/>
          <w:lang w:val="en-GB"/>
        </w:rPr>
      </w:pPr>
    </w:p>
    <w:p w14:paraId="712C27EE" w14:textId="77777777" w:rsidR="0076613B" w:rsidRDefault="00CF7423" w:rsidP="00687C12">
      <w:pPr>
        <w:tabs>
          <w:tab w:val="left" w:pos="284"/>
        </w:tabs>
        <w:autoSpaceDE w:val="0"/>
        <w:autoSpaceDN w:val="0"/>
        <w:adjustRightInd w:val="0"/>
        <w:rPr>
          <w:rFonts w:ascii="Arial" w:hAnsi="Arial" w:cs="Arial"/>
          <w:sz w:val="22"/>
          <w:szCs w:val="22"/>
        </w:rPr>
      </w:pPr>
      <w:r w:rsidRPr="003A5EE1">
        <w:rPr>
          <w:rFonts w:ascii="Arial" w:hAnsi="Arial" w:cs="Arial"/>
          <w:sz w:val="22"/>
          <w:szCs w:val="22"/>
        </w:rPr>
        <w:t>In clinical studies</w:t>
      </w:r>
      <w:r w:rsidR="00B60AD6">
        <w:rPr>
          <w:rFonts w:ascii="Arial" w:hAnsi="Arial" w:cs="Arial"/>
          <w:sz w:val="22"/>
          <w:szCs w:val="22"/>
        </w:rPr>
        <w:t>,</w:t>
      </w:r>
      <w:r w:rsidR="0038008F" w:rsidRPr="00110401">
        <w:rPr>
          <w:rFonts w:ascii="Arial" w:hAnsi="Arial" w:cs="Arial"/>
          <w:sz w:val="22"/>
          <w:szCs w:val="22"/>
        </w:rPr>
        <w:t xml:space="preserve"> cardiac disorder events (all grades) have been more often (20.5% vs. 10.4%) reported in STIVARGA-treated patients aged 75 years or older (N=78) compared to STIVARGA-treated patients below 75 years (N=995).</w:t>
      </w:r>
    </w:p>
    <w:p w14:paraId="712C27EF" w14:textId="77777777" w:rsidR="00D2613E" w:rsidRPr="003A5EE1" w:rsidRDefault="00D2613E" w:rsidP="00F34FCB">
      <w:pPr>
        <w:pStyle w:val="BayerBodyTextFull"/>
        <w:spacing w:before="0" w:after="0"/>
        <w:rPr>
          <w:rFonts w:ascii="Arial" w:hAnsi="Arial" w:cs="Arial"/>
          <w:sz w:val="22"/>
          <w:szCs w:val="22"/>
        </w:rPr>
      </w:pPr>
    </w:p>
    <w:p w14:paraId="712C27F0" w14:textId="77777777" w:rsidR="002A7E59" w:rsidRPr="003A5EE1" w:rsidRDefault="002A7E59" w:rsidP="00CF7423">
      <w:pPr>
        <w:pStyle w:val="Heading3"/>
        <w:ind w:right="46"/>
        <w:jc w:val="left"/>
        <w:rPr>
          <w:rFonts w:ascii="Arial" w:hAnsi="Arial" w:cs="Arial"/>
          <w:sz w:val="22"/>
          <w:szCs w:val="22"/>
          <w:lang w:val="en-AU"/>
        </w:rPr>
      </w:pPr>
      <w:r w:rsidRPr="003A5EE1">
        <w:rPr>
          <w:rFonts w:ascii="Arial" w:hAnsi="Arial" w:cs="Arial"/>
          <w:sz w:val="22"/>
          <w:szCs w:val="22"/>
          <w:lang w:val="en-AU"/>
        </w:rPr>
        <w:lastRenderedPageBreak/>
        <w:t xml:space="preserve">Patients with hepatic impairment </w:t>
      </w:r>
    </w:p>
    <w:p w14:paraId="712C27F1" w14:textId="77777777" w:rsidR="002A7E59" w:rsidRDefault="002A7E59" w:rsidP="00CF7423">
      <w:pPr>
        <w:rPr>
          <w:sz w:val="22"/>
          <w:szCs w:val="22"/>
          <w:lang w:val="en-AU"/>
        </w:rPr>
      </w:pPr>
    </w:p>
    <w:p w14:paraId="712C27F2" w14:textId="77777777" w:rsidR="00C625A5" w:rsidRPr="00B803D9" w:rsidRDefault="00C625A5" w:rsidP="00CF7423">
      <w:pPr>
        <w:rPr>
          <w:rFonts w:ascii="Arial" w:hAnsi="Arial" w:cs="Arial"/>
          <w:sz w:val="22"/>
          <w:szCs w:val="22"/>
          <w:lang w:val="en-AU"/>
        </w:rPr>
      </w:pPr>
      <w:proofErr w:type="spellStart"/>
      <w:r w:rsidRPr="00B803D9">
        <w:rPr>
          <w:rFonts w:ascii="Arial" w:hAnsi="Arial" w:cs="Arial"/>
          <w:sz w:val="22"/>
          <w:szCs w:val="22"/>
          <w:lang w:val="en-AU"/>
        </w:rPr>
        <w:t>Regorafenib</w:t>
      </w:r>
      <w:proofErr w:type="spellEnd"/>
      <w:r w:rsidRPr="00B803D9">
        <w:rPr>
          <w:rFonts w:ascii="Arial" w:hAnsi="Arial" w:cs="Arial"/>
          <w:sz w:val="22"/>
          <w:szCs w:val="22"/>
          <w:lang w:val="en-AU"/>
        </w:rPr>
        <w:t xml:space="preserve"> is eliminated mainly via the hepatic route. </w:t>
      </w:r>
    </w:p>
    <w:p w14:paraId="712C27F3" w14:textId="77777777" w:rsidR="00C625A5" w:rsidRPr="003A5EE1" w:rsidRDefault="00C625A5" w:rsidP="00CF7423">
      <w:pPr>
        <w:rPr>
          <w:sz w:val="22"/>
          <w:szCs w:val="22"/>
          <w:lang w:val="en-AU"/>
        </w:rPr>
      </w:pPr>
    </w:p>
    <w:p w14:paraId="712C27F4" w14:textId="77777777" w:rsidR="00B01AF9" w:rsidRPr="003A5EE1" w:rsidRDefault="00B01AF9" w:rsidP="00B01AF9">
      <w:pPr>
        <w:pStyle w:val="GlobalBayerBodyText"/>
        <w:spacing w:before="0" w:after="0"/>
        <w:rPr>
          <w:rStyle w:val="BayerBodyTextFullChar"/>
          <w:rFonts w:ascii="Arial" w:hAnsi="Arial" w:cs="Arial"/>
          <w:sz w:val="22"/>
          <w:szCs w:val="22"/>
        </w:rPr>
      </w:pPr>
      <w:bookmarkStart w:id="3" w:name="OLE_LINK5"/>
      <w:bookmarkStart w:id="4" w:name="OLE_LINK6"/>
      <w:r w:rsidRPr="003A5EE1">
        <w:rPr>
          <w:rStyle w:val="BayerBodyTextFullChar"/>
          <w:rFonts w:ascii="Arial" w:hAnsi="Arial" w:cs="Arial"/>
          <w:sz w:val="22"/>
          <w:szCs w:val="22"/>
        </w:rPr>
        <w:t xml:space="preserve">In clinical studies, no relevant differences in safety or efficacy were observed between patients with mild hepatic impairment (Child-Pugh A) and normal hepatic function. No dose adjustment is required in patients with mild hepatic impairment. </w:t>
      </w:r>
    </w:p>
    <w:p w14:paraId="712C27F5" w14:textId="77777777" w:rsidR="00B01AF9" w:rsidRPr="00D96FE5" w:rsidRDefault="00B01AF9" w:rsidP="00B01AF9">
      <w:pPr>
        <w:pStyle w:val="GlobalBayerBodyText"/>
        <w:spacing w:before="0" w:after="0"/>
        <w:rPr>
          <w:rStyle w:val="BayerBodyTextFullChar"/>
          <w:rFonts w:ascii="Arial" w:hAnsi="Arial" w:cs="Arial"/>
          <w:sz w:val="22"/>
          <w:szCs w:val="22"/>
        </w:rPr>
      </w:pPr>
    </w:p>
    <w:p w14:paraId="712C27F6" w14:textId="77777777" w:rsidR="00B01AF9" w:rsidRDefault="00B01AF9" w:rsidP="00B01AF9">
      <w:pPr>
        <w:rPr>
          <w:rFonts w:ascii="Arial" w:hAnsi="Arial" w:cs="Arial"/>
          <w:sz w:val="22"/>
          <w:szCs w:val="22"/>
        </w:rPr>
      </w:pPr>
      <w:r w:rsidRPr="003A5EE1">
        <w:rPr>
          <w:rStyle w:val="BayerBodyTextFullChar"/>
          <w:rFonts w:ascii="Arial" w:hAnsi="Arial" w:cs="Arial"/>
          <w:sz w:val="22"/>
          <w:szCs w:val="22"/>
        </w:rPr>
        <w:t xml:space="preserve">Since limited data is available in patients with moderate hepatic impairment (Child-Pugh B) and </w:t>
      </w:r>
      <w:proofErr w:type="spellStart"/>
      <w:r w:rsidRPr="003A5EE1">
        <w:rPr>
          <w:rStyle w:val="BayerBodyTextFullChar"/>
          <w:rFonts w:ascii="Arial" w:hAnsi="Arial" w:cs="Arial"/>
          <w:sz w:val="22"/>
          <w:szCs w:val="22"/>
        </w:rPr>
        <w:t>regorafenib</w:t>
      </w:r>
      <w:proofErr w:type="spellEnd"/>
      <w:r w:rsidRPr="003A5EE1">
        <w:rPr>
          <w:rStyle w:val="BayerBodyTextFullChar"/>
          <w:rFonts w:ascii="Arial" w:hAnsi="Arial" w:cs="Arial"/>
          <w:sz w:val="22"/>
          <w:szCs w:val="22"/>
        </w:rPr>
        <w:t xml:space="preserve"> has not been studied in patients with severe hepatic impairment (Child-Pugh C), no dose recommendation can be provided. Close monitoring of overall safety is recommended in these patients</w:t>
      </w:r>
      <w:r w:rsidRPr="003A5EE1">
        <w:rPr>
          <w:rFonts w:ascii="Arial" w:hAnsi="Arial" w:cs="Arial"/>
          <w:sz w:val="22"/>
          <w:szCs w:val="22"/>
        </w:rPr>
        <w:t xml:space="preserve"> (see Precautions).</w:t>
      </w:r>
    </w:p>
    <w:p w14:paraId="712C27F7" w14:textId="77777777" w:rsidR="00F63D3F" w:rsidRDefault="00F63D3F" w:rsidP="00B01AF9">
      <w:pPr>
        <w:rPr>
          <w:rFonts w:ascii="Arial" w:hAnsi="Arial" w:cs="Arial"/>
          <w:sz w:val="22"/>
          <w:szCs w:val="22"/>
        </w:rPr>
      </w:pPr>
    </w:p>
    <w:bookmarkEnd w:id="3"/>
    <w:bookmarkEnd w:id="4"/>
    <w:p w14:paraId="712C27F8" w14:textId="77777777" w:rsidR="002A7E59" w:rsidRPr="00765DA5" w:rsidRDefault="002A7E59" w:rsidP="00765DA5">
      <w:pPr>
        <w:pStyle w:val="Heading3"/>
        <w:rPr>
          <w:rFonts w:ascii="Arial" w:hAnsi="Arial" w:cs="Arial"/>
          <w:sz w:val="22"/>
          <w:szCs w:val="22"/>
        </w:rPr>
      </w:pPr>
      <w:r w:rsidRPr="00765DA5">
        <w:rPr>
          <w:rFonts w:ascii="Arial" w:hAnsi="Arial" w:cs="Arial"/>
          <w:sz w:val="22"/>
          <w:szCs w:val="22"/>
        </w:rPr>
        <w:t xml:space="preserve">Patients with renal impairment </w:t>
      </w:r>
    </w:p>
    <w:p w14:paraId="712C27F9" w14:textId="77777777" w:rsidR="002A7E59" w:rsidRPr="003A5EE1" w:rsidRDefault="002A7E59" w:rsidP="00B803D9">
      <w:pPr>
        <w:keepNext/>
        <w:rPr>
          <w:rFonts w:ascii="Arial" w:hAnsi="Arial" w:cs="Arial"/>
          <w:sz w:val="22"/>
          <w:szCs w:val="22"/>
          <w:lang w:val="en-AU"/>
        </w:rPr>
      </w:pPr>
    </w:p>
    <w:p w14:paraId="712C27FA" w14:textId="77777777" w:rsidR="00F34FCB" w:rsidRPr="003A5EE1" w:rsidRDefault="002A7E59" w:rsidP="002E54D9">
      <w:pPr>
        <w:rPr>
          <w:rFonts w:ascii="Arial" w:hAnsi="Arial" w:cs="Arial"/>
          <w:b/>
          <w:i/>
          <w:sz w:val="22"/>
          <w:szCs w:val="22"/>
        </w:rPr>
      </w:pPr>
      <w:r w:rsidRPr="003A5EE1">
        <w:rPr>
          <w:rFonts w:ascii="Arial" w:hAnsi="Arial" w:cs="Arial"/>
          <w:sz w:val="22"/>
          <w:szCs w:val="22"/>
        </w:rPr>
        <w:t xml:space="preserve">In clinical studies, no relevant differences in </w:t>
      </w:r>
      <w:r w:rsidR="00383D55">
        <w:rPr>
          <w:rFonts w:ascii="Arial" w:hAnsi="Arial" w:cs="Arial"/>
          <w:sz w:val="22"/>
          <w:szCs w:val="22"/>
        </w:rPr>
        <w:t xml:space="preserve">exposure, </w:t>
      </w:r>
      <w:r w:rsidRPr="003A5EE1">
        <w:rPr>
          <w:rFonts w:ascii="Arial" w:hAnsi="Arial" w:cs="Arial"/>
          <w:sz w:val="22"/>
          <w:szCs w:val="22"/>
        </w:rPr>
        <w:t>safety o</w:t>
      </w:r>
      <w:r w:rsidR="00A23E4E" w:rsidRPr="003A5EE1">
        <w:rPr>
          <w:rFonts w:ascii="Arial" w:hAnsi="Arial" w:cs="Arial"/>
          <w:sz w:val="22"/>
          <w:szCs w:val="22"/>
        </w:rPr>
        <w:t>r efficacy were observed in</w:t>
      </w:r>
      <w:r w:rsidRPr="003A5EE1">
        <w:rPr>
          <w:rFonts w:ascii="Arial" w:hAnsi="Arial" w:cs="Arial"/>
          <w:sz w:val="22"/>
          <w:szCs w:val="22"/>
        </w:rPr>
        <w:t xml:space="preserve"> patients with mild renal impairment and patients with normal renal function.</w:t>
      </w:r>
      <w:r w:rsidR="00383D55">
        <w:rPr>
          <w:rFonts w:ascii="Arial" w:hAnsi="Arial" w:cs="Arial"/>
          <w:sz w:val="22"/>
          <w:szCs w:val="22"/>
        </w:rPr>
        <w:t xml:space="preserve"> Limited pharmacokinetic data indicate no difference in exposure in patients with moderate renal impairment.</w:t>
      </w:r>
      <w:r w:rsidRPr="003A5EE1">
        <w:rPr>
          <w:rFonts w:ascii="Arial" w:hAnsi="Arial" w:cs="Arial"/>
          <w:sz w:val="22"/>
          <w:szCs w:val="22"/>
        </w:rPr>
        <w:t xml:space="preserve"> No dose adjustment is required in patients with mild or moderate renal impairment </w:t>
      </w:r>
      <w:r w:rsidR="00A23E4E" w:rsidRPr="003A5EE1">
        <w:rPr>
          <w:rFonts w:ascii="Arial" w:hAnsi="Arial" w:cs="Arial"/>
          <w:sz w:val="22"/>
          <w:szCs w:val="22"/>
        </w:rPr>
        <w:t>(</w:t>
      </w:r>
      <w:r w:rsidR="00E03A8B" w:rsidRPr="003A5EE1">
        <w:rPr>
          <w:rFonts w:ascii="Arial" w:hAnsi="Arial" w:cs="Arial"/>
          <w:sz w:val="22"/>
          <w:szCs w:val="22"/>
        </w:rPr>
        <w:t>see</w:t>
      </w:r>
      <w:r w:rsidRPr="003A5EE1">
        <w:rPr>
          <w:rFonts w:ascii="Arial" w:hAnsi="Arial" w:cs="Arial"/>
          <w:sz w:val="22"/>
          <w:szCs w:val="22"/>
        </w:rPr>
        <w:t xml:space="preserve"> </w:t>
      </w:r>
      <w:r w:rsidR="00A23E4E" w:rsidRPr="003A5EE1">
        <w:rPr>
          <w:rFonts w:ascii="Arial" w:hAnsi="Arial" w:cs="Arial"/>
          <w:sz w:val="22"/>
          <w:szCs w:val="22"/>
        </w:rPr>
        <w:t>Pharmacokinetic</w:t>
      </w:r>
      <w:r w:rsidR="00762FB9" w:rsidRPr="003A5EE1">
        <w:rPr>
          <w:rFonts w:ascii="Arial" w:hAnsi="Arial" w:cs="Arial"/>
          <w:sz w:val="22"/>
          <w:szCs w:val="22"/>
        </w:rPr>
        <w:t>s</w:t>
      </w:r>
      <w:r w:rsidRPr="003A5EE1">
        <w:rPr>
          <w:rFonts w:ascii="Arial" w:hAnsi="Arial" w:cs="Arial"/>
          <w:sz w:val="22"/>
          <w:szCs w:val="22"/>
        </w:rPr>
        <w:t xml:space="preserve">). </w:t>
      </w:r>
      <w:r w:rsidR="00A23E4E" w:rsidRPr="003A5EE1">
        <w:rPr>
          <w:rFonts w:ascii="Arial" w:hAnsi="Arial" w:cs="Arial"/>
          <w:sz w:val="22"/>
          <w:szCs w:val="22"/>
        </w:rPr>
        <w:t xml:space="preserve">No </w:t>
      </w:r>
      <w:r w:rsidR="00383D55">
        <w:rPr>
          <w:rFonts w:ascii="Arial" w:hAnsi="Arial" w:cs="Arial"/>
          <w:sz w:val="22"/>
          <w:szCs w:val="22"/>
        </w:rPr>
        <w:t xml:space="preserve">clinical </w:t>
      </w:r>
      <w:r w:rsidR="00A23E4E" w:rsidRPr="003A5EE1">
        <w:rPr>
          <w:rFonts w:ascii="Arial" w:hAnsi="Arial" w:cs="Arial"/>
          <w:sz w:val="22"/>
          <w:szCs w:val="22"/>
        </w:rPr>
        <w:t>data is</w:t>
      </w:r>
      <w:r w:rsidRPr="003A5EE1">
        <w:rPr>
          <w:rFonts w:ascii="Arial" w:hAnsi="Arial" w:cs="Arial"/>
          <w:sz w:val="22"/>
          <w:szCs w:val="22"/>
        </w:rPr>
        <w:t xml:space="preserve"> available for patients with severe renal impairment. </w:t>
      </w:r>
    </w:p>
    <w:p w14:paraId="712C27FB" w14:textId="77777777" w:rsidR="00AF1100" w:rsidRPr="003A5EE1" w:rsidRDefault="00AF1100" w:rsidP="002E54D9">
      <w:pPr>
        <w:rPr>
          <w:rFonts w:ascii="Arial" w:hAnsi="Arial" w:cs="Arial"/>
          <w:sz w:val="22"/>
          <w:szCs w:val="22"/>
        </w:rPr>
      </w:pPr>
    </w:p>
    <w:p w14:paraId="712C27FC" w14:textId="77777777" w:rsidR="001D1004" w:rsidRPr="003A5EE1" w:rsidRDefault="001D1004" w:rsidP="008515FD">
      <w:pPr>
        <w:pStyle w:val="Heading3"/>
        <w:ind w:right="45"/>
        <w:jc w:val="left"/>
        <w:rPr>
          <w:rFonts w:ascii="Arial" w:hAnsi="Arial" w:cs="Arial"/>
          <w:sz w:val="22"/>
          <w:szCs w:val="22"/>
          <w:lang w:val="en-AU"/>
        </w:rPr>
      </w:pPr>
      <w:r w:rsidRPr="003A5EE1">
        <w:rPr>
          <w:rFonts w:ascii="Arial" w:hAnsi="Arial" w:cs="Arial"/>
          <w:sz w:val="22"/>
          <w:szCs w:val="22"/>
          <w:lang w:val="en-AU"/>
        </w:rPr>
        <w:t>Carcinogenicity</w:t>
      </w:r>
    </w:p>
    <w:p w14:paraId="712C27FD" w14:textId="77777777" w:rsidR="00A23E4E" w:rsidRPr="003A5EE1" w:rsidRDefault="00A23E4E" w:rsidP="008515FD">
      <w:pPr>
        <w:keepNext/>
        <w:rPr>
          <w:sz w:val="22"/>
          <w:szCs w:val="22"/>
          <w:lang w:val="en-AU"/>
        </w:rPr>
      </w:pPr>
    </w:p>
    <w:p w14:paraId="712C27FE" w14:textId="77777777" w:rsidR="00AA0A44" w:rsidRPr="003A5EE1" w:rsidRDefault="00AA0A44" w:rsidP="008515FD">
      <w:pPr>
        <w:pStyle w:val="BayerBodyTextFull"/>
        <w:keepNext/>
        <w:spacing w:before="0" w:after="0"/>
        <w:rPr>
          <w:rFonts w:ascii="Arial" w:hAnsi="Arial" w:cs="Arial"/>
          <w:sz w:val="22"/>
          <w:szCs w:val="22"/>
        </w:rPr>
      </w:pPr>
      <w:r w:rsidRPr="003A5EE1">
        <w:rPr>
          <w:rFonts w:ascii="Arial" w:hAnsi="Arial" w:cs="Arial"/>
          <w:sz w:val="22"/>
          <w:szCs w:val="22"/>
        </w:rPr>
        <w:t xml:space="preserve">Studies on the carcinogenic potential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have not been performed.</w:t>
      </w:r>
    </w:p>
    <w:p w14:paraId="712C27FF" w14:textId="77777777" w:rsidR="00E16D20" w:rsidRPr="003A5EE1" w:rsidRDefault="00E16D20" w:rsidP="00CF7423">
      <w:pPr>
        <w:pStyle w:val="BayerBodyTextFull"/>
        <w:spacing w:before="0" w:after="0"/>
        <w:rPr>
          <w:rFonts w:ascii="Arial" w:hAnsi="Arial" w:cs="Arial"/>
          <w:sz w:val="22"/>
          <w:szCs w:val="22"/>
        </w:rPr>
      </w:pPr>
    </w:p>
    <w:p w14:paraId="712C2800" w14:textId="77777777" w:rsidR="001D1004" w:rsidRPr="00765DA5" w:rsidRDefault="001D1004" w:rsidP="00765DA5">
      <w:pPr>
        <w:pStyle w:val="Heading3"/>
        <w:rPr>
          <w:rFonts w:ascii="Arial" w:hAnsi="Arial" w:cs="Arial"/>
          <w:sz w:val="22"/>
          <w:szCs w:val="22"/>
          <w:lang w:val="en-AU"/>
        </w:rPr>
      </w:pPr>
      <w:proofErr w:type="spellStart"/>
      <w:r w:rsidRPr="00765DA5">
        <w:rPr>
          <w:rFonts w:ascii="Arial" w:hAnsi="Arial" w:cs="Arial"/>
          <w:sz w:val="22"/>
          <w:szCs w:val="22"/>
          <w:lang w:val="en-AU"/>
        </w:rPr>
        <w:t>Genotoxicity</w:t>
      </w:r>
      <w:proofErr w:type="spellEnd"/>
    </w:p>
    <w:p w14:paraId="712C2801" w14:textId="77777777" w:rsidR="00A23E4E" w:rsidRPr="003A5EE1" w:rsidRDefault="00A23E4E" w:rsidP="00386290">
      <w:pPr>
        <w:pStyle w:val="BayerBodyTextFull"/>
        <w:keepNext/>
        <w:spacing w:before="0" w:after="0"/>
        <w:rPr>
          <w:rFonts w:ascii="Arial" w:hAnsi="Arial" w:cs="Arial"/>
          <w:b/>
          <w:i/>
          <w:sz w:val="22"/>
          <w:szCs w:val="22"/>
          <w:lang w:val="en-AU"/>
        </w:rPr>
      </w:pPr>
    </w:p>
    <w:p w14:paraId="712C2802" w14:textId="77777777" w:rsidR="00AA0A44" w:rsidRPr="003A5EE1" w:rsidRDefault="00A23E4E" w:rsidP="00386290">
      <w:pPr>
        <w:keepNext/>
        <w:rPr>
          <w:rFonts w:ascii="Arial" w:hAnsi="Arial" w:cs="Arial"/>
          <w:sz w:val="22"/>
          <w:szCs w:val="22"/>
        </w:rPr>
      </w:pPr>
      <w:r w:rsidRPr="003A5EE1">
        <w:rPr>
          <w:rFonts w:ascii="Arial" w:hAnsi="Arial" w:cs="Arial"/>
          <w:sz w:val="22"/>
          <w:szCs w:val="22"/>
        </w:rPr>
        <w:t>There was no</w:t>
      </w:r>
      <w:r w:rsidR="00DE7007" w:rsidRPr="003A5EE1">
        <w:rPr>
          <w:rFonts w:ascii="Arial" w:hAnsi="Arial" w:cs="Arial"/>
          <w:sz w:val="22"/>
          <w:szCs w:val="22"/>
        </w:rPr>
        <w:t xml:space="preserve"> </w:t>
      </w:r>
      <w:r w:rsidRPr="003A5EE1">
        <w:rPr>
          <w:rFonts w:ascii="Arial" w:hAnsi="Arial" w:cs="Arial"/>
          <w:sz w:val="22"/>
          <w:szCs w:val="22"/>
        </w:rPr>
        <w:t xml:space="preserve">indication of a </w:t>
      </w:r>
      <w:proofErr w:type="spellStart"/>
      <w:r w:rsidRPr="003A5EE1">
        <w:rPr>
          <w:rFonts w:ascii="Arial" w:hAnsi="Arial" w:cs="Arial"/>
          <w:sz w:val="22"/>
          <w:szCs w:val="22"/>
        </w:rPr>
        <w:t>genotoxic</w:t>
      </w:r>
      <w:proofErr w:type="spellEnd"/>
      <w:r w:rsidRPr="003A5EE1">
        <w:rPr>
          <w:rFonts w:ascii="Arial" w:hAnsi="Arial" w:cs="Arial"/>
          <w:sz w:val="22"/>
          <w:szCs w:val="22"/>
        </w:rPr>
        <w:t xml:space="preserve"> potential for</w:t>
      </w:r>
      <w:r w:rsidR="00AA0A44" w:rsidRPr="003A5EE1">
        <w:rPr>
          <w:rFonts w:ascii="Arial" w:hAnsi="Arial" w:cs="Arial"/>
          <w:sz w:val="22"/>
          <w:szCs w:val="22"/>
        </w:rPr>
        <w:t xml:space="preserve"> </w:t>
      </w:r>
      <w:proofErr w:type="spellStart"/>
      <w:r w:rsidR="00AA0A44" w:rsidRPr="003A5EE1">
        <w:rPr>
          <w:rFonts w:ascii="Arial" w:hAnsi="Arial" w:cs="Arial"/>
          <w:sz w:val="22"/>
          <w:szCs w:val="22"/>
        </w:rPr>
        <w:t>regorafenib</w:t>
      </w:r>
      <w:proofErr w:type="spellEnd"/>
      <w:r w:rsidR="00AA0A44" w:rsidRPr="003A5EE1">
        <w:rPr>
          <w:rFonts w:ascii="Arial" w:hAnsi="Arial" w:cs="Arial"/>
          <w:sz w:val="22"/>
          <w:szCs w:val="22"/>
        </w:rPr>
        <w:t xml:space="preserve"> </w:t>
      </w:r>
      <w:r w:rsidR="00EA74F1" w:rsidRPr="003A5EE1">
        <w:rPr>
          <w:rFonts w:ascii="Arial" w:hAnsi="Arial" w:cs="Arial"/>
          <w:sz w:val="22"/>
          <w:szCs w:val="22"/>
        </w:rPr>
        <w:t xml:space="preserve">when </w:t>
      </w:r>
      <w:r w:rsidR="00AA0A44" w:rsidRPr="003A5EE1">
        <w:rPr>
          <w:rFonts w:ascii="Arial" w:hAnsi="Arial" w:cs="Arial"/>
          <w:sz w:val="22"/>
          <w:szCs w:val="22"/>
        </w:rPr>
        <w:t xml:space="preserve">tested in standard assays </w:t>
      </w:r>
      <w:r w:rsidR="00AA0A44" w:rsidRPr="003A5EE1">
        <w:rPr>
          <w:rFonts w:ascii="Arial" w:hAnsi="Arial" w:cs="Arial"/>
          <w:i/>
          <w:sz w:val="22"/>
          <w:szCs w:val="22"/>
        </w:rPr>
        <w:t>in vitro</w:t>
      </w:r>
      <w:r w:rsidR="00AA0A44" w:rsidRPr="003A5EE1">
        <w:rPr>
          <w:rFonts w:ascii="Arial" w:hAnsi="Arial" w:cs="Arial"/>
          <w:sz w:val="22"/>
          <w:szCs w:val="22"/>
        </w:rPr>
        <w:t xml:space="preserve"> </w:t>
      </w:r>
      <w:r w:rsidR="00EA74F1" w:rsidRPr="003A5EE1">
        <w:rPr>
          <w:rFonts w:ascii="Arial" w:hAnsi="Arial" w:cs="Arial"/>
          <w:sz w:val="22"/>
          <w:szCs w:val="22"/>
        </w:rPr>
        <w:t xml:space="preserve">(bacterial gene mutation and chromosomal aberration assay in Chinese hamster V79 cells) </w:t>
      </w:r>
      <w:r w:rsidR="00AA0A44" w:rsidRPr="003A5EE1">
        <w:rPr>
          <w:rFonts w:ascii="Arial" w:hAnsi="Arial" w:cs="Arial"/>
          <w:sz w:val="22"/>
          <w:szCs w:val="22"/>
        </w:rPr>
        <w:t xml:space="preserve">and </w:t>
      </w:r>
      <w:r w:rsidR="00AA0A44" w:rsidRPr="003A5EE1">
        <w:rPr>
          <w:rFonts w:ascii="Arial" w:hAnsi="Arial" w:cs="Arial"/>
          <w:i/>
          <w:sz w:val="22"/>
          <w:szCs w:val="22"/>
        </w:rPr>
        <w:t>in vivo</w:t>
      </w:r>
      <w:r w:rsidR="00AA0A44" w:rsidRPr="003A5EE1">
        <w:rPr>
          <w:rFonts w:ascii="Arial" w:hAnsi="Arial" w:cs="Arial"/>
          <w:sz w:val="22"/>
          <w:szCs w:val="22"/>
        </w:rPr>
        <w:t xml:space="preserve"> </w:t>
      </w:r>
      <w:r w:rsidR="00EA74F1" w:rsidRPr="003A5EE1">
        <w:rPr>
          <w:rFonts w:ascii="Arial" w:hAnsi="Arial" w:cs="Arial"/>
          <w:sz w:val="22"/>
          <w:szCs w:val="22"/>
        </w:rPr>
        <w:t>(mouse micronucleus test)</w:t>
      </w:r>
      <w:r w:rsidR="00AA0A44" w:rsidRPr="003A5EE1">
        <w:rPr>
          <w:rFonts w:ascii="Arial" w:hAnsi="Arial" w:cs="Arial"/>
          <w:sz w:val="22"/>
          <w:szCs w:val="22"/>
        </w:rPr>
        <w:t>.</w:t>
      </w:r>
      <w:r w:rsidR="00EA74F1" w:rsidRPr="003A5EE1">
        <w:rPr>
          <w:rFonts w:ascii="Arial" w:hAnsi="Arial" w:cs="Arial"/>
          <w:sz w:val="22"/>
          <w:szCs w:val="22"/>
        </w:rPr>
        <w:t xml:space="preserve"> The N-oxide and N-</w:t>
      </w:r>
      <w:proofErr w:type="spellStart"/>
      <w:r w:rsidR="00EA74F1" w:rsidRPr="003A5EE1">
        <w:rPr>
          <w:rFonts w:ascii="Arial" w:hAnsi="Arial" w:cs="Arial"/>
          <w:sz w:val="22"/>
          <w:szCs w:val="22"/>
        </w:rPr>
        <w:t>desmethyl</w:t>
      </w:r>
      <w:proofErr w:type="spellEnd"/>
      <w:r w:rsidR="00EA74F1" w:rsidRPr="003A5EE1">
        <w:rPr>
          <w:rFonts w:ascii="Arial" w:hAnsi="Arial" w:cs="Arial"/>
          <w:sz w:val="22"/>
          <w:szCs w:val="22"/>
        </w:rPr>
        <w:t xml:space="preserve"> metabolite (M-5), a major human active metabolite, did not induce gene mutation or chromosome aberration in the </w:t>
      </w:r>
      <w:r w:rsidR="00EA74F1" w:rsidRPr="003A5EE1">
        <w:rPr>
          <w:rFonts w:ascii="Arial" w:hAnsi="Arial" w:cs="Arial"/>
          <w:i/>
          <w:sz w:val="22"/>
          <w:szCs w:val="22"/>
        </w:rPr>
        <w:t>in vitro</w:t>
      </w:r>
      <w:r w:rsidR="00EA74F1" w:rsidRPr="003A5EE1">
        <w:rPr>
          <w:rFonts w:ascii="Arial" w:hAnsi="Arial" w:cs="Arial"/>
          <w:sz w:val="22"/>
          <w:szCs w:val="22"/>
        </w:rPr>
        <w:t xml:space="preserve"> assays. The other major human active</w:t>
      </w:r>
      <w:r w:rsidR="00EA74F1" w:rsidRPr="00E03A8B">
        <w:rPr>
          <w:rFonts w:ascii="Arial" w:hAnsi="Arial" w:cs="Arial"/>
        </w:rPr>
        <w:t xml:space="preserve"> </w:t>
      </w:r>
      <w:r w:rsidR="00EA74F1" w:rsidRPr="003A5EE1">
        <w:rPr>
          <w:rFonts w:ascii="Arial" w:hAnsi="Arial" w:cs="Arial"/>
          <w:sz w:val="22"/>
          <w:szCs w:val="22"/>
        </w:rPr>
        <w:t xml:space="preserve">metabolite, M-2 (N-oxide), was negative in the bacterial gene mutation test, but was positive in the chromosomal aberration assay. </w:t>
      </w:r>
    </w:p>
    <w:p w14:paraId="712C2803" w14:textId="77777777" w:rsidR="00A23E4E" w:rsidRPr="003A5EE1" w:rsidRDefault="00A23E4E" w:rsidP="00A23E4E">
      <w:pPr>
        <w:rPr>
          <w:sz w:val="22"/>
          <w:szCs w:val="22"/>
          <w:lang w:val="en-AU"/>
        </w:rPr>
      </w:pPr>
    </w:p>
    <w:p w14:paraId="712C2804" w14:textId="77777777" w:rsidR="00AA0A44" w:rsidRPr="00765DA5" w:rsidRDefault="00AA0A44" w:rsidP="00765DA5">
      <w:pPr>
        <w:pStyle w:val="Heading3"/>
        <w:rPr>
          <w:rFonts w:ascii="Arial" w:hAnsi="Arial" w:cs="Arial"/>
          <w:sz w:val="22"/>
          <w:szCs w:val="22"/>
          <w:lang w:val="en-AU"/>
        </w:rPr>
      </w:pPr>
      <w:r w:rsidRPr="00765DA5">
        <w:rPr>
          <w:rFonts w:ascii="Arial" w:hAnsi="Arial" w:cs="Arial"/>
          <w:sz w:val="22"/>
          <w:szCs w:val="22"/>
          <w:lang w:val="en-AU"/>
        </w:rPr>
        <w:t xml:space="preserve">Systemic toxicity </w:t>
      </w:r>
    </w:p>
    <w:p w14:paraId="712C2805" w14:textId="77777777" w:rsidR="00A23E4E" w:rsidRPr="003A5EE1" w:rsidRDefault="00A23E4E" w:rsidP="0090345C">
      <w:pPr>
        <w:rPr>
          <w:rFonts w:ascii="Arial" w:hAnsi="Arial" w:cs="Arial"/>
          <w:b/>
          <w:i/>
          <w:sz w:val="22"/>
          <w:szCs w:val="22"/>
          <w:lang w:val="en-AU"/>
        </w:rPr>
      </w:pPr>
    </w:p>
    <w:p w14:paraId="712C2806" w14:textId="77777777" w:rsidR="00A23E4E" w:rsidRPr="003A5EE1" w:rsidRDefault="00A23E4E" w:rsidP="0090345C">
      <w:pPr>
        <w:pStyle w:val="BayerBodyTextFull"/>
        <w:spacing w:before="0" w:after="0"/>
        <w:rPr>
          <w:rFonts w:ascii="Arial" w:hAnsi="Arial" w:cs="Arial"/>
          <w:sz w:val="22"/>
          <w:szCs w:val="22"/>
        </w:rPr>
      </w:pPr>
      <w:r w:rsidRPr="003A5EE1">
        <w:rPr>
          <w:rFonts w:ascii="Arial" w:hAnsi="Arial" w:cs="Arial"/>
          <w:sz w:val="22"/>
          <w:szCs w:val="22"/>
        </w:rPr>
        <w:t>After repeated dosing in</w:t>
      </w:r>
      <w:r w:rsidR="00AA0A44" w:rsidRPr="003A5EE1">
        <w:rPr>
          <w:rFonts w:ascii="Arial" w:hAnsi="Arial" w:cs="Arial"/>
          <w:sz w:val="22"/>
          <w:szCs w:val="22"/>
        </w:rPr>
        <w:t xml:space="preserve"> mice, rats and dogs, adverse effects were observed in a number of organs, primarily in the kidneys, liver, digestive tract, heart, </w:t>
      </w:r>
      <w:r w:rsidR="00E15013" w:rsidRPr="003A5EE1">
        <w:rPr>
          <w:rFonts w:ascii="Arial" w:hAnsi="Arial" w:cs="Arial"/>
          <w:sz w:val="22"/>
          <w:szCs w:val="22"/>
        </w:rPr>
        <w:t>thyroid gland,</w:t>
      </w:r>
    </w:p>
    <w:p w14:paraId="712C2807" w14:textId="77777777" w:rsidR="00AA0A44" w:rsidRPr="003A5EE1" w:rsidRDefault="00AA0A44" w:rsidP="00A23E4E">
      <w:pPr>
        <w:pStyle w:val="BayerBodyTextFull"/>
        <w:spacing w:before="0" w:after="0"/>
        <w:rPr>
          <w:rFonts w:ascii="Arial" w:hAnsi="Arial" w:cs="Arial"/>
          <w:sz w:val="22"/>
          <w:szCs w:val="22"/>
        </w:rPr>
      </w:pPr>
      <w:proofErr w:type="spellStart"/>
      <w:proofErr w:type="gramStart"/>
      <w:r w:rsidRPr="003A5EE1">
        <w:rPr>
          <w:rFonts w:ascii="Arial" w:hAnsi="Arial" w:cs="Arial"/>
          <w:sz w:val="22"/>
          <w:szCs w:val="22"/>
        </w:rPr>
        <w:t>lympho</w:t>
      </w:r>
      <w:proofErr w:type="spellEnd"/>
      <w:proofErr w:type="gramEnd"/>
      <w:r w:rsidRPr="003A5EE1">
        <w:rPr>
          <w:rFonts w:ascii="Arial" w:hAnsi="Arial" w:cs="Arial"/>
          <w:sz w:val="22"/>
          <w:szCs w:val="22"/>
        </w:rPr>
        <w:t xml:space="preserve">-/hematopoietic system, endocrine system, reproductive system and skin. These effects occurred at systemic exposures in the range of or below the anticipated human exposure (based on AUC comparison). Alterations of teeth and bones </w:t>
      </w:r>
      <w:r w:rsidR="00AB3B28">
        <w:rPr>
          <w:rFonts w:ascii="Arial" w:hAnsi="Arial" w:cs="Arial"/>
          <w:sz w:val="22"/>
          <w:szCs w:val="22"/>
        </w:rPr>
        <w:t>and adverse effects in th</w:t>
      </w:r>
      <w:r w:rsidR="00340999">
        <w:rPr>
          <w:rFonts w:ascii="Arial" w:hAnsi="Arial" w:cs="Arial"/>
          <w:sz w:val="22"/>
          <w:szCs w:val="22"/>
        </w:rPr>
        <w:t xml:space="preserve">e reproductive system </w:t>
      </w:r>
      <w:r w:rsidRPr="003A5EE1">
        <w:rPr>
          <w:rFonts w:ascii="Arial" w:hAnsi="Arial" w:cs="Arial"/>
          <w:sz w:val="22"/>
          <w:szCs w:val="22"/>
        </w:rPr>
        <w:t xml:space="preserve">were </w:t>
      </w:r>
      <w:r w:rsidR="00340999">
        <w:rPr>
          <w:rFonts w:ascii="Arial" w:hAnsi="Arial" w:cs="Arial"/>
          <w:sz w:val="22"/>
          <w:szCs w:val="22"/>
        </w:rPr>
        <w:t>more pronounced</w:t>
      </w:r>
      <w:r w:rsidRPr="003A5EE1">
        <w:rPr>
          <w:rFonts w:ascii="Arial" w:hAnsi="Arial" w:cs="Arial"/>
          <w:sz w:val="22"/>
          <w:szCs w:val="22"/>
        </w:rPr>
        <w:t xml:space="preserve"> in young and growing </w:t>
      </w:r>
      <w:r w:rsidR="00340999">
        <w:rPr>
          <w:rFonts w:ascii="Arial" w:hAnsi="Arial" w:cs="Arial"/>
          <w:sz w:val="22"/>
          <w:szCs w:val="22"/>
        </w:rPr>
        <w:t>animal</w:t>
      </w:r>
      <w:r w:rsidRPr="003A5EE1">
        <w:rPr>
          <w:rFonts w:ascii="Arial" w:hAnsi="Arial" w:cs="Arial"/>
          <w:sz w:val="22"/>
          <w:szCs w:val="22"/>
        </w:rPr>
        <w:t>s</w:t>
      </w:r>
      <w:r w:rsidR="00FC03B4">
        <w:rPr>
          <w:rFonts w:ascii="Arial" w:hAnsi="Arial" w:cs="Arial"/>
          <w:sz w:val="22"/>
          <w:szCs w:val="22"/>
        </w:rPr>
        <w:t>, and delayed development and retarded growth were observed</w:t>
      </w:r>
      <w:r w:rsidR="00340999">
        <w:rPr>
          <w:rFonts w:ascii="Arial" w:hAnsi="Arial" w:cs="Arial"/>
          <w:sz w:val="22"/>
          <w:szCs w:val="22"/>
        </w:rPr>
        <w:t xml:space="preserve"> in juvenile rats</w:t>
      </w:r>
      <w:r w:rsidRPr="003A5EE1">
        <w:rPr>
          <w:rFonts w:ascii="Arial" w:hAnsi="Arial" w:cs="Arial"/>
          <w:sz w:val="22"/>
          <w:szCs w:val="22"/>
        </w:rPr>
        <w:t xml:space="preserve"> </w:t>
      </w:r>
      <w:r w:rsidR="00FC03B4">
        <w:rPr>
          <w:rFonts w:ascii="Arial" w:hAnsi="Arial" w:cs="Arial"/>
          <w:sz w:val="22"/>
          <w:szCs w:val="22"/>
        </w:rPr>
        <w:t>indicating</w:t>
      </w:r>
      <w:r w:rsidRPr="003A5EE1">
        <w:rPr>
          <w:rFonts w:ascii="Arial" w:hAnsi="Arial" w:cs="Arial"/>
          <w:sz w:val="22"/>
          <w:szCs w:val="22"/>
        </w:rPr>
        <w:t xml:space="preserve"> a potential risk for children and adolescents.</w:t>
      </w:r>
    </w:p>
    <w:p w14:paraId="712C2808" w14:textId="77777777" w:rsidR="00AA0A44" w:rsidRPr="003A5EE1" w:rsidRDefault="00AA0A44" w:rsidP="0090345C">
      <w:pPr>
        <w:rPr>
          <w:sz w:val="22"/>
          <w:szCs w:val="22"/>
        </w:rPr>
      </w:pPr>
    </w:p>
    <w:p w14:paraId="712C2809" w14:textId="77777777" w:rsidR="001D1004" w:rsidRPr="003A5EE1" w:rsidRDefault="00290EC1" w:rsidP="00CF7423">
      <w:pPr>
        <w:pStyle w:val="Heading1"/>
        <w:spacing w:before="0" w:after="0"/>
        <w:ind w:right="45"/>
        <w:jc w:val="left"/>
      </w:pPr>
      <w:r w:rsidRPr="003A5EE1">
        <w:t>INTERACTIONS WITH OTHER MEDICINES</w:t>
      </w:r>
    </w:p>
    <w:p w14:paraId="712C280A" w14:textId="77777777" w:rsidR="00A23E4E" w:rsidRPr="00A23E4E" w:rsidRDefault="00A23E4E" w:rsidP="00CF7423">
      <w:pPr>
        <w:rPr>
          <w:lang w:val="en-AU"/>
        </w:rPr>
      </w:pPr>
    </w:p>
    <w:p w14:paraId="712C280B" w14:textId="77777777" w:rsidR="001D1004" w:rsidRPr="008515FD" w:rsidRDefault="007E132B" w:rsidP="00CF7423">
      <w:pPr>
        <w:pStyle w:val="Heading4"/>
        <w:spacing w:line="300" w:lineRule="atLeast"/>
        <w:ind w:right="46"/>
        <w:rPr>
          <w:bCs w:val="0"/>
          <w:spacing w:val="-4"/>
        </w:rPr>
      </w:pPr>
      <w:r w:rsidRPr="008515FD">
        <w:rPr>
          <w:bCs w:val="0"/>
          <w:spacing w:val="-4"/>
        </w:rPr>
        <w:t>Inhibitors/inducers of CYP3A4</w:t>
      </w:r>
    </w:p>
    <w:p w14:paraId="712C280C" w14:textId="77777777" w:rsidR="00A23E4E" w:rsidRPr="003A5EE1" w:rsidRDefault="00A23E4E" w:rsidP="00CF7423">
      <w:pPr>
        <w:rPr>
          <w:sz w:val="22"/>
          <w:szCs w:val="22"/>
          <w:lang w:val="en-AU"/>
        </w:rPr>
      </w:pPr>
    </w:p>
    <w:p w14:paraId="712C280D" w14:textId="77777777" w:rsidR="007E132B" w:rsidRPr="003A5EE1" w:rsidRDefault="007E132B" w:rsidP="00CF7423">
      <w:pPr>
        <w:pStyle w:val="BayerBodyTextFull"/>
        <w:spacing w:before="0" w:after="0"/>
        <w:rPr>
          <w:rFonts w:ascii="Arial" w:hAnsi="Arial" w:cs="Arial"/>
          <w:sz w:val="22"/>
          <w:szCs w:val="22"/>
        </w:rPr>
      </w:pPr>
      <w:bookmarkStart w:id="5" w:name="_Toc180211515"/>
      <w:r w:rsidRPr="003A5EE1">
        <w:rPr>
          <w:rFonts w:ascii="Arial" w:hAnsi="Arial" w:cs="Arial"/>
          <w:i/>
          <w:sz w:val="22"/>
          <w:szCs w:val="22"/>
        </w:rPr>
        <w:lastRenderedPageBreak/>
        <w:t>In vitro</w:t>
      </w:r>
      <w:r w:rsidRPr="003A5EE1">
        <w:rPr>
          <w:rFonts w:ascii="Arial" w:hAnsi="Arial" w:cs="Arial"/>
          <w:sz w:val="22"/>
          <w:szCs w:val="22"/>
        </w:rPr>
        <w:t xml:space="preserve"> data indica</w:t>
      </w:r>
      <w:r w:rsidR="00A23E4E" w:rsidRPr="003A5EE1">
        <w:rPr>
          <w:rFonts w:ascii="Arial" w:hAnsi="Arial" w:cs="Arial"/>
          <w:sz w:val="22"/>
          <w:szCs w:val="22"/>
        </w:rPr>
        <w:t xml:space="preserve">te that </w:t>
      </w:r>
      <w:proofErr w:type="spellStart"/>
      <w:r w:rsidR="00A23E4E" w:rsidRPr="003A5EE1">
        <w:rPr>
          <w:rFonts w:ascii="Arial" w:hAnsi="Arial" w:cs="Arial"/>
          <w:sz w:val="22"/>
          <w:szCs w:val="22"/>
        </w:rPr>
        <w:t>regorafenib</w:t>
      </w:r>
      <w:proofErr w:type="spellEnd"/>
      <w:r w:rsidR="00A23E4E" w:rsidRPr="003A5EE1">
        <w:rPr>
          <w:rFonts w:ascii="Arial" w:hAnsi="Arial" w:cs="Arial"/>
          <w:sz w:val="22"/>
          <w:szCs w:val="22"/>
        </w:rPr>
        <w:t xml:space="preserve"> is </w:t>
      </w:r>
      <w:proofErr w:type="spellStart"/>
      <w:r w:rsidR="00A23E4E" w:rsidRPr="003A5EE1">
        <w:rPr>
          <w:rFonts w:ascii="Arial" w:hAnsi="Arial" w:cs="Arial"/>
          <w:sz w:val="22"/>
          <w:szCs w:val="22"/>
        </w:rPr>
        <w:t>metabolis</w:t>
      </w:r>
      <w:r w:rsidRPr="003A5EE1">
        <w:rPr>
          <w:rFonts w:ascii="Arial" w:hAnsi="Arial" w:cs="Arial"/>
          <w:sz w:val="22"/>
          <w:szCs w:val="22"/>
        </w:rPr>
        <w:t>ed</w:t>
      </w:r>
      <w:proofErr w:type="spellEnd"/>
      <w:r w:rsidRPr="003A5EE1">
        <w:rPr>
          <w:rFonts w:ascii="Arial" w:hAnsi="Arial" w:cs="Arial"/>
          <w:sz w:val="22"/>
          <w:szCs w:val="22"/>
        </w:rPr>
        <w:t xml:space="preserve"> </w:t>
      </w:r>
      <w:r w:rsidR="00836E60" w:rsidRPr="003A5EE1">
        <w:rPr>
          <w:rFonts w:ascii="Arial" w:hAnsi="Arial" w:cs="Arial"/>
          <w:sz w:val="22"/>
          <w:szCs w:val="22"/>
        </w:rPr>
        <w:t xml:space="preserve">largely </w:t>
      </w:r>
      <w:r w:rsidRPr="003A5EE1">
        <w:rPr>
          <w:rFonts w:ascii="Arial" w:hAnsi="Arial" w:cs="Arial"/>
          <w:sz w:val="22"/>
          <w:szCs w:val="22"/>
        </w:rPr>
        <w:t xml:space="preserve">by the cytochrome CYP3A4 and the uridine diphosphate </w:t>
      </w:r>
      <w:proofErr w:type="spellStart"/>
      <w:r w:rsidRPr="003A5EE1">
        <w:rPr>
          <w:rFonts w:ascii="Arial" w:hAnsi="Arial" w:cs="Arial"/>
          <w:sz w:val="22"/>
          <w:szCs w:val="22"/>
        </w:rPr>
        <w:t>glucuronosyl</w:t>
      </w:r>
      <w:proofErr w:type="spellEnd"/>
      <w:r w:rsidRPr="003A5EE1">
        <w:rPr>
          <w:rFonts w:ascii="Arial" w:hAnsi="Arial" w:cs="Arial"/>
          <w:sz w:val="22"/>
          <w:szCs w:val="22"/>
        </w:rPr>
        <w:t xml:space="preserve"> </w:t>
      </w:r>
      <w:proofErr w:type="spellStart"/>
      <w:r w:rsidRPr="003A5EE1">
        <w:rPr>
          <w:rFonts w:ascii="Arial" w:hAnsi="Arial" w:cs="Arial"/>
          <w:sz w:val="22"/>
          <w:szCs w:val="22"/>
        </w:rPr>
        <w:t>transferase</w:t>
      </w:r>
      <w:proofErr w:type="spellEnd"/>
      <w:r w:rsidRPr="003A5EE1">
        <w:rPr>
          <w:rFonts w:ascii="Arial" w:hAnsi="Arial" w:cs="Arial"/>
          <w:sz w:val="22"/>
          <w:szCs w:val="22"/>
        </w:rPr>
        <w:t xml:space="preserve"> UGT1A9.</w:t>
      </w:r>
    </w:p>
    <w:p w14:paraId="712C280E" w14:textId="77777777" w:rsidR="00A23E4E" w:rsidRPr="003A5EE1" w:rsidRDefault="00A23E4E" w:rsidP="002E54D9">
      <w:pPr>
        <w:pStyle w:val="BayerBodyTextFull"/>
        <w:spacing w:before="0" w:after="0"/>
        <w:rPr>
          <w:rFonts w:ascii="Arial" w:hAnsi="Arial" w:cs="Arial"/>
          <w:sz w:val="22"/>
          <w:szCs w:val="22"/>
        </w:rPr>
      </w:pPr>
    </w:p>
    <w:p w14:paraId="712C280F" w14:textId="77777777" w:rsidR="00A23E4E" w:rsidRPr="003A5EE1" w:rsidRDefault="007E132B" w:rsidP="002E54D9">
      <w:pPr>
        <w:pStyle w:val="BayerBodyTextFull"/>
        <w:spacing w:before="0" w:after="0"/>
        <w:rPr>
          <w:rFonts w:ascii="Arial" w:hAnsi="Arial" w:cs="Arial"/>
          <w:sz w:val="22"/>
          <w:szCs w:val="22"/>
        </w:rPr>
      </w:pPr>
      <w:r w:rsidRPr="003A5EE1">
        <w:rPr>
          <w:rFonts w:ascii="Arial" w:hAnsi="Arial" w:cs="Arial"/>
          <w:sz w:val="22"/>
          <w:szCs w:val="22"/>
        </w:rPr>
        <w:t xml:space="preserve">Administration of ketoconazole (400 mg for 18 days), a strong CYP3A4 inhibitor, with a single dose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(160 mg on day 5) resulted in an increase in mean exposure (AUC) of </w:t>
      </w:r>
      <w:proofErr w:type="spellStart"/>
      <w:r w:rsidR="00BB3DF3" w:rsidRPr="003A5EE1">
        <w:rPr>
          <w:rFonts w:ascii="Arial" w:hAnsi="Arial" w:cs="Arial"/>
          <w:sz w:val="22"/>
          <w:szCs w:val="22"/>
        </w:rPr>
        <w:t>regorafenib</w:t>
      </w:r>
      <w:proofErr w:type="spellEnd"/>
      <w:r w:rsidR="00BB3DF3" w:rsidRPr="003A5EE1">
        <w:rPr>
          <w:rFonts w:ascii="Arial" w:hAnsi="Arial" w:cs="Arial"/>
          <w:sz w:val="22"/>
          <w:szCs w:val="22"/>
        </w:rPr>
        <w:t xml:space="preserve"> of </w:t>
      </w:r>
      <w:r w:rsidRPr="003A5EE1">
        <w:rPr>
          <w:rFonts w:ascii="Arial" w:hAnsi="Arial" w:cs="Arial"/>
          <w:sz w:val="22"/>
          <w:szCs w:val="22"/>
        </w:rPr>
        <w:t xml:space="preserve">approximately 33%, and a decrease in mean exposure of the active metabolites, M-2 </w:t>
      </w:r>
      <w:r w:rsidRPr="003A5EE1">
        <w:rPr>
          <w:rFonts w:ascii="Arial" w:hAnsi="Arial" w:cs="Arial"/>
          <w:sz w:val="22"/>
          <w:szCs w:val="22"/>
          <w:lang w:val="en-GB"/>
        </w:rPr>
        <w:t xml:space="preserve">(N-oxide) </w:t>
      </w:r>
      <w:r w:rsidRPr="003A5EE1">
        <w:rPr>
          <w:rFonts w:ascii="Arial" w:hAnsi="Arial" w:cs="Arial"/>
          <w:sz w:val="22"/>
          <w:szCs w:val="22"/>
        </w:rPr>
        <w:t xml:space="preserve">and M-5 </w:t>
      </w:r>
      <w:r w:rsidRPr="003A5EE1">
        <w:rPr>
          <w:rFonts w:ascii="Arial" w:hAnsi="Arial" w:cs="Arial"/>
          <w:sz w:val="22"/>
          <w:szCs w:val="22"/>
          <w:lang w:val="en-GB"/>
        </w:rPr>
        <w:t>(N-oxide and N-</w:t>
      </w:r>
      <w:proofErr w:type="spellStart"/>
      <w:r w:rsidRPr="003A5EE1">
        <w:rPr>
          <w:rFonts w:ascii="Arial" w:hAnsi="Arial" w:cs="Arial"/>
          <w:sz w:val="22"/>
          <w:szCs w:val="22"/>
          <w:lang w:val="en-GB"/>
        </w:rPr>
        <w:t>desmethyl</w:t>
      </w:r>
      <w:proofErr w:type="spellEnd"/>
      <w:r w:rsidRPr="003A5EE1">
        <w:rPr>
          <w:rFonts w:ascii="Arial" w:hAnsi="Arial" w:cs="Arial"/>
          <w:sz w:val="22"/>
          <w:szCs w:val="22"/>
          <w:lang w:val="en-GB"/>
        </w:rPr>
        <w:t>)</w:t>
      </w:r>
      <w:r w:rsidRPr="003A5EE1">
        <w:rPr>
          <w:rFonts w:ascii="Arial" w:hAnsi="Arial" w:cs="Arial"/>
          <w:sz w:val="22"/>
          <w:szCs w:val="22"/>
        </w:rPr>
        <w:t xml:space="preserve">, of approximately 90%. </w:t>
      </w:r>
    </w:p>
    <w:p w14:paraId="712C2810" w14:textId="77777777" w:rsidR="00A23E4E" w:rsidRPr="003A5EE1" w:rsidRDefault="00A23E4E" w:rsidP="002E54D9">
      <w:pPr>
        <w:pStyle w:val="BayerBodyTextFull"/>
        <w:spacing w:before="0" w:after="0"/>
        <w:rPr>
          <w:rFonts w:ascii="Arial" w:hAnsi="Arial" w:cs="Arial"/>
          <w:sz w:val="22"/>
          <w:szCs w:val="22"/>
        </w:rPr>
      </w:pPr>
    </w:p>
    <w:p w14:paraId="712C2811" w14:textId="77777777" w:rsidR="007E132B" w:rsidRDefault="00BB3DF3" w:rsidP="002E54D9">
      <w:pPr>
        <w:pStyle w:val="BayerBodyTextFull"/>
        <w:spacing w:before="0" w:after="0"/>
        <w:rPr>
          <w:rFonts w:ascii="Arial" w:hAnsi="Arial" w:cs="Arial"/>
          <w:sz w:val="22"/>
          <w:szCs w:val="22"/>
        </w:rPr>
      </w:pPr>
      <w:r w:rsidRPr="003A5EE1">
        <w:rPr>
          <w:rFonts w:ascii="Arial" w:hAnsi="Arial" w:cs="Arial"/>
          <w:sz w:val="22"/>
          <w:szCs w:val="22"/>
        </w:rPr>
        <w:t>It is recommended to avoid concomitant use of strong inhibitors of CYP3A4 acti</w:t>
      </w:r>
      <w:r w:rsidR="006616AF" w:rsidRPr="003A5EE1">
        <w:rPr>
          <w:rFonts w:ascii="Arial" w:hAnsi="Arial" w:cs="Arial"/>
          <w:sz w:val="22"/>
          <w:szCs w:val="22"/>
        </w:rPr>
        <w:t>vity (e.g. clarithromycin, grap</w:t>
      </w:r>
      <w:r w:rsidRPr="003A5EE1">
        <w:rPr>
          <w:rFonts w:ascii="Arial" w:hAnsi="Arial" w:cs="Arial"/>
          <w:sz w:val="22"/>
          <w:szCs w:val="22"/>
        </w:rPr>
        <w:t xml:space="preserve">efruit juice, </w:t>
      </w:r>
      <w:proofErr w:type="spellStart"/>
      <w:r w:rsidRPr="003A5EE1">
        <w:rPr>
          <w:rFonts w:ascii="Arial" w:hAnsi="Arial" w:cs="Arial"/>
          <w:sz w:val="22"/>
          <w:szCs w:val="22"/>
        </w:rPr>
        <w:t>itraconazole</w:t>
      </w:r>
      <w:proofErr w:type="spellEnd"/>
      <w:r w:rsidRPr="003A5EE1">
        <w:rPr>
          <w:rFonts w:ascii="Arial" w:hAnsi="Arial" w:cs="Arial"/>
          <w:sz w:val="22"/>
          <w:szCs w:val="22"/>
        </w:rPr>
        <w:t xml:space="preserve">, ketoconazole, </w:t>
      </w:r>
      <w:proofErr w:type="spellStart"/>
      <w:r w:rsidRPr="003A5EE1">
        <w:rPr>
          <w:rFonts w:ascii="Arial" w:hAnsi="Arial" w:cs="Arial"/>
          <w:sz w:val="22"/>
          <w:szCs w:val="22"/>
        </w:rPr>
        <w:t>posaconazole</w:t>
      </w:r>
      <w:proofErr w:type="spellEnd"/>
      <w:r w:rsidRPr="003A5EE1">
        <w:rPr>
          <w:rFonts w:ascii="Arial" w:hAnsi="Arial" w:cs="Arial"/>
          <w:sz w:val="22"/>
          <w:szCs w:val="22"/>
        </w:rPr>
        <w:t xml:space="preserve"> and </w:t>
      </w:r>
      <w:proofErr w:type="spellStart"/>
      <w:r w:rsidRPr="003A5EE1">
        <w:rPr>
          <w:rFonts w:ascii="Arial" w:hAnsi="Arial" w:cs="Arial"/>
          <w:sz w:val="22"/>
          <w:szCs w:val="22"/>
        </w:rPr>
        <w:t>voriconazole</w:t>
      </w:r>
      <w:proofErr w:type="spellEnd"/>
      <w:r w:rsidRPr="003A5EE1">
        <w:rPr>
          <w:rFonts w:ascii="Arial" w:hAnsi="Arial" w:cs="Arial"/>
          <w:sz w:val="22"/>
          <w:szCs w:val="22"/>
        </w:rPr>
        <w:t xml:space="preserve">) as their influence on the steady-state exposure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and its metabolites (M-2 and M-5) has not been studied. </w:t>
      </w:r>
    </w:p>
    <w:p w14:paraId="712C2812" w14:textId="77777777" w:rsidR="00C02009" w:rsidRPr="003A5EE1" w:rsidRDefault="00C02009" w:rsidP="002E54D9">
      <w:pPr>
        <w:pStyle w:val="BayerBodyTextFull"/>
        <w:spacing w:before="0" w:after="0"/>
        <w:rPr>
          <w:rFonts w:ascii="Arial" w:hAnsi="Arial" w:cs="Arial"/>
          <w:sz w:val="22"/>
          <w:szCs w:val="22"/>
        </w:rPr>
      </w:pPr>
    </w:p>
    <w:p w14:paraId="712C2813" w14:textId="77777777" w:rsidR="00A23E4E" w:rsidRDefault="00A23E4E" w:rsidP="00456BB6">
      <w:pPr>
        <w:rPr>
          <w:rFonts w:ascii="Arial" w:hAnsi="Arial" w:cs="Arial"/>
          <w:sz w:val="22"/>
          <w:szCs w:val="22"/>
        </w:rPr>
      </w:pPr>
      <w:r w:rsidRPr="003A5EE1">
        <w:rPr>
          <w:rFonts w:ascii="Arial" w:hAnsi="Arial" w:cs="Arial"/>
          <w:sz w:val="22"/>
          <w:szCs w:val="22"/>
        </w:rPr>
        <w:t>Administration of rifampicin</w:t>
      </w:r>
      <w:r w:rsidR="007E132B" w:rsidRPr="003A5EE1">
        <w:rPr>
          <w:rFonts w:ascii="Arial" w:hAnsi="Arial" w:cs="Arial"/>
          <w:sz w:val="22"/>
          <w:szCs w:val="22"/>
        </w:rPr>
        <w:t xml:space="preserve"> (600 mg for 9 days), a strong CYP3A4 inducer, with a single dose of </w:t>
      </w:r>
      <w:proofErr w:type="spellStart"/>
      <w:r w:rsidR="007E132B" w:rsidRPr="003A5EE1">
        <w:rPr>
          <w:rFonts w:ascii="Arial" w:hAnsi="Arial" w:cs="Arial"/>
          <w:sz w:val="22"/>
          <w:szCs w:val="22"/>
        </w:rPr>
        <w:t>regorafenib</w:t>
      </w:r>
      <w:proofErr w:type="spellEnd"/>
      <w:r w:rsidR="007E132B" w:rsidRPr="003A5EE1">
        <w:rPr>
          <w:rFonts w:ascii="Arial" w:hAnsi="Arial" w:cs="Arial"/>
          <w:sz w:val="22"/>
          <w:szCs w:val="22"/>
        </w:rPr>
        <w:t xml:space="preserve"> (160 mg on day 7) resulted in a reduction in mean exposure (AUC) of </w:t>
      </w:r>
      <w:proofErr w:type="spellStart"/>
      <w:r w:rsidR="00BB3DF3" w:rsidRPr="003A5EE1">
        <w:rPr>
          <w:rFonts w:ascii="Arial" w:hAnsi="Arial" w:cs="Arial"/>
          <w:sz w:val="22"/>
          <w:szCs w:val="22"/>
        </w:rPr>
        <w:t>regorafenib</w:t>
      </w:r>
      <w:proofErr w:type="spellEnd"/>
      <w:r w:rsidR="00BB3DF3" w:rsidRPr="003A5EE1">
        <w:rPr>
          <w:rFonts w:ascii="Arial" w:hAnsi="Arial" w:cs="Arial"/>
          <w:sz w:val="22"/>
          <w:szCs w:val="22"/>
        </w:rPr>
        <w:t xml:space="preserve"> of </w:t>
      </w:r>
      <w:r w:rsidR="007E132B" w:rsidRPr="003A5EE1">
        <w:rPr>
          <w:rFonts w:ascii="Arial" w:hAnsi="Arial" w:cs="Arial"/>
          <w:sz w:val="22"/>
          <w:szCs w:val="22"/>
        </w:rPr>
        <w:t xml:space="preserve">approximately 50%, a 3- to 4-fold increase in mean exposure of the active metabolite M-5, and no change in exposure of active metabolite M-2. </w:t>
      </w:r>
    </w:p>
    <w:p w14:paraId="19EF1CCC" w14:textId="77777777" w:rsidR="0080645A" w:rsidRPr="003A5EE1" w:rsidRDefault="0080645A" w:rsidP="00456BB6">
      <w:pPr>
        <w:rPr>
          <w:rFonts w:ascii="Arial" w:hAnsi="Arial" w:cs="Arial"/>
          <w:sz w:val="22"/>
          <w:szCs w:val="22"/>
        </w:rPr>
      </w:pPr>
    </w:p>
    <w:p w14:paraId="712C2814" w14:textId="77777777" w:rsidR="001D1004" w:rsidRPr="003A5EE1" w:rsidRDefault="007E132B" w:rsidP="00456BB6">
      <w:pPr>
        <w:rPr>
          <w:rFonts w:ascii="Arial" w:hAnsi="Arial" w:cs="Arial"/>
          <w:sz w:val="22"/>
          <w:szCs w:val="22"/>
        </w:rPr>
      </w:pPr>
      <w:r w:rsidRPr="003A5EE1">
        <w:rPr>
          <w:rFonts w:ascii="Arial" w:hAnsi="Arial" w:cs="Arial"/>
          <w:sz w:val="22"/>
          <w:szCs w:val="22"/>
        </w:rPr>
        <w:t xml:space="preserve">Other strong </w:t>
      </w:r>
      <w:r w:rsidR="00562F4F" w:rsidRPr="003A5EE1">
        <w:rPr>
          <w:rFonts w:ascii="Arial" w:hAnsi="Arial" w:cs="Arial"/>
          <w:sz w:val="22"/>
          <w:szCs w:val="22"/>
        </w:rPr>
        <w:t xml:space="preserve">CYP3A4 </w:t>
      </w:r>
      <w:r w:rsidRPr="003A5EE1">
        <w:rPr>
          <w:rFonts w:ascii="Arial" w:hAnsi="Arial" w:cs="Arial"/>
          <w:sz w:val="22"/>
          <w:szCs w:val="22"/>
        </w:rPr>
        <w:t>inducers (e.g. phenytoin, carbamazepine, phenobarbital</w:t>
      </w:r>
      <w:r w:rsidR="00562F4F" w:rsidRPr="003A5EE1">
        <w:rPr>
          <w:rFonts w:ascii="Arial" w:hAnsi="Arial" w:cs="Arial"/>
          <w:sz w:val="22"/>
          <w:szCs w:val="22"/>
        </w:rPr>
        <w:t>,</w:t>
      </w:r>
      <w:r w:rsidR="006616AF" w:rsidRPr="003A5EE1">
        <w:rPr>
          <w:rFonts w:ascii="Arial" w:hAnsi="Arial" w:cs="Arial"/>
          <w:sz w:val="22"/>
          <w:szCs w:val="22"/>
        </w:rPr>
        <w:t xml:space="preserve"> </w:t>
      </w:r>
      <w:proofErr w:type="spellStart"/>
      <w:r w:rsidR="006616AF" w:rsidRPr="003A5EE1">
        <w:rPr>
          <w:rFonts w:ascii="Arial" w:hAnsi="Arial" w:cs="Arial"/>
          <w:sz w:val="22"/>
          <w:szCs w:val="22"/>
        </w:rPr>
        <w:t>rifabutin</w:t>
      </w:r>
      <w:proofErr w:type="spellEnd"/>
      <w:r w:rsidR="008A7D15" w:rsidRPr="003A5EE1">
        <w:rPr>
          <w:rFonts w:ascii="Arial" w:hAnsi="Arial" w:cs="Arial"/>
          <w:sz w:val="22"/>
          <w:szCs w:val="22"/>
        </w:rPr>
        <w:t xml:space="preserve">, </w:t>
      </w:r>
      <w:r w:rsidR="00562F4F" w:rsidRPr="003A5EE1">
        <w:rPr>
          <w:rFonts w:ascii="Arial" w:hAnsi="Arial" w:cs="Arial"/>
          <w:sz w:val="22"/>
          <w:szCs w:val="22"/>
        </w:rPr>
        <w:t xml:space="preserve">dexamethasone and St John’s </w:t>
      </w:r>
      <w:proofErr w:type="spellStart"/>
      <w:r w:rsidR="00562F4F" w:rsidRPr="003A5EE1">
        <w:rPr>
          <w:rFonts w:ascii="Arial" w:hAnsi="Arial" w:cs="Arial"/>
          <w:sz w:val="22"/>
          <w:szCs w:val="22"/>
        </w:rPr>
        <w:t>Wort</w:t>
      </w:r>
      <w:proofErr w:type="spellEnd"/>
      <w:r w:rsidRPr="003A5EE1">
        <w:rPr>
          <w:rFonts w:ascii="Arial" w:hAnsi="Arial" w:cs="Arial"/>
          <w:sz w:val="22"/>
          <w:szCs w:val="22"/>
        </w:rPr>
        <w:t xml:space="preserve">) may also increase metabolism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Since a reduction in plasma </w:t>
      </w:r>
      <w:proofErr w:type="spellStart"/>
      <w:r w:rsidRPr="003A5EE1">
        <w:rPr>
          <w:rFonts w:ascii="Arial" w:hAnsi="Arial" w:cs="Arial"/>
          <w:sz w:val="22"/>
          <w:szCs w:val="22"/>
        </w:rPr>
        <w:t>regorafenib</w:t>
      </w:r>
      <w:proofErr w:type="spellEnd"/>
      <w:r w:rsidR="00A23E4E" w:rsidRPr="003A5EE1">
        <w:rPr>
          <w:rFonts w:ascii="Arial" w:hAnsi="Arial" w:cs="Arial"/>
          <w:sz w:val="22"/>
          <w:szCs w:val="22"/>
        </w:rPr>
        <w:t xml:space="preserve"> concentrations may result in </w:t>
      </w:r>
      <w:r w:rsidRPr="003A5EE1">
        <w:rPr>
          <w:rFonts w:ascii="Arial" w:hAnsi="Arial" w:cs="Arial"/>
          <w:sz w:val="22"/>
          <w:szCs w:val="22"/>
        </w:rPr>
        <w:t>decreased efficacy, strong inducers of CYP3A4 should be avoid</w:t>
      </w:r>
      <w:r w:rsidR="00A23E4E" w:rsidRPr="003A5EE1">
        <w:rPr>
          <w:rFonts w:ascii="Arial" w:hAnsi="Arial" w:cs="Arial"/>
          <w:sz w:val="22"/>
          <w:szCs w:val="22"/>
        </w:rPr>
        <w:t>ed, or selection of an alternate</w:t>
      </w:r>
      <w:r w:rsidRPr="003A5EE1">
        <w:rPr>
          <w:rFonts w:ascii="Arial" w:hAnsi="Arial" w:cs="Arial"/>
          <w:sz w:val="22"/>
          <w:szCs w:val="22"/>
        </w:rPr>
        <w:t xml:space="preserve"> concomitant medicinal product, with no or minimal potential to induce CYP3A4 should be considered.</w:t>
      </w:r>
      <w:bookmarkEnd w:id="5"/>
    </w:p>
    <w:p w14:paraId="712C2815" w14:textId="77777777" w:rsidR="00A23E4E" w:rsidRPr="003A5EE1" w:rsidRDefault="00A23E4E" w:rsidP="002E54D9">
      <w:pPr>
        <w:rPr>
          <w:rFonts w:ascii="Arial" w:hAnsi="Arial" w:cs="Arial"/>
          <w:sz w:val="22"/>
          <w:szCs w:val="22"/>
        </w:rPr>
      </w:pPr>
    </w:p>
    <w:p w14:paraId="712C2816" w14:textId="77777777" w:rsidR="006805C0" w:rsidRPr="008515FD" w:rsidRDefault="007E132B" w:rsidP="008515FD">
      <w:pPr>
        <w:pStyle w:val="Heading4"/>
      </w:pPr>
      <w:r w:rsidRPr="008515FD">
        <w:t>UGT1A1 and UGT1A9 substrates</w:t>
      </w:r>
    </w:p>
    <w:p w14:paraId="712C2817" w14:textId="77777777" w:rsidR="00A23E4E" w:rsidRPr="003A5EE1" w:rsidRDefault="00A23E4E" w:rsidP="008515FD">
      <w:pPr>
        <w:keepNext/>
        <w:ind w:firstLine="567"/>
        <w:rPr>
          <w:sz w:val="22"/>
          <w:szCs w:val="22"/>
          <w:lang w:val="en-AU"/>
        </w:rPr>
      </w:pPr>
    </w:p>
    <w:p w14:paraId="712C2818" w14:textId="77777777" w:rsidR="007E132B" w:rsidRPr="003A5EE1" w:rsidRDefault="007E132B" w:rsidP="008515FD">
      <w:pPr>
        <w:pStyle w:val="BayerBodyTextFull"/>
        <w:keepNext/>
        <w:spacing w:before="0" w:after="0"/>
        <w:rPr>
          <w:rFonts w:ascii="Arial" w:hAnsi="Arial" w:cs="Arial"/>
          <w:sz w:val="22"/>
          <w:szCs w:val="22"/>
        </w:rPr>
      </w:pPr>
      <w:r w:rsidRPr="003A5EE1">
        <w:rPr>
          <w:rFonts w:ascii="Arial" w:hAnsi="Arial" w:cs="Arial"/>
          <w:i/>
          <w:sz w:val="22"/>
          <w:szCs w:val="22"/>
        </w:rPr>
        <w:t>In vitro</w:t>
      </w:r>
      <w:r w:rsidRPr="003A5EE1">
        <w:rPr>
          <w:rFonts w:ascii="Arial" w:hAnsi="Arial" w:cs="Arial"/>
          <w:sz w:val="22"/>
          <w:szCs w:val="22"/>
          <w:lang w:eastAsia="de-DE"/>
        </w:rPr>
        <w:t xml:space="preserve"> data indicate that</w:t>
      </w:r>
      <w:r w:rsidRPr="003A5EE1">
        <w:rPr>
          <w:rFonts w:ascii="Arial" w:hAnsi="Arial" w:cs="Arial"/>
          <w:sz w:val="22"/>
          <w:szCs w:val="22"/>
        </w:rPr>
        <w:t xml:space="preserve">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w:t>
      </w:r>
      <w:r w:rsidR="00836E60" w:rsidRPr="003A5EE1">
        <w:rPr>
          <w:rFonts w:ascii="Arial" w:hAnsi="Arial" w:cs="Arial"/>
          <w:sz w:val="22"/>
          <w:szCs w:val="22"/>
          <w:lang w:eastAsia="de-DE"/>
        </w:rPr>
        <w:t xml:space="preserve">and </w:t>
      </w:r>
      <w:r w:rsidRPr="003A5EE1">
        <w:rPr>
          <w:rFonts w:ascii="Arial" w:hAnsi="Arial" w:cs="Arial"/>
          <w:sz w:val="22"/>
          <w:szCs w:val="22"/>
          <w:lang w:eastAsia="de-DE"/>
        </w:rPr>
        <w:t xml:space="preserve">its active metabolite M-2 inhibit </w:t>
      </w:r>
      <w:proofErr w:type="spellStart"/>
      <w:r w:rsidRPr="003A5EE1">
        <w:rPr>
          <w:rFonts w:ascii="Arial" w:hAnsi="Arial" w:cs="Arial"/>
          <w:sz w:val="22"/>
          <w:szCs w:val="22"/>
          <w:lang w:eastAsia="de-DE"/>
        </w:rPr>
        <w:t>glucuronidation</w:t>
      </w:r>
      <w:proofErr w:type="spellEnd"/>
      <w:r w:rsidRPr="003A5EE1">
        <w:rPr>
          <w:rFonts w:ascii="Arial" w:hAnsi="Arial" w:cs="Arial"/>
          <w:sz w:val="22"/>
          <w:szCs w:val="22"/>
          <w:lang w:eastAsia="de-DE"/>
        </w:rPr>
        <w:t xml:space="preserve"> mediated by uridine diphosphate </w:t>
      </w:r>
      <w:proofErr w:type="spellStart"/>
      <w:r w:rsidRPr="003A5EE1">
        <w:rPr>
          <w:rFonts w:ascii="Arial" w:hAnsi="Arial" w:cs="Arial"/>
          <w:sz w:val="22"/>
          <w:szCs w:val="22"/>
          <w:lang w:eastAsia="de-DE"/>
        </w:rPr>
        <w:t>glucuronosyl</w:t>
      </w:r>
      <w:proofErr w:type="spellEnd"/>
      <w:r w:rsidRPr="003A5EE1">
        <w:rPr>
          <w:rFonts w:ascii="Arial" w:hAnsi="Arial" w:cs="Arial"/>
          <w:sz w:val="22"/>
          <w:szCs w:val="22"/>
          <w:lang w:eastAsia="de-DE"/>
        </w:rPr>
        <w:t xml:space="preserve"> </w:t>
      </w:r>
      <w:proofErr w:type="spellStart"/>
      <w:r w:rsidRPr="003A5EE1">
        <w:rPr>
          <w:rFonts w:ascii="Arial" w:hAnsi="Arial" w:cs="Arial"/>
          <w:sz w:val="22"/>
          <w:szCs w:val="22"/>
          <w:lang w:eastAsia="de-DE"/>
        </w:rPr>
        <w:t>transferases</w:t>
      </w:r>
      <w:proofErr w:type="spellEnd"/>
      <w:r w:rsidRPr="003A5EE1">
        <w:rPr>
          <w:rFonts w:ascii="Arial" w:hAnsi="Arial" w:cs="Arial"/>
          <w:sz w:val="22"/>
          <w:szCs w:val="22"/>
          <w:lang w:eastAsia="de-DE"/>
        </w:rPr>
        <w:t xml:space="preserve"> UGT1A1 and UGT1A9</w:t>
      </w:r>
      <w:r w:rsidR="00562F4F" w:rsidRPr="003A5EE1">
        <w:rPr>
          <w:rFonts w:ascii="Arial" w:hAnsi="Arial" w:cs="Arial"/>
          <w:sz w:val="22"/>
          <w:szCs w:val="22"/>
          <w:lang w:eastAsia="de-DE"/>
        </w:rPr>
        <w:t xml:space="preserve">, </w:t>
      </w:r>
      <w:r w:rsidR="00836E60" w:rsidRPr="003A5EE1">
        <w:rPr>
          <w:rFonts w:ascii="Arial" w:hAnsi="Arial" w:cs="Arial"/>
          <w:sz w:val="22"/>
          <w:szCs w:val="22"/>
          <w:lang w:eastAsia="de-DE"/>
        </w:rPr>
        <w:t>and the active metabolite M-5 inhibits UGT1A1</w:t>
      </w:r>
      <w:r w:rsidRPr="003A5EE1">
        <w:rPr>
          <w:rFonts w:ascii="Arial" w:hAnsi="Arial" w:cs="Arial"/>
          <w:sz w:val="22"/>
          <w:szCs w:val="22"/>
          <w:lang w:eastAsia="de-DE"/>
        </w:rPr>
        <w:t xml:space="preserve"> at concentrations which are achieved </w:t>
      </w:r>
      <w:r w:rsidRPr="003A5EE1">
        <w:rPr>
          <w:rFonts w:ascii="Arial" w:hAnsi="Arial" w:cs="Arial"/>
          <w:i/>
          <w:sz w:val="22"/>
          <w:szCs w:val="22"/>
          <w:lang w:eastAsia="de-DE"/>
        </w:rPr>
        <w:t>in vivo</w:t>
      </w:r>
      <w:r w:rsidRPr="003A5EE1">
        <w:rPr>
          <w:rFonts w:ascii="Arial" w:hAnsi="Arial" w:cs="Arial"/>
          <w:sz w:val="22"/>
          <w:szCs w:val="22"/>
          <w:lang w:eastAsia="de-DE"/>
        </w:rPr>
        <w:t xml:space="preserve"> at steady state</w:t>
      </w:r>
      <w:r w:rsidRPr="003A5EE1">
        <w:rPr>
          <w:rFonts w:ascii="Arial" w:hAnsi="Arial" w:cs="Arial"/>
          <w:sz w:val="22"/>
          <w:szCs w:val="22"/>
        </w:rPr>
        <w:t>.</w:t>
      </w:r>
      <w:r w:rsidRPr="003A5EE1">
        <w:rPr>
          <w:rStyle w:val="EndnoteReference"/>
          <w:rFonts w:ascii="Arial" w:hAnsi="Arial" w:cs="Arial"/>
          <w:sz w:val="22"/>
          <w:szCs w:val="22"/>
        </w:rPr>
        <w:t xml:space="preserve"> </w:t>
      </w:r>
    </w:p>
    <w:p w14:paraId="712C2819" w14:textId="77777777" w:rsidR="00A23E4E" w:rsidRPr="003A5EE1" w:rsidRDefault="00A23E4E" w:rsidP="002E54D9">
      <w:pPr>
        <w:pStyle w:val="BayerBodyTextFull"/>
        <w:spacing w:before="0" w:after="0"/>
        <w:rPr>
          <w:rFonts w:ascii="Arial" w:hAnsi="Arial" w:cs="Arial"/>
          <w:sz w:val="22"/>
          <w:szCs w:val="22"/>
        </w:rPr>
      </w:pPr>
    </w:p>
    <w:p w14:paraId="712C281A" w14:textId="77777777" w:rsidR="0055539D" w:rsidRDefault="007E132B" w:rsidP="00F34FCB">
      <w:pPr>
        <w:ind w:right="45"/>
        <w:rPr>
          <w:rFonts w:ascii="Arial" w:hAnsi="Arial" w:cs="Arial"/>
          <w:sz w:val="22"/>
          <w:szCs w:val="22"/>
        </w:rPr>
      </w:pPr>
      <w:r w:rsidRPr="003A5EE1">
        <w:rPr>
          <w:rFonts w:ascii="Arial" w:hAnsi="Arial" w:cs="Arial"/>
          <w:sz w:val="22"/>
          <w:szCs w:val="22"/>
        </w:rPr>
        <w:t xml:space="preserve">Administration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with a 5-day break prior to administration of </w:t>
      </w:r>
      <w:proofErr w:type="spellStart"/>
      <w:r w:rsidRPr="003A5EE1">
        <w:rPr>
          <w:rFonts w:ascii="Arial" w:hAnsi="Arial" w:cs="Arial"/>
          <w:sz w:val="22"/>
          <w:szCs w:val="22"/>
        </w:rPr>
        <w:t>irinotecan</w:t>
      </w:r>
      <w:proofErr w:type="spellEnd"/>
      <w:r w:rsidRPr="003A5EE1">
        <w:rPr>
          <w:rFonts w:ascii="Arial" w:hAnsi="Arial" w:cs="Arial"/>
          <w:sz w:val="22"/>
          <w:szCs w:val="22"/>
        </w:rPr>
        <w:t xml:space="preserve"> resulted in an increase of approximately 44% in mean exposure (AUC) </w:t>
      </w:r>
      <w:r w:rsidR="00562F4F" w:rsidRPr="003A5EE1">
        <w:rPr>
          <w:rFonts w:ascii="Arial" w:hAnsi="Arial" w:cs="Arial"/>
          <w:sz w:val="22"/>
          <w:szCs w:val="22"/>
        </w:rPr>
        <w:t>of</w:t>
      </w:r>
      <w:r w:rsidRPr="003A5EE1">
        <w:rPr>
          <w:rFonts w:ascii="Arial" w:hAnsi="Arial" w:cs="Arial"/>
          <w:sz w:val="22"/>
          <w:szCs w:val="22"/>
        </w:rPr>
        <w:t xml:space="preserve"> SN-38, a substrate of UGT1A1 and an active metabolite of </w:t>
      </w:r>
      <w:proofErr w:type="spellStart"/>
      <w:r w:rsidRPr="003A5EE1">
        <w:rPr>
          <w:rFonts w:ascii="Arial" w:hAnsi="Arial" w:cs="Arial"/>
          <w:sz w:val="22"/>
          <w:szCs w:val="22"/>
        </w:rPr>
        <w:t>irinotecan</w:t>
      </w:r>
      <w:proofErr w:type="spellEnd"/>
      <w:r w:rsidRPr="003A5EE1">
        <w:rPr>
          <w:rFonts w:ascii="Arial" w:hAnsi="Arial" w:cs="Arial"/>
          <w:sz w:val="22"/>
          <w:szCs w:val="22"/>
        </w:rPr>
        <w:t xml:space="preserve">. An increase in </w:t>
      </w:r>
      <w:r w:rsidR="00562F4F" w:rsidRPr="003A5EE1">
        <w:rPr>
          <w:rFonts w:ascii="Arial" w:hAnsi="Arial" w:cs="Arial"/>
          <w:sz w:val="22"/>
          <w:szCs w:val="22"/>
        </w:rPr>
        <w:t>AUC of</w:t>
      </w:r>
      <w:r w:rsidRPr="003A5EE1">
        <w:rPr>
          <w:rFonts w:ascii="Arial" w:hAnsi="Arial" w:cs="Arial"/>
          <w:sz w:val="22"/>
          <w:szCs w:val="22"/>
        </w:rPr>
        <w:t xml:space="preserve"> </w:t>
      </w:r>
      <w:proofErr w:type="spellStart"/>
      <w:r w:rsidRPr="003A5EE1">
        <w:rPr>
          <w:rFonts w:ascii="Arial" w:hAnsi="Arial" w:cs="Arial"/>
          <w:sz w:val="22"/>
          <w:szCs w:val="22"/>
        </w:rPr>
        <w:t>irinotecan</w:t>
      </w:r>
      <w:proofErr w:type="spellEnd"/>
      <w:r w:rsidRPr="003A5EE1">
        <w:rPr>
          <w:rFonts w:ascii="Arial" w:hAnsi="Arial" w:cs="Arial"/>
          <w:sz w:val="22"/>
          <w:szCs w:val="22"/>
        </w:rPr>
        <w:t xml:space="preserve"> of approximately 28% was also observed. This indicates that co-administration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may increase systemic exposure to UGT1A1 and UGT1A9 substrates. The clinical significance of these findings is unknown.</w:t>
      </w:r>
    </w:p>
    <w:p w14:paraId="712C281B" w14:textId="77777777" w:rsidR="005B4EB5" w:rsidRDefault="005B4EB5" w:rsidP="00F34FCB">
      <w:pPr>
        <w:ind w:right="45"/>
        <w:rPr>
          <w:rFonts w:ascii="Arial" w:hAnsi="Arial" w:cs="Arial"/>
          <w:sz w:val="22"/>
          <w:szCs w:val="22"/>
        </w:rPr>
      </w:pPr>
    </w:p>
    <w:p w14:paraId="712C281C" w14:textId="77777777" w:rsidR="002A655C" w:rsidRPr="008515FD" w:rsidRDefault="002A655C" w:rsidP="005B4EB5">
      <w:pPr>
        <w:pStyle w:val="Heading4"/>
      </w:pPr>
      <w:r w:rsidRPr="008515FD">
        <w:t xml:space="preserve">Inhibitors/inducers of P-glycoprotein and breast cancer resistance protein (BCRP) </w:t>
      </w:r>
    </w:p>
    <w:p w14:paraId="712C281D" w14:textId="77777777" w:rsidR="00984752" w:rsidRDefault="00984752" w:rsidP="002A655C">
      <w:pPr>
        <w:ind w:right="45"/>
        <w:rPr>
          <w:rFonts w:ascii="Arial" w:hAnsi="Arial" w:cs="Arial"/>
          <w:sz w:val="22"/>
          <w:szCs w:val="22"/>
        </w:rPr>
      </w:pPr>
    </w:p>
    <w:p w14:paraId="712C281E" w14:textId="77777777" w:rsidR="002A655C" w:rsidRPr="005F3D99" w:rsidRDefault="002A655C" w:rsidP="002A655C">
      <w:pPr>
        <w:ind w:right="45"/>
        <w:rPr>
          <w:rFonts w:ascii="Arial" w:hAnsi="Arial" w:cs="Arial"/>
          <w:sz w:val="22"/>
          <w:szCs w:val="22"/>
        </w:rPr>
      </w:pPr>
      <w:r w:rsidRPr="005F3D99">
        <w:rPr>
          <w:rFonts w:ascii="Arial" w:hAnsi="Arial" w:cs="Arial"/>
          <w:i/>
          <w:iCs/>
          <w:sz w:val="22"/>
          <w:szCs w:val="22"/>
        </w:rPr>
        <w:t>In vitro</w:t>
      </w:r>
      <w:r w:rsidRPr="003728DE">
        <w:rPr>
          <w:rFonts w:ascii="Arial" w:hAnsi="Arial" w:cs="Arial"/>
          <w:iCs/>
          <w:sz w:val="22"/>
          <w:szCs w:val="22"/>
        </w:rPr>
        <w:t xml:space="preserve"> </w:t>
      </w:r>
      <w:r w:rsidRPr="003728DE">
        <w:rPr>
          <w:rFonts w:ascii="Arial" w:hAnsi="Arial" w:cs="Arial"/>
          <w:sz w:val="22"/>
          <w:szCs w:val="22"/>
        </w:rPr>
        <w:t xml:space="preserve">data indicate that the active metabolites M-2 and M-5 of </w:t>
      </w:r>
      <w:proofErr w:type="spellStart"/>
      <w:r w:rsidRPr="003728DE">
        <w:rPr>
          <w:rFonts w:ascii="Arial" w:hAnsi="Arial" w:cs="Arial"/>
          <w:sz w:val="22"/>
          <w:szCs w:val="22"/>
        </w:rPr>
        <w:t>regorafenib</w:t>
      </w:r>
      <w:proofErr w:type="spellEnd"/>
      <w:r w:rsidRPr="003728DE">
        <w:rPr>
          <w:rFonts w:ascii="Arial" w:hAnsi="Arial" w:cs="Arial"/>
          <w:sz w:val="22"/>
          <w:szCs w:val="22"/>
        </w:rPr>
        <w:t xml:space="preserve"> (but not </w:t>
      </w:r>
      <w:proofErr w:type="spellStart"/>
      <w:r w:rsidRPr="003728DE">
        <w:rPr>
          <w:rFonts w:ascii="Arial" w:hAnsi="Arial" w:cs="Arial"/>
          <w:sz w:val="22"/>
          <w:szCs w:val="22"/>
        </w:rPr>
        <w:t>regorafenib</w:t>
      </w:r>
      <w:proofErr w:type="spellEnd"/>
      <w:r w:rsidRPr="003728DE">
        <w:rPr>
          <w:rFonts w:ascii="Arial" w:hAnsi="Arial" w:cs="Arial"/>
          <w:sz w:val="22"/>
          <w:szCs w:val="22"/>
        </w:rPr>
        <w:t xml:space="preserve"> itself) are substrates for P-glycoprotein and BCRP. The effect of inducers or inhibitors of these transporters on the exposure to total pharmacologically-active material is unknown.</w:t>
      </w:r>
    </w:p>
    <w:p w14:paraId="712C2820" w14:textId="77777777" w:rsidR="00555275" w:rsidRPr="008515FD" w:rsidRDefault="00562F4F" w:rsidP="005B4EB5">
      <w:pPr>
        <w:pStyle w:val="Heading4"/>
      </w:pPr>
      <w:r w:rsidRPr="008515FD">
        <w:t>Breast cancer resistance protein (</w:t>
      </w:r>
      <w:r w:rsidR="007E132B" w:rsidRPr="008515FD">
        <w:t>BCRP</w:t>
      </w:r>
      <w:r w:rsidRPr="008515FD">
        <w:t>)</w:t>
      </w:r>
      <w:r w:rsidR="007E132B" w:rsidRPr="008515FD">
        <w:t xml:space="preserve"> and P-glycoprotein substrates</w:t>
      </w:r>
    </w:p>
    <w:p w14:paraId="712C2821" w14:textId="77777777" w:rsidR="00A23E4E" w:rsidRPr="003A5EE1" w:rsidRDefault="00A23E4E" w:rsidP="00F34FCB">
      <w:pPr>
        <w:rPr>
          <w:sz w:val="22"/>
          <w:szCs w:val="22"/>
          <w:lang w:val="en-AU"/>
        </w:rPr>
      </w:pPr>
    </w:p>
    <w:p w14:paraId="712C2822" w14:textId="77777777" w:rsidR="00275FBB" w:rsidRPr="003A5EE1" w:rsidRDefault="007E132B" w:rsidP="00740E73">
      <w:pPr>
        <w:pStyle w:val="Default"/>
        <w:rPr>
          <w:rFonts w:ascii="Arial" w:hAnsi="Arial" w:cs="Arial"/>
          <w:sz w:val="22"/>
          <w:szCs w:val="22"/>
        </w:rPr>
      </w:pPr>
      <w:r w:rsidRPr="003A5EE1">
        <w:rPr>
          <w:rFonts w:ascii="Arial" w:hAnsi="Arial" w:cs="Arial"/>
          <w:i/>
          <w:sz w:val="22"/>
          <w:szCs w:val="22"/>
        </w:rPr>
        <w:t>In vitro</w:t>
      </w:r>
      <w:r w:rsidRPr="003A5EE1">
        <w:rPr>
          <w:rFonts w:ascii="Arial" w:hAnsi="Arial" w:cs="Arial"/>
          <w:sz w:val="22"/>
          <w:szCs w:val="22"/>
        </w:rPr>
        <w:t xml:space="preserve"> data indicate that </w:t>
      </w:r>
      <w:proofErr w:type="spellStart"/>
      <w:r w:rsidRPr="003A5EE1">
        <w:rPr>
          <w:rFonts w:ascii="Arial" w:hAnsi="Arial" w:cs="Arial"/>
          <w:sz w:val="22"/>
          <w:szCs w:val="22"/>
        </w:rPr>
        <w:t>regorafenib</w:t>
      </w:r>
      <w:proofErr w:type="spellEnd"/>
      <w:r w:rsidR="00943DEC">
        <w:rPr>
          <w:rFonts w:ascii="Arial" w:hAnsi="Arial" w:cs="Arial"/>
          <w:sz w:val="22"/>
          <w:szCs w:val="22"/>
        </w:rPr>
        <w:t xml:space="preserve"> and its active metabolite M-2</w:t>
      </w:r>
      <w:r w:rsidRPr="003A5EE1">
        <w:rPr>
          <w:rFonts w:ascii="Arial" w:hAnsi="Arial" w:cs="Arial"/>
          <w:sz w:val="22"/>
          <w:szCs w:val="22"/>
        </w:rPr>
        <w:t xml:space="preserve"> </w:t>
      </w:r>
      <w:r w:rsidR="00943DEC">
        <w:rPr>
          <w:rFonts w:ascii="Arial" w:hAnsi="Arial" w:cs="Arial"/>
          <w:sz w:val="22"/>
          <w:szCs w:val="22"/>
        </w:rPr>
        <w:t xml:space="preserve">are </w:t>
      </w:r>
      <w:r w:rsidRPr="003A5EE1">
        <w:rPr>
          <w:rFonts w:ascii="Arial" w:hAnsi="Arial" w:cs="Arial"/>
          <w:sz w:val="22"/>
          <w:szCs w:val="22"/>
        </w:rPr>
        <w:t>inhibitor</w:t>
      </w:r>
      <w:r w:rsidR="00943DEC">
        <w:rPr>
          <w:rFonts w:ascii="Arial" w:hAnsi="Arial" w:cs="Arial"/>
          <w:sz w:val="22"/>
          <w:szCs w:val="22"/>
        </w:rPr>
        <w:t>s</w:t>
      </w:r>
      <w:r w:rsidRPr="003A5EE1">
        <w:rPr>
          <w:rFonts w:ascii="Arial" w:hAnsi="Arial" w:cs="Arial"/>
          <w:sz w:val="22"/>
          <w:szCs w:val="22"/>
        </w:rPr>
        <w:t xml:space="preserve"> of BCRP and P-glycoprotein</w:t>
      </w:r>
      <w:r w:rsidR="00275FBB" w:rsidRPr="003A5EE1">
        <w:rPr>
          <w:rFonts w:ascii="Arial" w:hAnsi="Arial" w:cs="Arial"/>
          <w:sz w:val="22"/>
          <w:szCs w:val="22"/>
        </w:rPr>
        <w:t xml:space="preserve"> at clinically relevant concentrations</w:t>
      </w:r>
      <w:r w:rsidRPr="003A5EE1">
        <w:rPr>
          <w:rFonts w:ascii="Arial" w:hAnsi="Arial" w:cs="Arial"/>
          <w:i/>
          <w:sz w:val="22"/>
          <w:szCs w:val="22"/>
        </w:rPr>
        <w:t>.</w:t>
      </w:r>
      <w:r w:rsidRPr="003A5EE1">
        <w:rPr>
          <w:rFonts w:ascii="Arial" w:hAnsi="Arial" w:cs="Arial"/>
          <w:sz w:val="22"/>
          <w:szCs w:val="22"/>
        </w:rPr>
        <w:t xml:space="preserve"> </w:t>
      </w:r>
      <w:r w:rsidR="00943DEC">
        <w:rPr>
          <w:rFonts w:ascii="Arial" w:hAnsi="Arial" w:cs="Arial"/>
          <w:sz w:val="22"/>
          <w:szCs w:val="22"/>
        </w:rPr>
        <w:t xml:space="preserve">The M-5 metabolite of </w:t>
      </w:r>
      <w:proofErr w:type="spellStart"/>
      <w:r w:rsidR="00943DEC">
        <w:rPr>
          <w:rFonts w:ascii="Arial" w:hAnsi="Arial" w:cs="Arial"/>
          <w:sz w:val="22"/>
          <w:szCs w:val="22"/>
        </w:rPr>
        <w:t>regorafenib</w:t>
      </w:r>
      <w:proofErr w:type="spellEnd"/>
      <w:r w:rsidR="00943DEC">
        <w:rPr>
          <w:rFonts w:ascii="Arial" w:hAnsi="Arial" w:cs="Arial"/>
          <w:sz w:val="22"/>
          <w:szCs w:val="22"/>
        </w:rPr>
        <w:t xml:space="preserve"> is also an inhibitor of BCRP. </w:t>
      </w:r>
      <w:r w:rsidR="00537998">
        <w:rPr>
          <w:rFonts w:ascii="Arial" w:hAnsi="Arial" w:cs="Arial"/>
          <w:sz w:val="22"/>
          <w:szCs w:val="22"/>
        </w:rPr>
        <w:t>Co-</w:t>
      </w:r>
      <w:r w:rsidRPr="003A5EE1">
        <w:rPr>
          <w:rFonts w:ascii="Arial" w:hAnsi="Arial" w:cs="Arial"/>
          <w:sz w:val="22"/>
          <w:szCs w:val="22"/>
        </w:rPr>
        <w:t xml:space="preserve">administration of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may increase the plasma concent</w:t>
      </w:r>
      <w:r w:rsidR="00A23E4E" w:rsidRPr="003A5EE1">
        <w:rPr>
          <w:rFonts w:ascii="Arial" w:hAnsi="Arial" w:cs="Arial"/>
          <w:sz w:val="22"/>
          <w:szCs w:val="22"/>
        </w:rPr>
        <w:t xml:space="preserve">rations of concomitant </w:t>
      </w:r>
      <w:r w:rsidRPr="003A5EE1">
        <w:rPr>
          <w:rFonts w:ascii="Arial" w:hAnsi="Arial" w:cs="Arial"/>
          <w:sz w:val="22"/>
          <w:szCs w:val="22"/>
        </w:rPr>
        <w:t>BCRP substrates, such as methotrexate, or P</w:t>
      </w:r>
      <w:r w:rsidRPr="003A5EE1">
        <w:rPr>
          <w:rFonts w:ascii="Arial" w:hAnsi="Arial" w:cs="Arial"/>
          <w:sz w:val="22"/>
          <w:szCs w:val="22"/>
        </w:rPr>
        <w:noBreakHyphen/>
        <w:t xml:space="preserve">glycoprotein substrates, such as </w:t>
      </w:r>
      <w:r w:rsidRPr="003A5EE1">
        <w:rPr>
          <w:rFonts w:ascii="Arial" w:hAnsi="Arial" w:cs="Arial"/>
          <w:sz w:val="22"/>
          <w:szCs w:val="22"/>
        </w:rPr>
        <w:lastRenderedPageBreak/>
        <w:t>digoxin.</w:t>
      </w:r>
      <w:r w:rsidR="002A655C" w:rsidRPr="002A655C">
        <w:rPr>
          <w:rFonts w:ascii="Arial" w:hAnsi="Arial" w:cs="Arial"/>
          <w:i/>
          <w:sz w:val="22"/>
          <w:szCs w:val="22"/>
        </w:rPr>
        <w:t xml:space="preserve"> </w:t>
      </w:r>
    </w:p>
    <w:p w14:paraId="712C2823" w14:textId="77777777" w:rsidR="00A23E4E" w:rsidRPr="003A5EE1" w:rsidRDefault="00A23E4E" w:rsidP="00F34FCB">
      <w:pPr>
        <w:rPr>
          <w:sz w:val="22"/>
          <w:szCs w:val="22"/>
        </w:rPr>
      </w:pPr>
    </w:p>
    <w:p w14:paraId="712C2824" w14:textId="77777777" w:rsidR="00FC0CC4" w:rsidRPr="008515FD" w:rsidRDefault="007E132B" w:rsidP="00F34FCB">
      <w:pPr>
        <w:pStyle w:val="Heading4"/>
        <w:ind w:right="46"/>
      </w:pPr>
      <w:r w:rsidRPr="008515FD">
        <w:t>CYP isoform-selective substrates</w:t>
      </w:r>
    </w:p>
    <w:p w14:paraId="712C2825" w14:textId="77777777" w:rsidR="00A23E4E" w:rsidRPr="003A5EE1" w:rsidRDefault="00A23E4E" w:rsidP="00F34FCB">
      <w:pPr>
        <w:rPr>
          <w:sz w:val="22"/>
          <w:szCs w:val="22"/>
          <w:lang w:val="en-AU"/>
        </w:rPr>
      </w:pPr>
    </w:p>
    <w:p w14:paraId="712C2826" w14:textId="77777777" w:rsidR="007E132B" w:rsidRPr="003A5EE1" w:rsidRDefault="007E132B" w:rsidP="00F34FCB">
      <w:pPr>
        <w:autoSpaceDE w:val="0"/>
        <w:autoSpaceDN w:val="0"/>
        <w:adjustRightInd w:val="0"/>
        <w:rPr>
          <w:rFonts w:ascii="Arial" w:hAnsi="Arial" w:cs="Arial"/>
          <w:sz w:val="22"/>
          <w:szCs w:val="22"/>
          <w:lang w:eastAsia="de-DE"/>
        </w:rPr>
      </w:pPr>
      <w:bookmarkStart w:id="6" w:name="_Toc180211516"/>
      <w:r w:rsidRPr="003A5EE1">
        <w:rPr>
          <w:rFonts w:ascii="Arial" w:hAnsi="Arial" w:cs="Arial"/>
          <w:i/>
          <w:sz w:val="22"/>
          <w:szCs w:val="22"/>
        </w:rPr>
        <w:t>In vitro</w:t>
      </w:r>
      <w:r w:rsidRPr="003A5EE1">
        <w:rPr>
          <w:rFonts w:ascii="Arial" w:hAnsi="Arial" w:cs="Arial"/>
          <w:sz w:val="22"/>
          <w:szCs w:val="22"/>
          <w:lang w:eastAsia="de-DE"/>
        </w:rPr>
        <w:t xml:space="preserve"> data indicate that </w:t>
      </w:r>
      <w:proofErr w:type="spellStart"/>
      <w:r w:rsidRPr="003A5EE1">
        <w:rPr>
          <w:rFonts w:ascii="Arial" w:hAnsi="Arial" w:cs="Arial"/>
          <w:sz w:val="22"/>
          <w:szCs w:val="22"/>
          <w:lang w:eastAsia="de-DE"/>
        </w:rPr>
        <w:t>regorafenib</w:t>
      </w:r>
      <w:proofErr w:type="spellEnd"/>
      <w:r w:rsidRPr="003A5EE1">
        <w:rPr>
          <w:rFonts w:ascii="Arial" w:hAnsi="Arial" w:cs="Arial"/>
          <w:sz w:val="22"/>
          <w:szCs w:val="22"/>
          <w:lang w:eastAsia="de-DE"/>
        </w:rPr>
        <w:t xml:space="preserve"> is a competitive inhibitor of the cytochromes CYP2C8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0.6 </w:t>
      </w:r>
      <w:r w:rsidR="00336A4E" w:rsidRPr="003A5EE1">
        <w:rPr>
          <w:rFonts w:ascii="Arial" w:hAnsi="Arial" w:cs="Arial"/>
          <w:sz w:val="22"/>
          <w:szCs w:val="22"/>
          <w:lang w:eastAsia="de-DE"/>
        </w:rPr>
        <w:t>µM</w:t>
      </w:r>
      <w:r w:rsidRPr="003A5EE1">
        <w:rPr>
          <w:rFonts w:ascii="Arial" w:hAnsi="Arial" w:cs="Arial"/>
          <w:sz w:val="22"/>
          <w:szCs w:val="22"/>
          <w:lang w:eastAsia="de-DE"/>
        </w:rPr>
        <w:t>), CYP2C9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4.7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w:t>
      </w:r>
      <w:r w:rsidR="00336A4E" w:rsidRPr="003A5EE1">
        <w:rPr>
          <w:rFonts w:ascii="Arial" w:hAnsi="Arial" w:cs="Arial"/>
          <w:sz w:val="22"/>
          <w:szCs w:val="22"/>
          <w:lang w:eastAsia="de-DE"/>
        </w:rPr>
        <w:t xml:space="preserve">and </w:t>
      </w:r>
      <w:r w:rsidRPr="003A5EE1">
        <w:rPr>
          <w:rFonts w:ascii="Arial" w:hAnsi="Arial" w:cs="Arial"/>
          <w:sz w:val="22"/>
          <w:szCs w:val="22"/>
          <w:lang w:eastAsia="de-DE"/>
        </w:rPr>
        <w:t>CYP2B6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5.2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at concentrations which are achieved </w:t>
      </w:r>
      <w:r w:rsidRPr="003A5EE1">
        <w:rPr>
          <w:rFonts w:ascii="Arial" w:hAnsi="Arial" w:cs="Arial"/>
          <w:i/>
          <w:sz w:val="22"/>
          <w:szCs w:val="22"/>
          <w:lang w:eastAsia="de-DE"/>
        </w:rPr>
        <w:t>in vivo</w:t>
      </w:r>
      <w:r w:rsidRPr="003A5EE1">
        <w:rPr>
          <w:rFonts w:ascii="Arial" w:hAnsi="Arial" w:cs="Arial"/>
          <w:sz w:val="22"/>
          <w:szCs w:val="22"/>
          <w:lang w:eastAsia="de-DE"/>
        </w:rPr>
        <w:t xml:space="preserve"> at steady state (peak plasma concentration of 8.1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The </w:t>
      </w:r>
      <w:r w:rsidRPr="003A5EE1">
        <w:rPr>
          <w:rFonts w:ascii="Arial" w:hAnsi="Arial" w:cs="Arial"/>
          <w:i/>
          <w:sz w:val="22"/>
          <w:szCs w:val="22"/>
          <w:lang w:eastAsia="de-DE"/>
        </w:rPr>
        <w:t xml:space="preserve">in vitro </w:t>
      </w:r>
      <w:r w:rsidRPr="003A5EE1">
        <w:rPr>
          <w:rFonts w:ascii="Arial" w:hAnsi="Arial" w:cs="Arial"/>
          <w:sz w:val="22"/>
          <w:szCs w:val="22"/>
          <w:lang w:eastAsia="de-DE"/>
        </w:rPr>
        <w:t>inhibitory potency towards CYP3A4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11.1 </w:t>
      </w:r>
      <w:r w:rsidR="00336A4E" w:rsidRPr="003A5EE1">
        <w:rPr>
          <w:rFonts w:ascii="Arial" w:hAnsi="Arial" w:cs="Arial"/>
          <w:sz w:val="22"/>
          <w:szCs w:val="22"/>
          <w:lang w:eastAsia="de-DE"/>
        </w:rPr>
        <w:t>µM</w:t>
      </w:r>
      <w:r w:rsidRPr="003A5EE1">
        <w:rPr>
          <w:rFonts w:ascii="Arial" w:hAnsi="Arial" w:cs="Arial"/>
          <w:sz w:val="22"/>
          <w:szCs w:val="22"/>
          <w:lang w:eastAsia="de-DE"/>
        </w:rPr>
        <w:t>) and CYP2C19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16.4 </w:t>
      </w:r>
      <w:r w:rsidR="00336A4E" w:rsidRPr="003A5EE1">
        <w:rPr>
          <w:rFonts w:ascii="Arial" w:hAnsi="Arial" w:cs="Arial"/>
          <w:sz w:val="22"/>
          <w:szCs w:val="22"/>
          <w:lang w:eastAsia="de-DE"/>
        </w:rPr>
        <w:t>µM</w:t>
      </w:r>
      <w:r w:rsidRPr="003A5EE1">
        <w:rPr>
          <w:rFonts w:ascii="Arial" w:hAnsi="Arial" w:cs="Arial"/>
          <w:sz w:val="22"/>
          <w:szCs w:val="22"/>
          <w:lang w:eastAsia="de-DE"/>
        </w:rPr>
        <w:t>) was less pronounced.</w:t>
      </w:r>
      <w:r w:rsidR="00336A4E" w:rsidRPr="003A5EE1">
        <w:rPr>
          <w:rFonts w:ascii="Arial" w:hAnsi="Arial" w:cs="Arial"/>
          <w:sz w:val="22"/>
          <w:szCs w:val="22"/>
          <w:lang w:eastAsia="de-DE"/>
        </w:rPr>
        <w:t xml:space="preserve"> The active metabolite, M-2, showed a broadly similar CYP isoform inhibitory profile to pa</w:t>
      </w:r>
      <w:r w:rsidR="00DE7007" w:rsidRPr="003A5EE1">
        <w:rPr>
          <w:rFonts w:ascii="Arial" w:hAnsi="Arial" w:cs="Arial"/>
          <w:sz w:val="22"/>
          <w:szCs w:val="22"/>
          <w:lang w:eastAsia="de-DE"/>
        </w:rPr>
        <w:t>rent drug while M-5 only</w:t>
      </w:r>
      <w:r w:rsidR="00336A4E" w:rsidRPr="003A5EE1">
        <w:rPr>
          <w:rFonts w:ascii="Arial" w:hAnsi="Arial" w:cs="Arial"/>
          <w:sz w:val="22"/>
          <w:szCs w:val="22"/>
          <w:lang w:eastAsia="de-DE"/>
        </w:rPr>
        <w:t xml:space="preserve"> inhibited CYP2C8 at clinically relevant concentrations. </w:t>
      </w:r>
    </w:p>
    <w:p w14:paraId="712C2827" w14:textId="77777777" w:rsidR="00A23E4E" w:rsidRPr="003A5EE1" w:rsidRDefault="00A23E4E" w:rsidP="00F34FCB">
      <w:pPr>
        <w:autoSpaceDE w:val="0"/>
        <w:autoSpaceDN w:val="0"/>
        <w:adjustRightInd w:val="0"/>
        <w:rPr>
          <w:rFonts w:ascii="Arial" w:hAnsi="Arial" w:cs="Arial"/>
          <w:sz w:val="22"/>
          <w:szCs w:val="22"/>
          <w:lang w:eastAsia="de-DE"/>
        </w:rPr>
      </w:pPr>
    </w:p>
    <w:p w14:paraId="712C2828" w14:textId="77777777" w:rsidR="006616AF" w:rsidRPr="003A5EE1" w:rsidRDefault="00A95829" w:rsidP="00A95829">
      <w:pPr>
        <w:autoSpaceDE w:val="0"/>
        <w:autoSpaceDN w:val="0"/>
        <w:adjustRightInd w:val="0"/>
        <w:rPr>
          <w:rFonts w:ascii="Arial" w:hAnsi="Arial" w:cs="Arial"/>
          <w:sz w:val="22"/>
          <w:szCs w:val="22"/>
        </w:rPr>
      </w:pPr>
      <w:r w:rsidRPr="003A5EE1">
        <w:rPr>
          <w:rFonts w:ascii="Arial" w:hAnsi="Arial" w:cs="Arial"/>
          <w:sz w:val="22"/>
          <w:szCs w:val="22"/>
        </w:rPr>
        <w:t>A clinical</w:t>
      </w:r>
      <w:r w:rsidR="007E132B" w:rsidRPr="003A5EE1">
        <w:rPr>
          <w:rFonts w:ascii="Arial" w:hAnsi="Arial" w:cs="Arial"/>
          <w:sz w:val="22"/>
          <w:szCs w:val="22"/>
        </w:rPr>
        <w:t xml:space="preserve"> probe substrate study </w:t>
      </w:r>
      <w:r w:rsidRPr="003A5EE1">
        <w:rPr>
          <w:rFonts w:ascii="Arial" w:hAnsi="Arial" w:cs="Arial"/>
          <w:sz w:val="22"/>
          <w:szCs w:val="22"/>
        </w:rPr>
        <w:t xml:space="preserve">was performed </w:t>
      </w:r>
      <w:r w:rsidR="007E132B" w:rsidRPr="003A5EE1">
        <w:rPr>
          <w:rFonts w:ascii="Arial" w:hAnsi="Arial" w:cs="Arial"/>
          <w:sz w:val="22"/>
          <w:szCs w:val="22"/>
        </w:rPr>
        <w:t xml:space="preserve">to evaluate the effect of 14 days of dosing with 160 mg </w:t>
      </w:r>
      <w:proofErr w:type="spellStart"/>
      <w:r w:rsidR="007E132B" w:rsidRPr="003A5EE1">
        <w:rPr>
          <w:rFonts w:ascii="Arial" w:hAnsi="Arial" w:cs="Arial"/>
          <w:sz w:val="22"/>
          <w:szCs w:val="22"/>
        </w:rPr>
        <w:t>regorafenib</w:t>
      </w:r>
      <w:proofErr w:type="spellEnd"/>
      <w:r w:rsidR="007E132B" w:rsidRPr="003A5EE1">
        <w:rPr>
          <w:rFonts w:ascii="Arial" w:hAnsi="Arial" w:cs="Arial"/>
          <w:sz w:val="22"/>
          <w:szCs w:val="22"/>
        </w:rPr>
        <w:t xml:space="preserve"> on the pharmacokinetics of </w:t>
      </w:r>
      <w:r w:rsidRPr="003A5EE1">
        <w:rPr>
          <w:rFonts w:ascii="Arial" w:hAnsi="Arial" w:cs="Arial"/>
          <w:sz w:val="22"/>
          <w:szCs w:val="22"/>
        </w:rPr>
        <w:t xml:space="preserve">probe </w:t>
      </w:r>
      <w:r w:rsidR="007E132B" w:rsidRPr="003A5EE1">
        <w:rPr>
          <w:rFonts w:ascii="Arial" w:hAnsi="Arial" w:cs="Arial"/>
          <w:sz w:val="22"/>
          <w:szCs w:val="22"/>
        </w:rPr>
        <w:t>substrates</w:t>
      </w:r>
      <w:r w:rsidRPr="003A5EE1">
        <w:rPr>
          <w:rFonts w:ascii="Arial" w:hAnsi="Arial" w:cs="Arial"/>
          <w:sz w:val="22"/>
          <w:szCs w:val="22"/>
        </w:rPr>
        <w:t xml:space="preserve"> CYP2C8 (rosiglitazone) CYP2C9 (S-warfarin)</w:t>
      </w:r>
      <w:r w:rsidR="007E132B" w:rsidRPr="003A5EE1">
        <w:rPr>
          <w:rFonts w:ascii="Arial" w:hAnsi="Arial" w:cs="Arial"/>
          <w:sz w:val="22"/>
          <w:szCs w:val="22"/>
        </w:rPr>
        <w:t>,</w:t>
      </w:r>
      <w:r w:rsidRPr="003A5EE1">
        <w:rPr>
          <w:rFonts w:ascii="Arial" w:hAnsi="Arial" w:cs="Arial"/>
          <w:sz w:val="22"/>
          <w:szCs w:val="22"/>
        </w:rPr>
        <w:t xml:space="preserve"> CYP2C19</w:t>
      </w:r>
      <w:r w:rsidR="006616AF" w:rsidRPr="003A5EE1">
        <w:rPr>
          <w:rFonts w:ascii="Arial" w:hAnsi="Arial" w:cs="Arial"/>
          <w:sz w:val="22"/>
          <w:szCs w:val="22"/>
        </w:rPr>
        <w:t xml:space="preserve"> (omeprazole) and CYP3A4 (midazolam).</w:t>
      </w:r>
      <w:r w:rsidRPr="003A5EE1">
        <w:rPr>
          <w:rFonts w:ascii="Arial" w:hAnsi="Arial" w:cs="Arial"/>
          <w:sz w:val="22"/>
          <w:szCs w:val="22"/>
        </w:rPr>
        <w:t xml:space="preserve"> </w:t>
      </w:r>
    </w:p>
    <w:p w14:paraId="712C2829" w14:textId="77777777" w:rsidR="006616AF" w:rsidRPr="003A5EE1" w:rsidRDefault="006616AF" w:rsidP="00A95829">
      <w:pPr>
        <w:autoSpaceDE w:val="0"/>
        <w:autoSpaceDN w:val="0"/>
        <w:adjustRightInd w:val="0"/>
        <w:rPr>
          <w:rFonts w:ascii="Arial" w:hAnsi="Arial" w:cs="Arial"/>
          <w:sz w:val="22"/>
          <w:szCs w:val="22"/>
        </w:rPr>
      </w:pPr>
    </w:p>
    <w:p w14:paraId="712C282A" w14:textId="77777777" w:rsidR="007E132B" w:rsidRDefault="006616AF" w:rsidP="009E6264">
      <w:pPr>
        <w:autoSpaceDE w:val="0"/>
        <w:autoSpaceDN w:val="0"/>
        <w:adjustRightInd w:val="0"/>
        <w:rPr>
          <w:rFonts w:ascii="Arial" w:hAnsi="Arial" w:cs="Arial"/>
          <w:sz w:val="22"/>
          <w:szCs w:val="22"/>
        </w:rPr>
      </w:pPr>
      <w:r w:rsidRPr="003A5EE1">
        <w:rPr>
          <w:rFonts w:ascii="Arial" w:hAnsi="Arial" w:cs="Arial"/>
          <w:sz w:val="22"/>
          <w:szCs w:val="22"/>
        </w:rPr>
        <w:t xml:space="preserve">Pharmacokinetic data indicate that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may be given concomitantly with substrates of CYP2C8, CYP2C9, CYP3A4 and CYP2C19 </w:t>
      </w:r>
      <w:r w:rsidR="00A95829" w:rsidRPr="003A5EE1">
        <w:rPr>
          <w:rFonts w:ascii="Arial" w:hAnsi="Arial" w:cs="Arial"/>
          <w:sz w:val="22"/>
          <w:szCs w:val="22"/>
        </w:rPr>
        <w:t>without a clinically meaningful drug interaction (</w:t>
      </w:r>
      <w:r w:rsidR="00E03A8B" w:rsidRPr="003A5EE1">
        <w:rPr>
          <w:rFonts w:ascii="Arial" w:hAnsi="Arial" w:cs="Arial"/>
          <w:sz w:val="22"/>
          <w:szCs w:val="22"/>
        </w:rPr>
        <w:t>see</w:t>
      </w:r>
      <w:r w:rsidR="00A95829" w:rsidRPr="003A5EE1">
        <w:rPr>
          <w:rFonts w:ascii="Arial" w:hAnsi="Arial" w:cs="Arial"/>
          <w:sz w:val="22"/>
          <w:szCs w:val="22"/>
        </w:rPr>
        <w:t xml:space="preserve"> </w:t>
      </w:r>
      <w:r w:rsidR="00F00CDC">
        <w:rPr>
          <w:rFonts w:ascii="Arial" w:hAnsi="Arial" w:cs="Arial"/>
          <w:sz w:val="22"/>
          <w:szCs w:val="22"/>
        </w:rPr>
        <w:t>PRECAUTIONS</w:t>
      </w:r>
      <w:r w:rsidR="00A95829" w:rsidRPr="003A5EE1">
        <w:rPr>
          <w:rFonts w:ascii="Arial" w:hAnsi="Arial" w:cs="Arial"/>
          <w:sz w:val="22"/>
          <w:szCs w:val="22"/>
        </w:rPr>
        <w:t>).</w:t>
      </w:r>
      <w:r w:rsidR="007E132B" w:rsidRPr="003A5EE1">
        <w:rPr>
          <w:rFonts w:ascii="Arial" w:hAnsi="Arial" w:cs="Arial"/>
          <w:sz w:val="22"/>
          <w:szCs w:val="22"/>
        </w:rPr>
        <w:t xml:space="preserve"> </w:t>
      </w:r>
    </w:p>
    <w:p w14:paraId="712C282B" w14:textId="77777777" w:rsidR="004D7198" w:rsidRPr="003A5EE1" w:rsidRDefault="004D7198" w:rsidP="009E6264">
      <w:pPr>
        <w:autoSpaceDE w:val="0"/>
        <w:autoSpaceDN w:val="0"/>
        <w:adjustRightInd w:val="0"/>
        <w:rPr>
          <w:rFonts w:ascii="Arial" w:hAnsi="Arial" w:cs="Arial"/>
          <w:sz w:val="22"/>
          <w:szCs w:val="22"/>
        </w:rPr>
      </w:pPr>
    </w:p>
    <w:bookmarkEnd w:id="6"/>
    <w:p w14:paraId="712C282C" w14:textId="77777777" w:rsidR="001D1004" w:rsidRPr="008515FD" w:rsidRDefault="007E132B" w:rsidP="00F34FCB">
      <w:pPr>
        <w:pStyle w:val="Heading4"/>
        <w:ind w:right="46"/>
      </w:pPr>
      <w:r w:rsidRPr="008515FD">
        <w:t>Antibiotics</w:t>
      </w:r>
    </w:p>
    <w:p w14:paraId="712C282D" w14:textId="77777777" w:rsidR="00A23E4E" w:rsidRPr="003A5EE1" w:rsidRDefault="00A23E4E" w:rsidP="00F34FCB">
      <w:pPr>
        <w:rPr>
          <w:sz w:val="22"/>
          <w:szCs w:val="22"/>
          <w:lang w:val="en-AU"/>
        </w:rPr>
      </w:pPr>
    </w:p>
    <w:p w14:paraId="712C282E" w14:textId="77777777" w:rsidR="00027373" w:rsidRDefault="007E132B" w:rsidP="00456BB6">
      <w:pPr>
        <w:rPr>
          <w:rFonts w:ascii="Arial" w:hAnsi="Arial" w:cs="Arial"/>
          <w:sz w:val="22"/>
          <w:szCs w:val="22"/>
        </w:rPr>
      </w:pPr>
      <w:bookmarkStart w:id="7" w:name="_Toc180211517"/>
      <w:r w:rsidRPr="003A5EE1">
        <w:rPr>
          <w:rFonts w:ascii="Arial" w:hAnsi="Arial" w:cs="Arial"/>
          <w:sz w:val="22"/>
          <w:szCs w:val="22"/>
        </w:rPr>
        <w:t xml:space="preserve">The concentration-time profile indicates that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and its metabolites may undergo </w:t>
      </w:r>
      <w:proofErr w:type="spellStart"/>
      <w:r w:rsidRPr="003A5EE1">
        <w:rPr>
          <w:rFonts w:ascii="Arial" w:hAnsi="Arial" w:cs="Arial"/>
          <w:sz w:val="22"/>
          <w:szCs w:val="22"/>
        </w:rPr>
        <w:t>entero</w:t>
      </w:r>
      <w:r w:rsidR="00A23E4E" w:rsidRPr="003A5EE1">
        <w:rPr>
          <w:rFonts w:ascii="Arial" w:hAnsi="Arial" w:cs="Arial"/>
          <w:sz w:val="22"/>
          <w:szCs w:val="22"/>
        </w:rPr>
        <w:t>hepatic</w:t>
      </w:r>
      <w:proofErr w:type="spellEnd"/>
      <w:r w:rsidR="00A23E4E" w:rsidRPr="003A5EE1">
        <w:rPr>
          <w:rFonts w:ascii="Arial" w:hAnsi="Arial" w:cs="Arial"/>
          <w:sz w:val="22"/>
          <w:szCs w:val="22"/>
        </w:rPr>
        <w:t xml:space="preserve"> circulation (</w:t>
      </w:r>
      <w:r w:rsidR="00B26D0F">
        <w:rPr>
          <w:rFonts w:ascii="Arial" w:hAnsi="Arial" w:cs="Arial"/>
          <w:sz w:val="22"/>
          <w:szCs w:val="22"/>
        </w:rPr>
        <w:t>see</w:t>
      </w:r>
      <w:r w:rsidR="00AF1100" w:rsidRPr="003A5EE1">
        <w:rPr>
          <w:rFonts w:ascii="Arial" w:hAnsi="Arial" w:cs="Arial"/>
          <w:sz w:val="22"/>
          <w:szCs w:val="22"/>
        </w:rPr>
        <w:t xml:space="preserve"> Pharmacokinetics</w:t>
      </w:r>
      <w:r w:rsidRPr="003A5EE1">
        <w:rPr>
          <w:rFonts w:ascii="Arial" w:hAnsi="Arial" w:cs="Arial"/>
          <w:sz w:val="22"/>
          <w:szCs w:val="22"/>
        </w:rPr>
        <w:t>). Co-adm</w:t>
      </w:r>
      <w:r w:rsidR="00A23E4E" w:rsidRPr="003A5EE1">
        <w:rPr>
          <w:rFonts w:ascii="Arial" w:hAnsi="Arial" w:cs="Arial"/>
          <w:sz w:val="22"/>
          <w:szCs w:val="22"/>
        </w:rPr>
        <w:t xml:space="preserve">inistration of antibiotics </w:t>
      </w:r>
      <w:r w:rsidRPr="003A5EE1">
        <w:rPr>
          <w:rFonts w:ascii="Arial" w:hAnsi="Arial" w:cs="Arial"/>
          <w:sz w:val="22"/>
          <w:szCs w:val="22"/>
        </w:rPr>
        <w:t>affect</w:t>
      </w:r>
      <w:r w:rsidR="00A23E4E" w:rsidRPr="003A5EE1">
        <w:rPr>
          <w:rFonts w:ascii="Arial" w:hAnsi="Arial" w:cs="Arial"/>
          <w:sz w:val="22"/>
          <w:szCs w:val="22"/>
        </w:rPr>
        <w:t>ing</w:t>
      </w:r>
      <w:r w:rsidRPr="003A5EE1">
        <w:rPr>
          <w:rFonts w:ascii="Arial" w:hAnsi="Arial" w:cs="Arial"/>
          <w:sz w:val="22"/>
          <w:szCs w:val="22"/>
        </w:rPr>
        <w:t xml:space="preserve"> the flora of the gastrointestinal tract may interfere with the </w:t>
      </w:r>
      <w:proofErr w:type="spellStart"/>
      <w:r w:rsidRPr="003A5EE1">
        <w:rPr>
          <w:rFonts w:ascii="Arial" w:hAnsi="Arial" w:cs="Arial"/>
          <w:sz w:val="22"/>
          <w:szCs w:val="22"/>
        </w:rPr>
        <w:t>enterohepatic</w:t>
      </w:r>
      <w:proofErr w:type="spellEnd"/>
      <w:r w:rsidRPr="003A5EE1">
        <w:rPr>
          <w:rFonts w:ascii="Arial" w:hAnsi="Arial" w:cs="Arial"/>
          <w:sz w:val="22"/>
          <w:szCs w:val="22"/>
        </w:rPr>
        <w:t xml:space="preserve"> circulation of </w:t>
      </w:r>
      <w:proofErr w:type="spellStart"/>
      <w:r w:rsidR="00A23E4E" w:rsidRPr="003A5EE1">
        <w:rPr>
          <w:rFonts w:ascii="Arial" w:hAnsi="Arial" w:cs="Arial"/>
          <w:sz w:val="22"/>
          <w:szCs w:val="22"/>
        </w:rPr>
        <w:t>regorafenib</w:t>
      </w:r>
      <w:proofErr w:type="spellEnd"/>
      <w:r w:rsidR="00A23E4E" w:rsidRPr="003A5EE1">
        <w:rPr>
          <w:rFonts w:ascii="Arial" w:hAnsi="Arial" w:cs="Arial"/>
          <w:sz w:val="22"/>
          <w:szCs w:val="22"/>
        </w:rPr>
        <w:t xml:space="preserve"> and may result in </w:t>
      </w:r>
      <w:r w:rsidRPr="003A5EE1">
        <w:rPr>
          <w:rFonts w:ascii="Arial" w:hAnsi="Arial" w:cs="Arial"/>
          <w:sz w:val="22"/>
          <w:szCs w:val="22"/>
        </w:rPr>
        <w:t xml:space="preserve">decreased </w:t>
      </w:r>
      <w:proofErr w:type="spellStart"/>
      <w:r w:rsidRPr="003A5EE1">
        <w:rPr>
          <w:rFonts w:ascii="Arial" w:hAnsi="Arial" w:cs="Arial"/>
          <w:sz w:val="22"/>
          <w:szCs w:val="22"/>
        </w:rPr>
        <w:t>regorafenib</w:t>
      </w:r>
      <w:proofErr w:type="spellEnd"/>
      <w:r w:rsidRPr="003A5EE1">
        <w:rPr>
          <w:rFonts w:ascii="Arial" w:hAnsi="Arial" w:cs="Arial"/>
          <w:sz w:val="22"/>
          <w:szCs w:val="22"/>
        </w:rPr>
        <w:t xml:space="preserve"> exposure. The clinical significance of these potential interactions </w:t>
      </w:r>
      <w:r w:rsidR="00A23E4E" w:rsidRPr="003A5EE1">
        <w:rPr>
          <w:rFonts w:ascii="Arial" w:hAnsi="Arial" w:cs="Arial"/>
          <w:sz w:val="22"/>
          <w:szCs w:val="22"/>
        </w:rPr>
        <w:t xml:space="preserve">is unknown, but may result in </w:t>
      </w:r>
      <w:r w:rsidRPr="003A5EE1">
        <w:rPr>
          <w:rFonts w:ascii="Arial" w:hAnsi="Arial" w:cs="Arial"/>
          <w:sz w:val="22"/>
          <w:szCs w:val="22"/>
        </w:rPr>
        <w:t xml:space="preserve">decreased efficacy of </w:t>
      </w:r>
      <w:proofErr w:type="spellStart"/>
      <w:r w:rsidRPr="003A5EE1">
        <w:rPr>
          <w:rFonts w:ascii="Arial" w:hAnsi="Arial" w:cs="Arial"/>
          <w:sz w:val="22"/>
          <w:szCs w:val="22"/>
        </w:rPr>
        <w:t>regorafenib</w:t>
      </w:r>
      <w:proofErr w:type="spellEnd"/>
      <w:r w:rsidRPr="003A5EE1">
        <w:rPr>
          <w:rFonts w:ascii="Arial" w:hAnsi="Arial" w:cs="Arial"/>
          <w:sz w:val="22"/>
          <w:szCs w:val="22"/>
        </w:rPr>
        <w:t>.</w:t>
      </w:r>
    </w:p>
    <w:p w14:paraId="712C282F" w14:textId="77777777" w:rsidR="005541C7" w:rsidRPr="003A5EE1" w:rsidRDefault="005541C7" w:rsidP="00456BB6">
      <w:pPr>
        <w:rPr>
          <w:rFonts w:ascii="Arial" w:hAnsi="Arial" w:cs="Arial"/>
          <w:sz w:val="22"/>
          <w:szCs w:val="22"/>
        </w:rPr>
      </w:pPr>
    </w:p>
    <w:bookmarkEnd w:id="7"/>
    <w:p w14:paraId="712C2830" w14:textId="77777777" w:rsidR="001D1004" w:rsidRPr="008515FD" w:rsidRDefault="001D1004" w:rsidP="00082837">
      <w:pPr>
        <w:pStyle w:val="Heading2"/>
        <w:spacing w:before="0" w:after="0"/>
        <w:ind w:right="45"/>
        <w:jc w:val="left"/>
        <w:rPr>
          <w:rFonts w:ascii="Arial" w:hAnsi="Arial" w:cs="Arial"/>
          <w:i/>
          <w:noProof/>
          <w:sz w:val="22"/>
          <w:szCs w:val="22"/>
        </w:rPr>
      </w:pPr>
      <w:r w:rsidRPr="008515FD">
        <w:rPr>
          <w:rFonts w:ascii="Arial" w:hAnsi="Arial" w:cs="Arial"/>
          <w:i/>
          <w:noProof/>
          <w:sz w:val="22"/>
          <w:szCs w:val="22"/>
        </w:rPr>
        <w:t>Effects on ability to drive and use machines</w:t>
      </w:r>
    </w:p>
    <w:p w14:paraId="712C2831" w14:textId="77777777" w:rsidR="00A23E4E" w:rsidRPr="003A5EE1" w:rsidRDefault="00A23E4E" w:rsidP="0047783E">
      <w:pPr>
        <w:keepNext/>
        <w:rPr>
          <w:sz w:val="22"/>
          <w:szCs w:val="22"/>
          <w:lang w:val="en-AU"/>
        </w:rPr>
      </w:pPr>
    </w:p>
    <w:p w14:paraId="712C2832" w14:textId="77777777" w:rsidR="001C2437" w:rsidRPr="003A5EE1" w:rsidRDefault="007E132B" w:rsidP="0047783E">
      <w:pPr>
        <w:keepNext/>
        <w:ind w:right="46"/>
        <w:rPr>
          <w:rFonts w:ascii="Arial" w:hAnsi="Arial" w:cs="Arial"/>
          <w:sz w:val="22"/>
          <w:szCs w:val="22"/>
          <w:lang w:val="en-AU"/>
        </w:rPr>
      </w:pPr>
      <w:r w:rsidRPr="003A5EE1">
        <w:rPr>
          <w:rFonts w:ascii="Arial" w:hAnsi="Arial" w:cs="Arial"/>
          <w:sz w:val="22"/>
          <w:szCs w:val="22"/>
          <w:lang w:val="en-AU"/>
        </w:rPr>
        <w:t xml:space="preserve">No studies on the effects of </w:t>
      </w:r>
      <w:r w:rsidR="00601DFC">
        <w:rPr>
          <w:rFonts w:ascii="Arial" w:hAnsi="Arial" w:cs="Arial"/>
          <w:sz w:val="22"/>
          <w:szCs w:val="22"/>
          <w:lang w:val="en-AU"/>
        </w:rPr>
        <w:t xml:space="preserve">STIVARGA </w:t>
      </w:r>
      <w:r w:rsidRPr="003A5EE1">
        <w:rPr>
          <w:rFonts w:ascii="Arial" w:hAnsi="Arial" w:cs="Arial"/>
          <w:sz w:val="22"/>
          <w:szCs w:val="22"/>
          <w:lang w:val="en-AU"/>
        </w:rPr>
        <w:t xml:space="preserve">on the ability to drive or use machines have been performed. </w:t>
      </w:r>
    </w:p>
    <w:p w14:paraId="712C2833" w14:textId="77777777" w:rsidR="00A23E4E" w:rsidRPr="003A5EE1" w:rsidRDefault="00A23E4E" w:rsidP="00F34FCB">
      <w:pPr>
        <w:ind w:right="46"/>
        <w:rPr>
          <w:rFonts w:ascii="Arial" w:hAnsi="Arial" w:cs="Arial"/>
          <w:sz w:val="22"/>
          <w:szCs w:val="22"/>
          <w:lang w:val="en-AU"/>
        </w:rPr>
      </w:pPr>
    </w:p>
    <w:p w14:paraId="712C2834" w14:textId="77777777" w:rsidR="001D1004" w:rsidRPr="003A5EE1" w:rsidRDefault="001D1004" w:rsidP="004230B3">
      <w:pPr>
        <w:pStyle w:val="Heading1"/>
        <w:spacing w:before="0" w:after="0" w:line="240" w:lineRule="auto"/>
        <w:ind w:right="45"/>
        <w:jc w:val="left"/>
      </w:pPr>
      <w:r w:rsidRPr="003A5EE1">
        <w:t>ADVERSE EFFECTS</w:t>
      </w:r>
    </w:p>
    <w:p w14:paraId="712C2835" w14:textId="77777777" w:rsidR="00A23E4E" w:rsidRPr="00A23E4E" w:rsidRDefault="00A23E4E" w:rsidP="002239D7">
      <w:pPr>
        <w:keepNext/>
        <w:rPr>
          <w:lang w:val="en-AU"/>
        </w:rPr>
      </w:pPr>
    </w:p>
    <w:p w14:paraId="712C2836" w14:textId="77777777" w:rsidR="007E132B" w:rsidRPr="005B4EB5" w:rsidRDefault="007E132B" w:rsidP="005B4EB5">
      <w:pPr>
        <w:pStyle w:val="Heading3"/>
        <w:rPr>
          <w:rFonts w:ascii="Arial" w:hAnsi="Arial" w:cs="Arial"/>
          <w:sz w:val="22"/>
          <w:szCs w:val="22"/>
          <w:lang w:val="en-AU"/>
        </w:rPr>
      </w:pPr>
      <w:r w:rsidRPr="005B4EB5">
        <w:rPr>
          <w:rFonts w:ascii="Arial" w:hAnsi="Arial" w:cs="Arial"/>
          <w:sz w:val="22"/>
          <w:szCs w:val="22"/>
          <w:lang w:val="en-AU"/>
        </w:rPr>
        <w:t xml:space="preserve">Summary of the safety profile </w:t>
      </w:r>
    </w:p>
    <w:p w14:paraId="712C2837" w14:textId="77777777" w:rsidR="00116C14" w:rsidRPr="003A5EE1" w:rsidRDefault="00116C14" w:rsidP="002239D7">
      <w:pPr>
        <w:keepNext/>
        <w:rPr>
          <w:rFonts w:ascii="Arial" w:hAnsi="Arial" w:cs="Arial"/>
          <w:b/>
          <w:i/>
          <w:sz w:val="22"/>
          <w:szCs w:val="22"/>
          <w:lang w:val="en-AU"/>
        </w:rPr>
      </w:pPr>
    </w:p>
    <w:p w14:paraId="712C2838" w14:textId="77777777" w:rsidR="007E132B" w:rsidRPr="003A5EE1" w:rsidRDefault="007E132B" w:rsidP="002239D7">
      <w:pPr>
        <w:pStyle w:val="BayerBodyTextFull"/>
        <w:keepNext/>
        <w:spacing w:before="0" w:after="0"/>
        <w:rPr>
          <w:rFonts w:ascii="Arial" w:hAnsi="Arial" w:cs="Arial"/>
          <w:sz w:val="22"/>
          <w:szCs w:val="22"/>
          <w:lang w:val="en-GB"/>
        </w:rPr>
      </w:pPr>
      <w:r w:rsidRPr="003A5EE1">
        <w:rPr>
          <w:rFonts w:ascii="Arial" w:hAnsi="Arial" w:cs="Arial"/>
          <w:sz w:val="22"/>
          <w:szCs w:val="22"/>
          <w:lang w:val="en-GB"/>
        </w:rPr>
        <w:t xml:space="preserve">The overall safety profile of </w:t>
      </w:r>
      <w:r w:rsidR="00601DFC">
        <w:rPr>
          <w:rFonts w:ascii="Arial" w:hAnsi="Arial" w:cs="Arial"/>
          <w:sz w:val="22"/>
          <w:szCs w:val="22"/>
          <w:lang w:val="en-GB"/>
        </w:rPr>
        <w:t xml:space="preserve">STIVARGA </w:t>
      </w:r>
      <w:r w:rsidRPr="003A5EE1">
        <w:rPr>
          <w:rFonts w:ascii="Arial" w:hAnsi="Arial" w:cs="Arial"/>
          <w:sz w:val="22"/>
          <w:szCs w:val="22"/>
          <w:lang w:val="en-GB"/>
        </w:rPr>
        <w:t>is based on data from more than 1,</w:t>
      </w:r>
      <w:r w:rsidR="00433E04">
        <w:rPr>
          <w:rFonts w:ascii="Arial" w:hAnsi="Arial" w:cs="Arial"/>
          <w:sz w:val="22"/>
          <w:szCs w:val="22"/>
          <w:lang w:val="en-GB"/>
        </w:rPr>
        <w:t>2</w:t>
      </w:r>
      <w:r w:rsidRPr="003A5EE1">
        <w:rPr>
          <w:rFonts w:ascii="Arial" w:hAnsi="Arial" w:cs="Arial"/>
          <w:sz w:val="22"/>
          <w:szCs w:val="22"/>
          <w:lang w:val="en-GB"/>
        </w:rPr>
        <w:t>00 treated patients in clinical trials includi</w:t>
      </w:r>
      <w:r w:rsidR="00A23E4E" w:rsidRPr="003A5EE1">
        <w:rPr>
          <w:rFonts w:ascii="Arial" w:hAnsi="Arial" w:cs="Arial"/>
          <w:sz w:val="22"/>
          <w:szCs w:val="22"/>
          <w:lang w:val="en-GB"/>
        </w:rPr>
        <w:t>ng placebo-controlled P</w:t>
      </w:r>
      <w:r w:rsidRPr="003A5EE1">
        <w:rPr>
          <w:rFonts w:ascii="Arial" w:hAnsi="Arial" w:cs="Arial"/>
          <w:sz w:val="22"/>
          <w:szCs w:val="22"/>
          <w:lang w:val="en-GB"/>
        </w:rPr>
        <w:t xml:space="preserve">hase III </w:t>
      </w:r>
      <w:r w:rsidR="00855EC2" w:rsidRPr="003A5EE1">
        <w:rPr>
          <w:rFonts w:ascii="Arial" w:hAnsi="Arial" w:cs="Arial"/>
          <w:sz w:val="22"/>
          <w:szCs w:val="22"/>
          <w:lang w:val="en-GB"/>
        </w:rPr>
        <w:t xml:space="preserve">data for 500 </w:t>
      </w:r>
      <w:r w:rsidRPr="003A5EE1">
        <w:rPr>
          <w:rFonts w:ascii="Arial" w:hAnsi="Arial" w:cs="Arial"/>
          <w:sz w:val="22"/>
          <w:szCs w:val="22"/>
          <w:lang w:val="en-GB"/>
        </w:rPr>
        <w:t>patients with metastatic colorectal cancer</w:t>
      </w:r>
      <w:r w:rsidR="00433E04">
        <w:rPr>
          <w:rFonts w:ascii="Arial" w:hAnsi="Arial" w:cs="Arial"/>
          <w:sz w:val="22"/>
          <w:szCs w:val="22"/>
          <w:lang w:val="en-GB"/>
        </w:rPr>
        <w:t xml:space="preserve"> and 132 patients with GIST</w:t>
      </w:r>
      <w:r w:rsidRPr="003A5EE1">
        <w:rPr>
          <w:rFonts w:ascii="Arial" w:hAnsi="Arial" w:cs="Arial"/>
          <w:sz w:val="22"/>
          <w:szCs w:val="22"/>
          <w:lang w:val="en-GB"/>
        </w:rPr>
        <w:t>.</w:t>
      </w:r>
    </w:p>
    <w:p w14:paraId="712C2839" w14:textId="77777777" w:rsidR="00AA38F4" w:rsidRDefault="00AA38F4" w:rsidP="002239D7">
      <w:pPr>
        <w:pStyle w:val="BayerBodyTextFull"/>
        <w:keepNext/>
        <w:spacing w:before="0" w:after="0"/>
        <w:rPr>
          <w:rFonts w:ascii="Arial" w:hAnsi="Arial" w:cs="Arial"/>
          <w:sz w:val="22"/>
          <w:szCs w:val="22"/>
          <w:lang w:val="en-GB"/>
        </w:rPr>
      </w:pPr>
    </w:p>
    <w:p w14:paraId="712C283A" w14:textId="77777777" w:rsidR="00F2786A" w:rsidRPr="0015424B" w:rsidRDefault="00F2786A" w:rsidP="002239D7">
      <w:pPr>
        <w:pStyle w:val="BayerBodyTextFull"/>
        <w:keepNext/>
        <w:spacing w:before="0" w:after="0"/>
        <w:rPr>
          <w:rFonts w:ascii="Arial" w:hAnsi="Arial" w:cs="Arial"/>
          <w:sz w:val="22"/>
          <w:szCs w:val="22"/>
        </w:rPr>
      </w:pPr>
      <w:r w:rsidRPr="0015424B">
        <w:rPr>
          <w:rFonts w:ascii="Arial" w:hAnsi="Arial" w:cs="Arial"/>
          <w:sz w:val="22"/>
          <w:szCs w:val="22"/>
        </w:rPr>
        <w:t xml:space="preserve">The </w:t>
      </w:r>
      <w:r w:rsidRPr="0015424B">
        <w:rPr>
          <w:rFonts w:ascii="Arial" w:hAnsi="Arial" w:cs="Arial"/>
          <w:b/>
          <w:sz w:val="22"/>
          <w:szCs w:val="22"/>
        </w:rPr>
        <w:t>most frequently</w:t>
      </w:r>
      <w:r w:rsidRPr="0015424B">
        <w:rPr>
          <w:rFonts w:ascii="Arial" w:hAnsi="Arial" w:cs="Arial"/>
          <w:sz w:val="22"/>
          <w:szCs w:val="22"/>
        </w:rPr>
        <w:t xml:space="preserve"> observed adverse drug reactions (≥30%) in patients receiving </w:t>
      </w:r>
      <w:r w:rsidR="00601DFC">
        <w:rPr>
          <w:rFonts w:ascii="Arial" w:hAnsi="Arial" w:cs="Arial"/>
          <w:sz w:val="22"/>
          <w:szCs w:val="22"/>
        </w:rPr>
        <w:t xml:space="preserve">STIVARGA </w:t>
      </w:r>
      <w:r w:rsidRPr="0015424B">
        <w:rPr>
          <w:rFonts w:ascii="Arial" w:hAnsi="Arial" w:cs="Arial"/>
          <w:sz w:val="22"/>
          <w:szCs w:val="22"/>
        </w:rPr>
        <w:t xml:space="preserve">are </w:t>
      </w:r>
      <w:r w:rsidR="00667F56" w:rsidRPr="00667F56">
        <w:rPr>
          <w:rFonts w:ascii="Arial" w:hAnsi="Arial" w:cs="Arial"/>
          <w:sz w:val="22"/>
          <w:szCs w:val="22"/>
        </w:rPr>
        <w:t xml:space="preserve">asthenia/fatigue, decreased appetite and food intake, hand foot skin reaction, </w:t>
      </w:r>
      <w:proofErr w:type="spellStart"/>
      <w:r w:rsidR="00667F56" w:rsidRPr="00667F56">
        <w:rPr>
          <w:rFonts w:ascii="Arial" w:hAnsi="Arial" w:cs="Arial"/>
          <w:sz w:val="22"/>
          <w:szCs w:val="22"/>
        </w:rPr>
        <w:t>diarrh</w:t>
      </w:r>
      <w:r w:rsidR="0047783E">
        <w:rPr>
          <w:rFonts w:ascii="Arial" w:hAnsi="Arial" w:cs="Arial"/>
          <w:sz w:val="22"/>
          <w:szCs w:val="22"/>
        </w:rPr>
        <w:t>o</w:t>
      </w:r>
      <w:r w:rsidR="00667F56" w:rsidRPr="00667F56">
        <w:rPr>
          <w:rFonts w:ascii="Arial" w:hAnsi="Arial" w:cs="Arial"/>
          <w:sz w:val="22"/>
          <w:szCs w:val="22"/>
        </w:rPr>
        <w:t>ea</w:t>
      </w:r>
      <w:proofErr w:type="spellEnd"/>
      <w:r w:rsidR="00667F56" w:rsidRPr="00667F56">
        <w:rPr>
          <w:rFonts w:ascii="Arial" w:hAnsi="Arial" w:cs="Arial"/>
          <w:sz w:val="22"/>
          <w:szCs w:val="22"/>
        </w:rPr>
        <w:t xml:space="preserve">, infection, hypertension and dysphonia. </w:t>
      </w:r>
    </w:p>
    <w:p w14:paraId="712C283B" w14:textId="77777777" w:rsidR="00F2786A" w:rsidRPr="0015424B" w:rsidRDefault="00F2786A" w:rsidP="00F2786A">
      <w:pPr>
        <w:pStyle w:val="BayerBodyTextFull"/>
        <w:spacing w:before="0" w:after="0"/>
        <w:rPr>
          <w:rFonts w:ascii="Arial" w:hAnsi="Arial" w:cs="Arial"/>
          <w:sz w:val="22"/>
          <w:szCs w:val="22"/>
        </w:rPr>
      </w:pPr>
    </w:p>
    <w:p w14:paraId="712C283C" w14:textId="77777777" w:rsidR="00F2786A" w:rsidRDefault="00F2786A" w:rsidP="00F2786A">
      <w:pPr>
        <w:pStyle w:val="BayerBodyTextFull"/>
        <w:spacing w:before="0" w:after="0"/>
        <w:rPr>
          <w:rFonts w:ascii="Arial" w:hAnsi="Arial" w:cs="Arial"/>
          <w:sz w:val="22"/>
          <w:szCs w:val="22"/>
        </w:rPr>
      </w:pPr>
      <w:r w:rsidRPr="0015424B">
        <w:rPr>
          <w:rFonts w:ascii="Arial" w:hAnsi="Arial" w:cs="Arial"/>
          <w:sz w:val="22"/>
          <w:szCs w:val="22"/>
        </w:rPr>
        <w:t xml:space="preserve">The </w:t>
      </w:r>
      <w:r w:rsidRPr="0015424B">
        <w:rPr>
          <w:rFonts w:ascii="Arial" w:hAnsi="Arial" w:cs="Arial"/>
          <w:b/>
          <w:sz w:val="22"/>
          <w:szCs w:val="22"/>
        </w:rPr>
        <w:t>most serious</w:t>
      </w:r>
      <w:r w:rsidRPr="0015424B">
        <w:rPr>
          <w:rFonts w:ascii="Arial" w:hAnsi="Arial" w:cs="Arial"/>
          <w:sz w:val="22"/>
          <w:szCs w:val="22"/>
        </w:rPr>
        <w:t xml:space="preserve"> adverse drug reactions in patients receiving </w:t>
      </w:r>
      <w:r w:rsidR="00601DFC">
        <w:rPr>
          <w:rFonts w:ascii="Arial" w:hAnsi="Arial" w:cs="Arial"/>
          <w:sz w:val="22"/>
          <w:szCs w:val="22"/>
        </w:rPr>
        <w:t xml:space="preserve">STIVARGA </w:t>
      </w:r>
      <w:r w:rsidRPr="0015424B">
        <w:rPr>
          <w:rFonts w:ascii="Arial" w:hAnsi="Arial" w:cs="Arial"/>
          <w:sz w:val="22"/>
          <w:szCs w:val="22"/>
        </w:rPr>
        <w:t xml:space="preserve">are severe liver injury, </w:t>
      </w:r>
      <w:proofErr w:type="spellStart"/>
      <w:r w:rsidRPr="0015424B">
        <w:rPr>
          <w:rFonts w:ascii="Arial" w:hAnsi="Arial" w:cs="Arial"/>
          <w:sz w:val="22"/>
          <w:szCs w:val="22"/>
        </w:rPr>
        <w:t>haemorrhage</w:t>
      </w:r>
      <w:proofErr w:type="spellEnd"/>
      <w:r w:rsidRPr="0015424B">
        <w:rPr>
          <w:rFonts w:ascii="Arial" w:hAnsi="Arial" w:cs="Arial"/>
          <w:bCs/>
          <w:iCs/>
          <w:sz w:val="22"/>
          <w:szCs w:val="22"/>
        </w:rPr>
        <w:t xml:space="preserve"> and gastrointestinal perforation</w:t>
      </w:r>
      <w:r w:rsidRPr="0015424B">
        <w:rPr>
          <w:rFonts w:ascii="Arial" w:hAnsi="Arial" w:cs="Arial"/>
          <w:sz w:val="22"/>
          <w:szCs w:val="22"/>
        </w:rPr>
        <w:t>.</w:t>
      </w:r>
    </w:p>
    <w:p w14:paraId="712C283D" w14:textId="77777777" w:rsidR="00F2786A" w:rsidRDefault="00F2786A" w:rsidP="00F2786A">
      <w:pPr>
        <w:pStyle w:val="BayerBodyTextFull"/>
        <w:spacing w:before="0" w:after="0"/>
        <w:rPr>
          <w:rFonts w:ascii="Arial" w:hAnsi="Arial" w:cs="Arial"/>
          <w:sz w:val="22"/>
          <w:szCs w:val="22"/>
          <w:lang w:val="en-GB"/>
        </w:rPr>
      </w:pPr>
    </w:p>
    <w:p w14:paraId="712C283E" w14:textId="77777777" w:rsidR="00433E04" w:rsidRPr="005B4EB5" w:rsidRDefault="004F501C" w:rsidP="005B4EB5">
      <w:pPr>
        <w:pStyle w:val="Heading3"/>
        <w:rPr>
          <w:rFonts w:ascii="Arial" w:hAnsi="Arial" w:cs="Arial"/>
          <w:sz w:val="22"/>
          <w:szCs w:val="22"/>
        </w:rPr>
      </w:pPr>
      <w:r w:rsidRPr="005B4EB5">
        <w:rPr>
          <w:rFonts w:ascii="Arial" w:hAnsi="Arial" w:cs="Arial"/>
          <w:sz w:val="22"/>
          <w:szCs w:val="22"/>
        </w:rPr>
        <w:lastRenderedPageBreak/>
        <w:t>Metastatic colorectal cancer</w:t>
      </w:r>
      <w:r w:rsidR="00F548A0" w:rsidRPr="005B4EB5">
        <w:rPr>
          <w:rFonts w:ascii="Arial" w:hAnsi="Arial" w:cs="Arial"/>
          <w:sz w:val="22"/>
          <w:szCs w:val="22"/>
        </w:rPr>
        <w:t xml:space="preserve"> </w:t>
      </w:r>
    </w:p>
    <w:p w14:paraId="712C283F" w14:textId="77777777" w:rsidR="00433E04" w:rsidRPr="00433E04" w:rsidRDefault="00433E04" w:rsidP="00F2786A">
      <w:pPr>
        <w:pStyle w:val="BayerBodyTextFull"/>
        <w:spacing w:before="0" w:after="0"/>
        <w:rPr>
          <w:rFonts w:ascii="Arial" w:hAnsi="Arial" w:cs="Arial"/>
          <w:sz w:val="22"/>
          <w:szCs w:val="22"/>
          <w:lang w:val="en-GB"/>
        </w:rPr>
      </w:pPr>
    </w:p>
    <w:p w14:paraId="712C2840" w14:textId="77777777" w:rsidR="00BF7776" w:rsidRDefault="005C3B17" w:rsidP="002E54D9">
      <w:pPr>
        <w:pStyle w:val="BayerBodyTextFull"/>
        <w:spacing w:before="0" w:after="0"/>
        <w:rPr>
          <w:rFonts w:ascii="Arial" w:hAnsi="Arial" w:cs="Arial"/>
          <w:sz w:val="22"/>
          <w:szCs w:val="22"/>
          <w:lang w:val="en-AU" w:eastAsia="en-AU"/>
        </w:rPr>
      </w:pPr>
      <w:r w:rsidRPr="003A5EE1">
        <w:rPr>
          <w:rFonts w:ascii="Arial" w:hAnsi="Arial" w:cs="Arial"/>
          <w:sz w:val="22"/>
          <w:szCs w:val="22"/>
          <w:lang w:val="en-AU" w:eastAsia="en-AU"/>
        </w:rPr>
        <w:t xml:space="preserve">The safety data in the pivotal study (CORRECT) were derived from a randomised (2:1), double-blind, placebo controlled trial in which 500 patients with previously treated metastatic colorectal cancer received </w:t>
      </w:r>
      <w:r w:rsidR="00601DFC">
        <w:rPr>
          <w:rFonts w:ascii="Arial" w:hAnsi="Arial" w:cs="Arial"/>
          <w:sz w:val="22"/>
          <w:szCs w:val="22"/>
          <w:lang w:val="en-AU" w:eastAsia="en-AU"/>
        </w:rPr>
        <w:t xml:space="preserve">STIVARGA </w:t>
      </w:r>
      <w:r w:rsidR="009C68E1">
        <w:rPr>
          <w:rFonts w:ascii="Arial" w:hAnsi="Arial" w:cs="Arial"/>
          <w:sz w:val="22"/>
          <w:szCs w:val="22"/>
          <w:lang w:val="en-AU" w:eastAsia="en-AU"/>
        </w:rPr>
        <w:t xml:space="preserve">as a single agent at the dose of 160 mg daily for the first 3 weeks of each 4 week treatment cycle </w:t>
      </w:r>
      <w:r w:rsidRPr="003A5EE1">
        <w:rPr>
          <w:rFonts w:ascii="Arial" w:hAnsi="Arial" w:cs="Arial"/>
          <w:sz w:val="22"/>
          <w:szCs w:val="22"/>
          <w:lang w:val="en-AU" w:eastAsia="en-AU"/>
        </w:rPr>
        <w:t>and 253 patients received placebo.</w:t>
      </w:r>
    </w:p>
    <w:p w14:paraId="712C2841" w14:textId="77777777" w:rsidR="00FA30B7" w:rsidRDefault="00FA30B7" w:rsidP="00FA30B7">
      <w:pPr>
        <w:pStyle w:val="BayerBodyTextFull"/>
        <w:spacing w:before="0" w:after="0"/>
        <w:rPr>
          <w:rFonts w:ascii="Arial" w:hAnsi="Arial" w:cs="Arial"/>
          <w:sz w:val="22"/>
          <w:szCs w:val="22"/>
        </w:rPr>
      </w:pPr>
    </w:p>
    <w:p w14:paraId="712C2842" w14:textId="77777777" w:rsidR="0040482A" w:rsidRDefault="00FA30B7" w:rsidP="00FA30B7">
      <w:pPr>
        <w:pStyle w:val="BayerBodyTextFull"/>
        <w:spacing w:before="0" w:after="0"/>
        <w:rPr>
          <w:rFonts w:ascii="Arial" w:hAnsi="Arial" w:cs="Arial"/>
          <w:color w:val="000000"/>
          <w:sz w:val="22"/>
          <w:szCs w:val="22"/>
          <w:lang w:val="en-AU" w:eastAsia="en-AU"/>
        </w:rPr>
      </w:pPr>
      <w:r w:rsidRPr="0015424B">
        <w:rPr>
          <w:rFonts w:ascii="Arial" w:hAnsi="Arial" w:cs="Arial"/>
          <w:color w:val="000000"/>
          <w:sz w:val="22"/>
          <w:szCs w:val="22"/>
          <w:lang w:val="en-AU" w:eastAsia="en-AU"/>
        </w:rPr>
        <w:t>The</w:t>
      </w:r>
      <w:r w:rsidR="00962F5B">
        <w:rPr>
          <w:rFonts w:ascii="Arial" w:hAnsi="Arial" w:cs="Arial"/>
          <w:color w:val="000000"/>
          <w:sz w:val="22"/>
          <w:szCs w:val="22"/>
          <w:lang w:val="en-AU" w:eastAsia="en-AU"/>
        </w:rPr>
        <w:t xml:space="preserve"> incidence of severe treatment emergent adverse events (TEAEs) (≥ Grade 3) was higher with </w:t>
      </w:r>
      <w:proofErr w:type="spellStart"/>
      <w:r w:rsidR="00962F5B">
        <w:rPr>
          <w:rFonts w:ascii="Arial" w:hAnsi="Arial" w:cs="Arial"/>
          <w:color w:val="000000"/>
          <w:sz w:val="22"/>
          <w:szCs w:val="22"/>
          <w:lang w:val="en-AU" w:eastAsia="en-AU"/>
        </w:rPr>
        <w:t>regorafenib</w:t>
      </w:r>
      <w:proofErr w:type="spellEnd"/>
      <w:r w:rsidR="00962F5B">
        <w:rPr>
          <w:rFonts w:ascii="Arial" w:hAnsi="Arial" w:cs="Arial"/>
          <w:color w:val="000000"/>
          <w:sz w:val="22"/>
          <w:szCs w:val="22"/>
          <w:lang w:val="en-AU" w:eastAsia="en-AU"/>
        </w:rPr>
        <w:t xml:space="preserve"> (78%) than placebo (49%). </w:t>
      </w:r>
    </w:p>
    <w:p w14:paraId="712C2843" w14:textId="77777777" w:rsidR="0040482A" w:rsidRDefault="0040482A" w:rsidP="00FA30B7">
      <w:pPr>
        <w:pStyle w:val="BayerBodyTextFull"/>
        <w:spacing w:before="0" w:after="0"/>
        <w:rPr>
          <w:rFonts w:ascii="Arial" w:hAnsi="Arial" w:cs="Arial"/>
          <w:color w:val="000000"/>
          <w:sz w:val="22"/>
          <w:szCs w:val="22"/>
          <w:lang w:val="en-AU" w:eastAsia="en-AU"/>
        </w:rPr>
      </w:pPr>
    </w:p>
    <w:p w14:paraId="712C2844" w14:textId="77777777" w:rsidR="00B94846" w:rsidRPr="00B94846" w:rsidRDefault="00B94846" w:rsidP="00FA30B7">
      <w:pPr>
        <w:pStyle w:val="BayerBodyTextFull"/>
        <w:spacing w:before="0" w:after="0"/>
        <w:rPr>
          <w:rFonts w:ascii="Arial" w:hAnsi="Arial" w:cs="Arial"/>
          <w:color w:val="000000"/>
          <w:sz w:val="22"/>
          <w:szCs w:val="22"/>
          <w:lang w:val="en-AU" w:eastAsia="en-AU"/>
        </w:rPr>
      </w:pPr>
      <w:r w:rsidRPr="00B94846">
        <w:rPr>
          <w:rFonts w:ascii="Arial" w:hAnsi="Arial" w:cs="Arial"/>
          <w:sz w:val="22"/>
          <w:szCs w:val="22"/>
        </w:rPr>
        <w:t xml:space="preserve">The rate of death due to adverse events not associated with disease progression was slightly higher with </w:t>
      </w:r>
      <w:proofErr w:type="spellStart"/>
      <w:r w:rsidRPr="00B94846">
        <w:rPr>
          <w:rFonts w:ascii="Arial" w:hAnsi="Arial" w:cs="Arial"/>
          <w:sz w:val="22"/>
          <w:szCs w:val="22"/>
        </w:rPr>
        <w:t>regorafenib</w:t>
      </w:r>
      <w:proofErr w:type="spellEnd"/>
      <w:r w:rsidRPr="00B94846">
        <w:rPr>
          <w:rFonts w:ascii="Arial" w:hAnsi="Arial" w:cs="Arial"/>
          <w:sz w:val="22"/>
          <w:szCs w:val="22"/>
        </w:rPr>
        <w:t xml:space="preserve"> (1.6% vs 1.2%). Five deaths were considered to be </w:t>
      </w:r>
      <w:proofErr w:type="spellStart"/>
      <w:r w:rsidRPr="00B94846">
        <w:rPr>
          <w:rFonts w:ascii="Arial" w:hAnsi="Arial" w:cs="Arial"/>
          <w:sz w:val="22"/>
          <w:szCs w:val="22"/>
        </w:rPr>
        <w:t>regorafenib</w:t>
      </w:r>
      <w:proofErr w:type="spellEnd"/>
      <w:r w:rsidRPr="00B94846">
        <w:rPr>
          <w:rFonts w:ascii="Arial" w:hAnsi="Arial" w:cs="Arial"/>
          <w:sz w:val="22"/>
          <w:szCs w:val="22"/>
        </w:rPr>
        <w:t xml:space="preserve">-related: </w:t>
      </w:r>
      <w:r>
        <w:rPr>
          <w:rFonts w:ascii="Arial" w:hAnsi="Arial" w:cs="Arial"/>
          <w:sz w:val="22"/>
          <w:szCs w:val="22"/>
        </w:rPr>
        <w:t>one</w:t>
      </w:r>
      <w:r w:rsidRPr="00B94846">
        <w:rPr>
          <w:rFonts w:ascii="Arial" w:hAnsi="Arial" w:cs="Arial"/>
          <w:sz w:val="22"/>
          <w:szCs w:val="22"/>
        </w:rPr>
        <w:t xml:space="preserve"> case each of liver dysfunction; sudden death; cerebrovascular incident; pulmonary </w:t>
      </w:r>
      <w:proofErr w:type="spellStart"/>
      <w:r w:rsidRPr="00B94846">
        <w:rPr>
          <w:rFonts w:ascii="Arial" w:hAnsi="Arial" w:cs="Arial"/>
          <w:sz w:val="22"/>
          <w:szCs w:val="22"/>
        </w:rPr>
        <w:t>h</w:t>
      </w:r>
      <w:r>
        <w:rPr>
          <w:rFonts w:ascii="Arial" w:hAnsi="Arial" w:cs="Arial"/>
          <w:sz w:val="22"/>
          <w:szCs w:val="22"/>
        </w:rPr>
        <w:t>aemorrhage</w:t>
      </w:r>
      <w:proofErr w:type="spellEnd"/>
      <w:r>
        <w:rPr>
          <w:rFonts w:ascii="Arial" w:hAnsi="Arial" w:cs="Arial"/>
          <w:sz w:val="22"/>
          <w:szCs w:val="22"/>
        </w:rPr>
        <w:t>,</w:t>
      </w:r>
      <w:r w:rsidRPr="00B94846">
        <w:rPr>
          <w:rFonts w:ascii="Arial" w:hAnsi="Arial" w:cs="Arial"/>
          <w:sz w:val="22"/>
          <w:szCs w:val="22"/>
        </w:rPr>
        <w:t xml:space="preserve"> bronchus; </w:t>
      </w:r>
      <w:proofErr w:type="spellStart"/>
      <w:r w:rsidRPr="00B94846">
        <w:rPr>
          <w:rFonts w:ascii="Arial" w:hAnsi="Arial" w:cs="Arial"/>
          <w:sz w:val="22"/>
          <w:szCs w:val="22"/>
        </w:rPr>
        <w:t>h</w:t>
      </w:r>
      <w:r>
        <w:rPr>
          <w:rFonts w:ascii="Arial" w:hAnsi="Arial" w:cs="Arial"/>
          <w:sz w:val="22"/>
          <w:szCs w:val="22"/>
        </w:rPr>
        <w:t>a</w:t>
      </w:r>
      <w:r w:rsidRPr="00B94846">
        <w:rPr>
          <w:rFonts w:ascii="Arial" w:hAnsi="Arial" w:cs="Arial"/>
          <w:sz w:val="22"/>
          <w:szCs w:val="22"/>
        </w:rPr>
        <w:t>emorrhage</w:t>
      </w:r>
      <w:proofErr w:type="spellEnd"/>
      <w:r w:rsidRPr="00B94846">
        <w:rPr>
          <w:rFonts w:ascii="Arial" w:hAnsi="Arial" w:cs="Arial"/>
          <w:sz w:val="22"/>
          <w:szCs w:val="22"/>
        </w:rPr>
        <w:t xml:space="preserve">, </w:t>
      </w:r>
      <w:r>
        <w:rPr>
          <w:rFonts w:ascii="Arial" w:hAnsi="Arial" w:cs="Arial"/>
          <w:sz w:val="22"/>
          <w:szCs w:val="22"/>
        </w:rPr>
        <w:t>gastrointestinal</w:t>
      </w:r>
      <w:r w:rsidRPr="00B94846">
        <w:rPr>
          <w:rFonts w:ascii="Arial" w:hAnsi="Arial" w:cs="Arial"/>
          <w:sz w:val="22"/>
          <w:szCs w:val="22"/>
        </w:rPr>
        <w:t xml:space="preserve">, anus and </w:t>
      </w:r>
      <w:proofErr w:type="spellStart"/>
      <w:r w:rsidRPr="00B94846">
        <w:rPr>
          <w:rFonts w:ascii="Arial" w:hAnsi="Arial" w:cs="Arial"/>
          <w:sz w:val="22"/>
          <w:szCs w:val="22"/>
        </w:rPr>
        <w:t>h</w:t>
      </w:r>
      <w:r>
        <w:rPr>
          <w:rFonts w:ascii="Arial" w:hAnsi="Arial" w:cs="Arial"/>
          <w:sz w:val="22"/>
          <w:szCs w:val="22"/>
        </w:rPr>
        <w:t>a</w:t>
      </w:r>
      <w:r w:rsidRPr="00B94846">
        <w:rPr>
          <w:rFonts w:ascii="Arial" w:hAnsi="Arial" w:cs="Arial"/>
          <w:sz w:val="22"/>
          <w:szCs w:val="22"/>
        </w:rPr>
        <w:t>emorrhage</w:t>
      </w:r>
      <w:proofErr w:type="spellEnd"/>
      <w:r w:rsidRPr="00B94846">
        <w:rPr>
          <w:rFonts w:ascii="Arial" w:hAnsi="Arial" w:cs="Arial"/>
          <w:sz w:val="22"/>
          <w:szCs w:val="22"/>
        </w:rPr>
        <w:t xml:space="preserve">, </w:t>
      </w:r>
      <w:r>
        <w:rPr>
          <w:rFonts w:ascii="Arial" w:hAnsi="Arial" w:cs="Arial"/>
          <w:sz w:val="22"/>
          <w:szCs w:val="22"/>
        </w:rPr>
        <w:t>genitourinary</w:t>
      </w:r>
      <w:r w:rsidRPr="00B94846">
        <w:rPr>
          <w:rFonts w:ascii="Arial" w:hAnsi="Arial" w:cs="Arial"/>
          <w:sz w:val="22"/>
          <w:szCs w:val="22"/>
        </w:rPr>
        <w:t>, vagina (the last two occurred in one patient)</w:t>
      </w:r>
      <w:r>
        <w:rPr>
          <w:rFonts w:ascii="Arial" w:hAnsi="Arial" w:cs="Arial"/>
          <w:sz w:val="22"/>
          <w:szCs w:val="22"/>
        </w:rPr>
        <w:t>.</w:t>
      </w:r>
    </w:p>
    <w:p w14:paraId="712C2845" w14:textId="77777777" w:rsidR="00FA30B7" w:rsidRPr="00711A10" w:rsidRDefault="00FA30B7" w:rsidP="00FA30B7">
      <w:pPr>
        <w:pStyle w:val="BayerBodyTextFull"/>
        <w:spacing w:before="0" w:after="0"/>
        <w:rPr>
          <w:rFonts w:ascii="Arial" w:hAnsi="Arial" w:cs="Arial"/>
          <w:sz w:val="22"/>
          <w:szCs w:val="22"/>
        </w:rPr>
      </w:pPr>
    </w:p>
    <w:p w14:paraId="712C2846" w14:textId="77777777" w:rsidR="000A4A5F" w:rsidRDefault="000A4A5F" w:rsidP="000A4A5F">
      <w:pPr>
        <w:pStyle w:val="BayerBodyTextFull"/>
        <w:spacing w:before="0" w:after="0"/>
        <w:rPr>
          <w:rFonts w:ascii="Arial" w:hAnsi="Arial" w:cs="Arial"/>
          <w:sz w:val="22"/>
          <w:szCs w:val="22"/>
        </w:rPr>
      </w:pPr>
      <w:r>
        <w:rPr>
          <w:rFonts w:ascii="Arial" w:hAnsi="Arial" w:cs="Arial"/>
          <w:sz w:val="22"/>
          <w:szCs w:val="22"/>
        </w:rPr>
        <w:t xml:space="preserve">Overall treatment discontinuation due to adverse </w:t>
      </w:r>
      <w:r w:rsidR="006A251C">
        <w:rPr>
          <w:rFonts w:ascii="Arial" w:hAnsi="Arial" w:cs="Arial"/>
          <w:sz w:val="22"/>
          <w:szCs w:val="22"/>
        </w:rPr>
        <w:t xml:space="preserve">drug </w:t>
      </w:r>
      <w:r>
        <w:rPr>
          <w:rFonts w:ascii="Arial" w:hAnsi="Arial" w:cs="Arial"/>
          <w:sz w:val="22"/>
          <w:szCs w:val="22"/>
        </w:rPr>
        <w:t xml:space="preserve">reactions (all grades) was reported in 8.2% of patients treated with </w:t>
      </w:r>
      <w:r w:rsidR="00601DFC">
        <w:rPr>
          <w:rFonts w:ascii="Arial" w:hAnsi="Arial" w:cs="Arial"/>
          <w:sz w:val="22"/>
          <w:szCs w:val="22"/>
        </w:rPr>
        <w:t xml:space="preserve">STIVARGA </w:t>
      </w:r>
      <w:r>
        <w:rPr>
          <w:rFonts w:ascii="Arial" w:hAnsi="Arial" w:cs="Arial"/>
          <w:sz w:val="22"/>
          <w:szCs w:val="22"/>
        </w:rPr>
        <w:t xml:space="preserve">compared to 1.2% of patients who received placebo. </w:t>
      </w:r>
      <w:r w:rsidRPr="000A4A5F">
        <w:rPr>
          <w:rFonts w:ascii="Arial" w:hAnsi="Arial" w:cs="Arial"/>
          <w:sz w:val="22"/>
          <w:szCs w:val="22"/>
        </w:rPr>
        <w:t xml:space="preserve">Hand foot skin reaction and rash were the most common reasons leading to treatment discontinuation of </w:t>
      </w:r>
      <w:r w:rsidR="00FF0B8E">
        <w:rPr>
          <w:rFonts w:ascii="Arial" w:hAnsi="Arial" w:cs="Arial"/>
          <w:sz w:val="22"/>
          <w:szCs w:val="22"/>
        </w:rPr>
        <w:t>STIVARGA</w:t>
      </w:r>
      <w:r w:rsidRPr="000A4A5F">
        <w:rPr>
          <w:rFonts w:ascii="Arial" w:hAnsi="Arial" w:cs="Arial"/>
          <w:sz w:val="22"/>
          <w:szCs w:val="22"/>
        </w:rPr>
        <w:t xml:space="preserve">. </w:t>
      </w:r>
    </w:p>
    <w:p w14:paraId="712C2847" w14:textId="77777777" w:rsidR="00F63D3F" w:rsidRPr="000A4A5F" w:rsidRDefault="00F63D3F" w:rsidP="000A4A5F">
      <w:pPr>
        <w:pStyle w:val="BayerBodyTextFull"/>
        <w:spacing w:before="0" w:after="0"/>
        <w:rPr>
          <w:rFonts w:ascii="Arial" w:hAnsi="Arial" w:cs="Arial"/>
          <w:sz w:val="22"/>
          <w:szCs w:val="22"/>
        </w:rPr>
      </w:pPr>
    </w:p>
    <w:p w14:paraId="712C2848" w14:textId="77777777" w:rsidR="00DE2521" w:rsidRDefault="000A4A5F" w:rsidP="000A4A5F">
      <w:pPr>
        <w:pStyle w:val="BayerBodyTextFull"/>
        <w:spacing w:before="0" w:after="0"/>
        <w:rPr>
          <w:rFonts w:ascii="Arial" w:hAnsi="Arial" w:cs="Arial"/>
          <w:sz w:val="22"/>
          <w:szCs w:val="22"/>
        </w:rPr>
      </w:pPr>
      <w:r w:rsidRPr="00165ADC">
        <w:rPr>
          <w:rFonts w:ascii="Arial" w:hAnsi="Arial" w:cs="Arial"/>
          <w:sz w:val="22"/>
          <w:szCs w:val="22"/>
        </w:rPr>
        <w:t xml:space="preserve">A dose modification due to adverse events occurred in 67% and 22% of patients in the </w:t>
      </w:r>
      <w:r w:rsidR="00601DFC">
        <w:rPr>
          <w:rFonts w:ascii="Arial" w:hAnsi="Arial" w:cs="Arial"/>
          <w:sz w:val="22"/>
          <w:szCs w:val="22"/>
        </w:rPr>
        <w:t xml:space="preserve">STIVARGA </w:t>
      </w:r>
      <w:r w:rsidRPr="00165ADC">
        <w:rPr>
          <w:rFonts w:ascii="Arial" w:hAnsi="Arial" w:cs="Arial"/>
          <w:sz w:val="22"/>
          <w:szCs w:val="22"/>
        </w:rPr>
        <w:t xml:space="preserve">and placebo group, respectively. The rates of dose reductions were also higher with </w:t>
      </w:r>
      <w:r w:rsidR="00601DFC">
        <w:rPr>
          <w:rFonts w:ascii="Arial" w:hAnsi="Arial" w:cs="Arial"/>
          <w:sz w:val="22"/>
          <w:szCs w:val="22"/>
        </w:rPr>
        <w:t xml:space="preserve">STIVARGA </w:t>
      </w:r>
      <w:r w:rsidRPr="00165ADC">
        <w:rPr>
          <w:rFonts w:ascii="Arial" w:hAnsi="Arial" w:cs="Arial"/>
          <w:sz w:val="22"/>
          <w:szCs w:val="22"/>
        </w:rPr>
        <w:t>(38% vs 3%) as were the rates of dose interruptions (61% vs 22%) and treatment cessations (18% vs 13%) compared to placebo.</w:t>
      </w:r>
    </w:p>
    <w:p w14:paraId="712C2849" w14:textId="77777777" w:rsidR="000A4A5F" w:rsidRDefault="000A4A5F" w:rsidP="000A4A5F">
      <w:pPr>
        <w:pStyle w:val="BayerBodyTextFull"/>
        <w:spacing w:before="0" w:after="0"/>
        <w:rPr>
          <w:rFonts w:ascii="Arial" w:hAnsi="Arial" w:cs="Arial"/>
          <w:sz w:val="22"/>
          <w:szCs w:val="22"/>
        </w:rPr>
      </w:pPr>
    </w:p>
    <w:p w14:paraId="712C284A" w14:textId="77777777" w:rsidR="004F73DE" w:rsidRPr="003A5EE1" w:rsidRDefault="003B41B2" w:rsidP="00D93DAB">
      <w:pPr>
        <w:rPr>
          <w:rFonts w:ascii="Arial" w:eastAsia="MS Mincho" w:hAnsi="Arial" w:cs="Arial"/>
          <w:sz w:val="22"/>
          <w:szCs w:val="22"/>
        </w:rPr>
      </w:pPr>
      <w:r w:rsidRPr="0015424B">
        <w:rPr>
          <w:rFonts w:ascii="Arial" w:eastAsia="MS Mincho" w:hAnsi="Arial" w:cs="Arial"/>
          <w:sz w:val="22"/>
          <w:szCs w:val="22"/>
        </w:rPr>
        <w:t xml:space="preserve">Table </w:t>
      </w:r>
      <w:r w:rsidR="004F501C">
        <w:rPr>
          <w:rFonts w:ascii="Arial" w:eastAsia="MS Mincho" w:hAnsi="Arial" w:cs="Arial"/>
          <w:sz w:val="22"/>
          <w:szCs w:val="22"/>
        </w:rPr>
        <w:t>4</w:t>
      </w:r>
      <w:r w:rsidRPr="0015424B">
        <w:rPr>
          <w:rFonts w:ascii="Arial" w:eastAsia="MS Mincho" w:hAnsi="Arial" w:cs="Arial"/>
          <w:b/>
          <w:sz w:val="22"/>
          <w:szCs w:val="22"/>
        </w:rPr>
        <w:t xml:space="preserve"> </w:t>
      </w:r>
      <w:r w:rsidRPr="0015424B">
        <w:rPr>
          <w:rFonts w:ascii="Arial" w:eastAsia="MS Mincho" w:hAnsi="Arial" w:cs="Arial"/>
          <w:sz w:val="22"/>
          <w:szCs w:val="22"/>
        </w:rPr>
        <w:t xml:space="preserve">compares the incidence of adverse reactions (≥10%) in patients receiving </w:t>
      </w:r>
      <w:r w:rsidR="00601DFC">
        <w:rPr>
          <w:rFonts w:ascii="Arial" w:eastAsia="MS Mincho" w:hAnsi="Arial" w:cs="Arial"/>
          <w:sz w:val="22"/>
          <w:szCs w:val="22"/>
        </w:rPr>
        <w:t xml:space="preserve">STIVARGA </w:t>
      </w:r>
      <w:r w:rsidRPr="0015424B">
        <w:rPr>
          <w:rFonts w:ascii="Arial" w:eastAsia="MS Mincho" w:hAnsi="Arial" w:cs="Arial"/>
          <w:sz w:val="22"/>
          <w:szCs w:val="22"/>
        </w:rPr>
        <w:t>and reported more commonly than in patients receiving placebo in the pi</w:t>
      </w:r>
      <w:r w:rsidRPr="003A5EE1">
        <w:rPr>
          <w:rFonts w:ascii="Arial" w:eastAsia="MS Mincho" w:hAnsi="Arial" w:cs="Arial"/>
          <w:sz w:val="22"/>
          <w:szCs w:val="22"/>
        </w:rPr>
        <w:t>votal CORRECT study.</w:t>
      </w:r>
    </w:p>
    <w:p w14:paraId="712C284B" w14:textId="77777777" w:rsidR="006F07A6" w:rsidRPr="003A5EE1" w:rsidRDefault="006F07A6" w:rsidP="003B41B2">
      <w:pPr>
        <w:rPr>
          <w:rFonts w:ascii="Arial" w:eastAsia="MS Mincho" w:hAnsi="Arial" w:cs="Arial"/>
          <w:sz w:val="22"/>
          <w:szCs w:val="22"/>
        </w:rPr>
      </w:pPr>
    </w:p>
    <w:p w14:paraId="712C284C" w14:textId="77777777" w:rsidR="003B41B2" w:rsidRPr="0047783E" w:rsidRDefault="003B41B2" w:rsidP="0047783E">
      <w:pPr>
        <w:keepNext/>
        <w:rPr>
          <w:rFonts w:ascii="Arial" w:eastAsia="MS Mincho" w:hAnsi="Arial" w:cs="Arial"/>
          <w:b/>
          <w:sz w:val="22"/>
          <w:szCs w:val="22"/>
        </w:rPr>
      </w:pPr>
      <w:r w:rsidRPr="00711A10">
        <w:rPr>
          <w:rFonts w:ascii="Arial" w:hAnsi="Arial" w:cs="Arial"/>
          <w:b/>
          <w:sz w:val="22"/>
          <w:szCs w:val="22"/>
        </w:rPr>
        <w:t xml:space="preserve">Table </w:t>
      </w:r>
      <w:bookmarkStart w:id="8" w:name="Tab3"/>
      <w:bookmarkEnd w:id="8"/>
      <w:r w:rsidR="004F501C">
        <w:rPr>
          <w:rFonts w:ascii="Arial" w:hAnsi="Arial" w:cs="Arial"/>
          <w:b/>
          <w:sz w:val="22"/>
          <w:szCs w:val="22"/>
        </w:rPr>
        <w:t>4</w:t>
      </w:r>
      <w:r w:rsidRPr="00711A10">
        <w:rPr>
          <w:rFonts w:ascii="Arial" w:hAnsi="Arial" w:cs="Arial"/>
          <w:b/>
          <w:sz w:val="22"/>
          <w:szCs w:val="22"/>
        </w:rPr>
        <w:t>:</w:t>
      </w:r>
      <w:r w:rsidRPr="0047783E">
        <w:rPr>
          <w:rFonts w:ascii="Arial" w:hAnsi="Arial" w:cs="Arial"/>
          <w:b/>
          <w:sz w:val="22"/>
          <w:szCs w:val="22"/>
        </w:rPr>
        <w:t xml:space="preserve"> </w:t>
      </w:r>
      <w:r w:rsidR="00A867E8">
        <w:rPr>
          <w:rFonts w:ascii="Arial" w:hAnsi="Arial" w:cs="Arial"/>
          <w:b/>
          <w:sz w:val="22"/>
          <w:szCs w:val="22"/>
        </w:rPr>
        <w:t xml:space="preserve">Incidence of </w:t>
      </w:r>
      <w:r w:rsidR="00A867E8">
        <w:rPr>
          <w:rFonts w:ascii="Arial" w:eastAsia="MS Mincho" w:hAnsi="Arial" w:cs="Arial"/>
          <w:b/>
          <w:sz w:val="22"/>
          <w:szCs w:val="22"/>
        </w:rPr>
        <w:t>a</w:t>
      </w:r>
      <w:r w:rsidRPr="0047783E">
        <w:rPr>
          <w:rFonts w:ascii="Arial" w:eastAsia="MS Mincho" w:hAnsi="Arial" w:cs="Arial"/>
          <w:b/>
          <w:sz w:val="22"/>
          <w:szCs w:val="22"/>
        </w:rPr>
        <w:t>dverse drug reactions (≥10%) reported in pa</w:t>
      </w:r>
      <w:r w:rsidR="00547B2A" w:rsidRPr="0047783E">
        <w:rPr>
          <w:rFonts w:ascii="Arial" w:eastAsia="MS Mincho" w:hAnsi="Arial" w:cs="Arial"/>
          <w:b/>
          <w:sz w:val="22"/>
          <w:szCs w:val="22"/>
        </w:rPr>
        <w:t xml:space="preserve">tients treated with </w:t>
      </w:r>
      <w:r w:rsidR="00601DFC">
        <w:rPr>
          <w:rFonts w:ascii="Arial" w:eastAsia="MS Mincho" w:hAnsi="Arial" w:cs="Arial"/>
          <w:b/>
          <w:sz w:val="22"/>
          <w:szCs w:val="22"/>
        </w:rPr>
        <w:t xml:space="preserve">STIVARGA </w:t>
      </w:r>
      <w:r w:rsidR="00547B2A" w:rsidRPr="0047783E">
        <w:rPr>
          <w:rFonts w:ascii="Arial" w:eastAsia="MS Mincho" w:hAnsi="Arial" w:cs="Arial"/>
          <w:b/>
          <w:sz w:val="22"/>
          <w:szCs w:val="22"/>
        </w:rPr>
        <w:t>and</w:t>
      </w:r>
      <w:r w:rsidRPr="0047783E">
        <w:rPr>
          <w:rFonts w:ascii="Arial" w:eastAsia="MS Mincho" w:hAnsi="Arial" w:cs="Arial"/>
          <w:b/>
          <w:sz w:val="22"/>
          <w:szCs w:val="22"/>
        </w:rPr>
        <w:t xml:space="preserve"> reported more commonly than in patients receiving placebo</w:t>
      </w:r>
      <w:r w:rsidR="00A867E8">
        <w:rPr>
          <w:rFonts w:ascii="Arial" w:eastAsia="MS Mincho" w:hAnsi="Arial" w:cs="Arial"/>
          <w:b/>
          <w:sz w:val="22"/>
          <w:szCs w:val="22"/>
        </w:rPr>
        <w:t xml:space="preserve"> (CORRECT)</w:t>
      </w:r>
    </w:p>
    <w:p w14:paraId="712C284D" w14:textId="77777777" w:rsidR="003B41B2" w:rsidRPr="003A5EE1" w:rsidRDefault="003B41B2" w:rsidP="0047783E">
      <w:pPr>
        <w:keepNext/>
        <w:rPr>
          <w:rFonts w:ascii="Arial" w:eastAsia="MS Mincho" w:hAnsi="Arial" w:cs="Arial"/>
          <w:sz w:val="22"/>
          <w:szCs w:val="22"/>
        </w:rPr>
      </w:pPr>
    </w:p>
    <w:tbl>
      <w:tblPr>
        <w:tblW w:w="963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7"/>
        <w:gridCol w:w="1705"/>
        <w:gridCol w:w="1701"/>
        <w:gridCol w:w="1701"/>
        <w:gridCol w:w="1699"/>
      </w:tblGrid>
      <w:tr w:rsidR="003B41B2" w:rsidRPr="003A5EE1" w14:paraId="712C2854" w14:textId="77777777" w:rsidTr="00D93DAB">
        <w:trPr>
          <w:trHeight w:val="288"/>
          <w:tblHeader/>
        </w:trPr>
        <w:tc>
          <w:tcPr>
            <w:tcW w:w="1467" w:type="pct"/>
            <w:tcBorders>
              <w:top w:val="single" w:sz="4" w:space="0" w:color="auto"/>
              <w:left w:val="single" w:sz="4" w:space="0" w:color="auto"/>
              <w:right w:val="single" w:sz="4" w:space="0" w:color="auto"/>
            </w:tcBorders>
            <w:vAlign w:val="center"/>
          </w:tcPr>
          <w:p w14:paraId="712C284E" w14:textId="77777777" w:rsidR="003B41B2" w:rsidRPr="003A5EE1" w:rsidRDefault="00A867E8" w:rsidP="0047783E">
            <w:pPr>
              <w:keepNext/>
              <w:jc w:val="center"/>
              <w:rPr>
                <w:rFonts w:ascii="Arial" w:eastAsia="MS Mincho" w:hAnsi="Arial" w:cs="Arial"/>
                <w:b/>
                <w:sz w:val="22"/>
                <w:szCs w:val="22"/>
              </w:rPr>
            </w:pPr>
            <w:r>
              <w:rPr>
                <w:rFonts w:ascii="Arial" w:eastAsia="MS Mincho" w:hAnsi="Arial" w:cs="Arial"/>
                <w:b/>
                <w:sz w:val="22"/>
                <w:szCs w:val="22"/>
              </w:rPr>
              <w:t>System Organ Class/Preferred</w:t>
            </w:r>
            <w:r w:rsidR="00AE385F">
              <w:rPr>
                <w:rFonts w:ascii="Arial" w:eastAsia="MS Mincho" w:hAnsi="Arial" w:cs="Arial"/>
                <w:b/>
                <w:sz w:val="22"/>
                <w:szCs w:val="22"/>
              </w:rPr>
              <w:t xml:space="preserve"> Term</w:t>
            </w:r>
          </w:p>
          <w:p w14:paraId="712C284F" w14:textId="77777777" w:rsidR="003B41B2" w:rsidRPr="003A5EE1" w:rsidRDefault="003B41B2" w:rsidP="0047783E">
            <w:pPr>
              <w:keepNext/>
              <w:jc w:val="center"/>
              <w:rPr>
                <w:rFonts w:ascii="Arial" w:eastAsia="MS Mincho" w:hAnsi="Arial" w:cs="Arial"/>
                <w:b/>
                <w:sz w:val="22"/>
                <w:szCs w:val="22"/>
              </w:rPr>
            </w:pPr>
          </w:p>
        </w:tc>
        <w:tc>
          <w:tcPr>
            <w:tcW w:w="1768" w:type="pct"/>
            <w:gridSpan w:val="2"/>
            <w:tcBorders>
              <w:left w:val="single" w:sz="4" w:space="0" w:color="auto"/>
            </w:tcBorders>
            <w:vAlign w:val="center"/>
          </w:tcPr>
          <w:p w14:paraId="712C2850" w14:textId="77777777" w:rsidR="003B41B2" w:rsidRPr="003A5EE1" w:rsidRDefault="003B41B2" w:rsidP="0047783E">
            <w:pPr>
              <w:keepNext/>
              <w:jc w:val="center"/>
              <w:rPr>
                <w:rFonts w:ascii="Arial" w:hAnsi="Arial" w:cs="Arial"/>
                <w:b/>
                <w:bCs/>
                <w:sz w:val="22"/>
                <w:szCs w:val="22"/>
              </w:rPr>
            </w:pPr>
            <w:r w:rsidRPr="003A5EE1">
              <w:rPr>
                <w:rFonts w:ascii="Arial" w:hAnsi="Arial" w:cs="Arial"/>
                <w:b/>
                <w:bCs/>
                <w:sz w:val="22"/>
                <w:szCs w:val="22"/>
              </w:rPr>
              <w:t>S</w:t>
            </w:r>
            <w:r w:rsidR="00FF0B8E">
              <w:rPr>
                <w:rFonts w:ascii="Arial" w:hAnsi="Arial" w:cs="Arial"/>
                <w:b/>
                <w:bCs/>
                <w:sz w:val="22"/>
                <w:szCs w:val="22"/>
              </w:rPr>
              <w:t>TIVARGA</w:t>
            </w:r>
            <w:r w:rsidR="00A867E8">
              <w:rPr>
                <w:rFonts w:ascii="Arial" w:hAnsi="Arial" w:cs="Arial"/>
                <w:b/>
                <w:bCs/>
                <w:sz w:val="22"/>
                <w:szCs w:val="22"/>
              </w:rPr>
              <w:t xml:space="preserve"> plus BSC</w:t>
            </w:r>
            <w:r w:rsidR="00D557DD" w:rsidRPr="00740E73">
              <w:rPr>
                <w:rFonts w:ascii="Arial" w:hAnsi="Arial" w:cs="Arial"/>
                <w:b/>
                <w:bCs/>
                <w:sz w:val="22"/>
                <w:szCs w:val="22"/>
                <w:vertAlign w:val="superscript"/>
              </w:rPr>
              <w:t>§</w:t>
            </w:r>
          </w:p>
          <w:p w14:paraId="712C2851" w14:textId="77777777" w:rsidR="003B41B2" w:rsidRPr="003A5EE1" w:rsidRDefault="003B41B2" w:rsidP="0047783E">
            <w:pPr>
              <w:keepNext/>
              <w:jc w:val="center"/>
              <w:rPr>
                <w:rFonts w:ascii="Arial" w:eastAsia="MS Mincho" w:hAnsi="Arial" w:cs="Arial"/>
                <w:b/>
                <w:sz w:val="22"/>
                <w:szCs w:val="22"/>
              </w:rPr>
            </w:pPr>
            <w:r w:rsidRPr="003A5EE1">
              <w:rPr>
                <w:rFonts w:ascii="Arial" w:hAnsi="Arial" w:cs="Arial"/>
                <w:b/>
                <w:bCs/>
                <w:sz w:val="22"/>
                <w:szCs w:val="22"/>
              </w:rPr>
              <w:t>(</w:t>
            </w:r>
            <w:r w:rsidR="00A867E8">
              <w:rPr>
                <w:rFonts w:ascii="Arial" w:hAnsi="Arial" w:cs="Arial"/>
                <w:b/>
                <w:bCs/>
                <w:sz w:val="22"/>
                <w:szCs w:val="22"/>
              </w:rPr>
              <w:t>N</w:t>
            </w:r>
            <w:r w:rsidRPr="003A5EE1">
              <w:rPr>
                <w:rFonts w:ascii="Arial" w:hAnsi="Arial" w:cs="Arial"/>
                <w:b/>
                <w:bCs/>
                <w:sz w:val="22"/>
                <w:szCs w:val="22"/>
              </w:rPr>
              <w:t>=500)</w:t>
            </w:r>
          </w:p>
        </w:tc>
        <w:tc>
          <w:tcPr>
            <w:tcW w:w="1765" w:type="pct"/>
            <w:gridSpan w:val="2"/>
            <w:vAlign w:val="center"/>
          </w:tcPr>
          <w:p w14:paraId="712C2852" w14:textId="77777777" w:rsidR="003B41B2" w:rsidRPr="00740E73" w:rsidRDefault="003B41B2" w:rsidP="0047783E">
            <w:pPr>
              <w:keepNext/>
              <w:jc w:val="center"/>
              <w:rPr>
                <w:rFonts w:ascii="Arial" w:hAnsi="Arial" w:cs="Arial"/>
                <w:b/>
                <w:bCs/>
                <w:sz w:val="22"/>
                <w:szCs w:val="22"/>
                <w:vertAlign w:val="superscript"/>
              </w:rPr>
            </w:pPr>
            <w:r w:rsidRPr="003A5EE1">
              <w:rPr>
                <w:rFonts w:ascii="Arial" w:hAnsi="Arial" w:cs="Arial"/>
                <w:b/>
                <w:bCs/>
                <w:sz w:val="22"/>
                <w:szCs w:val="22"/>
              </w:rPr>
              <w:t>Placebo</w:t>
            </w:r>
            <w:r w:rsidR="00A867E8">
              <w:rPr>
                <w:rFonts w:ascii="Arial" w:hAnsi="Arial" w:cs="Arial"/>
                <w:b/>
                <w:bCs/>
                <w:sz w:val="22"/>
                <w:szCs w:val="22"/>
              </w:rPr>
              <w:t xml:space="preserve"> plus BSC</w:t>
            </w:r>
            <w:r w:rsidR="00D557DD" w:rsidRPr="00740E73">
              <w:rPr>
                <w:rFonts w:ascii="Arial" w:hAnsi="Arial" w:cs="Arial"/>
                <w:b/>
                <w:bCs/>
                <w:sz w:val="22"/>
                <w:szCs w:val="22"/>
                <w:vertAlign w:val="superscript"/>
              </w:rPr>
              <w:t>§</w:t>
            </w:r>
          </w:p>
          <w:p w14:paraId="712C2853" w14:textId="77777777" w:rsidR="003B41B2" w:rsidRPr="003A5EE1" w:rsidRDefault="003B41B2" w:rsidP="0047783E">
            <w:pPr>
              <w:keepNext/>
              <w:jc w:val="center"/>
              <w:rPr>
                <w:rFonts w:ascii="Arial" w:eastAsia="MS Mincho" w:hAnsi="Arial" w:cs="Arial"/>
                <w:b/>
                <w:sz w:val="22"/>
                <w:szCs w:val="22"/>
              </w:rPr>
            </w:pPr>
            <w:r w:rsidRPr="003A5EE1">
              <w:rPr>
                <w:rFonts w:ascii="Arial" w:hAnsi="Arial" w:cs="Arial"/>
                <w:b/>
                <w:bCs/>
                <w:sz w:val="22"/>
                <w:szCs w:val="22"/>
              </w:rPr>
              <w:t>(</w:t>
            </w:r>
            <w:r w:rsidR="00A867E8">
              <w:rPr>
                <w:rFonts w:ascii="Arial" w:hAnsi="Arial" w:cs="Arial"/>
                <w:b/>
                <w:bCs/>
                <w:sz w:val="22"/>
                <w:szCs w:val="22"/>
              </w:rPr>
              <w:t>N</w:t>
            </w:r>
            <w:r w:rsidRPr="003A5EE1">
              <w:rPr>
                <w:rFonts w:ascii="Arial" w:hAnsi="Arial" w:cs="Arial"/>
                <w:b/>
                <w:bCs/>
                <w:sz w:val="22"/>
                <w:szCs w:val="22"/>
              </w:rPr>
              <w:t>=253)</w:t>
            </w:r>
          </w:p>
        </w:tc>
      </w:tr>
      <w:tr w:rsidR="003B41B2" w:rsidRPr="003A5EE1" w14:paraId="712C2858" w14:textId="77777777" w:rsidTr="00D93DAB">
        <w:trPr>
          <w:trHeight w:val="288"/>
          <w:tblHeader/>
        </w:trPr>
        <w:tc>
          <w:tcPr>
            <w:tcW w:w="1467" w:type="pct"/>
            <w:vMerge w:val="restart"/>
            <w:tcBorders>
              <w:left w:val="single" w:sz="4" w:space="0" w:color="auto"/>
              <w:right w:val="single" w:sz="4" w:space="0" w:color="auto"/>
            </w:tcBorders>
            <w:vAlign w:val="center"/>
          </w:tcPr>
          <w:p w14:paraId="712C2855" w14:textId="77777777" w:rsidR="003B41B2" w:rsidRPr="003A5EE1" w:rsidRDefault="003B41B2" w:rsidP="002800BD">
            <w:pPr>
              <w:keepNext/>
              <w:widowControl w:val="0"/>
              <w:spacing w:before="60"/>
              <w:jc w:val="center"/>
              <w:rPr>
                <w:rFonts w:ascii="Arial" w:eastAsia="MS Mincho" w:hAnsi="Arial" w:cs="Arial"/>
                <w:b/>
                <w:sz w:val="22"/>
                <w:szCs w:val="22"/>
              </w:rPr>
            </w:pPr>
          </w:p>
        </w:tc>
        <w:tc>
          <w:tcPr>
            <w:tcW w:w="1768" w:type="pct"/>
            <w:gridSpan w:val="2"/>
            <w:tcBorders>
              <w:left w:val="single" w:sz="4" w:space="0" w:color="auto"/>
            </w:tcBorders>
            <w:vAlign w:val="center"/>
          </w:tcPr>
          <w:p w14:paraId="712C2856" w14:textId="77777777" w:rsidR="003B41B2" w:rsidRPr="003A5EE1" w:rsidRDefault="003B41B2" w:rsidP="002800BD">
            <w:pPr>
              <w:keepNext/>
              <w:widowControl w:val="0"/>
              <w:autoSpaceDE w:val="0"/>
              <w:autoSpaceDN w:val="0"/>
              <w:adjustRightInd w:val="0"/>
              <w:jc w:val="center"/>
              <w:rPr>
                <w:rFonts w:ascii="Arial" w:eastAsia="MS Mincho" w:hAnsi="Arial" w:cs="Arial"/>
                <w:sz w:val="22"/>
                <w:szCs w:val="22"/>
              </w:rPr>
            </w:pPr>
            <w:r w:rsidRPr="003A5EE1">
              <w:rPr>
                <w:rFonts w:ascii="Arial" w:eastAsia="Batang" w:hAnsi="Arial" w:cs="Arial"/>
                <w:b/>
                <w:bCs/>
                <w:sz w:val="22"/>
                <w:szCs w:val="22"/>
                <w:lang w:eastAsia="ko-KR"/>
              </w:rPr>
              <w:t>Grade</w:t>
            </w:r>
          </w:p>
        </w:tc>
        <w:tc>
          <w:tcPr>
            <w:tcW w:w="1765" w:type="pct"/>
            <w:gridSpan w:val="2"/>
            <w:vAlign w:val="center"/>
          </w:tcPr>
          <w:p w14:paraId="712C2857" w14:textId="77777777" w:rsidR="003B41B2" w:rsidRPr="003A5EE1" w:rsidRDefault="003B41B2" w:rsidP="002800BD">
            <w:pPr>
              <w:keepNext/>
              <w:widowControl w:val="0"/>
              <w:autoSpaceDE w:val="0"/>
              <w:autoSpaceDN w:val="0"/>
              <w:adjustRightInd w:val="0"/>
              <w:jc w:val="center"/>
              <w:rPr>
                <w:rFonts w:ascii="Arial" w:eastAsia="MS Mincho" w:hAnsi="Arial" w:cs="Arial"/>
                <w:sz w:val="22"/>
                <w:szCs w:val="22"/>
              </w:rPr>
            </w:pPr>
            <w:r w:rsidRPr="003A5EE1">
              <w:rPr>
                <w:rFonts w:ascii="Arial" w:eastAsia="Batang" w:hAnsi="Arial" w:cs="Arial"/>
                <w:b/>
                <w:bCs/>
                <w:sz w:val="22"/>
                <w:szCs w:val="22"/>
                <w:lang w:eastAsia="ko-KR"/>
              </w:rPr>
              <w:t>Grade</w:t>
            </w:r>
          </w:p>
        </w:tc>
      </w:tr>
      <w:tr w:rsidR="0097062A" w:rsidRPr="003A5EE1" w14:paraId="712C2862" w14:textId="77777777" w:rsidTr="00D557DD">
        <w:trPr>
          <w:trHeight w:val="576"/>
          <w:tblHeader/>
        </w:trPr>
        <w:tc>
          <w:tcPr>
            <w:tcW w:w="1467" w:type="pct"/>
            <w:vMerge/>
            <w:tcBorders>
              <w:left w:val="single" w:sz="4" w:space="0" w:color="auto"/>
              <w:bottom w:val="single" w:sz="4" w:space="0" w:color="auto"/>
              <w:right w:val="single" w:sz="4" w:space="0" w:color="auto"/>
            </w:tcBorders>
            <w:vAlign w:val="center"/>
          </w:tcPr>
          <w:p w14:paraId="712C2859" w14:textId="77777777" w:rsidR="003B41B2" w:rsidRPr="003A5EE1" w:rsidRDefault="003B41B2" w:rsidP="002800BD">
            <w:pPr>
              <w:keepNext/>
              <w:widowControl w:val="0"/>
              <w:spacing w:before="60"/>
              <w:jc w:val="center"/>
              <w:rPr>
                <w:rFonts w:ascii="Arial" w:eastAsia="MS Mincho" w:hAnsi="Arial" w:cs="Arial"/>
                <w:b/>
                <w:sz w:val="22"/>
                <w:szCs w:val="22"/>
              </w:rPr>
            </w:pPr>
          </w:p>
        </w:tc>
        <w:tc>
          <w:tcPr>
            <w:tcW w:w="885" w:type="pct"/>
            <w:tcBorders>
              <w:left w:val="single" w:sz="4" w:space="0" w:color="auto"/>
            </w:tcBorders>
            <w:vAlign w:val="center"/>
          </w:tcPr>
          <w:p w14:paraId="712C285A"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14:paraId="712C285B"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3" w:type="pct"/>
            <w:vAlign w:val="center"/>
          </w:tcPr>
          <w:p w14:paraId="712C285C"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 3</w:t>
            </w:r>
          </w:p>
          <w:p w14:paraId="712C285D"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3" w:type="pct"/>
            <w:vAlign w:val="center"/>
          </w:tcPr>
          <w:p w14:paraId="712C285E"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14:paraId="712C285F"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2" w:type="pct"/>
            <w:vAlign w:val="center"/>
          </w:tcPr>
          <w:p w14:paraId="712C2860"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 3</w:t>
            </w:r>
          </w:p>
          <w:p w14:paraId="712C2861" w14:textId="77777777"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r>
      <w:tr w:rsidR="0097062A" w:rsidRPr="003A5EE1" w14:paraId="712C2878" w14:textId="77777777" w:rsidTr="00D557DD">
        <w:trPr>
          <w:trHeight w:val="576"/>
        </w:trPr>
        <w:tc>
          <w:tcPr>
            <w:tcW w:w="1467" w:type="pct"/>
          </w:tcPr>
          <w:p w14:paraId="712C2863"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General disorders and administration site conditions</w:t>
            </w:r>
          </w:p>
          <w:p w14:paraId="712C2864" w14:textId="77777777" w:rsidR="003B41B2" w:rsidRPr="003A5EE1" w:rsidRDefault="003B41B2" w:rsidP="002800BD">
            <w:pPr>
              <w:widowControl w:val="0"/>
              <w:tabs>
                <w:tab w:val="left" w:pos="180"/>
              </w:tabs>
              <w:rPr>
                <w:rFonts w:ascii="Arial" w:hAnsi="Arial" w:cs="Arial"/>
                <w:snapToGrid w:val="0"/>
                <w:sz w:val="22"/>
                <w:szCs w:val="22"/>
                <w:lang w:eastAsia="de-DE"/>
              </w:rPr>
            </w:pPr>
            <w:r w:rsidRPr="003A5EE1">
              <w:rPr>
                <w:rFonts w:ascii="Arial" w:hAnsi="Arial" w:cs="Arial"/>
                <w:snapToGrid w:val="0"/>
                <w:sz w:val="22"/>
                <w:szCs w:val="22"/>
                <w:lang w:eastAsia="de-DE"/>
              </w:rPr>
              <w:t>Asthenia/fatigue</w:t>
            </w:r>
          </w:p>
          <w:p w14:paraId="712C2865" w14:textId="77777777" w:rsidR="003B41B2" w:rsidRPr="003A5EE1" w:rsidRDefault="003B41B2" w:rsidP="002800BD">
            <w:pPr>
              <w:widowControl w:val="0"/>
              <w:tabs>
                <w:tab w:val="left" w:pos="180"/>
              </w:tabs>
              <w:rPr>
                <w:rFonts w:ascii="Arial" w:hAnsi="Arial" w:cs="Arial"/>
                <w:snapToGrid w:val="0"/>
                <w:sz w:val="22"/>
                <w:szCs w:val="22"/>
                <w:lang w:eastAsia="de-DE"/>
              </w:rPr>
            </w:pPr>
            <w:r w:rsidRPr="003A5EE1">
              <w:rPr>
                <w:rFonts w:ascii="Arial" w:hAnsi="Arial" w:cs="Arial"/>
                <w:snapToGrid w:val="0"/>
                <w:sz w:val="22"/>
                <w:szCs w:val="22"/>
                <w:lang w:eastAsia="de-DE"/>
              </w:rPr>
              <w:t>Pain</w:t>
            </w:r>
          </w:p>
          <w:p w14:paraId="712C2866" w14:textId="77777777" w:rsidR="003B41B2" w:rsidRPr="003A5EE1" w:rsidRDefault="003B41B2" w:rsidP="002800BD">
            <w:pPr>
              <w:widowControl w:val="0"/>
              <w:rPr>
                <w:rFonts w:ascii="Arial" w:hAnsi="Arial" w:cs="Arial"/>
                <w:snapToGrid w:val="0"/>
                <w:sz w:val="22"/>
                <w:szCs w:val="22"/>
                <w:lang w:eastAsia="de-DE"/>
              </w:rPr>
            </w:pPr>
            <w:r w:rsidRPr="003A5EE1">
              <w:rPr>
                <w:rFonts w:ascii="Arial" w:hAnsi="Arial" w:cs="Arial"/>
                <w:snapToGrid w:val="0"/>
                <w:sz w:val="22"/>
                <w:szCs w:val="22"/>
                <w:lang w:eastAsia="de-DE"/>
              </w:rPr>
              <w:t>Fever</w:t>
            </w:r>
          </w:p>
          <w:p w14:paraId="712C2867" w14:textId="77777777" w:rsidR="00A44C23" w:rsidRPr="003A5EE1" w:rsidRDefault="00A44C23" w:rsidP="002800BD">
            <w:pPr>
              <w:widowControl w:val="0"/>
              <w:rPr>
                <w:rFonts w:ascii="Arial" w:eastAsia="MS Mincho" w:hAnsi="Arial" w:cs="Arial"/>
                <w:sz w:val="22"/>
                <w:szCs w:val="22"/>
              </w:rPr>
            </w:pPr>
            <w:r w:rsidRPr="003A5EE1">
              <w:rPr>
                <w:rFonts w:ascii="Arial" w:eastAsia="MS Mincho" w:hAnsi="Arial" w:cs="Arial"/>
                <w:sz w:val="22"/>
                <w:szCs w:val="22"/>
              </w:rPr>
              <w:t>Mucosal inflammation</w:t>
            </w:r>
          </w:p>
        </w:tc>
        <w:tc>
          <w:tcPr>
            <w:tcW w:w="885" w:type="pct"/>
            <w:vAlign w:val="bottom"/>
          </w:tcPr>
          <w:p w14:paraId="712C2868"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64</w:t>
            </w:r>
          </w:p>
          <w:p w14:paraId="712C2869"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29</w:t>
            </w:r>
          </w:p>
          <w:p w14:paraId="712C286A"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28</w:t>
            </w:r>
          </w:p>
          <w:p w14:paraId="712C286B" w14:textId="77777777" w:rsidR="00A44C23" w:rsidRPr="003A5EE1" w:rsidRDefault="00A44C23"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16</w:t>
            </w:r>
          </w:p>
        </w:tc>
        <w:tc>
          <w:tcPr>
            <w:tcW w:w="883" w:type="pct"/>
            <w:vAlign w:val="bottom"/>
          </w:tcPr>
          <w:p w14:paraId="712C286C"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15</w:t>
            </w:r>
          </w:p>
          <w:p w14:paraId="712C286D"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p w14:paraId="712C286E" w14:textId="77777777" w:rsidR="003B41B2" w:rsidRPr="003A5EE1" w:rsidRDefault="003B41B2" w:rsidP="002800BD">
            <w:pPr>
              <w:widowControl w:val="0"/>
              <w:tabs>
                <w:tab w:val="left" w:pos="180"/>
              </w:tabs>
              <w:jc w:val="center"/>
              <w:rPr>
                <w:rFonts w:ascii="Arial" w:eastAsia="MS Mincho" w:hAnsi="Arial" w:cs="Arial"/>
                <w:sz w:val="22"/>
                <w:szCs w:val="22"/>
              </w:rPr>
            </w:pPr>
            <w:r w:rsidRPr="003A5EE1">
              <w:rPr>
                <w:rFonts w:ascii="Arial" w:eastAsia="MS Mincho" w:hAnsi="Arial" w:cs="Arial"/>
                <w:sz w:val="22"/>
                <w:szCs w:val="22"/>
              </w:rPr>
              <w:t>2</w:t>
            </w:r>
          </w:p>
          <w:p w14:paraId="712C286F" w14:textId="77777777" w:rsidR="00A44C23" w:rsidRPr="003A5EE1" w:rsidRDefault="00A44C23" w:rsidP="002800BD">
            <w:pPr>
              <w:widowControl w:val="0"/>
              <w:tabs>
                <w:tab w:val="left" w:pos="180"/>
              </w:tabs>
              <w:jc w:val="center"/>
              <w:rPr>
                <w:rFonts w:ascii="Arial" w:eastAsia="MS Mincho" w:hAnsi="Arial" w:cs="Arial"/>
                <w:sz w:val="22"/>
                <w:szCs w:val="22"/>
              </w:rPr>
            </w:pPr>
            <w:r w:rsidRPr="003A5EE1">
              <w:rPr>
                <w:rFonts w:ascii="Arial" w:eastAsia="MS Mincho" w:hAnsi="Arial" w:cs="Arial"/>
                <w:sz w:val="22"/>
                <w:szCs w:val="22"/>
              </w:rPr>
              <w:t>2</w:t>
            </w:r>
          </w:p>
        </w:tc>
        <w:tc>
          <w:tcPr>
            <w:tcW w:w="883" w:type="pct"/>
            <w:vAlign w:val="bottom"/>
          </w:tcPr>
          <w:p w14:paraId="712C2870"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46</w:t>
            </w:r>
          </w:p>
          <w:p w14:paraId="712C2871"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21</w:t>
            </w:r>
          </w:p>
          <w:p w14:paraId="712C2872"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15</w:t>
            </w:r>
          </w:p>
          <w:p w14:paraId="712C2873" w14:textId="77777777" w:rsidR="00A44C23" w:rsidRPr="003A5EE1" w:rsidRDefault="00A44C23" w:rsidP="002800BD">
            <w:pPr>
              <w:widowControl w:val="0"/>
              <w:jc w:val="center"/>
              <w:rPr>
                <w:rFonts w:ascii="Arial" w:eastAsia="MS Mincho" w:hAnsi="Arial" w:cs="Arial"/>
                <w:sz w:val="22"/>
                <w:szCs w:val="22"/>
              </w:rPr>
            </w:pPr>
            <w:r w:rsidRPr="003A5EE1">
              <w:rPr>
                <w:rFonts w:ascii="Arial" w:eastAsia="MS Mincho" w:hAnsi="Arial" w:cs="Arial"/>
                <w:sz w:val="22"/>
                <w:szCs w:val="22"/>
              </w:rPr>
              <w:t>2</w:t>
            </w:r>
          </w:p>
        </w:tc>
        <w:tc>
          <w:tcPr>
            <w:tcW w:w="882" w:type="pct"/>
            <w:vAlign w:val="bottom"/>
          </w:tcPr>
          <w:p w14:paraId="712C2874" w14:textId="77777777" w:rsidR="003B41B2" w:rsidRPr="003A5EE1" w:rsidRDefault="00F159F4" w:rsidP="002800BD">
            <w:pPr>
              <w:widowControl w:val="0"/>
              <w:jc w:val="center"/>
              <w:rPr>
                <w:rFonts w:ascii="Arial" w:eastAsia="MS Mincho" w:hAnsi="Arial" w:cs="Arial"/>
                <w:sz w:val="22"/>
                <w:szCs w:val="22"/>
              </w:rPr>
            </w:pPr>
            <w:r w:rsidRPr="003A5EE1">
              <w:rPr>
                <w:rFonts w:ascii="Arial" w:eastAsia="MS Mincho" w:hAnsi="Arial" w:cs="Arial"/>
                <w:sz w:val="22"/>
                <w:szCs w:val="22"/>
              </w:rPr>
              <w:t>11</w:t>
            </w:r>
          </w:p>
          <w:p w14:paraId="712C2875"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2</w:t>
            </w:r>
          </w:p>
          <w:p w14:paraId="712C2876"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p w14:paraId="712C2877" w14:textId="77777777" w:rsidR="00A44C23" w:rsidRPr="003A5EE1" w:rsidRDefault="00A44C23"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14:paraId="712C287F" w14:textId="77777777" w:rsidTr="00D557DD">
        <w:trPr>
          <w:trHeight w:val="576"/>
        </w:trPr>
        <w:tc>
          <w:tcPr>
            <w:tcW w:w="1467" w:type="pct"/>
          </w:tcPr>
          <w:p w14:paraId="712C2879" w14:textId="77777777" w:rsidR="003B41B2" w:rsidRPr="003A5EE1" w:rsidRDefault="003B41B2" w:rsidP="002800BD">
            <w:pPr>
              <w:widowControl w:val="0"/>
              <w:rPr>
                <w:rFonts w:ascii="Arial" w:hAnsi="Arial" w:cs="Arial"/>
                <w:snapToGrid w:val="0"/>
                <w:sz w:val="22"/>
                <w:szCs w:val="22"/>
                <w:lang w:eastAsia="de-DE"/>
              </w:rPr>
            </w:pPr>
            <w:r w:rsidRPr="003A5EE1">
              <w:rPr>
                <w:rFonts w:ascii="Arial" w:eastAsia="MS Mincho" w:hAnsi="Arial" w:cs="Arial"/>
                <w:b/>
                <w:sz w:val="22"/>
                <w:szCs w:val="22"/>
              </w:rPr>
              <w:t>Metabolism and nutrition disorders</w:t>
            </w:r>
          </w:p>
          <w:p w14:paraId="712C287A" w14:textId="77777777" w:rsidR="003B41B2" w:rsidRPr="003A5EE1" w:rsidRDefault="003B41B2" w:rsidP="002800BD">
            <w:pPr>
              <w:widowControl w:val="0"/>
              <w:rPr>
                <w:rFonts w:ascii="Arial" w:eastAsia="MS Mincho" w:hAnsi="Arial" w:cs="Arial"/>
                <w:sz w:val="22"/>
                <w:szCs w:val="22"/>
              </w:rPr>
            </w:pPr>
            <w:r w:rsidRPr="003A5EE1">
              <w:rPr>
                <w:rFonts w:ascii="Arial" w:hAnsi="Arial" w:cs="Arial"/>
                <w:snapToGrid w:val="0"/>
                <w:sz w:val="22"/>
                <w:szCs w:val="22"/>
                <w:lang w:eastAsia="de-DE"/>
              </w:rPr>
              <w:t xml:space="preserve">Decreased appetite and food intake </w:t>
            </w:r>
          </w:p>
        </w:tc>
        <w:tc>
          <w:tcPr>
            <w:tcW w:w="885" w:type="pct"/>
            <w:vAlign w:val="bottom"/>
          </w:tcPr>
          <w:p w14:paraId="712C287B"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47</w:t>
            </w:r>
          </w:p>
        </w:tc>
        <w:tc>
          <w:tcPr>
            <w:tcW w:w="883" w:type="pct"/>
            <w:vAlign w:val="bottom"/>
          </w:tcPr>
          <w:p w14:paraId="712C287C"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5</w:t>
            </w:r>
          </w:p>
        </w:tc>
        <w:tc>
          <w:tcPr>
            <w:tcW w:w="883" w:type="pct"/>
            <w:vAlign w:val="bottom"/>
          </w:tcPr>
          <w:p w14:paraId="712C287D"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28</w:t>
            </w:r>
          </w:p>
        </w:tc>
        <w:tc>
          <w:tcPr>
            <w:tcW w:w="882" w:type="pct"/>
            <w:vAlign w:val="bottom"/>
          </w:tcPr>
          <w:p w14:paraId="712C287E"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w:t>
            </w:r>
          </w:p>
        </w:tc>
      </w:tr>
      <w:tr w:rsidR="0097062A" w:rsidRPr="003A5EE1" w14:paraId="712C288B" w14:textId="77777777" w:rsidTr="00D557DD">
        <w:trPr>
          <w:trHeight w:val="432"/>
        </w:trPr>
        <w:tc>
          <w:tcPr>
            <w:tcW w:w="1467" w:type="pct"/>
            <w:tcBorders>
              <w:top w:val="single" w:sz="4" w:space="0" w:color="auto"/>
            </w:tcBorders>
          </w:tcPr>
          <w:p w14:paraId="712C2880"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lastRenderedPageBreak/>
              <w:t>Skin and subcutaneous tissue disorders</w:t>
            </w:r>
          </w:p>
          <w:p w14:paraId="712C2881" w14:textId="77777777" w:rsidR="003B41B2" w:rsidRPr="003A5EE1" w:rsidRDefault="003B41B2" w:rsidP="002800BD">
            <w:pPr>
              <w:widowControl w:val="0"/>
              <w:rPr>
                <w:rFonts w:ascii="Arial" w:hAnsi="Arial" w:cs="Arial"/>
                <w:snapToGrid w:val="0"/>
                <w:sz w:val="22"/>
                <w:szCs w:val="22"/>
                <w:lang w:eastAsia="de-DE"/>
              </w:rPr>
            </w:pPr>
            <w:r w:rsidRPr="003A5EE1">
              <w:rPr>
                <w:rFonts w:ascii="Arial" w:hAnsi="Arial" w:cs="Arial"/>
                <w:snapToGrid w:val="0"/>
                <w:sz w:val="22"/>
                <w:szCs w:val="22"/>
                <w:lang w:eastAsia="de-DE"/>
              </w:rPr>
              <w:t>HFSR/PPE</w:t>
            </w:r>
          </w:p>
          <w:p w14:paraId="712C2882" w14:textId="77777777" w:rsidR="003B41B2" w:rsidRPr="003A5EE1" w:rsidRDefault="003B41B2" w:rsidP="002800BD">
            <w:pPr>
              <w:widowControl w:val="0"/>
              <w:rPr>
                <w:rFonts w:ascii="Arial" w:eastAsia="MS Mincho" w:hAnsi="Arial" w:cs="Arial"/>
                <w:b/>
                <w:sz w:val="22"/>
                <w:szCs w:val="22"/>
              </w:rPr>
            </w:pPr>
            <w:r w:rsidRPr="003A5EE1">
              <w:rPr>
                <w:rFonts w:ascii="Arial" w:hAnsi="Arial" w:cs="Arial"/>
                <w:snapToGrid w:val="0"/>
                <w:sz w:val="22"/>
                <w:szCs w:val="22"/>
                <w:lang w:eastAsia="de-DE"/>
              </w:rPr>
              <w:t>Rash</w:t>
            </w:r>
          </w:p>
        </w:tc>
        <w:tc>
          <w:tcPr>
            <w:tcW w:w="885" w:type="pct"/>
            <w:vAlign w:val="bottom"/>
          </w:tcPr>
          <w:p w14:paraId="712C2883"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45</w:t>
            </w:r>
          </w:p>
          <w:p w14:paraId="712C2884"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26</w:t>
            </w:r>
          </w:p>
        </w:tc>
        <w:tc>
          <w:tcPr>
            <w:tcW w:w="883" w:type="pct"/>
            <w:vAlign w:val="bottom"/>
          </w:tcPr>
          <w:p w14:paraId="712C2885"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17</w:t>
            </w:r>
          </w:p>
          <w:p w14:paraId="712C2886"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6</w:t>
            </w:r>
          </w:p>
        </w:tc>
        <w:tc>
          <w:tcPr>
            <w:tcW w:w="883" w:type="pct"/>
            <w:vAlign w:val="bottom"/>
          </w:tcPr>
          <w:p w14:paraId="712C2887"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7</w:t>
            </w:r>
          </w:p>
          <w:p w14:paraId="712C2888"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4</w:t>
            </w:r>
          </w:p>
        </w:tc>
        <w:tc>
          <w:tcPr>
            <w:tcW w:w="882" w:type="pct"/>
            <w:vAlign w:val="bottom"/>
          </w:tcPr>
          <w:p w14:paraId="712C2889"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p w14:paraId="712C288A"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&lt;1</w:t>
            </w:r>
          </w:p>
        </w:tc>
      </w:tr>
      <w:tr w:rsidR="0097062A" w:rsidRPr="003A5EE1" w14:paraId="712C289B" w14:textId="77777777" w:rsidTr="00D557DD">
        <w:trPr>
          <w:trHeight w:val="432"/>
        </w:trPr>
        <w:tc>
          <w:tcPr>
            <w:tcW w:w="1467" w:type="pct"/>
            <w:tcBorders>
              <w:top w:val="single" w:sz="4" w:space="0" w:color="auto"/>
            </w:tcBorders>
          </w:tcPr>
          <w:p w14:paraId="712C288C" w14:textId="77777777" w:rsidR="00C162D8" w:rsidRPr="003A5EE1" w:rsidRDefault="003B41B2" w:rsidP="002800BD">
            <w:pPr>
              <w:widowControl w:val="0"/>
              <w:rPr>
                <w:rFonts w:ascii="Arial" w:eastAsia="MS Mincho" w:hAnsi="Arial" w:cs="Arial"/>
                <w:sz w:val="22"/>
                <w:szCs w:val="22"/>
              </w:rPr>
            </w:pPr>
            <w:r w:rsidRPr="003A5EE1">
              <w:rPr>
                <w:rFonts w:ascii="Arial" w:eastAsia="MS Mincho" w:hAnsi="Arial" w:cs="Arial"/>
                <w:b/>
                <w:sz w:val="22"/>
                <w:szCs w:val="22"/>
              </w:rPr>
              <w:t>Gastrointestinal disorders</w:t>
            </w:r>
          </w:p>
          <w:p w14:paraId="712C288D" w14:textId="77777777" w:rsidR="00BF7776" w:rsidRPr="003A5EE1" w:rsidRDefault="00C162D8" w:rsidP="002800BD">
            <w:pPr>
              <w:widowControl w:val="0"/>
              <w:rPr>
                <w:rFonts w:ascii="Arial" w:eastAsia="MS Mincho" w:hAnsi="Arial" w:cs="Arial"/>
                <w:sz w:val="22"/>
                <w:szCs w:val="22"/>
              </w:rPr>
            </w:pPr>
            <w:r w:rsidRPr="003A5EE1">
              <w:rPr>
                <w:rFonts w:ascii="Arial" w:eastAsia="MS Mincho" w:hAnsi="Arial" w:cs="Arial"/>
                <w:sz w:val="22"/>
                <w:szCs w:val="22"/>
              </w:rPr>
              <w:t>Diarrhoea</w:t>
            </w:r>
          </w:p>
          <w:p w14:paraId="712C288E" w14:textId="77777777" w:rsidR="00A44C23" w:rsidRPr="003A5EE1" w:rsidRDefault="00A44C23" w:rsidP="002800BD">
            <w:pPr>
              <w:widowControl w:val="0"/>
              <w:rPr>
                <w:rFonts w:ascii="Arial" w:eastAsia="MS Mincho" w:hAnsi="Arial" w:cs="Arial"/>
                <w:b/>
                <w:sz w:val="22"/>
                <w:szCs w:val="22"/>
              </w:rPr>
            </w:pPr>
            <w:r w:rsidRPr="003A5EE1">
              <w:rPr>
                <w:rFonts w:ascii="Arial" w:eastAsia="MS Mincho" w:hAnsi="Arial" w:cs="Arial"/>
                <w:sz w:val="22"/>
                <w:szCs w:val="22"/>
              </w:rPr>
              <w:t>Stomatitis</w:t>
            </w:r>
          </w:p>
        </w:tc>
        <w:tc>
          <w:tcPr>
            <w:tcW w:w="885" w:type="pct"/>
            <w:vAlign w:val="bottom"/>
          </w:tcPr>
          <w:p w14:paraId="712C288F" w14:textId="77777777" w:rsidR="003B41B2" w:rsidRPr="003A5EE1" w:rsidRDefault="003B41B2" w:rsidP="002800BD">
            <w:pPr>
              <w:widowControl w:val="0"/>
              <w:jc w:val="center"/>
              <w:rPr>
                <w:rFonts w:ascii="Arial" w:hAnsi="Arial" w:cs="Arial"/>
                <w:snapToGrid w:val="0"/>
                <w:sz w:val="22"/>
                <w:szCs w:val="22"/>
                <w:lang w:eastAsia="de-DE"/>
              </w:rPr>
            </w:pPr>
          </w:p>
          <w:p w14:paraId="712C2890"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43</w:t>
            </w:r>
          </w:p>
          <w:p w14:paraId="712C2891"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18</w:t>
            </w:r>
          </w:p>
        </w:tc>
        <w:tc>
          <w:tcPr>
            <w:tcW w:w="883" w:type="pct"/>
            <w:vAlign w:val="bottom"/>
          </w:tcPr>
          <w:p w14:paraId="712C2892" w14:textId="77777777" w:rsidR="003B41B2" w:rsidRPr="003A5EE1" w:rsidRDefault="003B41B2" w:rsidP="002800BD">
            <w:pPr>
              <w:widowControl w:val="0"/>
              <w:jc w:val="center"/>
              <w:rPr>
                <w:rFonts w:ascii="Arial" w:hAnsi="Arial" w:cs="Arial"/>
                <w:snapToGrid w:val="0"/>
                <w:sz w:val="22"/>
                <w:szCs w:val="22"/>
                <w:lang w:eastAsia="de-DE"/>
              </w:rPr>
            </w:pPr>
          </w:p>
          <w:p w14:paraId="712C2893"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14:paraId="712C2894"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2</w:t>
            </w:r>
          </w:p>
        </w:tc>
        <w:tc>
          <w:tcPr>
            <w:tcW w:w="883" w:type="pct"/>
            <w:vAlign w:val="bottom"/>
          </w:tcPr>
          <w:p w14:paraId="712C2895" w14:textId="77777777" w:rsidR="003B41B2" w:rsidRPr="003A5EE1" w:rsidRDefault="003B41B2" w:rsidP="002800BD">
            <w:pPr>
              <w:widowControl w:val="0"/>
              <w:jc w:val="center"/>
              <w:rPr>
                <w:rFonts w:ascii="Arial" w:hAnsi="Arial" w:cs="Arial"/>
                <w:snapToGrid w:val="0"/>
                <w:sz w:val="22"/>
                <w:szCs w:val="22"/>
                <w:lang w:eastAsia="de-DE"/>
              </w:rPr>
            </w:pPr>
          </w:p>
          <w:p w14:paraId="712C2896"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17</w:t>
            </w:r>
          </w:p>
          <w:p w14:paraId="712C2897"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4</w:t>
            </w:r>
          </w:p>
        </w:tc>
        <w:tc>
          <w:tcPr>
            <w:tcW w:w="882" w:type="pct"/>
            <w:vAlign w:val="bottom"/>
          </w:tcPr>
          <w:p w14:paraId="712C2898" w14:textId="77777777" w:rsidR="003B41B2" w:rsidRPr="003A5EE1" w:rsidRDefault="003B41B2" w:rsidP="002800BD">
            <w:pPr>
              <w:widowControl w:val="0"/>
              <w:jc w:val="center"/>
              <w:rPr>
                <w:rFonts w:ascii="Arial" w:hAnsi="Arial" w:cs="Arial"/>
                <w:snapToGrid w:val="0"/>
                <w:sz w:val="22"/>
                <w:szCs w:val="22"/>
                <w:lang w:eastAsia="de-DE"/>
              </w:rPr>
            </w:pPr>
          </w:p>
          <w:p w14:paraId="712C2899"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2</w:t>
            </w:r>
          </w:p>
          <w:p w14:paraId="712C289A"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14:paraId="712C28A2" w14:textId="77777777" w:rsidTr="00D557DD">
        <w:trPr>
          <w:trHeight w:val="432"/>
        </w:trPr>
        <w:tc>
          <w:tcPr>
            <w:tcW w:w="1467" w:type="pct"/>
            <w:tcBorders>
              <w:top w:val="single" w:sz="4" w:space="0" w:color="auto"/>
            </w:tcBorders>
          </w:tcPr>
          <w:p w14:paraId="712C289C"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Investigations</w:t>
            </w:r>
          </w:p>
          <w:p w14:paraId="712C289D" w14:textId="77777777" w:rsidR="003B41B2" w:rsidRPr="003A5EE1" w:rsidRDefault="003B41B2" w:rsidP="002800BD">
            <w:pPr>
              <w:widowControl w:val="0"/>
              <w:rPr>
                <w:rFonts w:ascii="Arial" w:eastAsia="MS Mincho" w:hAnsi="Arial" w:cs="Arial"/>
                <w:b/>
                <w:sz w:val="22"/>
                <w:szCs w:val="22"/>
              </w:rPr>
            </w:pPr>
            <w:r w:rsidRPr="003A5EE1">
              <w:rPr>
                <w:rFonts w:ascii="Arial" w:hAnsi="Arial" w:cs="Arial"/>
                <w:snapToGrid w:val="0"/>
                <w:sz w:val="22"/>
                <w:szCs w:val="22"/>
                <w:lang w:eastAsia="de-DE"/>
              </w:rPr>
              <w:t>Weight loss</w:t>
            </w:r>
          </w:p>
        </w:tc>
        <w:tc>
          <w:tcPr>
            <w:tcW w:w="885" w:type="pct"/>
            <w:vAlign w:val="bottom"/>
          </w:tcPr>
          <w:p w14:paraId="712C289E"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32</w:t>
            </w:r>
          </w:p>
        </w:tc>
        <w:tc>
          <w:tcPr>
            <w:tcW w:w="883" w:type="pct"/>
            <w:vAlign w:val="bottom"/>
          </w:tcPr>
          <w:p w14:paraId="712C289F"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&lt;1</w:t>
            </w:r>
          </w:p>
        </w:tc>
        <w:tc>
          <w:tcPr>
            <w:tcW w:w="883" w:type="pct"/>
            <w:vAlign w:val="bottom"/>
          </w:tcPr>
          <w:p w14:paraId="712C28A0"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10</w:t>
            </w:r>
          </w:p>
        </w:tc>
        <w:tc>
          <w:tcPr>
            <w:tcW w:w="882" w:type="pct"/>
            <w:vAlign w:val="bottom"/>
          </w:tcPr>
          <w:p w14:paraId="712C28A1"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14:paraId="712C28A9" w14:textId="77777777" w:rsidTr="00D557DD">
        <w:trPr>
          <w:trHeight w:val="432"/>
        </w:trPr>
        <w:tc>
          <w:tcPr>
            <w:tcW w:w="1467" w:type="pct"/>
            <w:tcBorders>
              <w:top w:val="single" w:sz="4" w:space="0" w:color="auto"/>
            </w:tcBorders>
          </w:tcPr>
          <w:p w14:paraId="712C28A3"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Infections and infestations</w:t>
            </w:r>
          </w:p>
          <w:p w14:paraId="712C28A4" w14:textId="77777777" w:rsidR="003B41B2" w:rsidRPr="003A5EE1" w:rsidRDefault="003B41B2" w:rsidP="002800BD">
            <w:pPr>
              <w:keepNext/>
              <w:widowControl w:val="0"/>
              <w:spacing w:before="60"/>
              <w:rPr>
                <w:rFonts w:ascii="Arial" w:eastAsia="MS Mincho" w:hAnsi="Arial" w:cs="Arial"/>
                <w:sz w:val="22"/>
                <w:szCs w:val="22"/>
              </w:rPr>
            </w:pPr>
            <w:r w:rsidRPr="003A5EE1">
              <w:rPr>
                <w:rFonts w:ascii="Arial" w:eastAsia="MS Mincho" w:hAnsi="Arial" w:cs="Arial"/>
                <w:sz w:val="22"/>
                <w:szCs w:val="22"/>
              </w:rPr>
              <w:t>Infection</w:t>
            </w:r>
          </w:p>
        </w:tc>
        <w:tc>
          <w:tcPr>
            <w:tcW w:w="885" w:type="pct"/>
            <w:vAlign w:val="bottom"/>
          </w:tcPr>
          <w:p w14:paraId="712C28A5"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31</w:t>
            </w:r>
          </w:p>
        </w:tc>
        <w:tc>
          <w:tcPr>
            <w:tcW w:w="883" w:type="pct"/>
            <w:vAlign w:val="bottom"/>
          </w:tcPr>
          <w:p w14:paraId="712C28A6"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9</w:t>
            </w:r>
          </w:p>
        </w:tc>
        <w:tc>
          <w:tcPr>
            <w:tcW w:w="883" w:type="pct"/>
            <w:vAlign w:val="bottom"/>
          </w:tcPr>
          <w:p w14:paraId="712C28A7"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17</w:t>
            </w:r>
          </w:p>
        </w:tc>
        <w:tc>
          <w:tcPr>
            <w:tcW w:w="882" w:type="pct"/>
            <w:vAlign w:val="bottom"/>
          </w:tcPr>
          <w:p w14:paraId="712C28A8"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6</w:t>
            </w:r>
          </w:p>
        </w:tc>
      </w:tr>
      <w:tr w:rsidR="0097062A" w:rsidRPr="003A5EE1" w14:paraId="712C28B9" w14:textId="77777777" w:rsidTr="00D557DD">
        <w:trPr>
          <w:trHeight w:val="576"/>
        </w:trPr>
        <w:tc>
          <w:tcPr>
            <w:tcW w:w="1467" w:type="pct"/>
          </w:tcPr>
          <w:p w14:paraId="712C28AA"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Vascular disorders</w:t>
            </w:r>
          </w:p>
          <w:p w14:paraId="712C28AB" w14:textId="77777777" w:rsidR="003B41B2" w:rsidRPr="003A5EE1" w:rsidRDefault="003B41B2" w:rsidP="002800BD">
            <w:pPr>
              <w:widowControl w:val="0"/>
              <w:rPr>
                <w:rFonts w:ascii="Arial" w:eastAsia="MS Mincho" w:hAnsi="Arial" w:cs="Arial"/>
                <w:sz w:val="22"/>
                <w:szCs w:val="22"/>
              </w:rPr>
            </w:pPr>
            <w:r w:rsidRPr="003A5EE1">
              <w:rPr>
                <w:rFonts w:ascii="Arial" w:eastAsia="MS Mincho" w:hAnsi="Arial" w:cs="Arial"/>
                <w:sz w:val="22"/>
                <w:szCs w:val="22"/>
              </w:rPr>
              <w:t>Hypertension</w:t>
            </w:r>
          </w:p>
          <w:p w14:paraId="712C28AC" w14:textId="77777777" w:rsidR="003B41B2" w:rsidRPr="003A5EE1" w:rsidDel="00A91F30" w:rsidRDefault="003B41B2" w:rsidP="002800BD">
            <w:pPr>
              <w:widowControl w:val="0"/>
              <w:rPr>
                <w:rFonts w:ascii="Arial" w:eastAsia="MS Mincho" w:hAnsi="Arial" w:cs="Arial"/>
                <w:b/>
                <w:sz w:val="22"/>
                <w:szCs w:val="22"/>
              </w:rPr>
            </w:pPr>
            <w:r w:rsidRPr="003A5EE1">
              <w:rPr>
                <w:rFonts w:ascii="Arial" w:eastAsia="MS Mincho" w:hAnsi="Arial" w:cs="Arial"/>
                <w:sz w:val="22"/>
                <w:szCs w:val="22"/>
              </w:rPr>
              <w:t>H</w:t>
            </w:r>
            <w:r w:rsidR="00E03A8B">
              <w:rPr>
                <w:rFonts w:ascii="Arial" w:eastAsia="MS Mincho" w:hAnsi="Arial" w:cs="Arial"/>
                <w:sz w:val="22"/>
                <w:szCs w:val="22"/>
              </w:rPr>
              <w:t>a</w:t>
            </w:r>
            <w:r w:rsidRPr="003A5EE1">
              <w:rPr>
                <w:rFonts w:ascii="Arial" w:eastAsia="MS Mincho" w:hAnsi="Arial" w:cs="Arial"/>
                <w:sz w:val="22"/>
                <w:szCs w:val="22"/>
              </w:rPr>
              <w:t>emorrhage*</w:t>
            </w:r>
          </w:p>
        </w:tc>
        <w:tc>
          <w:tcPr>
            <w:tcW w:w="885" w:type="pct"/>
            <w:vAlign w:val="bottom"/>
          </w:tcPr>
          <w:p w14:paraId="712C28AD" w14:textId="77777777" w:rsidR="006B1A56" w:rsidRPr="003A5EE1" w:rsidRDefault="006B1A56" w:rsidP="002800BD">
            <w:pPr>
              <w:widowControl w:val="0"/>
              <w:jc w:val="center"/>
              <w:rPr>
                <w:rFonts w:ascii="Arial" w:hAnsi="Arial" w:cs="Arial"/>
                <w:snapToGrid w:val="0"/>
                <w:sz w:val="22"/>
                <w:szCs w:val="22"/>
                <w:lang w:eastAsia="de-DE"/>
              </w:rPr>
            </w:pPr>
          </w:p>
          <w:p w14:paraId="712C28AE"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30</w:t>
            </w:r>
          </w:p>
          <w:p w14:paraId="712C28AF"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21</w:t>
            </w:r>
          </w:p>
        </w:tc>
        <w:tc>
          <w:tcPr>
            <w:tcW w:w="883" w:type="pct"/>
            <w:vAlign w:val="bottom"/>
          </w:tcPr>
          <w:p w14:paraId="712C28B0" w14:textId="77777777" w:rsidR="006B1A56" w:rsidRPr="003A5EE1" w:rsidRDefault="006B1A56" w:rsidP="002800BD">
            <w:pPr>
              <w:widowControl w:val="0"/>
              <w:jc w:val="center"/>
              <w:rPr>
                <w:rFonts w:ascii="Arial" w:hAnsi="Arial" w:cs="Arial"/>
                <w:snapToGrid w:val="0"/>
                <w:sz w:val="22"/>
                <w:szCs w:val="22"/>
                <w:lang w:eastAsia="de-DE"/>
              </w:rPr>
            </w:pPr>
          </w:p>
          <w:p w14:paraId="712C28B1"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14:paraId="712C28B2" w14:textId="77777777" w:rsidR="003B41B2" w:rsidRPr="003A5EE1" w:rsidDel="00A91F30" w:rsidRDefault="00971883"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w:t>
            </w:r>
          </w:p>
        </w:tc>
        <w:tc>
          <w:tcPr>
            <w:tcW w:w="883" w:type="pct"/>
            <w:vAlign w:val="bottom"/>
          </w:tcPr>
          <w:p w14:paraId="712C28B3" w14:textId="77777777" w:rsidR="006B1A56" w:rsidRPr="003A5EE1" w:rsidRDefault="006B1A56" w:rsidP="002800BD">
            <w:pPr>
              <w:widowControl w:val="0"/>
              <w:jc w:val="center"/>
              <w:rPr>
                <w:rFonts w:ascii="Arial" w:hAnsi="Arial" w:cs="Arial"/>
                <w:snapToGrid w:val="0"/>
                <w:sz w:val="22"/>
                <w:szCs w:val="22"/>
                <w:lang w:eastAsia="de-DE"/>
              </w:rPr>
            </w:pPr>
          </w:p>
          <w:p w14:paraId="712C28B4"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14:paraId="712C28B5"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tc>
        <w:tc>
          <w:tcPr>
            <w:tcW w:w="882" w:type="pct"/>
            <w:vAlign w:val="bottom"/>
          </w:tcPr>
          <w:p w14:paraId="712C28B6" w14:textId="77777777" w:rsidR="006B1A56" w:rsidRPr="003A5EE1" w:rsidRDefault="006B1A56" w:rsidP="002800BD">
            <w:pPr>
              <w:widowControl w:val="0"/>
              <w:jc w:val="center"/>
              <w:rPr>
                <w:rFonts w:ascii="Arial" w:hAnsi="Arial" w:cs="Arial"/>
                <w:snapToGrid w:val="0"/>
                <w:sz w:val="22"/>
                <w:szCs w:val="22"/>
                <w:lang w:eastAsia="de-DE"/>
              </w:rPr>
            </w:pPr>
          </w:p>
          <w:p w14:paraId="712C28B7"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p w14:paraId="712C28B8"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w:t>
            </w:r>
          </w:p>
        </w:tc>
      </w:tr>
      <w:tr w:rsidR="0097062A" w:rsidRPr="00A44C23" w14:paraId="712C28C0" w14:textId="77777777" w:rsidTr="00D557DD">
        <w:trPr>
          <w:trHeight w:val="576"/>
        </w:trPr>
        <w:tc>
          <w:tcPr>
            <w:tcW w:w="1467" w:type="pct"/>
          </w:tcPr>
          <w:p w14:paraId="712C28BA" w14:textId="77777777" w:rsidR="003B41B2" w:rsidRPr="003A5EE1" w:rsidRDefault="003B41B2" w:rsidP="002800BD">
            <w:pPr>
              <w:keepNext/>
              <w:widowControl w:val="0"/>
              <w:rPr>
                <w:rFonts w:ascii="Arial" w:eastAsia="MS Mincho" w:hAnsi="Arial" w:cs="Arial"/>
                <w:b/>
                <w:sz w:val="22"/>
                <w:szCs w:val="22"/>
              </w:rPr>
            </w:pPr>
            <w:r w:rsidRPr="003A5EE1">
              <w:rPr>
                <w:rFonts w:ascii="Arial" w:eastAsia="MS Mincho" w:hAnsi="Arial" w:cs="Arial"/>
                <w:b/>
                <w:sz w:val="22"/>
                <w:szCs w:val="22"/>
              </w:rPr>
              <w:t>Respiratory, thoracic and mediastinal disorders</w:t>
            </w:r>
          </w:p>
          <w:p w14:paraId="712C28BB" w14:textId="77777777" w:rsidR="003B41B2" w:rsidRPr="003A5EE1" w:rsidDel="00A91F30" w:rsidRDefault="003B41B2" w:rsidP="002800BD">
            <w:pPr>
              <w:widowControl w:val="0"/>
              <w:rPr>
                <w:rFonts w:ascii="Arial" w:eastAsia="MS Mincho" w:hAnsi="Arial" w:cs="Arial"/>
                <w:b/>
                <w:sz w:val="22"/>
                <w:szCs w:val="22"/>
              </w:rPr>
            </w:pPr>
            <w:r w:rsidRPr="003A5EE1">
              <w:rPr>
                <w:rFonts w:ascii="Arial" w:eastAsia="MS Mincho" w:hAnsi="Arial" w:cs="Arial"/>
                <w:sz w:val="22"/>
                <w:szCs w:val="22"/>
              </w:rPr>
              <w:t>Dysphonia</w:t>
            </w:r>
          </w:p>
        </w:tc>
        <w:tc>
          <w:tcPr>
            <w:tcW w:w="885" w:type="pct"/>
            <w:vAlign w:val="bottom"/>
          </w:tcPr>
          <w:p w14:paraId="712C28BC"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30</w:t>
            </w:r>
          </w:p>
        </w:tc>
        <w:tc>
          <w:tcPr>
            <w:tcW w:w="883" w:type="pct"/>
            <w:vAlign w:val="bottom"/>
          </w:tcPr>
          <w:p w14:paraId="712C28BD"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c>
          <w:tcPr>
            <w:tcW w:w="883" w:type="pct"/>
            <w:vAlign w:val="bottom"/>
          </w:tcPr>
          <w:p w14:paraId="712C28BE"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6</w:t>
            </w:r>
          </w:p>
        </w:tc>
        <w:tc>
          <w:tcPr>
            <w:tcW w:w="882" w:type="pct"/>
            <w:vAlign w:val="bottom"/>
          </w:tcPr>
          <w:p w14:paraId="712C28BF"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r>
      <w:tr w:rsidR="0097062A" w:rsidRPr="00A44C23" w14:paraId="712C28C7" w14:textId="77777777" w:rsidTr="00D557DD">
        <w:trPr>
          <w:trHeight w:val="432"/>
        </w:trPr>
        <w:tc>
          <w:tcPr>
            <w:tcW w:w="1467" w:type="pct"/>
            <w:shd w:val="clear" w:color="auto" w:fill="auto"/>
          </w:tcPr>
          <w:p w14:paraId="712C28C1"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Nervous system disorders</w:t>
            </w:r>
          </w:p>
          <w:p w14:paraId="712C28C2" w14:textId="77777777" w:rsidR="003B41B2" w:rsidRPr="003A5EE1" w:rsidRDefault="003B41B2" w:rsidP="002800BD">
            <w:pPr>
              <w:widowControl w:val="0"/>
              <w:rPr>
                <w:rFonts w:ascii="Arial" w:eastAsia="MS Mincho" w:hAnsi="Arial" w:cs="Arial"/>
                <w:sz w:val="22"/>
                <w:szCs w:val="22"/>
              </w:rPr>
            </w:pPr>
            <w:r w:rsidRPr="003A5EE1">
              <w:rPr>
                <w:rFonts w:ascii="Arial" w:eastAsia="MS Mincho" w:hAnsi="Arial" w:cs="Arial"/>
                <w:sz w:val="22"/>
                <w:szCs w:val="22"/>
              </w:rPr>
              <w:t>Headache</w:t>
            </w:r>
          </w:p>
        </w:tc>
        <w:tc>
          <w:tcPr>
            <w:tcW w:w="885" w:type="pct"/>
            <w:vAlign w:val="bottom"/>
          </w:tcPr>
          <w:p w14:paraId="712C28C3"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10</w:t>
            </w:r>
          </w:p>
        </w:tc>
        <w:tc>
          <w:tcPr>
            <w:tcW w:w="883" w:type="pct"/>
            <w:vAlign w:val="bottom"/>
          </w:tcPr>
          <w:p w14:paraId="712C28C4"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tc>
        <w:tc>
          <w:tcPr>
            <w:tcW w:w="883" w:type="pct"/>
            <w:vAlign w:val="bottom"/>
          </w:tcPr>
          <w:p w14:paraId="712C28C5"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7</w:t>
            </w:r>
          </w:p>
        </w:tc>
        <w:tc>
          <w:tcPr>
            <w:tcW w:w="882" w:type="pct"/>
            <w:vAlign w:val="bottom"/>
          </w:tcPr>
          <w:p w14:paraId="712C28C6"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r>
      <w:tr w:rsidR="001A4DDB" w:rsidRPr="00A44C23" w14:paraId="712C28D3" w14:textId="77777777" w:rsidTr="00D557DD">
        <w:trPr>
          <w:trHeight w:val="432"/>
        </w:trPr>
        <w:tc>
          <w:tcPr>
            <w:tcW w:w="1467" w:type="pct"/>
            <w:shd w:val="clear" w:color="auto" w:fill="auto"/>
          </w:tcPr>
          <w:p w14:paraId="712C28C8" w14:textId="77777777" w:rsidR="00A642F9" w:rsidRPr="003A5EE1" w:rsidRDefault="00A642F9" w:rsidP="00A642F9">
            <w:pPr>
              <w:widowControl w:val="0"/>
              <w:rPr>
                <w:rFonts w:ascii="Arial" w:eastAsia="MS Mincho" w:hAnsi="Arial" w:cs="Arial"/>
                <w:b/>
                <w:sz w:val="22"/>
                <w:szCs w:val="22"/>
              </w:rPr>
            </w:pPr>
            <w:r w:rsidRPr="003A5EE1">
              <w:rPr>
                <w:rFonts w:ascii="Arial" w:eastAsia="MS Mincho" w:hAnsi="Arial" w:cs="Arial"/>
                <w:b/>
                <w:sz w:val="22"/>
                <w:szCs w:val="22"/>
              </w:rPr>
              <w:t xml:space="preserve">Blood and lymphatic system disorders </w:t>
            </w:r>
          </w:p>
          <w:p w14:paraId="712C28C9" w14:textId="77777777" w:rsidR="00A642F9" w:rsidRPr="003A5EE1" w:rsidRDefault="00A642F9" w:rsidP="00A642F9">
            <w:pPr>
              <w:widowControl w:val="0"/>
              <w:rPr>
                <w:rFonts w:ascii="Arial" w:eastAsia="MS Mincho" w:hAnsi="Arial" w:cs="Arial"/>
                <w:sz w:val="22"/>
                <w:szCs w:val="22"/>
              </w:rPr>
            </w:pPr>
            <w:r w:rsidRPr="003A5EE1">
              <w:rPr>
                <w:rFonts w:ascii="Arial" w:eastAsia="MS Mincho" w:hAnsi="Arial" w:cs="Arial"/>
                <w:sz w:val="22"/>
                <w:szCs w:val="22"/>
              </w:rPr>
              <w:t>Thrombocytopenia</w:t>
            </w:r>
          </w:p>
          <w:p w14:paraId="712C28CA" w14:textId="77777777" w:rsidR="001A4DDB" w:rsidRPr="003A5EE1" w:rsidRDefault="00A642F9" w:rsidP="00A642F9">
            <w:pPr>
              <w:widowControl w:val="0"/>
              <w:rPr>
                <w:rFonts w:ascii="Arial" w:eastAsia="MS Mincho" w:hAnsi="Arial" w:cs="Arial"/>
                <w:b/>
                <w:sz w:val="22"/>
                <w:szCs w:val="22"/>
              </w:rPr>
            </w:pPr>
            <w:r w:rsidRPr="003A5EE1">
              <w:rPr>
                <w:rFonts w:ascii="Arial" w:eastAsia="MS Mincho" w:hAnsi="Arial" w:cs="Arial"/>
                <w:sz w:val="22"/>
                <w:szCs w:val="22"/>
              </w:rPr>
              <w:t>An</w:t>
            </w:r>
            <w:r w:rsidR="00971883" w:rsidRPr="003A5EE1">
              <w:rPr>
                <w:rFonts w:ascii="Arial" w:eastAsia="MS Mincho" w:hAnsi="Arial" w:cs="Arial"/>
                <w:sz w:val="22"/>
                <w:szCs w:val="22"/>
              </w:rPr>
              <w:t>a</w:t>
            </w:r>
            <w:r w:rsidRPr="003A5EE1">
              <w:rPr>
                <w:rFonts w:ascii="Arial" w:eastAsia="MS Mincho" w:hAnsi="Arial" w:cs="Arial"/>
                <w:sz w:val="22"/>
                <w:szCs w:val="22"/>
              </w:rPr>
              <w:t>emia</w:t>
            </w:r>
          </w:p>
        </w:tc>
        <w:tc>
          <w:tcPr>
            <w:tcW w:w="885" w:type="pct"/>
            <w:vAlign w:val="bottom"/>
          </w:tcPr>
          <w:p w14:paraId="712C28CB" w14:textId="77777777"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15</w:t>
            </w:r>
          </w:p>
          <w:p w14:paraId="712C28CC" w14:textId="77777777"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14</w:t>
            </w:r>
          </w:p>
        </w:tc>
        <w:tc>
          <w:tcPr>
            <w:tcW w:w="883" w:type="pct"/>
            <w:vAlign w:val="bottom"/>
          </w:tcPr>
          <w:p w14:paraId="712C28CD" w14:textId="77777777"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p w14:paraId="712C28CE" w14:textId="77777777"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5</w:t>
            </w:r>
          </w:p>
        </w:tc>
        <w:tc>
          <w:tcPr>
            <w:tcW w:w="883" w:type="pct"/>
            <w:vAlign w:val="bottom"/>
          </w:tcPr>
          <w:p w14:paraId="712C28CF" w14:textId="77777777"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w:t>
            </w:r>
          </w:p>
          <w:p w14:paraId="712C28D0" w14:textId="77777777"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12</w:t>
            </w:r>
          </w:p>
        </w:tc>
        <w:tc>
          <w:tcPr>
            <w:tcW w:w="882" w:type="pct"/>
            <w:vAlign w:val="bottom"/>
          </w:tcPr>
          <w:p w14:paraId="712C28D1" w14:textId="77777777"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p w14:paraId="712C28D2" w14:textId="77777777"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tc>
      </w:tr>
      <w:tr w:rsidR="00A642F9" w:rsidRPr="00A44C23" w14:paraId="712C28DA" w14:textId="77777777" w:rsidTr="00D557DD">
        <w:trPr>
          <w:trHeight w:val="432"/>
        </w:trPr>
        <w:tc>
          <w:tcPr>
            <w:tcW w:w="1467" w:type="pct"/>
            <w:shd w:val="clear" w:color="auto" w:fill="auto"/>
          </w:tcPr>
          <w:p w14:paraId="712C28D4" w14:textId="77777777" w:rsidR="00A642F9" w:rsidRPr="003A5EE1" w:rsidRDefault="00A642F9" w:rsidP="00A642F9">
            <w:pPr>
              <w:widowControl w:val="0"/>
              <w:rPr>
                <w:rFonts w:ascii="Arial" w:eastAsia="MS Mincho" w:hAnsi="Arial" w:cs="Arial"/>
                <w:b/>
                <w:sz w:val="22"/>
                <w:szCs w:val="22"/>
              </w:rPr>
            </w:pPr>
            <w:r w:rsidRPr="003A5EE1">
              <w:rPr>
                <w:rFonts w:ascii="Arial" w:eastAsia="MS Mincho" w:hAnsi="Arial" w:cs="Arial"/>
                <w:b/>
                <w:sz w:val="22"/>
                <w:szCs w:val="22"/>
              </w:rPr>
              <w:t>Hepatobiliary disorders</w:t>
            </w:r>
          </w:p>
          <w:p w14:paraId="712C28D5" w14:textId="77777777" w:rsidR="00A642F9" w:rsidRPr="003A5EE1" w:rsidRDefault="00A642F9" w:rsidP="00A642F9">
            <w:pPr>
              <w:widowControl w:val="0"/>
              <w:rPr>
                <w:rFonts w:ascii="Arial" w:eastAsia="MS Mincho" w:hAnsi="Arial" w:cs="Arial"/>
                <w:sz w:val="22"/>
                <w:szCs w:val="22"/>
              </w:rPr>
            </w:pPr>
            <w:proofErr w:type="spellStart"/>
            <w:r w:rsidRPr="003A5EE1">
              <w:rPr>
                <w:rFonts w:ascii="Arial" w:eastAsia="MS Mincho" w:hAnsi="Arial" w:cs="Arial"/>
                <w:sz w:val="22"/>
                <w:szCs w:val="22"/>
              </w:rPr>
              <w:t>Hyperbilirubin</w:t>
            </w:r>
            <w:r w:rsidR="00F808D7">
              <w:rPr>
                <w:rFonts w:ascii="Arial" w:eastAsia="MS Mincho" w:hAnsi="Arial" w:cs="Arial"/>
                <w:sz w:val="22"/>
                <w:szCs w:val="22"/>
              </w:rPr>
              <w:t>a</w:t>
            </w:r>
            <w:r w:rsidRPr="003A5EE1">
              <w:rPr>
                <w:rFonts w:ascii="Arial" w:eastAsia="MS Mincho" w:hAnsi="Arial" w:cs="Arial"/>
                <w:sz w:val="22"/>
                <w:szCs w:val="22"/>
              </w:rPr>
              <w:t>emia</w:t>
            </w:r>
            <w:proofErr w:type="spellEnd"/>
          </w:p>
        </w:tc>
        <w:tc>
          <w:tcPr>
            <w:tcW w:w="885" w:type="pct"/>
            <w:vAlign w:val="bottom"/>
          </w:tcPr>
          <w:p w14:paraId="712C28D6"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19</w:t>
            </w:r>
          </w:p>
        </w:tc>
        <w:tc>
          <w:tcPr>
            <w:tcW w:w="883" w:type="pct"/>
            <w:vAlign w:val="bottom"/>
          </w:tcPr>
          <w:p w14:paraId="712C28D7"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7</w:t>
            </w:r>
          </w:p>
        </w:tc>
        <w:tc>
          <w:tcPr>
            <w:tcW w:w="883" w:type="pct"/>
            <w:vAlign w:val="bottom"/>
          </w:tcPr>
          <w:p w14:paraId="712C28D8"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9</w:t>
            </w:r>
          </w:p>
        </w:tc>
        <w:tc>
          <w:tcPr>
            <w:tcW w:w="882" w:type="pct"/>
            <w:vAlign w:val="bottom"/>
          </w:tcPr>
          <w:p w14:paraId="712C28D9"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6</w:t>
            </w:r>
          </w:p>
        </w:tc>
      </w:tr>
    </w:tbl>
    <w:p w14:paraId="712C28DB" w14:textId="77777777" w:rsidR="00D557DD" w:rsidRDefault="00D557DD" w:rsidP="00740E73">
      <w:pPr>
        <w:tabs>
          <w:tab w:val="left" w:pos="540"/>
        </w:tabs>
        <w:autoSpaceDE w:val="0"/>
        <w:autoSpaceDN w:val="0"/>
        <w:adjustRightInd w:val="0"/>
        <w:rPr>
          <w:rFonts w:ascii="Arial" w:eastAsia="MS Mincho" w:hAnsi="Arial" w:cs="Arial"/>
          <w:kern w:val="28"/>
          <w:sz w:val="20"/>
          <w:szCs w:val="20"/>
          <w:vertAlign w:val="superscript"/>
        </w:rPr>
      </w:pPr>
      <w:r>
        <w:rPr>
          <w:rFonts w:ascii="Arial" w:hAnsi="Arial" w:cs="Arial"/>
          <w:color w:val="000000"/>
          <w:sz w:val="20"/>
          <w:szCs w:val="20"/>
          <w:vertAlign w:val="superscript"/>
        </w:rPr>
        <w:t>§</w:t>
      </w:r>
      <w:r>
        <w:rPr>
          <w:rFonts w:ascii="Arial" w:hAnsi="Arial" w:cs="Arial"/>
          <w:color w:val="000000"/>
          <w:sz w:val="20"/>
          <w:szCs w:val="20"/>
        </w:rPr>
        <w:t>Best supportive care</w:t>
      </w:r>
    </w:p>
    <w:p w14:paraId="712C28DC" w14:textId="77777777" w:rsidR="003B41B2" w:rsidRPr="00D93DAB" w:rsidRDefault="00D557DD" w:rsidP="003B41B2">
      <w:pPr>
        <w:tabs>
          <w:tab w:val="left" w:pos="284"/>
        </w:tabs>
        <w:ind w:left="284" w:hanging="284"/>
        <w:rPr>
          <w:rFonts w:ascii="Arial" w:eastAsia="MS Mincho" w:hAnsi="Arial" w:cs="Arial"/>
          <w:sz w:val="20"/>
          <w:szCs w:val="20"/>
        </w:rPr>
      </w:pPr>
      <w:r>
        <w:rPr>
          <w:rFonts w:ascii="Arial" w:eastAsia="MS Mincho" w:hAnsi="Arial" w:cs="Arial"/>
          <w:kern w:val="28"/>
          <w:sz w:val="20"/>
          <w:szCs w:val="20"/>
          <w:vertAlign w:val="superscript"/>
        </w:rPr>
        <w:t>*</w:t>
      </w:r>
      <w:r w:rsidR="003B41B2" w:rsidRPr="00D93DAB">
        <w:rPr>
          <w:rFonts w:ascii="Arial" w:eastAsia="MS Mincho" w:hAnsi="Arial" w:cs="Arial"/>
          <w:sz w:val="20"/>
          <w:szCs w:val="20"/>
        </w:rPr>
        <w:t>fatal outcomes observed</w:t>
      </w:r>
    </w:p>
    <w:p w14:paraId="712C28DD" w14:textId="77777777" w:rsidR="003B41B2" w:rsidRPr="003A5EE1" w:rsidRDefault="002B70DA" w:rsidP="00843C3E">
      <w:pPr>
        <w:pStyle w:val="BayerBodyTextFull"/>
        <w:rPr>
          <w:rFonts w:ascii="Arial" w:hAnsi="Arial" w:cs="Arial"/>
          <w:strike/>
          <w:sz w:val="22"/>
          <w:szCs w:val="22"/>
        </w:rPr>
      </w:pPr>
      <w:r>
        <w:rPr>
          <w:rFonts w:ascii="Arial" w:hAnsi="Arial" w:cs="Arial"/>
          <w:sz w:val="22"/>
          <w:szCs w:val="22"/>
        </w:rPr>
        <w:t>In the pivotal CORRECT study, o</w:t>
      </w:r>
      <w:r w:rsidR="003B41B2" w:rsidRPr="003A5EE1">
        <w:rPr>
          <w:rFonts w:ascii="Arial" w:hAnsi="Arial" w:cs="Arial"/>
          <w:sz w:val="22"/>
          <w:szCs w:val="22"/>
        </w:rPr>
        <w:t xml:space="preserve">ther adverse reactions observed more commonly in patients treated with </w:t>
      </w:r>
      <w:proofErr w:type="spellStart"/>
      <w:r w:rsidR="003B41B2" w:rsidRPr="003A5EE1">
        <w:rPr>
          <w:rFonts w:ascii="Arial" w:hAnsi="Arial" w:cs="Arial"/>
          <w:sz w:val="22"/>
          <w:szCs w:val="22"/>
          <w:lang w:val="en"/>
        </w:rPr>
        <w:t>regorafenib</w:t>
      </w:r>
      <w:proofErr w:type="spellEnd"/>
      <w:r w:rsidR="003B41B2" w:rsidRPr="003A5EE1">
        <w:rPr>
          <w:rFonts w:ascii="Arial" w:hAnsi="Arial" w:cs="Arial"/>
          <w:sz w:val="22"/>
          <w:szCs w:val="22"/>
        </w:rPr>
        <w:t xml:space="preserve"> than placebo and that occurred in &lt;10%</w:t>
      </w:r>
      <w:r w:rsidR="002C1E8E" w:rsidRPr="003A5EE1">
        <w:rPr>
          <w:rFonts w:ascii="Arial" w:hAnsi="Arial" w:cs="Arial"/>
          <w:sz w:val="22"/>
          <w:szCs w:val="22"/>
        </w:rPr>
        <w:t xml:space="preserve"> </w:t>
      </w:r>
      <w:r w:rsidR="003B41B2" w:rsidRPr="003A5EE1">
        <w:rPr>
          <w:rFonts w:ascii="Arial" w:hAnsi="Arial" w:cs="Arial"/>
          <w:sz w:val="22"/>
          <w:szCs w:val="22"/>
        </w:rPr>
        <w:t xml:space="preserve">(all grades) were: </w:t>
      </w:r>
    </w:p>
    <w:tbl>
      <w:tblPr>
        <w:tblW w:w="10031" w:type="dxa"/>
        <w:tblLook w:val="04A0" w:firstRow="1" w:lastRow="0" w:firstColumn="1" w:lastColumn="0" w:noHBand="0" w:noVBand="1"/>
      </w:tblPr>
      <w:tblGrid>
        <w:gridCol w:w="5070"/>
        <w:gridCol w:w="4961"/>
      </w:tblGrid>
      <w:tr w:rsidR="00843C3E" w:rsidRPr="003A5EE1" w14:paraId="712C28E0" w14:textId="77777777" w:rsidTr="006B66A9">
        <w:tc>
          <w:tcPr>
            <w:tcW w:w="5070" w:type="dxa"/>
            <w:shd w:val="clear" w:color="auto" w:fill="auto"/>
          </w:tcPr>
          <w:p w14:paraId="712C28DE"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proofErr w:type="gramStart"/>
            <w:r w:rsidRPr="003A5EE1">
              <w:rPr>
                <w:rFonts w:ascii="Arial" w:hAnsi="Arial" w:cs="Arial"/>
                <w:sz w:val="22"/>
                <w:szCs w:val="22"/>
              </w:rPr>
              <w:t>dry</w:t>
            </w:r>
            <w:proofErr w:type="gramEnd"/>
            <w:r w:rsidRPr="003A5EE1">
              <w:rPr>
                <w:rFonts w:ascii="Arial" w:hAnsi="Arial" w:cs="Arial"/>
                <w:sz w:val="22"/>
                <w:szCs w:val="22"/>
              </w:rPr>
              <w:t xml:space="preserve"> skin (8.8% vs 3.2%)</w:t>
            </w:r>
          </w:p>
        </w:tc>
        <w:tc>
          <w:tcPr>
            <w:tcW w:w="4961" w:type="dxa"/>
            <w:shd w:val="clear" w:color="auto" w:fill="auto"/>
          </w:tcPr>
          <w:p w14:paraId="712C28DF"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proofErr w:type="gramStart"/>
            <w:r w:rsidRPr="003A5EE1">
              <w:rPr>
                <w:rFonts w:ascii="Arial" w:hAnsi="Arial" w:cs="Arial"/>
                <w:sz w:val="22"/>
                <w:szCs w:val="22"/>
              </w:rPr>
              <w:t>proteinuria</w:t>
            </w:r>
            <w:proofErr w:type="gramEnd"/>
            <w:r w:rsidRPr="003A5EE1">
              <w:rPr>
                <w:rFonts w:ascii="Arial" w:hAnsi="Arial" w:cs="Arial"/>
                <w:sz w:val="22"/>
                <w:szCs w:val="22"/>
              </w:rPr>
              <w:t xml:space="preserve"> (8.6% vs 2.4%)</w:t>
            </w:r>
          </w:p>
        </w:tc>
      </w:tr>
      <w:tr w:rsidR="00843C3E" w:rsidRPr="003A5EE1" w14:paraId="712C28E3" w14:textId="77777777" w:rsidTr="006B66A9">
        <w:tc>
          <w:tcPr>
            <w:tcW w:w="5070" w:type="dxa"/>
            <w:shd w:val="clear" w:color="auto" w:fill="auto"/>
          </w:tcPr>
          <w:p w14:paraId="712C28E1"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proofErr w:type="gramStart"/>
            <w:r w:rsidRPr="003A5EE1">
              <w:rPr>
                <w:rFonts w:ascii="Arial" w:hAnsi="Arial" w:cs="Arial"/>
                <w:sz w:val="22"/>
                <w:szCs w:val="22"/>
              </w:rPr>
              <w:t>alopecia</w:t>
            </w:r>
            <w:proofErr w:type="gramEnd"/>
            <w:r w:rsidRPr="003A5EE1">
              <w:rPr>
                <w:rFonts w:ascii="Arial" w:hAnsi="Arial" w:cs="Arial"/>
                <w:sz w:val="22"/>
                <w:szCs w:val="22"/>
              </w:rPr>
              <w:t xml:space="preserve"> (7.6% vs 1.6%)</w:t>
            </w:r>
          </w:p>
        </w:tc>
        <w:tc>
          <w:tcPr>
            <w:tcW w:w="4961" w:type="dxa"/>
            <w:shd w:val="clear" w:color="auto" w:fill="auto"/>
          </w:tcPr>
          <w:p w14:paraId="712C28E2"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proofErr w:type="spellStart"/>
            <w:proofErr w:type="gramStart"/>
            <w:r w:rsidRPr="003A5EE1">
              <w:rPr>
                <w:rFonts w:ascii="Arial" w:hAnsi="Arial" w:cs="Arial"/>
                <w:sz w:val="22"/>
                <w:szCs w:val="22"/>
              </w:rPr>
              <w:t>hypokal</w:t>
            </w:r>
            <w:r w:rsidR="00F808D7">
              <w:rPr>
                <w:rFonts w:ascii="Arial" w:hAnsi="Arial" w:cs="Arial"/>
                <w:sz w:val="22"/>
                <w:szCs w:val="22"/>
              </w:rPr>
              <w:t>a</w:t>
            </w:r>
            <w:r w:rsidRPr="003A5EE1">
              <w:rPr>
                <w:rFonts w:ascii="Arial" w:hAnsi="Arial" w:cs="Arial"/>
                <w:sz w:val="22"/>
                <w:szCs w:val="22"/>
              </w:rPr>
              <w:t>emia</w:t>
            </w:r>
            <w:proofErr w:type="spellEnd"/>
            <w:proofErr w:type="gramEnd"/>
            <w:r w:rsidRPr="003A5EE1">
              <w:rPr>
                <w:rFonts w:ascii="Arial" w:hAnsi="Arial" w:cs="Arial"/>
                <w:sz w:val="22"/>
                <w:szCs w:val="22"/>
              </w:rPr>
              <w:t xml:space="preserve"> (7.6% vs 1.9%)</w:t>
            </w:r>
          </w:p>
        </w:tc>
      </w:tr>
      <w:tr w:rsidR="00843C3E" w:rsidRPr="003A5EE1" w14:paraId="712C28E6" w14:textId="77777777" w:rsidTr="006B66A9">
        <w:tc>
          <w:tcPr>
            <w:tcW w:w="5070" w:type="dxa"/>
            <w:shd w:val="clear" w:color="auto" w:fill="auto"/>
          </w:tcPr>
          <w:p w14:paraId="712C28E4"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proofErr w:type="gramStart"/>
            <w:r w:rsidRPr="003A5EE1">
              <w:rPr>
                <w:rFonts w:ascii="Arial" w:hAnsi="Arial" w:cs="Arial"/>
                <w:sz w:val="22"/>
                <w:szCs w:val="22"/>
              </w:rPr>
              <w:t>taste</w:t>
            </w:r>
            <w:proofErr w:type="gramEnd"/>
            <w:r w:rsidRPr="003A5EE1">
              <w:rPr>
                <w:rFonts w:ascii="Arial" w:hAnsi="Arial" w:cs="Arial"/>
                <w:sz w:val="22"/>
                <w:szCs w:val="22"/>
              </w:rPr>
              <w:t xml:space="preserve"> disorder (7.6% vs 2.4%)</w:t>
            </w:r>
          </w:p>
        </w:tc>
        <w:tc>
          <w:tcPr>
            <w:tcW w:w="4961" w:type="dxa"/>
            <w:shd w:val="clear" w:color="auto" w:fill="auto"/>
          </w:tcPr>
          <w:p w14:paraId="712C28E5"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proofErr w:type="gramStart"/>
            <w:r w:rsidRPr="003A5EE1">
              <w:rPr>
                <w:rFonts w:ascii="Arial" w:hAnsi="Arial" w:cs="Arial"/>
                <w:sz w:val="22"/>
                <w:szCs w:val="22"/>
              </w:rPr>
              <w:t>increase</w:t>
            </w:r>
            <w:proofErr w:type="gramEnd"/>
            <w:r w:rsidRPr="003A5EE1">
              <w:rPr>
                <w:rFonts w:ascii="Arial" w:hAnsi="Arial" w:cs="Arial"/>
                <w:sz w:val="22"/>
                <w:szCs w:val="22"/>
              </w:rPr>
              <w:t xml:space="preserve"> in transaminases (7.6% vs 4.4%)</w:t>
            </w:r>
          </w:p>
        </w:tc>
      </w:tr>
      <w:tr w:rsidR="00843C3E" w:rsidRPr="003A5EE1" w14:paraId="712C28E9" w14:textId="77777777" w:rsidTr="006B66A9">
        <w:tc>
          <w:tcPr>
            <w:tcW w:w="5070" w:type="dxa"/>
            <w:shd w:val="clear" w:color="auto" w:fill="auto"/>
          </w:tcPr>
          <w:p w14:paraId="712C28E7"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proofErr w:type="gramStart"/>
            <w:r w:rsidRPr="003A5EE1">
              <w:rPr>
                <w:rFonts w:ascii="Arial" w:hAnsi="Arial" w:cs="Arial"/>
                <w:sz w:val="22"/>
                <w:szCs w:val="22"/>
              </w:rPr>
              <w:t>hypophosphatemia</w:t>
            </w:r>
            <w:proofErr w:type="gramEnd"/>
            <w:r w:rsidRPr="003A5EE1">
              <w:rPr>
                <w:rFonts w:ascii="Arial" w:hAnsi="Arial" w:cs="Arial"/>
                <w:sz w:val="22"/>
                <w:szCs w:val="22"/>
              </w:rPr>
              <w:t xml:space="preserve"> (6.4% vs 0.8%)</w:t>
            </w:r>
          </w:p>
        </w:tc>
        <w:tc>
          <w:tcPr>
            <w:tcW w:w="4961" w:type="dxa"/>
            <w:shd w:val="clear" w:color="auto" w:fill="auto"/>
          </w:tcPr>
          <w:p w14:paraId="712C28E8"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proofErr w:type="gramStart"/>
            <w:r w:rsidRPr="003A5EE1">
              <w:rPr>
                <w:rFonts w:ascii="Arial" w:hAnsi="Arial" w:cs="Arial"/>
                <w:sz w:val="22"/>
                <w:szCs w:val="22"/>
              </w:rPr>
              <w:t>increase</w:t>
            </w:r>
            <w:proofErr w:type="gramEnd"/>
            <w:r w:rsidRPr="003A5EE1">
              <w:rPr>
                <w:rFonts w:ascii="Arial" w:hAnsi="Arial" w:cs="Arial"/>
                <w:sz w:val="22"/>
                <w:szCs w:val="22"/>
              </w:rPr>
              <w:t xml:space="preserve"> in lipase (6.2% vs 1.2%)</w:t>
            </w:r>
          </w:p>
        </w:tc>
      </w:tr>
      <w:tr w:rsidR="00843C3E" w:rsidRPr="003A5EE1" w14:paraId="712C28EC" w14:textId="77777777" w:rsidTr="006B66A9">
        <w:tc>
          <w:tcPr>
            <w:tcW w:w="5070" w:type="dxa"/>
            <w:shd w:val="clear" w:color="auto" w:fill="auto"/>
          </w:tcPr>
          <w:p w14:paraId="712C28EA"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proofErr w:type="gramStart"/>
            <w:r w:rsidRPr="003A5EE1">
              <w:rPr>
                <w:rFonts w:ascii="Arial" w:hAnsi="Arial" w:cs="Arial"/>
                <w:sz w:val="22"/>
                <w:szCs w:val="22"/>
              </w:rPr>
              <w:lastRenderedPageBreak/>
              <w:t>musculoskeletal</w:t>
            </w:r>
            <w:proofErr w:type="gramEnd"/>
            <w:r w:rsidRPr="003A5EE1">
              <w:rPr>
                <w:rFonts w:ascii="Arial" w:hAnsi="Arial" w:cs="Arial"/>
                <w:sz w:val="22"/>
                <w:szCs w:val="22"/>
              </w:rPr>
              <w:t xml:space="preserve"> stiffness (6.0% vs 2.0%)</w:t>
            </w:r>
          </w:p>
        </w:tc>
        <w:tc>
          <w:tcPr>
            <w:tcW w:w="4961" w:type="dxa"/>
            <w:shd w:val="clear" w:color="auto" w:fill="auto"/>
          </w:tcPr>
          <w:p w14:paraId="712C28EB"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proofErr w:type="gramStart"/>
            <w:r w:rsidRPr="003A5EE1">
              <w:rPr>
                <w:rFonts w:ascii="Arial" w:hAnsi="Arial" w:cs="Arial"/>
                <w:sz w:val="22"/>
                <w:szCs w:val="22"/>
              </w:rPr>
              <w:t>hypocalcemia</w:t>
            </w:r>
            <w:proofErr w:type="gramEnd"/>
            <w:r w:rsidRPr="003A5EE1">
              <w:rPr>
                <w:rFonts w:ascii="Arial" w:hAnsi="Arial" w:cs="Arial"/>
                <w:sz w:val="22"/>
                <w:szCs w:val="22"/>
              </w:rPr>
              <w:t xml:space="preserve"> (5.8% vs 0.4%)</w:t>
            </w:r>
          </w:p>
        </w:tc>
      </w:tr>
      <w:tr w:rsidR="00843C3E" w:rsidRPr="003A5EE1" w14:paraId="712C28EF" w14:textId="77777777" w:rsidTr="006B66A9">
        <w:tc>
          <w:tcPr>
            <w:tcW w:w="5070" w:type="dxa"/>
            <w:shd w:val="clear" w:color="auto" w:fill="auto"/>
          </w:tcPr>
          <w:p w14:paraId="712C28ED"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gramStart"/>
            <w:r w:rsidRPr="003A5EE1">
              <w:rPr>
                <w:rFonts w:ascii="Arial" w:hAnsi="Arial" w:cs="Arial"/>
                <w:sz w:val="22"/>
                <w:szCs w:val="22"/>
              </w:rPr>
              <w:t>hyponatremia</w:t>
            </w:r>
            <w:proofErr w:type="gramEnd"/>
            <w:r w:rsidRPr="003A5EE1">
              <w:rPr>
                <w:rFonts w:ascii="Arial" w:hAnsi="Arial" w:cs="Arial"/>
                <w:sz w:val="22"/>
                <w:szCs w:val="22"/>
              </w:rPr>
              <w:t xml:space="preserve"> (5.8% vs 2.4%)</w:t>
            </w:r>
          </w:p>
        </w:tc>
        <w:tc>
          <w:tcPr>
            <w:tcW w:w="4961" w:type="dxa"/>
            <w:shd w:val="clear" w:color="auto" w:fill="auto"/>
          </w:tcPr>
          <w:p w14:paraId="712C28EE"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dry</w:t>
            </w:r>
            <w:proofErr w:type="gramEnd"/>
            <w:r w:rsidRPr="003A5EE1">
              <w:rPr>
                <w:rFonts w:ascii="Arial" w:hAnsi="Arial" w:cs="Arial"/>
                <w:sz w:val="22"/>
                <w:szCs w:val="22"/>
              </w:rPr>
              <w:t xml:space="preserve"> mouth (4.8% vs 2.0%)</w:t>
            </w:r>
          </w:p>
        </w:tc>
      </w:tr>
      <w:tr w:rsidR="00843C3E" w:rsidRPr="003A5EE1" w14:paraId="712C28F2" w14:textId="77777777" w:rsidTr="006B66A9">
        <w:tc>
          <w:tcPr>
            <w:tcW w:w="5070" w:type="dxa"/>
            <w:shd w:val="clear" w:color="auto" w:fill="auto"/>
          </w:tcPr>
          <w:p w14:paraId="712C28F0"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gramStart"/>
            <w:r w:rsidRPr="003A5EE1">
              <w:rPr>
                <w:rFonts w:ascii="Arial" w:hAnsi="Arial" w:cs="Arial"/>
                <w:sz w:val="22"/>
                <w:szCs w:val="22"/>
              </w:rPr>
              <w:t>leukopenia</w:t>
            </w:r>
            <w:proofErr w:type="gramEnd"/>
            <w:r w:rsidRPr="003A5EE1">
              <w:rPr>
                <w:rFonts w:ascii="Arial" w:hAnsi="Arial" w:cs="Arial"/>
                <w:sz w:val="22"/>
                <w:szCs w:val="22"/>
              </w:rPr>
              <w:t xml:space="preserve"> (4.2% vs 0.8%)</w:t>
            </w:r>
          </w:p>
        </w:tc>
        <w:tc>
          <w:tcPr>
            <w:tcW w:w="4961" w:type="dxa"/>
            <w:shd w:val="clear" w:color="auto" w:fill="auto"/>
          </w:tcPr>
          <w:p w14:paraId="712C28F1"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hypothyroidism</w:t>
            </w:r>
            <w:proofErr w:type="gramEnd"/>
            <w:r w:rsidRPr="003A5EE1">
              <w:rPr>
                <w:rFonts w:ascii="Arial" w:hAnsi="Arial" w:cs="Arial"/>
                <w:sz w:val="22"/>
                <w:szCs w:val="22"/>
              </w:rPr>
              <w:t xml:space="preserve"> (4.2% vs 0.4%)</w:t>
            </w:r>
          </w:p>
        </w:tc>
      </w:tr>
      <w:tr w:rsidR="00843C3E" w:rsidRPr="003A5EE1" w14:paraId="712C28F5" w14:textId="77777777" w:rsidTr="006B66A9">
        <w:tc>
          <w:tcPr>
            <w:tcW w:w="5070" w:type="dxa"/>
            <w:shd w:val="clear" w:color="auto" w:fill="auto"/>
          </w:tcPr>
          <w:p w14:paraId="712C28F3"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gramStart"/>
            <w:r w:rsidRPr="003A5EE1">
              <w:rPr>
                <w:rFonts w:ascii="Arial" w:hAnsi="Arial" w:cs="Arial"/>
                <w:sz w:val="22"/>
                <w:szCs w:val="22"/>
              </w:rPr>
              <w:t>increase</w:t>
            </w:r>
            <w:proofErr w:type="gramEnd"/>
            <w:r w:rsidRPr="003A5EE1">
              <w:rPr>
                <w:rFonts w:ascii="Arial" w:hAnsi="Arial" w:cs="Arial"/>
                <w:sz w:val="22"/>
                <w:szCs w:val="22"/>
              </w:rPr>
              <w:t xml:space="preserve"> in amylase (3.0% vs 0.4%)</w:t>
            </w:r>
          </w:p>
        </w:tc>
        <w:tc>
          <w:tcPr>
            <w:tcW w:w="4961" w:type="dxa"/>
            <w:shd w:val="clear" w:color="auto" w:fill="auto"/>
          </w:tcPr>
          <w:p w14:paraId="712C28F4"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abnormal</w:t>
            </w:r>
            <w:proofErr w:type="gramEnd"/>
            <w:r w:rsidRPr="003A5EE1">
              <w:rPr>
                <w:rFonts w:ascii="Arial" w:hAnsi="Arial" w:cs="Arial"/>
                <w:sz w:val="22"/>
                <w:szCs w:val="22"/>
              </w:rPr>
              <w:t xml:space="preserve"> international </w:t>
            </w:r>
            <w:proofErr w:type="spellStart"/>
            <w:r w:rsidRPr="003A5EE1">
              <w:rPr>
                <w:rFonts w:ascii="Arial" w:hAnsi="Arial" w:cs="Arial"/>
                <w:sz w:val="22"/>
                <w:szCs w:val="22"/>
              </w:rPr>
              <w:t>normalised</w:t>
            </w:r>
            <w:proofErr w:type="spellEnd"/>
            <w:r w:rsidRPr="003A5EE1">
              <w:rPr>
                <w:rFonts w:ascii="Arial" w:hAnsi="Arial" w:cs="Arial"/>
                <w:sz w:val="22"/>
                <w:szCs w:val="22"/>
              </w:rPr>
              <w:t xml:space="preserve"> ratio (INR) (2.4% vs 0.8%)</w:t>
            </w:r>
          </w:p>
        </w:tc>
      </w:tr>
      <w:tr w:rsidR="00843C3E" w:rsidRPr="003A5EE1" w14:paraId="712C28F8" w14:textId="77777777" w:rsidTr="006B66A9">
        <w:tc>
          <w:tcPr>
            <w:tcW w:w="5070" w:type="dxa"/>
            <w:shd w:val="clear" w:color="auto" w:fill="auto"/>
          </w:tcPr>
          <w:p w14:paraId="712C28F6"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spellStart"/>
            <w:proofErr w:type="gramStart"/>
            <w:r w:rsidRPr="003A5EE1">
              <w:rPr>
                <w:rFonts w:ascii="Arial" w:hAnsi="Arial" w:cs="Arial"/>
                <w:sz w:val="22"/>
                <w:szCs w:val="22"/>
              </w:rPr>
              <w:t>hypomagnesemia</w:t>
            </w:r>
            <w:proofErr w:type="spellEnd"/>
            <w:proofErr w:type="gramEnd"/>
            <w:r w:rsidRPr="003A5EE1">
              <w:rPr>
                <w:rFonts w:ascii="Arial" w:hAnsi="Arial" w:cs="Arial"/>
                <w:sz w:val="22"/>
                <w:szCs w:val="22"/>
              </w:rPr>
              <w:t xml:space="preserve"> (2.2% vs 0.4%)</w:t>
            </w:r>
          </w:p>
        </w:tc>
        <w:tc>
          <w:tcPr>
            <w:tcW w:w="4961" w:type="dxa"/>
            <w:shd w:val="clear" w:color="auto" w:fill="auto"/>
          </w:tcPr>
          <w:p w14:paraId="712C28F7"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tremor</w:t>
            </w:r>
            <w:proofErr w:type="gramEnd"/>
            <w:r w:rsidRPr="003A5EE1">
              <w:rPr>
                <w:rFonts w:ascii="Arial" w:hAnsi="Arial" w:cs="Arial"/>
                <w:sz w:val="22"/>
                <w:szCs w:val="22"/>
              </w:rPr>
              <w:t xml:space="preserve"> (2.0% vs 0%)</w:t>
            </w:r>
          </w:p>
        </w:tc>
      </w:tr>
      <w:tr w:rsidR="00843C3E" w:rsidRPr="003A5EE1" w14:paraId="712C28FB" w14:textId="77777777" w:rsidTr="006B66A9">
        <w:tc>
          <w:tcPr>
            <w:tcW w:w="5070" w:type="dxa"/>
            <w:shd w:val="clear" w:color="auto" w:fill="auto"/>
          </w:tcPr>
          <w:p w14:paraId="712C28F9"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spellStart"/>
            <w:proofErr w:type="gramStart"/>
            <w:r w:rsidRPr="003A5EE1">
              <w:rPr>
                <w:rFonts w:ascii="Arial" w:hAnsi="Arial" w:cs="Arial"/>
                <w:sz w:val="22"/>
                <w:szCs w:val="22"/>
              </w:rPr>
              <w:t>gastroesophageal</w:t>
            </w:r>
            <w:proofErr w:type="spellEnd"/>
            <w:proofErr w:type="gramEnd"/>
            <w:r w:rsidRPr="003A5EE1">
              <w:rPr>
                <w:rFonts w:ascii="Arial" w:hAnsi="Arial" w:cs="Arial"/>
                <w:sz w:val="22"/>
                <w:szCs w:val="22"/>
              </w:rPr>
              <w:t xml:space="preserve"> reflux (1.4% vs 0%)</w:t>
            </w:r>
          </w:p>
        </w:tc>
        <w:tc>
          <w:tcPr>
            <w:tcW w:w="4961" w:type="dxa"/>
            <w:shd w:val="clear" w:color="auto" w:fill="auto"/>
          </w:tcPr>
          <w:p w14:paraId="712C28FA"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spellStart"/>
            <w:proofErr w:type="gramStart"/>
            <w:r w:rsidRPr="003A5EE1">
              <w:rPr>
                <w:rFonts w:ascii="Arial" w:hAnsi="Arial" w:cs="Arial"/>
                <w:sz w:val="22"/>
                <w:szCs w:val="22"/>
              </w:rPr>
              <w:t>hyperuricemia</w:t>
            </w:r>
            <w:proofErr w:type="spellEnd"/>
            <w:proofErr w:type="gramEnd"/>
            <w:r w:rsidRPr="003A5EE1">
              <w:rPr>
                <w:rFonts w:ascii="Arial" w:hAnsi="Arial" w:cs="Arial"/>
                <w:sz w:val="22"/>
                <w:szCs w:val="22"/>
              </w:rPr>
              <w:t xml:space="preserve"> (1.2% vs 0%)</w:t>
            </w:r>
          </w:p>
        </w:tc>
      </w:tr>
      <w:tr w:rsidR="00843C3E" w:rsidRPr="003A5EE1" w14:paraId="712C28FE" w14:textId="77777777" w:rsidTr="006B66A9">
        <w:tc>
          <w:tcPr>
            <w:tcW w:w="5070" w:type="dxa"/>
            <w:shd w:val="clear" w:color="auto" w:fill="auto"/>
          </w:tcPr>
          <w:p w14:paraId="712C28FC"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gramStart"/>
            <w:r w:rsidRPr="003A5EE1">
              <w:rPr>
                <w:rFonts w:ascii="Arial" w:hAnsi="Arial" w:cs="Arial"/>
                <w:sz w:val="22"/>
                <w:szCs w:val="22"/>
              </w:rPr>
              <w:t>gastroenteritis</w:t>
            </w:r>
            <w:proofErr w:type="gramEnd"/>
            <w:r w:rsidRPr="003A5EE1">
              <w:rPr>
                <w:rFonts w:ascii="Arial" w:hAnsi="Arial" w:cs="Arial"/>
                <w:sz w:val="22"/>
                <w:szCs w:val="22"/>
              </w:rPr>
              <w:t xml:space="preserve"> (1.2% vs 0.4%)</w:t>
            </w:r>
          </w:p>
        </w:tc>
        <w:tc>
          <w:tcPr>
            <w:tcW w:w="4961" w:type="dxa"/>
            <w:shd w:val="clear" w:color="auto" w:fill="auto"/>
          </w:tcPr>
          <w:p w14:paraId="712C28FD"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nail</w:t>
            </w:r>
            <w:proofErr w:type="gramEnd"/>
            <w:r w:rsidRPr="003A5EE1">
              <w:rPr>
                <w:rFonts w:ascii="Arial" w:hAnsi="Arial" w:cs="Arial"/>
                <w:sz w:val="22"/>
                <w:szCs w:val="22"/>
              </w:rPr>
              <w:t xml:space="preserve"> disorder (1.0% vs 0%)</w:t>
            </w:r>
          </w:p>
        </w:tc>
      </w:tr>
      <w:tr w:rsidR="00843C3E" w:rsidRPr="003A5EE1" w14:paraId="712C2901" w14:textId="77777777" w:rsidTr="006B66A9">
        <w:tc>
          <w:tcPr>
            <w:tcW w:w="5070" w:type="dxa"/>
            <w:shd w:val="clear" w:color="auto" w:fill="auto"/>
          </w:tcPr>
          <w:p w14:paraId="712C28FF"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spellStart"/>
            <w:proofErr w:type="gramStart"/>
            <w:r w:rsidRPr="003A5EE1">
              <w:rPr>
                <w:rFonts w:ascii="Arial" w:hAnsi="Arial" w:cs="Arial"/>
                <w:sz w:val="22"/>
                <w:szCs w:val="22"/>
              </w:rPr>
              <w:t>exfoliative</w:t>
            </w:r>
            <w:proofErr w:type="spellEnd"/>
            <w:proofErr w:type="gramEnd"/>
            <w:r w:rsidRPr="003A5EE1">
              <w:rPr>
                <w:rFonts w:ascii="Arial" w:hAnsi="Arial" w:cs="Arial"/>
                <w:sz w:val="22"/>
                <w:szCs w:val="22"/>
              </w:rPr>
              <w:t xml:space="preserve"> rash (1.4% vs 0.4%)</w:t>
            </w:r>
          </w:p>
        </w:tc>
        <w:tc>
          <w:tcPr>
            <w:tcW w:w="4961" w:type="dxa"/>
            <w:shd w:val="clear" w:color="auto" w:fill="auto"/>
          </w:tcPr>
          <w:p w14:paraId="712C2900"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erythema</w:t>
            </w:r>
            <w:proofErr w:type="gramEnd"/>
            <w:r w:rsidRPr="003A5EE1">
              <w:rPr>
                <w:rFonts w:ascii="Arial" w:hAnsi="Arial" w:cs="Arial"/>
                <w:sz w:val="22"/>
                <w:szCs w:val="22"/>
              </w:rPr>
              <w:t xml:space="preserve"> </w:t>
            </w:r>
            <w:proofErr w:type="spellStart"/>
            <w:r w:rsidRPr="003A5EE1">
              <w:rPr>
                <w:rFonts w:ascii="Arial" w:hAnsi="Arial" w:cs="Arial"/>
                <w:sz w:val="22"/>
                <w:szCs w:val="22"/>
              </w:rPr>
              <w:t>multiforme</w:t>
            </w:r>
            <w:proofErr w:type="spellEnd"/>
            <w:r w:rsidRPr="003A5EE1">
              <w:rPr>
                <w:rFonts w:ascii="Arial" w:hAnsi="Arial" w:cs="Arial"/>
                <w:sz w:val="22"/>
                <w:szCs w:val="22"/>
              </w:rPr>
              <w:t xml:space="preserve"> (0.8% vs 0.4%)</w:t>
            </w:r>
          </w:p>
        </w:tc>
      </w:tr>
      <w:tr w:rsidR="00843C3E" w:rsidRPr="003A5EE1" w14:paraId="712C2904" w14:textId="77777777" w:rsidTr="006B66A9">
        <w:tc>
          <w:tcPr>
            <w:tcW w:w="5070" w:type="dxa"/>
            <w:shd w:val="clear" w:color="auto" w:fill="auto"/>
          </w:tcPr>
          <w:p w14:paraId="712C2902"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gramStart"/>
            <w:r w:rsidRPr="003A5EE1">
              <w:rPr>
                <w:rFonts w:ascii="Arial" w:hAnsi="Arial" w:cs="Arial"/>
                <w:sz w:val="22"/>
                <w:szCs w:val="22"/>
              </w:rPr>
              <w:t>gastrointestinal</w:t>
            </w:r>
            <w:proofErr w:type="gramEnd"/>
            <w:r w:rsidRPr="003A5EE1">
              <w:rPr>
                <w:rFonts w:ascii="Arial" w:hAnsi="Arial" w:cs="Arial"/>
                <w:sz w:val="22"/>
                <w:szCs w:val="22"/>
              </w:rPr>
              <w:t xml:space="preserve"> fistula (0.8% vs 0.4%)</w:t>
            </w:r>
          </w:p>
        </w:tc>
        <w:tc>
          <w:tcPr>
            <w:tcW w:w="4961" w:type="dxa"/>
            <w:shd w:val="clear" w:color="auto" w:fill="auto"/>
          </w:tcPr>
          <w:p w14:paraId="712C2903" w14:textId="77777777"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3A5EE1">
              <w:rPr>
                <w:rFonts w:ascii="Arial" w:hAnsi="Arial" w:cs="Arial"/>
                <w:sz w:val="22"/>
                <w:szCs w:val="22"/>
              </w:rPr>
              <w:t>myocardial</w:t>
            </w:r>
            <w:proofErr w:type="gramEnd"/>
            <w:r w:rsidRPr="003A5EE1">
              <w:rPr>
                <w:rFonts w:ascii="Arial" w:hAnsi="Arial" w:cs="Arial"/>
                <w:sz w:val="22"/>
                <w:szCs w:val="22"/>
              </w:rPr>
              <w:t xml:space="preserve"> ischemia (0.6% vs 0.4%)</w:t>
            </w:r>
          </w:p>
        </w:tc>
      </w:tr>
      <w:tr w:rsidR="00843C3E" w:rsidRPr="003A5EE1" w14:paraId="712C2907" w14:textId="77777777" w:rsidTr="006B66A9">
        <w:tc>
          <w:tcPr>
            <w:tcW w:w="5070" w:type="dxa"/>
            <w:shd w:val="clear" w:color="auto" w:fill="auto"/>
          </w:tcPr>
          <w:p w14:paraId="712C2905" w14:textId="77777777"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proofErr w:type="gramStart"/>
            <w:r w:rsidRPr="003A5EE1">
              <w:rPr>
                <w:rFonts w:ascii="Arial" w:hAnsi="Arial" w:cs="Arial"/>
                <w:sz w:val="22"/>
                <w:szCs w:val="22"/>
              </w:rPr>
              <w:t>myocardial</w:t>
            </w:r>
            <w:proofErr w:type="gramEnd"/>
            <w:r w:rsidRPr="003A5EE1">
              <w:rPr>
                <w:rFonts w:ascii="Arial" w:hAnsi="Arial" w:cs="Arial"/>
                <w:sz w:val="22"/>
                <w:szCs w:val="22"/>
              </w:rPr>
              <w:t xml:space="preserve"> infarction (0.4% vs 0%)</w:t>
            </w:r>
          </w:p>
        </w:tc>
        <w:tc>
          <w:tcPr>
            <w:tcW w:w="4961" w:type="dxa"/>
            <w:shd w:val="clear" w:color="auto" w:fill="auto"/>
          </w:tcPr>
          <w:p w14:paraId="712C2906" w14:textId="77777777" w:rsidR="00843C3E" w:rsidRPr="003A5EE1" w:rsidRDefault="00843C3E" w:rsidP="00F86102">
            <w:pPr>
              <w:pStyle w:val="BayerBodyTextFull"/>
              <w:tabs>
                <w:tab w:val="left" w:pos="600"/>
              </w:tabs>
              <w:spacing w:line="260" w:lineRule="exact"/>
              <w:ind w:left="600" w:hanging="240"/>
              <w:rPr>
                <w:rFonts w:ascii="Arial" w:hAnsi="Arial" w:cs="Arial"/>
                <w:sz w:val="22"/>
                <w:szCs w:val="22"/>
              </w:rPr>
            </w:pPr>
          </w:p>
        </w:tc>
      </w:tr>
    </w:tbl>
    <w:p w14:paraId="712C2908" w14:textId="77777777" w:rsidR="002C1E8E" w:rsidRDefault="002C1E8E" w:rsidP="001A4DDB">
      <w:pPr>
        <w:pStyle w:val="BayerBodyTextFull"/>
        <w:spacing w:before="0" w:after="0"/>
        <w:rPr>
          <w:rFonts w:ascii="Arial" w:hAnsi="Arial" w:cs="Arial"/>
          <w:sz w:val="22"/>
          <w:szCs w:val="22"/>
        </w:rPr>
      </w:pPr>
    </w:p>
    <w:p w14:paraId="712C2909" w14:textId="77777777" w:rsidR="002B70DA" w:rsidRPr="005B4EB5" w:rsidRDefault="002B70DA" w:rsidP="005B4EB5">
      <w:pPr>
        <w:pStyle w:val="Heading3"/>
        <w:rPr>
          <w:rFonts w:ascii="Arial" w:hAnsi="Arial" w:cs="Arial"/>
          <w:sz w:val="22"/>
          <w:szCs w:val="22"/>
        </w:rPr>
      </w:pPr>
      <w:r w:rsidRPr="005B4EB5">
        <w:rPr>
          <w:rFonts w:ascii="Arial" w:hAnsi="Arial" w:cs="Arial"/>
          <w:sz w:val="22"/>
          <w:szCs w:val="22"/>
        </w:rPr>
        <w:t xml:space="preserve">Laboratory abnormalities </w:t>
      </w:r>
    </w:p>
    <w:p w14:paraId="712C290A" w14:textId="77777777" w:rsidR="002B70DA" w:rsidRDefault="002B70DA" w:rsidP="001A4DDB">
      <w:pPr>
        <w:pStyle w:val="BayerBodyTextFull"/>
        <w:spacing w:before="0" w:after="0"/>
        <w:rPr>
          <w:rFonts w:ascii="Arial" w:hAnsi="Arial" w:cs="Arial"/>
          <w:b/>
          <w:sz w:val="22"/>
          <w:szCs w:val="22"/>
        </w:rPr>
      </w:pPr>
    </w:p>
    <w:p w14:paraId="712C290B" w14:textId="77777777" w:rsidR="002B70DA" w:rsidRDefault="002B70DA" w:rsidP="001A4DDB">
      <w:pPr>
        <w:pStyle w:val="BayerBodyTextFull"/>
        <w:spacing w:before="0" w:after="0"/>
        <w:rPr>
          <w:rFonts w:ascii="Arial" w:hAnsi="Arial" w:cs="Arial"/>
          <w:sz w:val="22"/>
          <w:szCs w:val="22"/>
          <w:lang w:val="en-GB"/>
        </w:rPr>
      </w:pPr>
      <w:r w:rsidRPr="0047783E">
        <w:rPr>
          <w:rFonts w:ascii="Arial" w:hAnsi="Arial" w:cs="Arial"/>
          <w:sz w:val="22"/>
          <w:szCs w:val="22"/>
          <w:lang w:val="en-GB"/>
        </w:rPr>
        <w:t xml:space="preserve">Table </w:t>
      </w:r>
      <w:r w:rsidR="004F501C">
        <w:rPr>
          <w:rFonts w:ascii="Arial" w:hAnsi="Arial" w:cs="Arial"/>
          <w:sz w:val="22"/>
          <w:szCs w:val="22"/>
          <w:lang w:val="en-GB"/>
        </w:rPr>
        <w:t>5</w:t>
      </w:r>
      <w:r w:rsidRPr="0047783E">
        <w:rPr>
          <w:rFonts w:ascii="Arial" w:hAnsi="Arial" w:cs="Arial"/>
          <w:b/>
          <w:bCs/>
          <w:sz w:val="22"/>
          <w:szCs w:val="22"/>
          <w:lang w:val="en-GB"/>
        </w:rPr>
        <w:t xml:space="preserve"> </w:t>
      </w:r>
      <w:r w:rsidRPr="0047783E">
        <w:rPr>
          <w:rFonts w:ascii="Arial" w:hAnsi="Arial" w:cs="Arial"/>
          <w:sz w:val="22"/>
          <w:szCs w:val="22"/>
          <w:lang w:val="en-GB"/>
        </w:rPr>
        <w:t xml:space="preserve">compares the incidence of laboratory test abnormalities in patients receiving </w:t>
      </w:r>
      <w:r w:rsidR="00601DFC">
        <w:rPr>
          <w:rFonts w:ascii="Arial" w:hAnsi="Arial" w:cs="Arial"/>
          <w:sz w:val="22"/>
          <w:szCs w:val="22"/>
          <w:lang w:val="en-GB"/>
        </w:rPr>
        <w:t xml:space="preserve">STIVARGA </w:t>
      </w:r>
      <w:r w:rsidRPr="0047783E">
        <w:rPr>
          <w:rFonts w:ascii="Arial" w:hAnsi="Arial" w:cs="Arial"/>
          <w:sz w:val="22"/>
          <w:szCs w:val="22"/>
          <w:lang w:val="en-GB"/>
        </w:rPr>
        <w:t>and in patients receiving placebo in the pivotal CORRECT study</w:t>
      </w:r>
      <w:r w:rsidR="004F501C">
        <w:rPr>
          <w:rFonts w:ascii="Arial" w:hAnsi="Arial" w:cs="Arial"/>
          <w:sz w:val="22"/>
          <w:szCs w:val="22"/>
          <w:lang w:val="en-GB"/>
        </w:rPr>
        <w:t xml:space="preserve"> (see </w:t>
      </w:r>
      <w:r w:rsidR="00F00CDC">
        <w:rPr>
          <w:rFonts w:ascii="Arial" w:hAnsi="Arial" w:cs="Arial"/>
          <w:sz w:val="22"/>
          <w:szCs w:val="22"/>
          <w:lang w:val="en-GB"/>
        </w:rPr>
        <w:t>PRECAUTIONS</w:t>
      </w:r>
      <w:r w:rsidR="004F501C">
        <w:rPr>
          <w:rFonts w:ascii="Arial" w:hAnsi="Arial" w:cs="Arial"/>
          <w:sz w:val="22"/>
          <w:szCs w:val="22"/>
          <w:lang w:val="en-GB"/>
        </w:rPr>
        <w:t>).</w:t>
      </w:r>
    </w:p>
    <w:p w14:paraId="712C290C" w14:textId="77777777" w:rsidR="006B7A11" w:rsidRDefault="006B7A11" w:rsidP="001A4DDB">
      <w:pPr>
        <w:pStyle w:val="BayerBodyTextFull"/>
        <w:spacing w:before="0" w:after="0"/>
        <w:rPr>
          <w:rFonts w:ascii="Arial" w:hAnsi="Arial" w:cs="Arial"/>
          <w:sz w:val="22"/>
          <w:szCs w:val="22"/>
          <w:lang w:val="en-GB"/>
        </w:rPr>
      </w:pPr>
    </w:p>
    <w:p w14:paraId="712C290D" w14:textId="77777777" w:rsidR="002C1E8E" w:rsidRPr="003A5EE1" w:rsidRDefault="002C1E8E" w:rsidP="00C34AF3">
      <w:pPr>
        <w:pStyle w:val="Caption"/>
        <w:keepNext/>
        <w:rPr>
          <w:rFonts w:ascii="Arial" w:hAnsi="Arial" w:cs="Arial"/>
          <w:sz w:val="22"/>
          <w:szCs w:val="22"/>
        </w:rPr>
      </w:pPr>
      <w:r w:rsidRPr="003A5EE1">
        <w:rPr>
          <w:rFonts w:ascii="Arial" w:hAnsi="Arial" w:cs="Arial"/>
          <w:sz w:val="22"/>
          <w:szCs w:val="22"/>
        </w:rPr>
        <w:t xml:space="preserve">Table </w:t>
      </w:r>
      <w:r w:rsidR="004F501C">
        <w:rPr>
          <w:rFonts w:ascii="Arial" w:hAnsi="Arial" w:cs="Arial"/>
          <w:sz w:val="22"/>
          <w:szCs w:val="22"/>
        </w:rPr>
        <w:t>5</w:t>
      </w:r>
      <w:r w:rsidRPr="003A5EE1">
        <w:rPr>
          <w:rFonts w:ascii="Arial" w:hAnsi="Arial" w:cs="Arial"/>
          <w:sz w:val="22"/>
          <w:szCs w:val="22"/>
        </w:rPr>
        <w:t>: Treatment-emergent laboratory test abnormalities reported in placebo-controlled Phase III trial in patients with metastatic CRC (CORRECT).</w:t>
      </w:r>
    </w:p>
    <w:p w14:paraId="712C290E" w14:textId="77777777" w:rsidR="002C1E8E" w:rsidRPr="003A5EE1" w:rsidRDefault="002C1E8E" w:rsidP="009B62F1">
      <w:pPr>
        <w:keepNext/>
        <w:rPr>
          <w:rFonts w:ascii="Arial" w:hAnsi="Arial" w:cs="Arial"/>
          <w:sz w:val="22"/>
          <w:szCs w:val="22"/>
        </w:rPr>
      </w:pPr>
    </w:p>
    <w:tbl>
      <w:tblPr>
        <w:tblW w:w="10080" w:type="dxa"/>
        <w:tblInd w:w="115" w:type="dxa"/>
        <w:tblBorders>
          <w:top w:val="nil"/>
          <w:left w:val="nil"/>
          <w:bottom w:val="nil"/>
          <w:right w:val="nil"/>
        </w:tblBorders>
        <w:tblLayout w:type="fixed"/>
        <w:tblLook w:val="0000" w:firstRow="0" w:lastRow="0" w:firstColumn="0" w:lastColumn="0" w:noHBand="0" w:noVBand="0"/>
      </w:tblPr>
      <w:tblGrid>
        <w:gridCol w:w="2967"/>
        <w:gridCol w:w="1185"/>
        <w:gridCol w:w="1186"/>
        <w:gridCol w:w="1185"/>
        <w:gridCol w:w="1186"/>
        <w:gridCol w:w="1185"/>
        <w:gridCol w:w="1186"/>
      </w:tblGrid>
      <w:tr w:rsidR="00485416" w:rsidRPr="003A5EE1" w14:paraId="712C2914" w14:textId="77777777" w:rsidTr="002800BD">
        <w:trPr>
          <w:trHeight w:val="141"/>
          <w:tblHeader/>
        </w:trPr>
        <w:tc>
          <w:tcPr>
            <w:tcW w:w="2967" w:type="dxa"/>
            <w:vMerge w:val="restart"/>
            <w:tcBorders>
              <w:top w:val="single" w:sz="6" w:space="0" w:color="000000"/>
              <w:left w:val="single" w:sz="6" w:space="0" w:color="000000"/>
              <w:right w:val="single" w:sz="4" w:space="0" w:color="000000"/>
            </w:tcBorders>
            <w:vAlign w:val="center"/>
          </w:tcPr>
          <w:p w14:paraId="712C290F" w14:textId="77777777" w:rsidR="00485416" w:rsidRPr="003A5EE1" w:rsidRDefault="00485416" w:rsidP="00804F67">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Laboratory Parameter</w:t>
            </w:r>
            <w:r w:rsidR="00A867E8">
              <w:rPr>
                <w:rFonts w:ascii="Arial" w:eastAsia="Batang" w:hAnsi="Arial" w:cs="Arial"/>
                <w:b/>
                <w:bCs/>
                <w:sz w:val="22"/>
                <w:szCs w:val="22"/>
                <w:lang w:eastAsia="ko-KR"/>
              </w:rPr>
              <w:t xml:space="preserve"> (in % of samples investigated)</w:t>
            </w:r>
          </w:p>
        </w:tc>
        <w:tc>
          <w:tcPr>
            <w:tcW w:w="3556" w:type="dxa"/>
            <w:gridSpan w:val="3"/>
            <w:tcBorders>
              <w:top w:val="single" w:sz="6" w:space="0" w:color="000000"/>
              <w:left w:val="single" w:sz="4" w:space="0" w:color="000000"/>
              <w:bottom w:val="single" w:sz="4" w:space="0" w:color="000000"/>
              <w:right w:val="single" w:sz="4" w:space="0" w:color="000000"/>
            </w:tcBorders>
            <w:vAlign w:val="center"/>
          </w:tcPr>
          <w:p w14:paraId="712C2910" w14:textId="77777777" w:rsidR="00485416" w:rsidRPr="003A5EE1" w:rsidRDefault="00485416" w:rsidP="00804F67">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S</w:t>
            </w:r>
            <w:r w:rsidR="00FF0B8E">
              <w:rPr>
                <w:rFonts w:ascii="Arial" w:eastAsia="Batang" w:hAnsi="Arial" w:cs="Arial"/>
                <w:b/>
                <w:bCs/>
                <w:sz w:val="22"/>
                <w:szCs w:val="22"/>
                <w:lang w:eastAsia="ko-KR"/>
              </w:rPr>
              <w:t>TIVARGA</w:t>
            </w:r>
            <w:r w:rsidR="00A867E8">
              <w:rPr>
                <w:rFonts w:ascii="Arial" w:eastAsia="Batang" w:hAnsi="Arial" w:cs="Arial"/>
                <w:b/>
                <w:bCs/>
                <w:sz w:val="22"/>
                <w:szCs w:val="22"/>
                <w:lang w:eastAsia="ko-KR"/>
              </w:rPr>
              <w:t xml:space="preserve"> plus BSC</w:t>
            </w:r>
            <w:r w:rsidR="00296132" w:rsidRPr="00740E73">
              <w:rPr>
                <w:rFonts w:ascii="Arial" w:eastAsia="Batang" w:hAnsi="Arial" w:cs="Arial"/>
                <w:b/>
                <w:bCs/>
                <w:sz w:val="22"/>
                <w:szCs w:val="22"/>
                <w:vertAlign w:val="superscript"/>
                <w:lang w:eastAsia="ko-KR"/>
              </w:rPr>
              <w:t>§</w:t>
            </w:r>
          </w:p>
          <w:p w14:paraId="712C2911" w14:textId="77777777" w:rsidR="00485416" w:rsidRPr="003A5EE1" w:rsidRDefault="00485416" w:rsidP="00804F67">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(N=500)</w:t>
            </w:r>
          </w:p>
        </w:tc>
        <w:tc>
          <w:tcPr>
            <w:tcW w:w="3557" w:type="dxa"/>
            <w:gridSpan w:val="3"/>
            <w:tcBorders>
              <w:top w:val="single" w:sz="6" w:space="0" w:color="000000"/>
              <w:left w:val="single" w:sz="4" w:space="0" w:color="000000"/>
              <w:bottom w:val="single" w:sz="4" w:space="0" w:color="000000"/>
              <w:right w:val="single" w:sz="4" w:space="0" w:color="000000"/>
            </w:tcBorders>
            <w:vAlign w:val="center"/>
          </w:tcPr>
          <w:p w14:paraId="712C2912" w14:textId="77777777" w:rsidR="00485416" w:rsidRPr="00740E73" w:rsidRDefault="00485416" w:rsidP="00520D28">
            <w:pPr>
              <w:keepNext/>
              <w:keepLines/>
              <w:widowControl w:val="0"/>
              <w:autoSpaceDE w:val="0"/>
              <w:autoSpaceDN w:val="0"/>
              <w:adjustRightInd w:val="0"/>
              <w:jc w:val="center"/>
              <w:rPr>
                <w:rFonts w:ascii="Arial" w:eastAsia="Batang" w:hAnsi="Arial" w:cs="Arial"/>
                <w:b/>
                <w:bCs/>
                <w:sz w:val="22"/>
                <w:szCs w:val="22"/>
                <w:vertAlign w:val="superscript"/>
                <w:lang w:eastAsia="ko-KR"/>
              </w:rPr>
            </w:pPr>
            <w:r w:rsidRPr="003A5EE1">
              <w:rPr>
                <w:rFonts w:ascii="Arial" w:eastAsia="Batang" w:hAnsi="Arial" w:cs="Arial"/>
                <w:b/>
                <w:bCs/>
                <w:sz w:val="22"/>
                <w:szCs w:val="22"/>
                <w:lang w:eastAsia="ko-KR"/>
              </w:rPr>
              <w:t>Placebo</w:t>
            </w:r>
            <w:r w:rsidR="00A867E8">
              <w:rPr>
                <w:rFonts w:ascii="Arial" w:eastAsia="Batang" w:hAnsi="Arial" w:cs="Arial"/>
                <w:b/>
                <w:bCs/>
                <w:sz w:val="22"/>
                <w:szCs w:val="22"/>
                <w:lang w:eastAsia="ko-KR"/>
              </w:rPr>
              <w:t xml:space="preserve"> plus BSC</w:t>
            </w:r>
            <w:r w:rsidR="00296132" w:rsidRPr="00740E73">
              <w:rPr>
                <w:rFonts w:ascii="Arial" w:eastAsia="Batang" w:hAnsi="Arial" w:cs="Arial"/>
                <w:b/>
                <w:bCs/>
                <w:sz w:val="22"/>
                <w:szCs w:val="22"/>
                <w:vertAlign w:val="superscript"/>
                <w:lang w:eastAsia="ko-KR"/>
              </w:rPr>
              <w:t>§</w:t>
            </w:r>
          </w:p>
          <w:p w14:paraId="712C2913" w14:textId="77777777" w:rsidR="00485416" w:rsidRPr="003A5EE1" w:rsidRDefault="00485416" w:rsidP="008B78FC">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(N=253)</w:t>
            </w:r>
          </w:p>
        </w:tc>
      </w:tr>
      <w:tr w:rsidR="00485416" w:rsidRPr="003A5EE1" w14:paraId="712C2922" w14:textId="77777777" w:rsidTr="002800BD">
        <w:trPr>
          <w:trHeight w:val="629"/>
          <w:tblHeader/>
        </w:trPr>
        <w:tc>
          <w:tcPr>
            <w:tcW w:w="2967" w:type="dxa"/>
            <w:vMerge/>
            <w:tcBorders>
              <w:left w:val="single" w:sz="6" w:space="0" w:color="000000"/>
              <w:bottom w:val="single" w:sz="4" w:space="0" w:color="000000"/>
              <w:right w:val="single" w:sz="4" w:space="0" w:color="auto"/>
            </w:tcBorders>
          </w:tcPr>
          <w:p w14:paraId="712C2915" w14:textId="77777777" w:rsidR="00485416" w:rsidRPr="003A5EE1" w:rsidRDefault="00485416" w:rsidP="00386290">
            <w:pPr>
              <w:keepNext/>
              <w:keepLines/>
              <w:widowControl w:val="0"/>
              <w:autoSpaceDE w:val="0"/>
              <w:autoSpaceDN w:val="0"/>
              <w:adjustRightInd w:val="0"/>
              <w:rPr>
                <w:rFonts w:ascii="Arial" w:eastAsia="Batang" w:hAnsi="Arial" w:cs="Arial"/>
                <w:b/>
                <w:bCs/>
                <w:sz w:val="22"/>
                <w:szCs w:val="22"/>
                <w:lang w:eastAsia="ko-KR"/>
              </w:rPr>
            </w:pPr>
          </w:p>
        </w:tc>
        <w:tc>
          <w:tcPr>
            <w:tcW w:w="1185" w:type="dxa"/>
            <w:tcBorders>
              <w:top w:val="single" w:sz="4" w:space="0" w:color="auto"/>
              <w:left w:val="single" w:sz="4" w:space="0" w:color="auto"/>
              <w:bottom w:val="single" w:sz="4" w:space="0" w:color="auto"/>
              <w:right w:val="single" w:sz="4" w:space="0" w:color="auto"/>
            </w:tcBorders>
            <w:vAlign w:val="center"/>
          </w:tcPr>
          <w:p w14:paraId="712C2916"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14:paraId="712C2917" w14:textId="77777777" w:rsidR="00485416" w:rsidRPr="003A5EE1" w:rsidRDefault="00A867E8" w:rsidP="00386290">
            <w:pPr>
              <w:keepNext/>
              <w:keepLines/>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Grades</w:t>
            </w:r>
            <w:r w:rsidR="00716E57">
              <w:rPr>
                <w:rFonts w:ascii="Arial" w:eastAsia="Batang" w:hAnsi="Arial" w:cs="Arial"/>
                <w:b/>
                <w:bCs/>
                <w:sz w:val="22"/>
                <w:szCs w:val="22"/>
                <w:lang w:eastAsia="ko-KR"/>
              </w:rPr>
              <w:t>*</w:t>
            </w:r>
          </w:p>
        </w:tc>
        <w:tc>
          <w:tcPr>
            <w:tcW w:w="1186" w:type="dxa"/>
            <w:tcBorders>
              <w:top w:val="single" w:sz="4" w:space="0" w:color="000000"/>
              <w:left w:val="single" w:sz="4" w:space="0" w:color="auto"/>
              <w:bottom w:val="single" w:sz="4" w:space="0" w:color="000000"/>
              <w:right w:val="single" w:sz="4" w:space="0" w:color="000000"/>
            </w:tcBorders>
            <w:vAlign w:val="center"/>
          </w:tcPr>
          <w:p w14:paraId="712C2918" w14:textId="77777777" w:rsidR="00485416" w:rsidRPr="003A5EE1" w:rsidRDefault="00A867E8" w:rsidP="00386290">
            <w:pPr>
              <w:keepNext/>
              <w:keepLines/>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3</w:t>
            </w:r>
            <w:r w:rsidR="00716E57">
              <w:rPr>
                <w:rFonts w:ascii="Arial" w:eastAsia="Batang" w:hAnsi="Arial" w:cs="Arial"/>
                <w:b/>
                <w:bCs/>
                <w:sz w:val="22"/>
                <w:szCs w:val="22"/>
                <w:lang w:eastAsia="ko-KR"/>
              </w:rPr>
              <w:t>*</w:t>
            </w:r>
          </w:p>
          <w:p w14:paraId="712C2919"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12C291A" w14:textId="77777777" w:rsidR="00485416" w:rsidRPr="003A5EE1" w:rsidRDefault="00A867E8" w:rsidP="00386290">
            <w:pPr>
              <w:keepNext/>
              <w:keepLines/>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4</w:t>
            </w:r>
            <w:r w:rsidR="00716E57">
              <w:rPr>
                <w:rFonts w:ascii="Arial" w:eastAsia="Batang" w:hAnsi="Arial" w:cs="Arial"/>
                <w:b/>
                <w:bCs/>
                <w:sz w:val="22"/>
                <w:szCs w:val="22"/>
                <w:lang w:eastAsia="ko-KR"/>
              </w:rPr>
              <w:t>*</w:t>
            </w:r>
          </w:p>
          <w:p w14:paraId="712C291B"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712C291C"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r w:rsidR="00A867E8">
              <w:rPr>
                <w:rFonts w:ascii="Arial" w:eastAsia="Batang" w:hAnsi="Arial" w:cs="Arial"/>
                <w:b/>
                <w:bCs/>
                <w:sz w:val="22"/>
                <w:szCs w:val="22"/>
                <w:lang w:eastAsia="ko-KR"/>
              </w:rPr>
              <w:t xml:space="preserve"> Grades</w:t>
            </w:r>
            <w:r w:rsidR="00716E57">
              <w:rPr>
                <w:rFonts w:ascii="Arial" w:eastAsia="Batang" w:hAnsi="Arial" w:cs="Arial"/>
                <w:b/>
                <w:bCs/>
                <w:sz w:val="22"/>
                <w:szCs w:val="22"/>
                <w:lang w:eastAsia="ko-KR"/>
              </w:rPr>
              <w:t>*</w:t>
            </w:r>
          </w:p>
          <w:p w14:paraId="712C291D"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12C291E" w14:textId="77777777" w:rsidR="00485416" w:rsidRPr="003A5EE1" w:rsidRDefault="00A867E8" w:rsidP="00386290">
            <w:pPr>
              <w:keepNext/>
              <w:keepLines/>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3</w:t>
            </w:r>
            <w:r w:rsidR="00716E57">
              <w:rPr>
                <w:rFonts w:ascii="Arial" w:eastAsia="Batang" w:hAnsi="Arial" w:cs="Arial"/>
                <w:b/>
                <w:bCs/>
                <w:sz w:val="22"/>
                <w:szCs w:val="22"/>
                <w:lang w:eastAsia="ko-KR"/>
              </w:rPr>
              <w:t>*</w:t>
            </w:r>
          </w:p>
          <w:p w14:paraId="712C291F"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712C2920" w14:textId="77777777" w:rsidR="00485416" w:rsidRPr="003A5EE1" w:rsidRDefault="00A867E8" w:rsidP="00386290">
            <w:pPr>
              <w:keepNext/>
              <w:keepLines/>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4</w:t>
            </w:r>
            <w:r w:rsidR="00716E57">
              <w:rPr>
                <w:rFonts w:ascii="Arial" w:eastAsia="Batang" w:hAnsi="Arial" w:cs="Arial"/>
                <w:b/>
                <w:bCs/>
                <w:sz w:val="22"/>
                <w:szCs w:val="22"/>
                <w:lang w:eastAsia="ko-KR"/>
              </w:rPr>
              <w:t>*</w:t>
            </w:r>
          </w:p>
          <w:p w14:paraId="712C2921" w14:textId="77777777" w:rsidR="00485416" w:rsidRPr="003A5EE1" w:rsidRDefault="00485416" w:rsidP="00386290">
            <w:pPr>
              <w:keepNext/>
              <w:keepLines/>
              <w:widowControl w:val="0"/>
              <w:autoSpaceDE w:val="0"/>
              <w:autoSpaceDN w:val="0"/>
              <w:adjustRightInd w:val="0"/>
              <w:jc w:val="center"/>
              <w:rPr>
                <w:rFonts w:ascii="Arial" w:eastAsia="Batang" w:hAnsi="Arial" w:cs="Arial"/>
                <w:b/>
                <w:bCs/>
                <w:sz w:val="22"/>
                <w:szCs w:val="22"/>
                <w:lang w:eastAsia="ko-KR"/>
              </w:rPr>
            </w:pPr>
          </w:p>
        </w:tc>
      </w:tr>
      <w:tr w:rsidR="00485416" w:rsidRPr="003A5EE1" w14:paraId="712C292A" w14:textId="77777777" w:rsidTr="002800BD">
        <w:trPr>
          <w:trHeight w:val="288"/>
        </w:trPr>
        <w:tc>
          <w:tcPr>
            <w:tcW w:w="2967" w:type="dxa"/>
            <w:tcBorders>
              <w:top w:val="single" w:sz="6" w:space="0" w:color="000000"/>
              <w:left w:val="single" w:sz="6" w:space="0" w:color="000000"/>
              <w:bottom w:val="nil"/>
              <w:right w:val="single" w:sz="4" w:space="0" w:color="000000"/>
            </w:tcBorders>
            <w:vAlign w:val="bottom"/>
          </w:tcPr>
          <w:p w14:paraId="712C2923" w14:textId="77777777" w:rsidR="00485416" w:rsidRPr="003A5EE1" w:rsidRDefault="00485416" w:rsidP="00C34AF3">
            <w:pPr>
              <w:keepNext/>
              <w:rPr>
                <w:rFonts w:ascii="Arial" w:eastAsia="Batang" w:hAnsi="Arial" w:cs="Arial"/>
                <w:b/>
                <w:bCs/>
                <w:sz w:val="22"/>
                <w:szCs w:val="22"/>
                <w:lang w:eastAsia="ko-KR"/>
              </w:rPr>
            </w:pPr>
            <w:r w:rsidRPr="003A5EE1">
              <w:rPr>
                <w:rFonts w:ascii="Arial" w:hAnsi="Arial" w:cs="Arial"/>
                <w:b/>
                <w:bCs/>
                <w:sz w:val="22"/>
                <w:szCs w:val="22"/>
              </w:rPr>
              <w:t>Blood and lymphatic system disorders</w:t>
            </w:r>
          </w:p>
        </w:tc>
        <w:tc>
          <w:tcPr>
            <w:tcW w:w="1185" w:type="dxa"/>
            <w:tcBorders>
              <w:top w:val="single" w:sz="4" w:space="0" w:color="auto"/>
              <w:left w:val="single" w:sz="4" w:space="0" w:color="000000"/>
              <w:bottom w:val="nil"/>
              <w:right w:val="single" w:sz="4" w:space="0" w:color="000000"/>
            </w:tcBorders>
            <w:vAlign w:val="bottom"/>
          </w:tcPr>
          <w:p w14:paraId="712C2924" w14:textId="77777777" w:rsidR="00485416" w:rsidRPr="003A5EE1" w:rsidRDefault="00485416" w:rsidP="00C34AF3">
            <w:pPr>
              <w:keepNext/>
              <w:keepLines/>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6" w:space="0" w:color="000000"/>
              <w:left w:val="single" w:sz="4" w:space="0" w:color="000000"/>
              <w:bottom w:val="nil"/>
              <w:right w:val="single" w:sz="4" w:space="0" w:color="000000"/>
            </w:tcBorders>
            <w:vAlign w:val="bottom"/>
          </w:tcPr>
          <w:p w14:paraId="712C2925" w14:textId="77777777" w:rsidR="00485416" w:rsidRPr="003A5EE1" w:rsidRDefault="00485416" w:rsidP="00C34AF3">
            <w:pPr>
              <w:keepNext/>
              <w:keepLines/>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6" w:space="0" w:color="000000"/>
              <w:left w:val="single" w:sz="4" w:space="0" w:color="000000"/>
              <w:bottom w:val="nil"/>
              <w:right w:val="single" w:sz="4" w:space="0" w:color="000000"/>
            </w:tcBorders>
            <w:vAlign w:val="bottom"/>
          </w:tcPr>
          <w:p w14:paraId="712C2926" w14:textId="77777777" w:rsidR="00485416" w:rsidRPr="003A5EE1" w:rsidRDefault="00485416" w:rsidP="00C34AF3">
            <w:pPr>
              <w:keepNext/>
              <w:keepLines/>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6" w:space="0" w:color="000000"/>
              <w:left w:val="single" w:sz="4" w:space="0" w:color="000000"/>
              <w:bottom w:val="nil"/>
              <w:right w:val="single" w:sz="4" w:space="0" w:color="000000"/>
            </w:tcBorders>
            <w:vAlign w:val="bottom"/>
          </w:tcPr>
          <w:p w14:paraId="712C2927" w14:textId="77777777" w:rsidR="00485416" w:rsidRPr="003A5EE1" w:rsidRDefault="00485416" w:rsidP="00C34AF3">
            <w:pPr>
              <w:keepNext/>
              <w:keepLines/>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6" w:space="0" w:color="000000"/>
              <w:left w:val="single" w:sz="4" w:space="0" w:color="000000"/>
              <w:bottom w:val="nil"/>
              <w:right w:val="single" w:sz="4" w:space="0" w:color="000000"/>
            </w:tcBorders>
            <w:vAlign w:val="bottom"/>
          </w:tcPr>
          <w:p w14:paraId="712C2928" w14:textId="77777777" w:rsidR="00485416" w:rsidRPr="003A5EE1" w:rsidRDefault="00485416" w:rsidP="00C34AF3">
            <w:pPr>
              <w:keepNext/>
              <w:keepLines/>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6" w:space="0" w:color="000000"/>
              <w:left w:val="single" w:sz="4" w:space="0" w:color="000000"/>
              <w:bottom w:val="nil"/>
              <w:right w:val="single" w:sz="4" w:space="0" w:color="000000"/>
            </w:tcBorders>
            <w:vAlign w:val="bottom"/>
          </w:tcPr>
          <w:p w14:paraId="712C2929" w14:textId="77777777" w:rsidR="00485416" w:rsidRPr="003A5EE1" w:rsidRDefault="00485416" w:rsidP="00C34AF3">
            <w:pPr>
              <w:keepNext/>
              <w:keepLines/>
              <w:widowControl w:val="0"/>
              <w:autoSpaceDE w:val="0"/>
              <w:autoSpaceDN w:val="0"/>
              <w:adjustRightInd w:val="0"/>
              <w:jc w:val="center"/>
              <w:rPr>
                <w:rFonts w:ascii="Arial" w:eastAsia="Batang" w:hAnsi="Arial" w:cs="Arial"/>
                <w:sz w:val="22"/>
                <w:szCs w:val="22"/>
                <w:lang w:eastAsia="ko-KR"/>
              </w:rPr>
            </w:pPr>
          </w:p>
        </w:tc>
      </w:tr>
      <w:tr w:rsidR="00485416" w:rsidRPr="003A5EE1" w14:paraId="712C2932" w14:textId="77777777" w:rsidTr="002800BD">
        <w:trPr>
          <w:trHeight w:val="288"/>
        </w:trPr>
        <w:tc>
          <w:tcPr>
            <w:tcW w:w="2967" w:type="dxa"/>
            <w:tcBorders>
              <w:top w:val="nil"/>
              <w:left w:val="single" w:sz="6" w:space="0" w:color="000000"/>
              <w:bottom w:val="nil"/>
              <w:right w:val="single" w:sz="4" w:space="0" w:color="000000"/>
            </w:tcBorders>
            <w:vAlign w:val="bottom"/>
          </w:tcPr>
          <w:p w14:paraId="712C292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An</w:t>
            </w:r>
            <w:r w:rsidR="00971883" w:rsidRPr="003A5EE1">
              <w:rPr>
                <w:rFonts w:ascii="Arial" w:eastAsia="Batang" w:hAnsi="Arial" w:cs="Arial"/>
                <w:sz w:val="22"/>
                <w:szCs w:val="22"/>
                <w:lang w:eastAsia="ko-KR"/>
              </w:rPr>
              <w:t>a</w:t>
            </w:r>
            <w:r w:rsidRPr="003A5EE1">
              <w:rPr>
                <w:rFonts w:ascii="Arial" w:eastAsia="Batang" w:hAnsi="Arial" w:cs="Arial"/>
                <w:sz w:val="22"/>
                <w:szCs w:val="22"/>
                <w:lang w:eastAsia="ko-KR"/>
              </w:rPr>
              <w:t>emia</w:t>
            </w:r>
          </w:p>
        </w:tc>
        <w:tc>
          <w:tcPr>
            <w:tcW w:w="1185" w:type="dxa"/>
            <w:tcBorders>
              <w:top w:val="nil"/>
              <w:left w:val="single" w:sz="4" w:space="0" w:color="000000"/>
              <w:bottom w:val="nil"/>
              <w:right w:val="single" w:sz="4" w:space="0" w:color="000000"/>
            </w:tcBorders>
            <w:vAlign w:val="bottom"/>
          </w:tcPr>
          <w:p w14:paraId="712C292C"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79</w:t>
            </w:r>
          </w:p>
        </w:tc>
        <w:tc>
          <w:tcPr>
            <w:tcW w:w="1186" w:type="dxa"/>
            <w:tcBorders>
              <w:top w:val="nil"/>
              <w:left w:val="single" w:sz="4" w:space="0" w:color="000000"/>
              <w:bottom w:val="nil"/>
              <w:right w:val="single" w:sz="4" w:space="0" w:color="000000"/>
            </w:tcBorders>
            <w:vAlign w:val="bottom"/>
          </w:tcPr>
          <w:p w14:paraId="712C292D"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5" w:type="dxa"/>
            <w:tcBorders>
              <w:top w:val="nil"/>
              <w:left w:val="single" w:sz="4" w:space="0" w:color="000000"/>
              <w:bottom w:val="nil"/>
              <w:right w:val="single" w:sz="4" w:space="0" w:color="000000"/>
            </w:tcBorders>
            <w:vAlign w:val="bottom"/>
          </w:tcPr>
          <w:p w14:paraId="712C292E"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nil"/>
              <w:right w:val="single" w:sz="4" w:space="0" w:color="000000"/>
            </w:tcBorders>
            <w:vAlign w:val="bottom"/>
          </w:tcPr>
          <w:p w14:paraId="712C292F"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66</w:t>
            </w:r>
          </w:p>
        </w:tc>
        <w:tc>
          <w:tcPr>
            <w:tcW w:w="1185" w:type="dxa"/>
            <w:tcBorders>
              <w:top w:val="nil"/>
              <w:left w:val="single" w:sz="4" w:space="0" w:color="000000"/>
              <w:bottom w:val="nil"/>
              <w:right w:val="single" w:sz="4" w:space="0" w:color="000000"/>
            </w:tcBorders>
            <w:vAlign w:val="bottom"/>
          </w:tcPr>
          <w:p w14:paraId="712C2930"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14:paraId="712C2931"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3A" w14:textId="77777777" w:rsidTr="002800BD">
        <w:trPr>
          <w:trHeight w:val="288"/>
        </w:trPr>
        <w:tc>
          <w:tcPr>
            <w:tcW w:w="2967" w:type="dxa"/>
            <w:tcBorders>
              <w:top w:val="nil"/>
              <w:left w:val="single" w:sz="6" w:space="0" w:color="000000"/>
              <w:bottom w:val="nil"/>
              <w:right w:val="single" w:sz="4" w:space="0" w:color="000000"/>
            </w:tcBorders>
            <w:vAlign w:val="bottom"/>
          </w:tcPr>
          <w:p w14:paraId="712C2933" w14:textId="77777777" w:rsidR="00485416" w:rsidRPr="003A5EE1" w:rsidRDefault="00485416" w:rsidP="00110401">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Thrombocytopenia</w:t>
            </w:r>
          </w:p>
        </w:tc>
        <w:tc>
          <w:tcPr>
            <w:tcW w:w="1185" w:type="dxa"/>
            <w:tcBorders>
              <w:top w:val="nil"/>
              <w:left w:val="single" w:sz="4" w:space="0" w:color="000000"/>
              <w:bottom w:val="nil"/>
              <w:right w:val="single" w:sz="4" w:space="0" w:color="000000"/>
            </w:tcBorders>
            <w:vAlign w:val="bottom"/>
          </w:tcPr>
          <w:p w14:paraId="712C2934"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41</w:t>
            </w:r>
          </w:p>
        </w:tc>
        <w:tc>
          <w:tcPr>
            <w:tcW w:w="1186" w:type="dxa"/>
            <w:tcBorders>
              <w:top w:val="nil"/>
              <w:left w:val="single" w:sz="4" w:space="0" w:color="000000"/>
              <w:bottom w:val="nil"/>
              <w:right w:val="single" w:sz="4" w:space="0" w:color="000000"/>
            </w:tcBorders>
            <w:vAlign w:val="bottom"/>
          </w:tcPr>
          <w:p w14:paraId="712C2935"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5" w:type="dxa"/>
            <w:tcBorders>
              <w:top w:val="nil"/>
              <w:left w:val="single" w:sz="4" w:space="0" w:color="000000"/>
              <w:bottom w:val="nil"/>
              <w:right w:val="single" w:sz="4" w:space="0" w:color="000000"/>
            </w:tcBorders>
            <w:vAlign w:val="bottom"/>
          </w:tcPr>
          <w:p w14:paraId="712C2936"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14:paraId="712C2937"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nil"/>
              <w:right w:val="single" w:sz="4" w:space="0" w:color="000000"/>
            </w:tcBorders>
            <w:vAlign w:val="bottom"/>
          </w:tcPr>
          <w:p w14:paraId="712C2938"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14:paraId="712C2939" w14:textId="77777777"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42" w14:textId="77777777" w:rsidTr="002800BD">
        <w:trPr>
          <w:trHeight w:val="288"/>
        </w:trPr>
        <w:tc>
          <w:tcPr>
            <w:tcW w:w="2967" w:type="dxa"/>
            <w:tcBorders>
              <w:top w:val="nil"/>
              <w:left w:val="single" w:sz="6" w:space="0" w:color="000000"/>
              <w:bottom w:val="nil"/>
              <w:right w:val="single" w:sz="4" w:space="0" w:color="000000"/>
            </w:tcBorders>
            <w:vAlign w:val="bottom"/>
          </w:tcPr>
          <w:p w14:paraId="712C293B" w14:textId="77777777" w:rsidR="00485416" w:rsidRPr="003A5EE1" w:rsidRDefault="00485416" w:rsidP="002800BD">
            <w:pPr>
              <w:widowControl w:val="0"/>
              <w:autoSpaceDE w:val="0"/>
              <w:autoSpaceDN w:val="0"/>
              <w:adjustRightInd w:val="0"/>
              <w:rPr>
                <w:rFonts w:ascii="Arial" w:eastAsia="Batang" w:hAnsi="Arial" w:cs="Arial"/>
                <w:b/>
                <w:bCs/>
                <w:sz w:val="22"/>
                <w:szCs w:val="22"/>
                <w:lang w:eastAsia="ko-KR"/>
              </w:rPr>
            </w:pPr>
            <w:proofErr w:type="spellStart"/>
            <w:r w:rsidRPr="003A5EE1">
              <w:rPr>
                <w:rFonts w:ascii="Arial" w:eastAsia="Batang" w:hAnsi="Arial" w:cs="Arial"/>
                <w:sz w:val="22"/>
                <w:szCs w:val="22"/>
                <w:lang w:eastAsia="ko-KR"/>
              </w:rPr>
              <w:t>Neutrop</w:t>
            </w:r>
            <w:r w:rsidR="00C74B51">
              <w:rPr>
                <w:rFonts w:ascii="Arial" w:eastAsia="Batang" w:hAnsi="Arial" w:cs="Arial"/>
                <w:sz w:val="22"/>
                <w:szCs w:val="22"/>
                <w:lang w:eastAsia="ko-KR"/>
              </w:rPr>
              <w:t>a</w:t>
            </w:r>
            <w:r w:rsidRPr="003A5EE1">
              <w:rPr>
                <w:rFonts w:ascii="Arial" w:eastAsia="Batang" w:hAnsi="Arial" w:cs="Arial"/>
                <w:sz w:val="22"/>
                <w:szCs w:val="22"/>
                <w:lang w:eastAsia="ko-KR"/>
              </w:rPr>
              <w:t>enia</w:t>
            </w:r>
            <w:proofErr w:type="spellEnd"/>
          </w:p>
        </w:tc>
        <w:tc>
          <w:tcPr>
            <w:tcW w:w="1185" w:type="dxa"/>
            <w:tcBorders>
              <w:top w:val="nil"/>
              <w:left w:val="single" w:sz="4" w:space="0" w:color="000000"/>
              <w:bottom w:val="nil"/>
              <w:right w:val="single" w:sz="4" w:space="0" w:color="000000"/>
            </w:tcBorders>
            <w:vAlign w:val="bottom"/>
          </w:tcPr>
          <w:p w14:paraId="712C293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14:paraId="712C293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5" w:type="dxa"/>
            <w:tcBorders>
              <w:top w:val="nil"/>
              <w:left w:val="single" w:sz="4" w:space="0" w:color="000000"/>
              <w:bottom w:val="nil"/>
              <w:right w:val="single" w:sz="4" w:space="0" w:color="000000"/>
            </w:tcBorders>
            <w:vAlign w:val="bottom"/>
          </w:tcPr>
          <w:p w14:paraId="712C293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14:paraId="712C293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5" w:type="dxa"/>
            <w:tcBorders>
              <w:top w:val="nil"/>
              <w:left w:val="single" w:sz="4" w:space="0" w:color="000000"/>
              <w:bottom w:val="nil"/>
              <w:right w:val="single" w:sz="4" w:space="0" w:color="000000"/>
            </w:tcBorders>
            <w:vAlign w:val="bottom"/>
          </w:tcPr>
          <w:p w14:paraId="712C294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14:paraId="712C294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4A" w14:textId="77777777" w:rsidTr="002800BD">
        <w:trPr>
          <w:trHeight w:val="288"/>
        </w:trPr>
        <w:tc>
          <w:tcPr>
            <w:tcW w:w="2967" w:type="dxa"/>
            <w:tcBorders>
              <w:top w:val="nil"/>
              <w:left w:val="single" w:sz="6" w:space="0" w:color="000000"/>
              <w:bottom w:val="nil"/>
              <w:right w:val="single" w:sz="4" w:space="0" w:color="000000"/>
            </w:tcBorders>
            <w:vAlign w:val="bottom"/>
          </w:tcPr>
          <w:p w14:paraId="712C2943" w14:textId="77777777" w:rsidR="00485416" w:rsidRPr="003A5EE1" w:rsidRDefault="00485416" w:rsidP="002800BD">
            <w:pPr>
              <w:widowControl w:val="0"/>
              <w:autoSpaceDE w:val="0"/>
              <w:autoSpaceDN w:val="0"/>
              <w:adjustRightInd w:val="0"/>
              <w:ind w:left="426" w:hanging="426"/>
              <w:rPr>
                <w:rFonts w:ascii="Arial" w:eastAsia="Batang" w:hAnsi="Arial" w:cs="Arial"/>
                <w:sz w:val="22"/>
                <w:szCs w:val="22"/>
                <w:lang w:eastAsia="ko-KR"/>
              </w:rPr>
            </w:pPr>
            <w:proofErr w:type="spellStart"/>
            <w:r w:rsidRPr="003A5EE1">
              <w:rPr>
                <w:rFonts w:ascii="Arial" w:eastAsia="Batang" w:hAnsi="Arial" w:cs="Arial"/>
                <w:sz w:val="22"/>
                <w:szCs w:val="22"/>
                <w:lang w:eastAsia="ko-KR"/>
              </w:rPr>
              <w:t>Lymphopenia</w:t>
            </w:r>
            <w:proofErr w:type="spellEnd"/>
          </w:p>
        </w:tc>
        <w:tc>
          <w:tcPr>
            <w:tcW w:w="1185" w:type="dxa"/>
            <w:tcBorders>
              <w:top w:val="nil"/>
              <w:left w:val="single" w:sz="4" w:space="0" w:color="000000"/>
              <w:bottom w:val="nil"/>
              <w:right w:val="single" w:sz="4" w:space="0" w:color="000000"/>
            </w:tcBorders>
            <w:vAlign w:val="bottom"/>
          </w:tcPr>
          <w:p w14:paraId="712C294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54</w:t>
            </w:r>
          </w:p>
        </w:tc>
        <w:tc>
          <w:tcPr>
            <w:tcW w:w="1186" w:type="dxa"/>
            <w:tcBorders>
              <w:top w:val="nil"/>
              <w:left w:val="single" w:sz="4" w:space="0" w:color="000000"/>
              <w:bottom w:val="nil"/>
              <w:right w:val="single" w:sz="4" w:space="0" w:color="000000"/>
            </w:tcBorders>
            <w:vAlign w:val="bottom"/>
          </w:tcPr>
          <w:p w14:paraId="712C294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9</w:t>
            </w:r>
          </w:p>
        </w:tc>
        <w:tc>
          <w:tcPr>
            <w:tcW w:w="1185" w:type="dxa"/>
            <w:tcBorders>
              <w:top w:val="nil"/>
              <w:left w:val="single" w:sz="4" w:space="0" w:color="000000"/>
              <w:bottom w:val="nil"/>
              <w:right w:val="single" w:sz="4" w:space="0" w:color="000000"/>
            </w:tcBorders>
            <w:vAlign w:val="bottom"/>
          </w:tcPr>
          <w:p w14:paraId="712C294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14:paraId="712C294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34</w:t>
            </w:r>
          </w:p>
        </w:tc>
        <w:tc>
          <w:tcPr>
            <w:tcW w:w="1185" w:type="dxa"/>
            <w:tcBorders>
              <w:top w:val="nil"/>
              <w:left w:val="single" w:sz="4" w:space="0" w:color="000000"/>
              <w:bottom w:val="nil"/>
              <w:right w:val="single" w:sz="4" w:space="0" w:color="000000"/>
            </w:tcBorders>
            <w:vAlign w:val="bottom"/>
          </w:tcPr>
          <w:p w14:paraId="712C294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14:paraId="712C294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52" w14:textId="77777777" w:rsidTr="002800BD">
        <w:trPr>
          <w:trHeight w:val="288"/>
        </w:trPr>
        <w:tc>
          <w:tcPr>
            <w:tcW w:w="2967" w:type="dxa"/>
            <w:tcBorders>
              <w:top w:val="single" w:sz="6" w:space="0" w:color="000000"/>
              <w:left w:val="single" w:sz="6" w:space="0" w:color="000000"/>
              <w:bottom w:val="nil"/>
              <w:right w:val="single" w:sz="4" w:space="0" w:color="000000"/>
            </w:tcBorders>
            <w:vAlign w:val="bottom"/>
          </w:tcPr>
          <w:p w14:paraId="712C294B" w14:textId="77777777" w:rsidR="00485416" w:rsidRPr="003A5EE1" w:rsidRDefault="00485416" w:rsidP="002800BD">
            <w:pPr>
              <w:keepNext/>
              <w:keepLines/>
              <w:widowControl w:val="0"/>
              <w:autoSpaceDE w:val="0"/>
              <w:autoSpaceDN w:val="0"/>
              <w:adjustRightInd w:val="0"/>
              <w:rPr>
                <w:rFonts w:ascii="Arial" w:hAnsi="Arial" w:cs="Arial"/>
                <w:b/>
                <w:bCs/>
                <w:sz w:val="22"/>
                <w:szCs w:val="22"/>
              </w:rPr>
            </w:pPr>
            <w:r w:rsidRPr="003A5EE1">
              <w:rPr>
                <w:rFonts w:ascii="Arial" w:hAnsi="Arial" w:cs="Arial"/>
                <w:b/>
                <w:bCs/>
                <w:sz w:val="22"/>
                <w:szCs w:val="22"/>
              </w:rPr>
              <w:t>Metabolism and nutrition disorders</w:t>
            </w:r>
          </w:p>
        </w:tc>
        <w:tc>
          <w:tcPr>
            <w:tcW w:w="1185" w:type="dxa"/>
            <w:tcBorders>
              <w:top w:val="single" w:sz="6" w:space="0" w:color="000000"/>
              <w:left w:val="single" w:sz="4" w:space="0" w:color="000000"/>
              <w:bottom w:val="nil"/>
              <w:right w:val="single" w:sz="4" w:space="0" w:color="000000"/>
            </w:tcBorders>
            <w:vAlign w:val="bottom"/>
          </w:tcPr>
          <w:p w14:paraId="712C294C" w14:textId="77777777"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6" w:type="dxa"/>
            <w:tcBorders>
              <w:top w:val="single" w:sz="6" w:space="0" w:color="000000"/>
              <w:left w:val="single" w:sz="4" w:space="0" w:color="000000"/>
              <w:bottom w:val="nil"/>
              <w:right w:val="single" w:sz="4" w:space="0" w:color="000000"/>
            </w:tcBorders>
            <w:vAlign w:val="bottom"/>
          </w:tcPr>
          <w:p w14:paraId="712C294D" w14:textId="77777777"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5" w:type="dxa"/>
            <w:tcBorders>
              <w:top w:val="single" w:sz="6" w:space="0" w:color="000000"/>
              <w:left w:val="single" w:sz="4" w:space="0" w:color="000000"/>
              <w:bottom w:val="nil"/>
              <w:right w:val="single" w:sz="4" w:space="0" w:color="000000"/>
            </w:tcBorders>
            <w:vAlign w:val="bottom"/>
          </w:tcPr>
          <w:p w14:paraId="712C294E" w14:textId="77777777"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6" w:type="dxa"/>
            <w:tcBorders>
              <w:top w:val="single" w:sz="6" w:space="0" w:color="000000"/>
              <w:left w:val="single" w:sz="4" w:space="0" w:color="000000"/>
              <w:bottom w:val="nil"/>
              <w:right w:val="single" w:sz="4" w:space="0" w:color="000000"/>
            </w:tcBorders>
            <w:vAlign w:val="bottom"/>
          </w:tcPr>
          <w:p w14:paraId="712C294F" w14:textId="77777777"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5" w:type="dxa"/>
            <w:tcBorders>
              <w:top w:val="single" w:sz="6" w:space="0" w:color="000000"/>
              <w:left w:val="single" w:sz="4" w:space="0" w:color="000000"/>
              <w:bottom w:val="nil"/>
              <w:right w:val="single" w:sz="4" w:space="0" w:color="000000"/>
            </w:tcBorders>
            <w:vAlign w:val="bottom"/>
          </w:tcPr>
          <w:p w14:paraId="712C2950" w14:textId="77777777"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6" w:type="dxa"/>
            <w:tcBorders>
              <w:top w:val="single" w:sz="6" w:space="0" w:color="000000"/>
              <w:left w:val="single" w:sz="4" w:space="0" w:color="000000"/>
              <w:bottom w:val="nil"/>
              <w:right w:val="single" w:sz="4" w:space="0" w:color="000000"/>
            </w:tcBorders>
            <w:vAlign w:val="bottom"/>
          </w:tcPr>
          <w:p w14:paraId="712C2951" w14:textId="77777777"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r>
      <w:tr w:rsidR="00485416" w:rsidRPr="003A5EE1" w14:paraId="712C295A" w14:textId="77777777" w:rsidTr="002800BD">
        <w:trPr>
          <w:trHeight w:val="288"/>
        </w:trPr>
        <w:tc>
          <w:tcPr>
            <w:tcW w:w="2967" w:type="dxa"/>
            <w:tcBorders>
              <w:top w:val="nil"/>
              <w:left w:val="single" w:sz="6" w:space="0" w:color="000000"/>
              <w:bottom w:val="nil"/>
              <w:right w:val="single" w:sz="4" w:space="0" w:color="000000"/>
            </w:tcBorders>
            <w:vAlign w:val="bottom"/>
          </w:tcPr>
          <w:p w14:paraId="712C2953"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proofErr w:type="spellStart"/>
            <w:r w:rsidRPr="003A5EE1">
              <w:rPr>
                <w:rFonts w:ascii="Arial" w:eastAsia="Batang" w:hAnsi="Arial" w:cs="Arial"/>
                <w:sz w:val="22"/>
                <w:szCs w:val="22"/>
                <w:lang w:eastAsia="ko-KR"/>
              </w:rPr>
              <w:t>Hypocalcemia</w:t>
            </w:r>
            <w:proofErr w:type="spellEnd"/>
          </w:p>
        </w:tc>
        <w:tc>
          <w:tcPr>
            <w:tcW w:w="1185" w:type="dxa"/>
            <w:tcBorders>
              <w:top w:val="nil"/>
              <w:left w:val="single" w:sz="4" w:space="0" w:color="000000"/>
              <w:bottom w:val="nil"/>
              <w:right w:val="single" w:sz="4" w:space="0" w:color="000000"/>
            </w:tcBorders>
            <w:vAlign w:val="bottom"/>
          </w:tcPr>
          <w:p w14:paraId="712C295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59</w:t>
            </w:r>
          </w:p>
        </w:tc>
        <w:tc>
          <w:tcPr>
            <w:tcW w:w="1186" w:type="dxa"/>
            <w:tcBorders>
              <w:top w:val="nil"/>
              <w:left w:val="single" w:sz="4" w:space="0" w:color="000000"/>
              <w:bottom w:val="nil"/>
              <w:right w:val="single" w:sz="4" w:space="0" w:color="000000"/>
            </w:tcBorders>
            <w:vAlign w:val="bottom"/>
          </w:tcPr>
          <w:p w14:paraId="712C295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5" w:type="dxa"/>
            <w:tcBorders>
              <w:top w:val="nil"/>
              <w:left w:val="single" w:sz="4" w:space="0" w:color="000000"/>
              <w:bottom w:val="nil"/>
              <w:right w:val="single" w:sz="4" w:space="0" w:color="000000"/>
            </w:tcBorders>
            <w:vAlign w:val="bottom"/>
          </w:tcPr>
          <w:p w14:paraId="712C295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14:paraId="712C295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18</w:t>
            </w:r>
          </w:p>
        </w:tc>
        <w:tc>
          <w:tcPr>
            <w:tcW w:w="1185" w:type="dxa"/>
            <w:tcBorders>
              <w:top w:val="nil"/>
              <w:left w:val="single" w:sz="4" w:space="0" w:color="000000"/>
              <w:bottom w:val="nil"/>
              <w:right w:val="single" w:sz="4" w:space="0" w:color="000000"/>
            </w:tcBorders>
            <w:vAlign w:val="bottom"/>
          </w:tcPr>
          <w:p w14:paraId="712C295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nil"/>
              <w:right w:val="single" w:sz="4" w:space="0" w:color="000000"/>
            </w:tcBorders>
            <w:vAlign w:val="bottom"/>
          </w:tcPr>
          <w:p w14:paraId="712C295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62" w14:textId="77777777" w:rsidTr="002800BD">
        <w:trPr>
          <w:trHeight w:val="288"/>
        </w:trPr>
        <w:tc>
          <w:tcPr>
            <w:tcW w:w="2967" w:type="dxa"/>
            <w:tcBorders>
              <w:top w:val="nil"/>
              <w:left w:val="single" w:sz="6" w:space="0" w:color="000000"/>
              <w:bottom w:val="nil"/>
              <w:right w:val="single" w:sz="4" w:space="0" w:color="000000"/>
            </w:tcBorders>
            <w:vAlign w:val="bottom"/>
          </w:tcPr>
          <w:p w14:paraId="712C295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Hypokal</w:t>
            </w:r>
            <w:r w:rsidR="00F808D7">
              <w:rPr>
                <w:rFonts w:ascii="Arial" w:eastAsia="Batang" w:hAnsi="Arial" w:cs="Arial"/>
                <w:sz w:val="22"/>
                <w:szCs w:val="22"/>
                <w:lang w:eastAsia="ko-KR"/>
              </w:rPr>
              <w:t>a</w:t>
            </w:r>
            <w:r w:rsidRPr="003A5EE1">
              <w:rPr>
                <w:rFonts w:ascii="Arial" w:eastAsia="Batang" w:hAnsi="Arial" w:cs="Arial"/>
                <w:sz w:val="22"/>
                <w:szCs w:val="22"/>
                <w:lang w:eastAsia="ko-KR"/>
              </w:rPr>
              <w:t>emia</w:t>
            </w:r>
          </w:p>
        </w:tc>
        <w:tc>
          <w:tcPr>
            <w:tcW w:w="1185" w:type="dxa"/>
            <w:tcBorders>
              <w:top w:val="nil"/>
              <w:left w:val="single" w:sz="4" w:space="0" w:color="000000"/>
              <w:bottom w:val="nil"/>
              <w:right w:val="single" w:sz="4" w:space="0" w:color="000000"/>
            </w:tcBorders>
            <w:vAlign w:val="bottom"/>
          </w:tcPr>
          <w:p w14:paraId="712C295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26</w:t>
            </w:r>
          </w:p>
        </w:tc>
        <w:tc>
          <w:tcPr>
            <w:tcW w:w="1186" w:type="dxa"/>
            <w:tcBorders>
              <w:top w:val="nil"/>
              <w:left w:val="single" w:sz="4" w:space="0" w:color="000000"/>
              <w:bottom w:val="nil"/>
              <w:right w:val="single" w:sz="4" w:space="0" w:color="000000"/>
            </w:tcBorders>
            <w:vAlign w:val="bottom"/>
          </w:tcPr>
          <w:p w14:paraId="712C295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5" w:type="dxa"/>
            <w:tcBorders>
              <w:top w:val="nil"/>
              <w:left w:val="single" w:sz="4" w:space="0" w:color="000000"/>
              <w:bottom w:val="nil"/>
              <w:right w:val="single" w:sz="4" w:space="0" w:color="000000"/>
            </w:tcBorders>
            <w:vAlign w:val="bottom"/>
          </w:tcPr>
          <w:p w14:paraId="712C295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14:paraId="712C295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8</w:t>
            </w:r>
          </w:p>
        </w:tc>
        <w:tc>
          <w:tcPr>
            <w:tcW w:w="1185" w:type="dxa"/>
            <w:tcBorders>
              <w:top w:val="nil"/>
              <w:left w:val="single" w:sz="4" w:space="0" w:color="000000"/>
              <w:bottom w:val="nil"/>
              <w:right w:val="single" w:sz="4" w:space="0" w:color="000000"/>
            </w:tcBorders>
            <w:vAlign w:val="bottom"/>
          </w:tcPr>
          <w:p w14:paraId="712C296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14:paraId="712C296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6A" w14:textId="77777777" w:rsidTr="002800BD">
        <w:trPr>
          <w:trHeight w:val="288"/>
        </w:trPr>
        <w:tc>
          <w:tcPr>
            <w:tcW w:w="2967" w:type="dxa"/>
            <w:tcBorders>
              <w:top w:val="nil"/>
              <w:left w:val="single" w:sz="6" w:space="0" w:color="000000"/>
              <w:bottom w:val="nil"/>
              <w:right w:val="single" w:sz="4" w:space="0" w:color="000000"/>
            </w:tcBorders>
            <w:vAlign w:val="bottom"/>
          </w:tcPr>
          <w:p w14:paraId="712C2963"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Hyponatremia</w:t>
            </w:r>
          </w:p>
        </w:tc>
        <w:tc>
          <w:tcPr>
            <w:tcW w:w="1185" w:type="dxa"/>
            <w:tcBorders>
              <w:top w:val="nil"/>
              <w:left w:val="single" w:sz="4" w:space="0" w:color="000000"/>
              <w:bottom w:val="nil"/>
              <w:right w:val="single" w:sz="4" w:space="0" w:color="000000"/>
            </w:tcBorders>
          </w:tcPr>
          <w:p w14:paraId="712C296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30</w:t>
            </w:r>
          </w:p>
        </w:tc>
        <w:tc>
          <w:tcPr>
            <w:tcW w:w="1186" w:type="dxa"/>
            <w:tcBorders>
              <w:top w:val="nil"/>
              <w:left w:val="single" w:sz="4" w:space="0" w:color="000000"/>
              <w:bottom w:val="nil"/>
              <w:right w:val="single" w:sz="4" w:space="0" w:color="000000"/>
            </w:tcBorders>
          </w:tcPr>
          <w:p w14:paraId="712C296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7</w:t>
            </w:r>
          </w:p>
        </w:tc>
        <w:tc>
          <w:tcPr>
            <w:tcW w:w="1185" w:type="dxa"/>
            <w:tcBorders>
              <w:top w:val="nil"/>
              <w:left w:val="single" w:sz="4" w:space="0" w:color="000000"/>
              <w:bottom w:val="nil"/>
              <w:right w:val="single" w:sz="4" w:space="0" w:color="000000"/>
            </w:tcBorders>
          </w:tcPr>
          <w:p w14:paraId="712C296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1</w:t>
            </w:r>
          </w:p>
        </w:tc>
        <w:tc>
          <w:tcPr>
            <w:tcW w:w="1186" w:type="dxa"/>
            <w:tcBorders>
              <w:top w:val="nil"/>
              <w:left w:val="single" w:sz="4" w:space="0" w:color="000000"/>
              <w:bottom w:val="nil"/>
              <w:right w:val="single" w:sz="4" w:space="0" w:color="000000"/>
            </w:tcBorders>
          </w:tcPr>
          <w:p w14:paraId="712C296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22</w:t>
            </w:r>
          </w:p>
        </w:tc>
        <w:tc>
          <w:tcPr>
            <w:tcW w:w="1185" w:type="dxa"/>
            <w:tcBorders>
              <w:top w:val="nil"/>
              <w:left w:val="single" w:sz="4" w:space="0" w:color="000000"/>
              <w:bottom w:val="nil"/>
              <w:right w:val="single" w:sz="4" w:space="0" w:color="000000"/>
            </w:tcBorders>
          </w:tcPr>
          <w:p w14:paraId="712C296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4</w:t>
            </w:r>
          </w:p>
        </w:tc>
        <w:tc>
          <w:tcPr>
            <w:tcW w:w="1186" w:type="dxa"/>
            <w:tcBorders>
              <w:top w:val="nil"/>
              <w:left w:val="single" w:sz="4" w:space="0" w:color="000000"/>
              <w:bottom w:val="nil"/>
              <w:right w:val="single" w:sz="4" w:space="0" w:color="000000"/>
            </w:tcBorders>
          </w:tcPr>
          <w:p w14:paraId="712C296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0</w:t>
            </w:r>
          </w:p>
        </w:tc>
      </w:tr>
      <w:tr w:rsidR="00485416" w:rsidRPr="003A5EE1" w14:paraId="712C2972" w14:textId="77777777" w:rsidTr="002800BD">
        <w:trPr>
          <w:trHeight w:val="288"/>
        </w:trPr>
        <w:tc>
          <w:tcPr>
            <w:tcW w:w="2967" w:type="dxa"/>
            <w:tcBorders>
              <w:top w:val="nil"/>
              <w:left w:val="single" w:sz="6" w:space="0" w:color="000000"/>
              <w:bottom w:val="single" w:sz="4" w:space="0" w:color="000000"/>
              <w:right w:val="single" w:sz="4" w:space="0" w:color="000000"/>
            </w:tcBorders>
            <w:vAlign w:val="bottom"/>
          </w:tcPr>
          <w:p w14:paraId="712C296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proofErr w:type="spellStart"/>
            <w:r w:rsidRPr="003A5EE1">
              <w:rPr>
                <w:rFonts w:ascii="Arial" w:eastAsia="Batang" w:hAnsi="Arial" w:cs="Arial"/>
                <w:sz w:val="22"/>
                <w:szCs w:val="22"/>
                <w:lang w:eastAsia="ko-KR"/>
              </w:rPr>
              <w:t>Hypophosphat</w:t>
            </w:r>
            <w:r w:rsidR="00C74B51">
              <w:rPr>
                <w:rFonts w:ascii="Arial" w:eastAsia="Batang" w:hAnsi="Arial" w:cs="Arial"/>
                <w:sz w:val="22"/>
                <w:szCs w:val="22"/>
                <w:lang w:eastAsia="ko-KR"/>
              </w:rPr>
              <w:t>a</w:t>
            </w:r>
            <w:r w:rsidRPr="003A5EE1">
              <w:rPr>
                <w:rFonts w:ascii="Arial" w:eastAsia="Batang" w:hAnsi="Arial" w:cs="Arial"/>
                <w:sz w:val="22"/>
                <w:szCs w:val="22"/>
                <w:lang w:eastAsia="ko-KR"/>
              </w:rPr>
              <w:t>emia</w:t>
            </w:r>
            <w:proofErr w:type="spellEnd"/>
          </w:p>
        </w:tc>
        <w:tc>
          <w:tcPr>
            <w:tcW w:w="1185" w:type="dxa"/>
            <w:tcBorders>
              <w:top w:val="nil"/>
              <w:left w:val="single" w:sz="4" w:space="0" w:color="000000"/>
              <w:bottom w:val="single" w:sz="4" w:space="0" w:color="000000"/>
              <w:right w:val="single" w:sz="4" w:space="0" w:color="000000"/>
            </w:tcBorders>
            <w:vAlign w:val="bottom"/>
          </w:tcPr>
          <w:p w14:paraId="712C296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57</w:t>
            </w:r>
          </w:p>
        </w:tc>
        <w:tc>
          <w:tcPr>
            <w:tcW w:w="1186" w:type="dxa"/>
            <w:tcBorders>
              <w:top w:val="nil"/>
              <w:left w:val="single" w:sz="4" w:space="0" w:color="000000"/>
              <w:bottom w:val="single" w:sz="4" w:space="0" w:color="000000"/>
              <w:right w:val="single" w:sz="4" w:space="0" w:color="000000"/>
            </w:tcBorders>
            <w:vAlign w:val="bottom"/>
          </w:tcPr>
          <w:p w14:paraId="712C296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31</w:t>
            </w:r>
          </w:p>
        </w:tc>
        <w:tc>
          <w:tcPr>
            <w:tcW w:w="1185" w:type="dxa"/>
            <w:tcBorders>
              <w:top w:val="nil"/>
              <w:left w:val="single" w:sz="4" w:space="0" w:color="000000"/>
              <w:bottom w:val="single" w:sz="4" w:space="0" w:color="000000"/>
              <w:right w:val="single" w:sz="4" w:space="0" w:color="000000"/>
            </w:tcBorders>
            <w:vAlign w:val="bottom"/>
          </w:tcPr>
          <w:p w14:paraId="712C296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single" w:sz="4" w:space="0" w:color="000000"/>
              <w:right w:val="single" w:sz="4" w:space="0" w:color="000000"/>
            </w:tcBorders>
            <w:vAlign w:val="bottom"/>
          </w:tcPr>
          <w:p w14:paraId="712C296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11</w:t>
            </w:r>
          </w:p>
        </w:tc>
        <w:tc>
          <w:tcPr>
            <w:tcW w:w="1185" w:type="dxa"/>
            <w:tcBorders>
              <w:top w:val="nil"/>
              <w:left w:val="single" w:sz="4" w:space="0" w:color="000000"/>
              <w:bottom w:val="single" w:sz="4" w:space="0" w:color="000000"/>
              <w:right w:val="single" w:sz="4" w:space="0" w:color="000000"/>
            </w:tcBorders>
            <w:vAlign w:val="bottom"/>
          </w:tcPr>
          <w:p w14:paraId="712C297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6" w:type="dxa"/>
            <w:tcBorders>
              <w:top w:val="nil"/>
              <w:left w:val="single" w:sz="4" w:space="0" w:color="000000"/>
              <w:bottom w:val="single" w:sz="4" w:space="0" w:color="000000"/>
              <w:right w:val="single" w:sz="4" w:space="0" w:color="000000"/>
            </w:tcBorders>
            <w:vAlign w:val="bottom"/>
          </w:tcPr>
          <w:p w14:paraId="712C297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7A" w14:textId="77777777" w:rsidTr="002800BD">
        <w:trPr>
          <w:trHeight w:val="288"/>
        </w:trPr>
        <w:tc>
          <w:tcPr>
            <w:tcW w:w="2967" w:type="dxa"/>
            <w:tcBorders>
              <w:top w:val="single" w:sz="4" w:space="0" w:color="000000"/>
              <w:left w:val="single" w:sz="6" w:space="0" w:color="000000"/>
              <w:bottom w:val="nil"/>
              <w:right w:val="single" w:sz="4" w:space="0" w:color="000000"/>
            </w:tcBorders>
            <w:vAlign w:val="bottom"/>
          </w:tcPr>
          <w:p w14:paraId="712C2973" w14:textId="77777777" w:rsidR="00485416" w:rsidRPr="003A5EE1" w:rsidRDefault="00485416" w:rsidP="002800BD">
            <w:pPr>
              <w:keepNext/>
              <w:keepLines/>
              <w:widowControl w:val="0"/>
              <w:autoSpaceDE w:val="0"/>
              <w:autoSpaceDN w:val="0"/>
              <w:adjustRightInd w:val="0"/>
              <w:rPr>
                <w:rFonts w:ascii="Arial" w:eastAsia="Batang" w:hAnsi="Arial" w:cs="Arial"/>
                <w:b/>
                <w:bCs/>
                <w:sz w:val="22"/>
                <w:szCs w:val="22"/>
                <w:lang w:eastAsia="ko-KR"/>
              </w:rPr>
            </w:pPr>
            <w:r w:rsidRPr="003A5EE1">
              <w:rPr>
                <w:rFonts w:ascii="Arial" w:hAnsi="Arial" w:cs="Arial"/>
                <w:b/>
                <w:bCs/>
                <w:sz w:val="22"/>
                <w:szCs w:val="22"/>
              </w:rPr>
              <w:lastRenderedPageBreak/>
              <w:t>Hepatobiliary disorders</w:t>
            </w:r>
          </w:p>
        </w:tc>
        <w:tc>
          <w:tcPr>
            <w:tcW w:w="1185" w:type="dxa"/>
            <w:tcBorders>
              <w:top w:val="single" w:sz="4" w:space="0" w:color="000000"/>
              <w:left w:val="single" w:sz="4" w:space="0" w:color="000000"/>
              <w:bottom w:val="nil"/>
              <w:right w:val="single" w:sz="4" w:space="0" w:color="000000"/>
            </w:tcBorders>
            <w:vAlign w:val="bottom"/>
          </w:tcPr>
          <w:p w14:paraId="712C297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7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14:paraId="712C297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7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14:paraId="712C297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7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r>
      <w:tr w:rsidR="00485416" w:rsidRPr="003A5EE1" w14:paraId="712C2982" w14:textId="77777777" w:rsidTr="002800BD">
        <w:trPr>
          <w:trHeight w:val="288"/>
        </w:trPr>
        <w:tc>
          <w:tcPr>
            <w:tcW w:w="2967" w:type="dxa"/>
            <w:tcBorders>
              <w:top w:val="nil"/>
              <w:left w:val="single" w:sz="6" w:space="0" w:color="000000"/>
              <w:bottom w:val="nil"/>
              <w:right w:val="single" w:sz="4" w:space="0" w:color="000000"/>
            </w:tcBorders>
            <w:vAlign w:val="bottom"/>
          </w:tcPr>
          <w:p w14:paraId="712C297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proofErr w:type="spellStart"/>
            <w:r w:rsidRPr="003A5EE1">
              <w:rPr>
                <w:rFonts w:ascii="Arial" w:eastAsia="Batang" w:hAnsi="Arial" w:cs="Arial"/>
                <w:sz w:val="22"/>
                <w:szCs w:val="22"/>
                <w:lang w:eastAsia="ko-KR"/>
              </w:rPr>
              <w:t>Hyperbilirubin</w:t>
            </w:r>
            <w:r w:rsidR="00F808D7">
              <w:rPr>
                <w:rFonts w:ascii="Arial" w:eastAsia="Batang" w:hAnsi="Arial" w:cs="Arial"/>
                <w:sz w:val="22"/>
                <w:szCs w:val="22"/>
                <w:lang w:eastAsia="ko-KR"/>
              </w:rPr>
              <w:t>a</w:t>
            </w:r>
            <w:r w:rsidRPr="003A5EE1">
              <w:rPr>
                <w:rFonts w:ascii="Arial" w:eastAsia="Batang" w:hAnsi="Arial" w:cs="Arial"/>
                <w:sz w:val="22"/>
                <w:szCs w:val="22"/>
                <w:lang w:eastAsia="ko-KR"/>
              </w:rPr>
              <w:t>emia</w:t>
            </w:r>
            <w:proofErr w:type="spellEnd"/>
          </w:p>
        </w:tc>
        <w:tc>
          <w:tcPr>
            <w:tcW w:w="1185" w:type="dxa"/>
            <w:tcBorders>
              <w:top w:val="nil"/>
              <w:left w:val="single" w:sz="4" w:space="0" w:color="000000"/>
              <w:bottom w:val="nil"/>
              <w:right w:val="single" w:sz="4" w:space="0" w:color="000000"/>
            </w:tcBorders>
            <w:vAlign w:val="bottom"/>
          </w:tcPr>
          <w:p w14:paraId="712C297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45</w:t>
            </w:r>
          </w:p>
        </w:tc>
        <w:tc>
          <w:tcPr>
            <w:tcW w:w="1186" w:type="dxa"/>
            <w:tcBorders>
              <w:top w:val="nil"/>
              <w:left w:val="single" w:sz="4" w:space="0" w:color="000000"/>
              <w:bottom w:val="nil"/>
              <w:right w:val="single" w:sz="4" w:space="0" w:color="000000"/>
            </w:tcBorders>
            <w:vAlign w:val="bottom"/>
          </w:tcPr>
          <w:p w14:paraId="712C297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10</w:t>
            </w:r>
          </w:p>
        </w:tc>
        <w:tc>
          <w:tcPr>
            <w:tcW w:w="1185" w:type="dxa"/>
            <w:tcBorders>
              <w:top w:val="nil"/>
              <w:left w:val="single" w:sz="4" w:space="0" w:color="000000"/>
              <w:bottom w:val="nil"/>
              <w:right w:val="single" w:sz="4" w:space="0" w:color="000000"/>
            </w:tcBorders>
            <w:vAlign w:val="bottom"/>
          </w:tcPr>
          <w:p w14:paraId="712C297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14:paraId="712C297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nil"/>
              <w:right w:val="single" w:sz="4" w:space="0" w:color="000000"/>
            </w:tcBorders>
            <w:vAlign w:val="bottom"/>
          </w:tcPr>
          <w:p w14:paraId="712C298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6" w:type="dxa"/>
            <w:tcBorders>
              <w:top w:val="nil"/>
              <w:left w:val="single" w:sz="4" w:space="0" w:color="000000"/>
              <w:bottom w:val="nil"/>
              <w:right w:val="single" w:sz="4" w:space="0" w:color="000000"/>
            </w:tcBorders>
            <w:vAlign w:val="bottom"/>
          </w:tcPr>
          <w:p w14:paraId="712C298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r>
      <w:tr w:rsidR="00485416" w:rsidRPr="003A5EE1" w14:paraId="712C298A" w14:textId="77777777" w:rsidTr="002800BD">
        <w:trPr>
          <w:trHeight w:val="288"/>
        </w:trPr>
        <w:tc>
          <w:tcPr>
            <w:tcW w:w="2967" w:type="dxa"/>
            <w:tcBorders>
              <w:top w:val="nil"/>
              <w:left w:val="single" w:sz="6" w:space="0" w:color="000000"/>
              <w:bottom w:val="nil"/>
              <w:right w:val="single" w:sz="4" w:space="0" w:color="000000"/>
            </w:tcBorders>
            <w:vAlign w:val="bottom"/>
          </w:tcPr>
          <w:p w14:paraId="712C2983"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AST</w:t>
            </w:r>
          </w:p>
        </w:tc>
        <w:tc>
          <w:tcPr>
            <w:tcW w:w="1185" w:type="dxa"/>
            <w:tcBorders>
              <w:top w:val="nil"/>
              <w:left w:val="single" w:sz="4" w:space="0" w:color="000000"/>
              <w:bottom w:val="nil"/>
              <w:right w:val="single" w:sz="4" w:space="0" w:color="000000"/>
            </w:tcBorders>
            <w:vAlign w:val="bottom"/>
          </w:tcPr>
          <w:p w14:paraId="712C298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65</w:t>
            </w:r>
          </w:p>
        </w:tc>
        <w:tc>
          <w:tcPr>
            <w:tcW w:w="1186" w:type="dxa"/>
            <w:tcBorders>
              <w:top w:val="nil"/>
              <w:left w:val="single" w:sz="4" w:space="0" w:color="000000"/>
              <w:bottom w:val="nil"/>
              <w:right w:val="single" w:sz="4" w:space="0" w:color="000000"/>
            </w:tcBorders>
            <w:vAlign w:val="bottom"/>
          </w:tcPr>
          <w:p w14:paraId="712C298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5" w:type="dxa"/>
            <w:tcBorders>
              <w:top w:val="nil"/>
              <w:left w:val="single" w:sz="4" w:space="0" w:color="000000"/>
              <w:bottom w:val="nil"/>
              <w:right w:val="single" w:sz="4" w:space="0" w:color="000000"/>
            </w:tcBorders>
            <w:vAlign w:val="bottom"/>
          </w:tcPr>
          <w:p w14:paraId="712C298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nil"/>
              <w:right w:val="single" w:sz="4" w:space="0" w:color="000000"/>
            </w:tcBorders>
            <w:vAlign w:val="bottom"/>
          </w:tcPr>
          <w:p w14:paraId="712C298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46</w:t>
            </w:r>
          </w:p>
        </w:tc>
        <w:tc>
          <w:tcPr>
            <w:tcW w:w="1185" w:type="dxa"/>
            <w:tcBorders>
              <w:top w:val="nil"/>
              <w:left w:val="single" w:sz="4" w:space="0" w:color="000000"/>
              <w:bottom w:val="nil"/>
              <w:right w:val="single" w:sz="4" w:space="0" w:color="000000"/>
            </w:tcBorders>
            <w:vAlign w:val="bottom"/>
          </w:tcPr>
          <w:p w14:paraId="712C298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6" w:type="dxa"/>
            <w:tcBorders>
              <w:top w:val="nil"/>
              <w:left w:val="single" w:sz="4" w:space="0" w:color="000000"/>
              <w:bottom w:val="nil"/>
              <w:right w:val="single" w:sz="4" w:space="0" w:color="000000"/>
            </w:tcBorders>
            <w:vAlign w:val="bottom"/>
          </w:tcPr>
          <w:p w14:paraId="712C298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r>
      <w:tr w:rsidR="00485416" w:rsidRPr="003A5EE1" w14:paraId="712C2992" w14:textId="77777777" w:rsidTr="002800BD">
        <w:trPr>
          <w:trHeight w:val="288"/>
        </w:trPr>
        <w:tc>
          <w:tcPr>
            <w:tcW w:w="2967" w:type="dxa"/>
            <w:tcBorders>
              <w:top w:val="nil"/>
              <w:left w:val="single" w:sz="6" w:space="0" w:color="000000"/>
              <w:bottom w:val="single" w:sz="4" w:space="0" w:color="000000"/>
              <w:right w:val="single" w:sz="4" w:space="0" w:color="000000"/>
            </w:tcBorders>
            <w:vAlign w:val="bottom"/>
          </w:tcPr>
          <w:p w14:paraId="712C298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ALT</w:t>
            </w:r>
          </w:p>
        </w:tc>
        <w:tc>
          <w:tcPr>
            <w:tcW w:w="1185" w:type="dxa"/>
            <w:tcBorders>
              <w:top w:val="nil"/>
              <w:left w:val="single" w:sz="4" w:space="0" w:color="000000"/>
              <w:bottom w:val="single" w:sz="4" w:space="0" w:color="000000"/>
              <w:right w:val="single" w:sz="4" w:space="0" w:color="000000"/>
            </w:tcBorders>
            <w:vAlign w:val="bottom"/>
          </w:tcPr>
          <w:p w14:paraId="712C298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45</w:t>
            </w:r>
          </w:p>
        </w:tc>
        <w:tc>
          <w:tcPr>
            <w:tcW w:w="1186" w:type="dxa"/>
            <w:tcBorders>
              <w:top w:val="nil"/>
              <w:left w:val="single" w:sz="4" w:space="0" w:color="000000"/>
              <w:bottom w:val="single" w:sz="4" w:space="0" w:color="000000"/>
              <w:right w:val="single" w:sz="4" w:space="0" w:color="000000"/>
            </w:tcBorders>
            <w:vAlign w:val="bottom"/>
          </w:tcPr>
          <w:p w14:paraId="712C298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5" w:type="dxa"/>
            <w:tcBorders>
              <w:top w:val="nil"/>
              <w:left w:val="single" w:sz="4" w:space="0" w:color="000000"/>
              <w:bottom w:val="single" w:sz="4" w:space="0" w:color="000000"/>
              <w:right w:val="single" w:sz="4" w:space="0" w:color="000000"/>
            </w:tcBorders>
            <w:vAlign w:val="bottom"/>
          </w:tcPr>
          <w:p w14:paraId="712C298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single" w:sz="4" w:space="0" w:color="000000"/>
              <w:right w:val="single" w:sz="4" w:space="0" w:color="000000"/>
            </w:tcBorders>
            <w:vAlign w:val="bottom"/>
          </w:tcPr>
          <w:p w14:paraId="712C298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30</w:t>
            </w:r>
          </w:p>
        </w:tc>
        <w:tc>
          <w:tcPr>
            <w:tcW w:w="1185" w:type="dxa"/>
            <w:tcBorders>
              <w:top w:val="nil"/>
              <w:left w:val="single" w:sz="4" w:space="0" w:color="000000"/>
              <w:bottom w:val="single" w:sz="4" w:space="0" w:color="000000"/>
              <w:right w:val="single" w:sz="4" w:space="0" w:color="000000"/>
            </w:tcBorders>
            <w:vAlign w:val="bottom"/>
          </w:tcPr>
          <w:p w14:paraId="712C299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single" w:sz="4" w:space="0" w:color="000000"/>
              <w:right w:val="single" w:sz="4" w:space="0" w:color="000000"/>
            </w:tcBorders>
            <w:vAlign w:val="bottom"/>
          </w:tcPr>
          <w:p w14:paraId="712C299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r>
      <w:tr w:rsidR="00485416" w:rsidRPr="003A5EE1" w14:paraId="712C299A" w14:textId="77777777" w:rsidTr="002800BD">
        <w:trPr>
          <w:trHeight w:val="288"/>
        </w:trPr>
        <w:tc>
          <w:tcPr>
            <w:tcW w:w="2967" w:type="dxa"/>
            <w:tcBorders>
              <w:top w:val="single" w:sz="4" w:space="0" w:color="000000"/>
              <w:left w:val="single" w:sz="6" w:space="0" w:color="000000"/>
              <w:bottom w:val="nil"/>
              <w:right w:val="single" w:sz="4" w:space="0" w:color="000000"/>
            </w:tcBorders>
            <w:vAlign w:val="bottom"/>
          </w:tcPr>
          <w:p w14:paraId="712C2993" w14:textId="77777777" w:rsidR="00485416" w:rsidRPr="003A5EE1" w:rsidRDefault="00485416" w:rsidP="002800BD">
            <w:pPr>
              <w:keepNext/>
              <w:keepLines/>
              <w:widowControl w:val="0"/>
              <w:autoSpaceDE w:val="0"/>
              <w:autoSpaceDN w:val="0"/>
              <w:adjustRightInd w:val="0"/>
              <w:rPr>
                <w:rFonts w:ascii="Arial" w:eastAsia="Batang" w:hAnsi="Arial" w:cs="Arial"/>
                <w:b/>
                <w:bCs/>
                <w:sz w:val="22"/>
                <w:szCs w:val="22"/>
                <w:lang w:eastAsia="ko-KR"/>
              </w:rPr>
            </w:pPr>
            <w:r w:rsidRPr="003A5EE1">
              <w:rPr>
                <w:rFonts w:ascii="Arial" w:hAnsi="Arial" w:cs="Arial"/>
                <w:b/>
                <w:bCs/>
                <w:sz w:val="22"/>
                <w:szCs w:val="22"/>
              </w:rPr>
              <w:t>Renal and urinary disorders</w:t>
            </w:r>
          </w:p>
        </w:tc>
        <w:tc>
          <w:tcPr>
            <w:tcW w:w="1185" w:type="dxa"/>
            <w:tcBorders>
              <w:top w:val="single" w:sz="4" w:space="0" w:color="000000"/>
              <w:left w:val="single" w:sz="4" w:space="0" w:color="000000"/>
              <w:bottom w:val="nil"/>
              <w:right w:val="single" w:sz="4" w:space="0" w:color="000000"/>
            </w:tcBorders>
            <w:vAlign w:val="bottom"/>
          </w:tcPr>
          <w:p w14:paraId="712C299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9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14:paraId="712C299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9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14:paraId="712C299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9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r>
      <w:tr w:rsidR="00485416" w:rsidRPr="003A5EE1" w14:paraId="712C29A2" w14:textId="77777777" w:rsidTr="002800BD">
        <w:trPr>
          <w:trHeight w:val="288"/>
        </w:trPr>
        <w:tc>
          <w:tcPr>
            <w:tcW w:w="2967" w:type="dxa"/>
            <w:tcBorders>
              <w:top w:val="nil"/>
              <w:left w:val="single" w:sz="6" w:space="0" w:color="000000"/>
              <w:bottom w:val="single" w:sz="4" w:space="0" w:color="000000"/>
              <w:right w:val="single" w:sz="4" w:space="0" w:color="000000"/>
            </w:tcBorders>
            <w:vAlign w:val="bottom"/>
          </w:tcPr>
          <w:p w14:paraId="712C299B" w14:textId="77777777" w:rsidR="00485416" w:rsidRPr="003A5EE1" w:rsidRDefault="00485416" w:rsidP="002800BD">
            <w:pPr>
              <w:widowControl w:val="0"/>
              <w:autoSpaceDE w:val="0"/>
              <w:autoSpaceDN w:val="0"/>
              <w:adjustRightInd w:val="0"/>
              <w:rPr>
                <w:rFonts w:ascii="Arial" w:eastAsia="Batang" w:hAnsi="Arial" w:cs="Arial"/>
                <w:b/>
                <w:bCs/>
                <w:sz w:val="22"/>
                <w:szCs w:val="22"/>
                <w:lang w:eastAsia="ko-KR"/>
              </w:rPr>
            </w:pPr>
            <w:r w:rsidRPr="003A5EE1">
              <w:rPr>
                <w:rFonts w:ascii="Arial" w:eastAsia="Batang" w:hAnsi="Arial" w:cs="Arial"/>
                <w:sz w:val="22"/>
                <w:szCs w:val="22"/>
                <w:lang w:eastAsia="ko-KR"/>
              </w:rPr>
              <w:t>Proteinuria</w:t>
            </w:r>
          </w:p>
        </w:tc>
        <w:tc>
          <w:tcPr>
            <w:tcW w:w="1185" w:type="dxa"/>
            <w:tcBorders>
              <w:top w:val="nil"/>
              <w:left w:val="single" w:sz="4" w:space="0" w:color="000000"/>
              <w:bottom w:val="single" w:sz="4" w:space="0" w:color="000000"/>
              <w:right w:val="single" w:sz="4" w:space="0" w:color="000000"/>
            </w:tcBorders>
            <w:vAlign w:val="bottom"/>
          </w:tcPr>
          <w:p w14:paraId="712C299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60</w:t>
            </w:r>
          </w:p>
        </w:tc>
        <w:tc>
          <w:tcPr>
            <w:tcW w:w="1186" w:type="dxa"/>
            <w:tcBorders>
              <w:top w:val="nil"/>
              <w:left w:val="single" w:sz="4" w:space="0" w:color="000000"/>
              <w:bottom w:val="single" w:sz="4" w:space="0" w:color="000000"/>
              <w:right w:val="single" w:sz="4" w:space="0" w:color="000000"/>
            </w:tcBorders>
            <w:vAlign w:val="bottom"/>
          </w:tcPr>
          <w:p w14:paraId="712C299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5" w:type="dxa"/>
            <w:tcBorders>
              <w:top w:val="nil"/>
              <w:left w:val="single" w:sz="4" w:space="0" w:color="000000"/>
              <w:bottom w:val="single" w:sz="4" w:space="0" w:color="000000"/>
              <w:right w:val="single" w:sz="4" w:space="0" w:color="000000"/>
            </w:tcBorders>
            <w:vAlign w:val="bottom"/>
          </w:tcPr>
          <w:p w14:paraId="712C299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single" w:sz="4" w:space="0" w:color="000000"/>
              <w:right w:val="single" w:sz="4" w:space="0" w:color="000000"/>
            </w:tcBorders>
            <w:vAlign w:val="bottom"/>
          </w:tcPr>
          <w:p w14:paraId="712C299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34</w:t>
            </w:r>
          </w:p>
        </w:tc>
        <w:tc>
          <w:tcPr>
            <w:tcW w:w="1185" w:type="dxa"/>
            <w:tcBorders>
              <w:top w:val="nil"/>
              <w:left w:val="single" w:sz="4" w:space="0" w:color="000000"/>
              <w:bottom w:val="single" w:sz="4" w:space="0" w:color="000000"/>
              <w:right w:val="single" w:sz="4" w:space="0" w:color="000000"/>
            </w:tcBorders>
            <w:vAlign w:val="bottom"/>
          </w:tcPr>
          <w:p w14:paraId="712C29A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single" w:sz="4" w:space="0" w:color="000000"/>
              <w:right w:val="single" w:sz="4" w:space="0" w:color="000000"/>
            </w:tcBorders>
            <w:vAlign w:val="bottom"/>
          </w:tcPr>
          <w:p w14:paraId="712C29A1" w14:textId="77777777" w:rsidR="00485416" w:rsidRPr="003A5EE1" w:rsidRDefault="00485416" w:rsidP="002800BD">
            <w:pPr>
              <w:widowControl w:val="0"/>
              <w:tabs>
                <w:tab w:val="left" w:pos="344"/>
                <w:tab w:val="center" w:pos="425"/>
              </w:tabs>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AA" w14:textId="77777777" w:rsidTr="002800BD">
        <w:trPr>
          <w:trHeight w:val="288"/>
        </w:trPr>
        <w:tc>
          <w:tcPr>
            <w:tcW w:w="2967" w:type="dxa"/>
            <w:tcBorders>
              <w:top w:val="single" w:sz="4" w:space="0" w:color="000000"/>
              <w:left w:val="single" w:sz="6" w:space="0" w:color="000000"/>
              <w:bottom w:val="nil"/>
              <w:right w:val="single" w:sz="4" w:space="0" w:color="000000"/>
            </w:tcBorders>
            <w:vAlign w:val="bottom"/>
          </w:tcPr>
          <w:p w14:paraId="712C29A3" w14:textId="77777777" w:rsidR="00485416" w:rsidRPr="003A5EE1" w:rsidRDefault="00485416" w:rsidP="002800BD">
            <w:pPr>
              <w:keepNext/>
              <w:keepLines/>
              <w:widowControl w:val="0"/>
              <w:autoSpaceDE w:val="0"/>
              <w:autoSpaceDN w:val="0"/>
              <w:adjustRightInd w:val="0"/>
              <w:rPr>
                <w:rFonts w:ascii="Arial" w:eastAsia="Batang" w:hAnsi="Arial" w:cs="Arial"/>
                <w:b/>
                <w:sz w:val="22"/>
                <w:szCs w:val="22"/>
                <w:lang w:eastAsia="ko-KR"/>
              </w:rPr>
            </w:pPr>
            <w:r w:rsidRPr="003A5EE1">
              <w:rPr>
                <w:rFonts w:ascii="Arial" w:hAnsi="Arial" w:cs="Arial"/>
                <w:b/>
                <w:bCs/>
                <w:sz w:val="22"/>
                <w:szCs w:val="22"/>
              </w:rPr>
              <w:t>Investigations</w:t>
            </w:r>
          </w:p>
        </w:tc>
        <w:tc>
          <w:tcPr>
            <w:tcW w:w="1185" w:type="dxa"/>
            <w:tcBorders>
              <w:top w:val="single" w:sz="4" w:space="0" w:color="000000"/>
              <w:left w:val="single" w:sz="4" w:space="0" w:color="000000"/>
              <w:bottom w:val="nil"/>
              <w:right w:val="single" w:sz="4" w:space="0" w:color="000000"/>
            </w:tcBorders>
            <w:vAlign w:val="bottom"/>
          </w:tcPr>
          <w:p w14:paraId="712C29A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A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14:paraId="712C29A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A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14:paraId="712C29A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14:paraId="712C29A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r>
      <w:tr w:rsidR="00485416" w:rsidRPr="003A5EE1" w14:paraId="712C29B2" w14:textId="77777777" w:rsidTr="002800BD">
        <w:trPr>
          <w:trHeight w:val="281"/>
        </w:trPr>
        <w:tc>
          <w:tcPr>
            <w:tcW w:w="2967" w:type="dxa"/>
            <w:tcBorders>
              <w:top w:val="nil"/>
              <w:left w:val="single" w:sz="6" w:space="0" w:color="000000"/>
              <w:bottom w:val="nil"/>
              <w:right w:val="single" w:sz="4" w:space="0" w:color="000000"/>
            </w:tcBorders>
            <w:vAlign w:val="bottom"/>
          </w:tcPr>
          <w:p w14:paraId="712C29A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INR</w:t>
            </w:r>
            <w:r w:rsidR="00716E57">
              <w:rPr>
                <w:rFonts w:ascii="Arial" w:eastAsia="Batang" w:hAnsi="Arial" w:cs="Arial"/>
                <w:sz w:val="22"/>
                <w:szCs w:val="22"/>
                <w:vertAlign w:val="superscript"/>
                <w:lang w:eastAsia="ko-KR"/>
              </w:rPr>
              <w:t>**</w:t>
            </w:r>
          </w:p>
        </w:tc>
        <w:tc>
          <w:tcPr>
            <w:tcW w:w="1185" w:type="dxa"/>
            <w:tcBorders>
              <w:top w:val="nil"/>
              <w:left w:val="single" w:sz="4" w:space="0" w:color="000000"/>
              <w:bottom w:val="nil"/>
              <w:right w:val="single" w:sz="4" w:space="0" w:color="000000"/>
            </w:tcBorders>
            <w:vAlign w:val="bottom"/>
          </w:tcPr>
          <w:p w14:paraId="712C29A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24</w:t>
            </w:r>
          </w:p>
        </w:tc>
        <w:tc>
          <w:tcPr>
            <w:tcW w:w="1186" w:type="dxa"/>
            <w:tcBorders>
              <w:top w:val="nil"/>
              <w:left w:val="single" w:sz="4" w:space="0" w:color="000000"/>
              <w:bottom w:val="nil"/>
              <w:right w:val="single" w:sz="4" w:space="0" w:color="000000"/>
            </w:tcBorders>
            <w:vAlign w:val="bottom"/>
          </w:tcPr>
          <w:p w14:paraId="712C29A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5" w:type="dxa"/>
            <w:tcBorders>
              <w:top w:val="nil"/>
              <w:left w:val="single" w:sz="4" w:space="0" w:color="000000"/>
              <w:bottom w:val="nil"/>
              <w:right w:val="single" w:sz="4" w:space="0" w:color="000000"/>
            </w:tcBorders>
            <w:vAlign w:val="bottom"/>
          </w:tcPr>
          <w:p w14:paraId="712C29A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N/A</w:t>
            </w:r>
          </w:p>
        </w:tc>
        <w:tc>
          <w:tcPr>
            <w:tcW w:w="1186" w:type="dxa"/>
            <w:tcBorders>
              <w:top w:val="nil"/>
              <w:left w:val="single" w:sz="4" w:space="0" w:color="000000"/>
              <w:bottom w:val="nil"/>
              <w:right w:val="single" w:sz="4" w:space="0" w:color="000000"/>
            </w:tcBorders>
            <w:vAlign w:val="bottom"/>
          </w:tcPr>
          <w:p w14:paraId="712C29A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nil"/>
              <w:right w:val="single" w:sz="4" w:space="0" w:color="000000"/>
            </w:tcBorders>
            <w:vAlign w:val="bottom"/>
          </w:tcPr>
          <w:p w14:paraId="712C29B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6" w:type="dxa"/>
            <w:tcBorders>
              <w:top w:val="nil"/>
              <w:left w:val="single" w:sz="4" w:space="0" w:color="000000"/>
              <w:bottom w:val="nil"/>
              <w:right w:val="single" w:sz="4" w:space="0" w:color="000000"/>
            </w:tcBorders>
            <w:vAlign w:val="bottom"/>
          </w:tcPr>
          <w:p w14:paraId="712C29B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N/A</w:t>
            </w:r>
          </w:p>
        </w:tc>
      </w:tr>
      <w:tr w:rsidR="00485416" w:rsidRPr="003A5EE1" w14:paraId="712C29BA" w14:textId="77777777" w:rsidTr="002800BD">
        <w:trPr>
          <w:trHeight w:val="281"/>
        </w:trPr>
        <w:tc>
          <w:tcPr>
            <w:tcW w:w="2967" w:type="dxa"/>
            <w:tcBorders>
              <w:top w:val="nil"/>
              <w:left w:val="single" w:sz="6" w:space="0" w:color="000000"/>
              <w:bottom w:val="nil"/>
              <w:right w:val="single" w:sz="4" w:space="0" w:color="000000"/>
            </w:tcBorders>
            <w:vAlign w:val="bottom"/>
          </w:tcPr>
          <w:p w14:paraId="712C29B3"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Lipase</w:t>
            </w:r>
          </w:p>
        </w:tc>
        <w:tc>
          <w:tcPr>
            <w:tcW w:w="1185" w:type="dxa"/>
            <w:tcBorders>
              <w:top w:val="nil"/>
              <w:left w:val="single" w:sz="4" w:space="0" w:color="000000"/>
              <w:bottom w:val="nil"/>
              <w:right w:val="single" w:sz="4" w:space="0" w:color="000000"/>
            </w:tcBorders>
            <w:vAlign w:val="bottom"/>
          </w:tcPr>
          <w:p w14:paraId="712C29B4"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46</w:t>
            </w:r>
          </w:p>
        </w:tc>
        <w:tc>
          <w:tcPr>
            <w:tcW w:w="1186" w:type="dxa"/>
            <w:tcBorders>
              <w:top w:val="nil"/>
              <w:left w:val="single" w:sz="4" w:space="0" w:color="000000"/>
              <w:bottom w:val="nil"/>
              <w:right w:val="single" w:sz="4" w:space="0" w:color="000000"/>
            </w:tcBorders>
            <w:vAlign w:val="bottom"/>
          </w:tcPr>
          <w:p w14:paraId="712C29B5"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9</w:t>
            </w:r>
          </w:p>
        </w:tc>
        <w:tc>
          <w:tcPr>
            <w:tcW w:w="1185" w:type="dxa"/>
            <w:tcBorders>
              <w:top w:val="nil"/>
              <w:left w:val="single" w:sz="4" w:space="0" w:color="000000"/>
              <w:bottom w:val="nil"/>
              <w:right w:val="single" w:sz="4" w:space="0" w:color="000000"/>
            </w:tcBorders>
            <w:vAlign w:val="bottom"/>
          </w:tcPr>
          <w:p w14:paraId="712C29B6"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6" w:type="dxa"/>
            <w:tcBorders>
              <w:top w:val="nil"/>
              <w:left w:val="single" w:sz="4" w:space="0" w:color="000000"/>
              <w:bottom w:val="nil"/>
              <w:right w:val="single" w:sz="4" w:space="0" w:color="000000"/>
            </w:tcBorders>
            <w:vAlign w:val="bottom"/>
          </w:tcPr>
          <w:p w14:paraId="712C29B7"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19</w:t>
            </w:r>
          </w:p>
        </w:tc>
        <w:tc>
          <w:tcPr>
            <w:tcW w:w="1185" w:type="dxa"/>
            <w:tcBorders>
              <w:top w:val="nil"/>
              <w:left w:val="single" w:sz="4" w:space="0" w:color="000000"/>
              <w:bottom w:val="nil"/>
              <w:right w:val="single" w:sz="4" w:space="0" w:color="000000"/>
            </w:tcBorders>
            <w:vAlign w:val="bottom"/>
          </w:tcPr>
          <w:p w14:paraId="712C29B8"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14:paraId="712C29B9"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r>
      <w:tr w:rsidR="00485416" w:rsidRPr="003A5EE1" w14:paraId="712C29C2" w14:textId="77777777" w:rsidTr="002800BD">
        <w:trPr>
          <w:trHeight w:val="281"/>
        </w:trPr>
        <w:tc>
          <w:tcPr>
            <w:tcW w:w="2967" w:type="dxa"/>
            <w:tcBorders>
              <w:top w:val="nil"/>
              <w:left w:val="single" w:sz="6" w:space="0" w:color="000000"/>
              <w:bottom w:val="single" w:sz="4" w:space="0" w:color="auto"/>
              <w:right w:val="single" w:sz="4" w:space="0" w:color="000000"/>
            </w:tcBorders>
            <w:vAlign w:val="bottom"/>
          </w:tcPr>
          <w:p w14:paraId="712C29BB" w14:textId="77777777"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Amylase</w:t>
            </w:r>
          </w:p>
        </w:tc>
        <w:tc>
          <w:tcPr>
            <w:tcW w:w="1185" w:type="dxa"/>
            <w:tcBorders>
              <w:top w:val="nil"/>
              <w:left w:val="single" w:sz="4" w:space="0" w:color="000000"/>
              <w:bottom w:val="single" w:sz="4" w:space="0" w:color="auto"/>
              <w:right w:val="single" w:sz="4" w:space="0" w:color="000000"/>
            </w:tcBorders>
            <w:vAlign w:val="bottom"/>
          </w:tcPr>
          <w:p w14:paraId="712C29BC"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26</w:t>
            </w:r>
          </w:p>
        </w:tc>
        <w:tc>
          <w:tcPr>
            <w:tcW w:w="1186" w:type="dxa"/>
            <w:tcBorders>
              <w:top w:val="nil"/>
              <w:left w:val="single" w:sz="4" w:space="0" w:color="000000"/>
              <w:bottom w:val="single" w:sz="4" w:space="0" w:color="auto"/>
              <w:right w:val="single" w:sz="4" w:space="0" w:color="000000"/>
            </w:tcBorders>
            <w:vAlign w:val="bottom"/>
          </w:tcPr>
          <w:p w14:paraId="712C29BD"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5" w:type="dxa"/>
            <w:tcBorders>
              <w:top w:val="nil"/>
              <w:left w:val="single" w:sz="4" w:space="0" w:color="000000"/>
              <w:bottom w:val="single" w:sz="4" w:space="0" w:color="auto"/>
              <w:right w:val="single" w:sz="4" w:space="0" w:color="000000"/>
            </w:tcBorders>
            <w:vAlign w:val="bottom"/>
          </w:tcPr>
          <w:p w14:paraId="712C29BE"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single" w:sz="4" w:space="0" w:color="auto"/>
              <w:right w:val="single" w:sz="4" w:space="0" w:color="000000"/>
            </w:tcBorders>
            <w:vAlign w:val="bottom"/>
          </w:tcPr>
          <w:p w14:paraId="712C29BF"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single" w:sz="4" w:space="0" w:color="auto"/>
              <w:right w:val="single" w:sz="4" w:space="0" w:color="000000"/>
            </w:tcBorders>
            <w:vAlign w:val="bottom"/>
          </w:tcPr>
          <w:p w14:paraId="712C29C0"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6" w:type="dxa"/>
            <w:tcBorders>
              <w:top w:val="nil"/>
              <w:left w:val="single" w:sz="4" w:space="0" w:color="000000"/>
              <w:bottom w:val="single" w:sz="4" w:space="0" w:color="auto"/>
              <w:right w:val="single" w:sz="4" w:space="0" w:color="000000"/>
            </w:tcBorders>
            <w:vAlign w:val="bottom"/>
          </w:tcPr>
          <w:p w14:paraId="712C29C1" w14:textId="77777777"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r>
    </w:tbl>
    <w:p w14:paraId="712C29C3" w14:textId="77777777" w:rsidR="00716E57" w:rsidRPr="0034700C" w:rsidRDefault="00716E57" w:rsidP="00485416">
      <w:pPr>
        <w:tabs>
          <w:tab w:val="left" w:pos="284"/>
        </w:tabs>
        <w:autoSpaceDE w:val="0"/>
        <w:autoSpaceDN w:val="0"/>
        <w:adjustRightInd w:val="0"/>
        <w:rPr>
          <w:rFonts w:ascii="Arial" w:hAnsi="Arial" w:cs="Arial"/>
          <w:sz w:val="20"/>
          <w:szCs w:val="20"/>
        </w:rPr>
      </w:pPr>
      <w:r w:rsidRPr="00740E73">
        <w:rPr>
          <w:rFonts w:ascii="Arial" w:hAnsi="Arial" w:cs="Arial"/>
          <w:sz w:val="20"/>
          <w:szCs w:val="20"/>
          <w:vertAlign w:val="superscript"/>
        </w:rPr>
        <w:t>§</w:t>
      </w:r>
      <w:r>
        <w:rPr>
          <w:rFonts w:ascii="Arial" w:hAnsi="Arial" w:cs="Arial"/>
          <w:sz w:val="20"/>
          <w:szCs w:val="20"/>
        </w:rPr>
        <w:t>Best Supportive Care</w:t>
      </w:r>
    </w:p>
    <w:p w14:paraId="712C29C4" w14:textId="77777777" w:rsidR="00485416" w:rsidRPr="00386290" w:rsidRDefault="00716E57" w:rsidP="00485416">
      <w:pPr>
        <w:tabs>
          <w:tab w:val="left" w:pos="284"/>
        </w:tabs>
        <w:autoSpaceDE w:val="0"/>
        <w:autoSpaceDN w:val="0"/>
        <w:adjustRightInd w:val="0"/>
        <w:rPr>
          <w:rFonts w:ascii="Arial" w:hAnsi="Arial" w:cs="Arial"/>
          <w:sz w:val="20"/>
          <w:szCs w:val="20"/>
        </w:rPr>
      </w:pPr>
      <w:r>
        <w:rPr>
          <w:rFonts w:ascii="Arial" w:hAnsi="Arial" w:cs="Arial"/>
          <w:sz w:val="20"/>
          <w:szCs w:val="20"/>
          <w:vertAlign w:val="superscript"/>
        </w:rPr>
        <w:t>*</w:t>
      </w:r>
      <w:r w:rsidR="00485416" w:rsidRPr="00386290">
        <w:rPr>
          <w:rFonts w:ascii="Arial" w:hAnsi="Arial" w:cs="Arial"/>
          <w:sz w:val="20"/>
          <w:szCs w:val="20"/>
        </w:rPr>
        <w:t>Common Terminology Criteria for Adverse Events (CTCAE), v3.0.</w:t>
      </w:r>
    </w:p>
    <w:p w14:paraId="712C29C5" w14:textId="77777777" w:rsidR="00716E57" w:rsidRDefault="00716E57" w:rsidP="00485416">
      <w:pPr>
        <w:tabs>
          <w:tab w:val="left" w:pos="284"/>
        </w:tabs>
        <w:autoSpaceDE w:val="0"/>
        <w:autoSpaceDN w:val="0"/>
        <w:adjustRightInd w:val="0"/>
        <w:rPr>
          <w:rFonts w:ascii="Arial" w:hAnsi="Arial" w:cs="Arial"/>
          <w:sz w:val="20"/>
          <w:szCs w:val="20"/>
        </w:rPr>
      </w:pPr>
      <w:r>
        <w:rPr>
          <w:rFonts w:ascii="Arial" w:hAnsi="Arial" w:cs="Arial"/>
          <w:sz w:val="20"/>
          <w:szCs w:val="20"/>
          <w:vertAlign w:val="superscript"/>
        </w:rPr>
        <w:t>**</w:t>
      </w:r>
      <w:r w:rsidR="00896B3F" w:rsidRPr="00386290">
        <w:rPr>
          <w:rFonts w:ascii="Arial" w:hAnsi="Arial" w:cs="Arial"/>
          <w:sz w:val="20"/>
          <w:szCs w:val="20"/>
        </w:rPr>
        <w:t>International normalis</w:t>
      </w:r>
      <w:r w:rsidR="00485416" w:rsidRPr="00386290">
        <w:rPr>
          <w:rFonts w:ascii="Arial" w:hAnsi="Arial" w:cs="Arial"/>
          <w:sz w:val="20"/>
          <w:szCs w:val="20"/>
        </w:rPr>
        <w:t xml:space="preserve">ed ratio: </w:t>
      </w:r>
    </w:p>
    <w:p w14:paraId="712C29C6" w14:textId="77777777" w:rsidR="00485416" w:rsidRPr="00386290" w:rsidRDefault="00485416" w:rsidP="00485416">
      <w:pPr>
        <w:tabs>
          <w:tab w:val="left" w:pos="284"/>
        </w:tabs>
        <w:autoSpaceDE w:val="0"/>
        <w:autoSpaceDN w:val="0"/>
        <w:adjustRightInd w:val="0"/>
        <w:rPr>
          <w:rFonts w:ascii="Arial" w:hAnsi="Arial" w:cs="Arial"/>
          <w:sz w:val="20"/>
          <w:szCs w:val="20"/>
        </w:rPr>
      </w:pPr>
      <w:r w:rsidRPr="00386290">
        <w:rPr>
          <w:rFonts w:ascii="Arial" w:hAnsi="Arial" w:cs="Arial"/>
          <w:sz w:val="20"/>
          <w:szCs w:val="20"/>
        </w:rPr>
        <w:t>No Grade 4 denoted in CTCAE, v3.0.</w:t>
      </w:r>
    </w:p>
    <w:p w14:paraId="712C29C7" w14:textId="77777777" w:rsidR="001E2167" w:rsidRDefault="001E2167" w:rsidP="00485416">
      <w:pPr>
        <w:tabs>
          <w:tab w:val="left" w:pos="284"/>
        </w:tabs>
        <w:autoSpaceDE w:val="0"/>
        <w:autoSpaceDN w:val="0"/>
        <w:adjustRightInd w:val="0"/>
        <w:rPr>
          <w:rFonts w:ascii="Arial" w:hAnsi="Arial" w:cs="Arial"/>
          <w:sz w:val="22"/>
          <w:szCs w:val="22"/>
        </w:rPr>
      </w:pPr>
    </w:p>
    <w:p w14:paraId="712C29C8" w14:textId="77777777" w:rsidR="00F548A0" w:rsidRPr="005B4EB5" w:rsidRDefault="00F548A0" w:rsidP="005B4EB5">
      <w:pPr>
        <w:pStyle w:val="Heading3"/>
        <w:rPr>
          <w:rFonts w:ascii="Arial" w:hAnsi="Arial" w:cs="Arial"/>
          <w:sz w:val="22"/>
          <w:szCs w:val="22"/>
        </w:rPr>
      </w:pPr>
      <w:r w:rsidRPr="005B4EB5">
        <w:rPr>
          <w:rFonts w:ascii="Arial" w:hAnsi="Arial" w:cs="Arial"/>
          <w:sz w:val="22"/>
          <w:szCs w:val="22"/>
        </w:rPr>
        <w:t>Gastrointestinal stromal tumours</w:t>
      </w:r>
    </w:p>
    <w:p w14:paraId="712C29C9" w14:textId="77777777" w:rsidR="00F548A0" w:rsidRDefault="00F548A0" w:rsidP="00485416">
      <w:pPr>
        <w:tabs>
          <w:tab w:val="left" w:pos="284"/>
        </w:tabs>
        <w:autoSpaceDE w:val="0"/>
        <w:autoSpaceDN w:val="0"/>
        <w:adjustRightInd w:val="0"/>
        <w:rPr>
          <w:rFonts w:ascii="Arial" w:hAnsi="Arial" w:cs="Arial"/>
          <w:b/>
          <w:i/>
          <w:sz w:val="22"/>
          <w:szCs w:val="22"/>
        </w:rPr>
      </w:pPr>
    </w:p>
    <w:p w14:paraId="712C29CA" w14:textId="77777777" w:rsidR="00F548A0" w:rsidRDefault="00F548A0" w:rsidP="00485416">
      <w:pPr>
        <w:tabs>
          <w:tab w:val="left" w:pos="284"/>
        </w:tabs>
        <w:autoSpaceDE w:val="0"/>
        <w:autoSpaceDN w:val="0"/>
        <w:adjustRightInd w:val="0"/>
        <w:rPr>
          <w:rFonts w:ascii="Arial" w:hAnsi="Arial" w:cs="Arial"/>
          <w:sz w:val="22"/>
          <w:szCs w:val="22"/>
        </w:rPr>
      </w:pPr>
      <w:r w:rsidRPr="00F548A0">
        <w:rPr>
          <w:rFonts w:ascii="Arial" w:hAnsi="Arial" w:cs="Arial"/>
          <w:sz w:val="22"/>
          <w:szCs w:val="22"/>
        </w:rPr>
        <w:t xml:space="preserve">The safety of </w:t>
      </w:r>
      <w:r w:rsidR="00601DFC">
        <w:rPr>
          <w:rFonts w:ascii="Arial" w:hAnsi="Arial" w:cs="Arial"/>
          <w:sz w:val="22"/>
          <w:szCs w:val="22"/>
        </w:rPr>
        <w:t>STIVARGA</w:t>
      </w:r>
      <w:r w:rsidR="00FF0B8E">
        <w:rPr>
          <w:rFonts w:ascii="Arial" w:hAnsi="Arial" w:cs="Arial"/>
          <w:sz w:val="22"/>
          <w:szCs w:val="22"/>
        </w:rPr>
        <w:t xml:space="preserve"> </w:t>
      </w:r>
      <w:r w:rsidR="00E764BB">
        <w:rPr>
          <w:rFonts w:ascii="Arial" w:hAnsi="Arial" w:cs="Arial"/>
          <w:sz w:val="22"/>
          <w:szCs w:val="22"/>
        </w:rPr>
        <w:t xml:space="preserve">in the pivotal study (GRID) </w:t>
      </w:r>
      <w:r w:rsidR="005911BE">
        <w:rPr>
          <w:rFonts w:ascii="Arial" w:hAnsi="Arial" w:cs="Arial"/>
          <w:sz w:val="22"/>
          <w:szCs w:val="22"/>
        </w:rPr>
        <w:t xml:space="preserve">were derived from a randomised (2:1), </w:t>
      </w:r>
      <w:r w:rsidR="006E70D2">
        <w:rPr>
          <w:rFonts w:ascii="Arial" w:hAnsi="Arial" w:cs="Arial"/>
          <w:sz w:val="22"/>
          <w:szCs w:val="22"/>
        </w:rPr>
        <w:t xml:space="preserve">double-blind, </w:t>
      </w:r>
      <w:r w:rsidR="005911BE">
        <w:rPr>
          <w:rFonts w:ascii="Arial" w:hAnsi="Arial" w:cs="Arial"/>
          <w:sz w:val="22"/>
          <w:szCs w:val="22"/>
        </w:rPr>
        <w:t>placebo controlled trial in which</w:t>
      </w:r>
      <w:r w:rsidRPr="00F548A0">
        <w:rPr>
          <w:rFonts w:ascii="Arial" w:hAnsi="Arial" w:cs="Arial"/>
          <w:sz w:val="22"/>
          <w:szCs w:val="22"/>
        </w:rPr>
        <w:t xml:space="preserve"> 132 patients with previously treated </w:t>
      </w:r>
      <w:r w:rsidR="005911BE">
        <w:rPr>
          <w:rFonts w:ascii="Arial" w:hAnsi="Arial" w:cs="Arial"/>
          <w:sz w:val="22"/>
          <w:szCs w:val="22"/>
        </w:rPr>
        <w:t xml:space="preserve">advanced/metastatic </w:t>
      </w:r>
      <w:r w:rsidRPr="00F548A0">
        <w:rPr>
          <w:rFonts w:ascii="Arial" w:hAnsi="Arial" w:cs="Arial"/>
          <w:sz w:val="22"/>
          <w:szCs w:val="22"/>
        </w:rPr>
        <w:t>GIST</w:t>
      </w:r>
      <w:r w:rsidR="005806EE">
        <w:rPr>
          <w:rFonts w:ascii="Arial" w:hAnsi="Arial" w:cs="Arial"/>
          <w:sz w:val="22"/>
          <w:szCs w:val="22"/>
        </w:rPr>
        <w:t xml:space="preserve"> received STIVARGA</w:t>
      </w:r>
      <w:r w:rsidR="005911BE">
        <w:rPr>
          <w:rFonts w:ascii="Arial" w:hAnsi="Arial" w:cs="Arial"/>
          <w:sz w:val="22"/>
          <w:szCs w:val="22"/>
        </w:rPr>
        <w:t xml:space="preserve"> as a single agent at a dose of 160 mg daily for the first 3 weeks of each 4 week treatment cycle and 66 </w:t>
      </w:r>
      <w:r w:rsidR="004F501C">
        <w:rPr>
          <w:rFonts w:ascii="Arial" w:hAnsi="Arial" w:cs="Arial"/>
          <w:sz w:val="22"/>
          <w:szCs w:val="22"/>
        </w:rPr>
        <w:t>patients receiv</w:t>
      </w:r>
      <w:r w:rsidR="005911BE">
        <w:rPr>
          <w:rFonts w:ascii="Arial" w:hAnsi="Arial" w:cs="Arial"/>
          <w:sz w:val="22"/>
          <w:szCs w:val="22"/>
        </w:rPr>
        <w:t>ed</w:t>
      </w:r>
      <w:r w:rsidRPr="00F548A0">
        <w:rPr>
          <w:rFonts w:ascii="Arial" w:hAnsi="Arial" w:cs="Arial"/>
          <w:sz w:val="22"/>
          <w:szCs w:val="22"/>
        </w:rPr>
        <w:t xml:space="preserve"> placebo. </w:t>
      </w:r>
    </w:p>
    <w:p w14:paraId="712C29CB" w14:textId="77777777" w:rsidR="00833F59" w:rsidRDefault="00833F59" w:rsidP="00485416">
      <w:pPr>
        <w:tabs>
          <w:tab w:val="left" w:pos="284"/>
        </w:tabs>
        <w:autoSpaceDE w:val="0"/>
        <w:autoSpaceDN w:val="0"/>
        <w:adjustRightInd w:val="0"/>
        <w:rPr>
          <w:rFonts w:ascii="Arial" w:hAnsi="Arial" w:cs="Arial"/>
          <w:sz w:val="22"/>
          <w:szCs w:val="22"/>
        </w:rPr>
      </w:pPr>
    </w:p>
    <w:p w14:paraId="712C29CC" w14:textId="77777777" w:rsidR="00833F59" w:rsidRPr="00833F59" w:rsidRDefault="00833F59" w:rsidP="00833F59">
      <w:pPr>
        <w:autoSpaceDE w:val="0"/>
        <w:autoSpaceDN w:val="0"/>
        <w:adjustRightInd w:val="0"/>
        <w:rPr>
          <w:rFonts w:ascii="Arial" w:hAnsi="Arial" w:cs="Arial"/>
          <w:sz w:val="22"/>
          <w:szCs w:val="22"/>
        </w:rPr>
      </w:pPr>
      <w:r w:rsidRPr="00833F59">
        <w:rPr>
          <w:rFonts w:ascii="Arial" w:hAnsi="Arial" w:cs="Arial"/>
          <w:sz w:val="22"/>
          <w:szCs w:val="22"/>
          <w:lang w:val="en-US"/>
        </w:rPr>
        <w:t xml:space="preserve">Table 6 compares the incidence of adverse reactions (≥10%) in GIST patients receiving </w:t>
      </w:r>
      <w:r w:rsidR="00601DFC">
        <w:rPr>
          <w:rFonts w:ascii="Arial" w:hAnsi="Arial" w:cs="Arial"/>
          <w:sz w:val="22"/>
          <w:szCs w:val="22"/>
          <w:lang w:val="en-US"/>
        </w:rPr>
        <w:t>STIVARGA</w:t>
      </w:r>
      <w:r w:rsidR="00FF0B8E">
        <w:rPr>
          <w:rFonts w:ascii="Arial" w:hAnsi="Arial" w:cs="Arial"/>
          <w:sz w:val="22"/>
          <w:szCs w:val="22"/>
          <w:lang w:val="en-US"/>
        </w:rPr>
        <w:t xml:space="preserve"> </w:t>
      </w:r>
      <w:r w:rsidRPr="00833F59">
        <w:rPr>
          <w:rFonts w:ascii="Arial" w:hAnsi="Arial" w:cs="Arial"/>
          <w:sz w:val="22"/>
          <w:szCs w:val="22"/>
          <w:lang w:val="en-US"/>
        </w:rPr>
        <w:t>and reported more commonly than in patients receiving placebo.</w:t>
      </w:r>
    </w:p>
    <w:p w14:paraId="712C29CD" w14:textId="77777777" w:rsidR="00F548A0" w:rsidRDefault="00F548A0" w:rsidP="00485416">
      <w:pPr>
        <w:tabs>
          <w:tab w:val="left" w:pos="284"/>
        </w:tabs>
        <w:autoSpaceDE w:val="0"/>
        <w:autoSpaceDN w:val="0"/>
        <w:adjustRightInd w:val="0"/>
        <w:rPr>
          <w:rFonts w:ascii="Arial" w:hAnsi="Arial" w:cs="Arial"/>
          <w:sz w:val="22"/>
          <w:szCs w:val="22"/>
        </w:rPr>
      </w:pPr>
    </w:p>
    <w:p w14:paraId="712C29CE" w14:textId="77777777" w:rsidR="00F548A0" w:rsidRDefault="004F501C" w:rsidP="00C34AF3">
      <w:pPr>
        <w:keepNext/>
        <w:tabs>
          <w:tab w:val="left" w:pos="284"/>
        </w:tabs>
        <w:autoSpaceDE w:val="0"/>
        <w:autoSpaceDN w:val="0"/>
        <w:adjustRightInd w:val="0"/>
        <w:rPr>
          <w:rFonts w:ascii="Arial" w:hAnsi="Arial" w:cs="Arial"/>
          <w:b/>
          <w:sz w:val="22"/>
          <w:szCs w:val="22"/>
        </w:rPr>
      </w:pPr>
      <w:r>
        <w:rPr>
          <w:rFonts w:ascii="Arial" w:hAnsi="Arial" w:cs="Arial"/>
          <w:b/>
          <w:sz w:val="22"/>
          <w:szCs w:val="22"/>
        </w:rPr>
        <w:t xml:space="preserve">Table 6: </w:t>
      </w:r>
      <w:r w:rsidR="00233D33">
        <w:rPr>
          <w:rFonts w:ascii="Arial" w:hAnsi="Arial" w:cs="Arial"/>
          <w:b/>
          <w:sz w:val="22"/>
          <w:szCs w:val="22"/>
        </w:rPr>
        <w:t>Incidence of a</w:t>
      </w:r>
      <w:r w:rsidR="00F548A0" w:rsidRPr="00F548A0">
        <w:rPr>
          <w:rFonts w:ascii="Arial" w:hAnsi="Arial" w:cs="Arial"/>
          <w:b/>
          <w:sz w:val="22"/>
          <w:szCs w:val="22"/>
        </w:rPr>
        <w:t xml:space="preserve">dverse drug reactions (≥10%) reported in patients treated with </w:t>
      </w:r>
      <w:r w:rsidR="00601DFC">
        <w:rPr>
          <w:rFonts w:ascii="Arial" w:hAnsi="Arial" w:cs="Arial"/>
          <w:b/>
          <w:sz w:val="22"/>
          <w:szCs w:val="22"/>
        </w:rPr>
        <w:t>STIVARGA</w:t>
      </w:r>
      <w:r w:rsidR="00FF0B8E">
        <w:rPr>
          <w:rFonts w:ascii="Arial" w:hAnsi="Arial" w:cs="Arial"/>
          <w:b/>
          <w:sz w:val="22"/>
          <w:szCs w:val="22"/>
        </w:rPr>
        <w:t xml:space="preserve"> </w:t>
      </w:r>
      <w:r w:rsidR="00F548A0" w:rsidRPr="00F548A0">
        <w:rPr>
          <w:rFonts w:ascii="Arial" w:hAnsi="Arial" w:cs="Arial"/>
          <w:b/>
          <w:sz w:val="22"/>
          <w:szCs w:val="22"/>
        </w:rPr>
        <w:t>and reported more commonly than in patients receiving placebo</w:t>
      </w:r>
      <w:r w:rsidR="00233D33">
        <w:rPr>
          <w:rFonts w:ascii="Arial" w:hAnsi="Arial" w:cs="Arial"/>
          <w:b/>
          <w:sz w:val="22"/>
          <w:szCs w:val="22"/>
        </w:rPr>
        <w:t xml:space="preserve"> (GRID)</w:t>
      </w:r>
    </w:p>
    <w:p w14:paraId="712C29CF" w14:textId="77777777" w:rsidR="00F548A0" w:rsidRPr="00F548A0" w:rsidRDefault="00F548A0" w:rsidP="00C34AF3">
      <w:pPr>
        <w:keepNext/>
        <w:tabs>
          <w:tab w:val="left" w:pos="284"/>
        </w:tabs>
        <w:autoSpaceDE w:val="0"/>
        <w:autoSpaceDN w:val="0"/>
        <w:adjustRightInd w:val="0"/>
        <w:rPr>
          <w:rFonts w:ascii="Arial" w:hAnsi="Arial" w:cs="Arial"/>
          <w:sz w:val="22"/>
          <w:szCs w:val="22"/>
        </w:rPr>
      </w:pPr>
    </w:p>
    <w:tbl>
      <w:tblPr>
        <w:tblW w:w="9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5"/>
        <w:gridCol w:w="1559"/>
        <w:gridCol w:w="1559"/>
        <w:gridCol w:w="1701"/>
        <w:gridCol w:w="1701"/>
      </w:tblGrid>
      <w:tr w:rsidR="00233D33" w:rsidRPr="00681B2E" w14:paraId="712C29D6" w14:textId="77777777" w:rsidTr="00761490">
        <w:trPr>
          <w:trHeight w:val="288"/>
          <w:tblHeader/>
        </w:trPr>
        <w:tc>
          <w:tcPr>
            <w:tcW w:w="1404" w:type="pct"/>
            <w:vMerge w:val="restart"/>
            <w:tcBorders>
              <w:top w:val="single" w:sz="4" w:space="0" w:color="auto"/>
              <w:left w:val="single" w:sz="4" w:space="0" w:color="auto"/>
              <w:right w:val="single" w:sz="4" w:space="0" w:color="auto"/>
            </w:tcBorders>
            <w:vAlign w:val="center"/>
          </w:tcPr>
          <w:p w14:paraId="712C29D0" w14:textId="77777777" w:rsidR="00233D33" w:rsidRPr="000C7269" w:rsidRDefault="00233D33" w:rsidP="00C34AF3">
            <w:pPr>
              <w:keepNext/>
              <w:tabs>
                <w:tab w:val="left" w:pos="2127"/>
              </w:tabs>
              <w:jc w:val="center"/>
              <w:rPr>
                <w:rFonts w:ascii="Arial" w:hAnsi="Arial" w:cs="Arial"/>
                <w:b/>
                <w:sz w:val="22"/>
                <w:szCs w:val="22"/>
              </w:rPr>
            </w:pPr>
            <w:r>
              <w:rPr>
                <w:rFonts w:ascii="Arial" w:hAnsi="Arial" w:cs="Arial"/>
                <w:b/>
                <w:sz w:val="22"/>
                <w:szCs w:val="22"/>
              </w:rPr>
              <w:t>System Organ Class/Preferred</w:t>
            </w:r>
            <w:r w:rsidR="00AE385F">
              <w:rPr>
                <w:rFonts w:ascii="Arial" w:hAnsi="Arial" w:cs="Arial"/>
                <w:b/>
                <w:sz w:val="22"/>
                <w:szCs w:val="22"/>
              </w:rPr>
              <w:t xml:space="preserve"> Term</w:t>
            </w:r>
          </w:p>
          <w:p w14:paraId="712C29D1" w14:textId="77777777" w:rsidR="00233D33" w:rsidRPr="000C7269" w:rsidRDefault="00233D33" w:rsidP="009B62F1">
            <w:pPr>
              <w:keepNext/>
              <w:tabs>
                <w:tab w:val="left" w:pos="2127"/>
              </w:tabs>
              <w:jc w:val="center"/>
              <w:rPr>
                <w:rFonts w:ascii="Arial" w:hAnsi="Arial" w:cs="Arial"/>
                <w:b/>
                <w:sz w:val="22"/>
                <w:szCs w:val="22"/>
              </w:rPr>
            </w:pPr>
          </w:p>
        </w:tc>
        <w:tc>
          <w:tcPr>
            <w:tcW w:w="1720" w:type="pct"/>
            <w:gridSpan w:val="2"/>
            <w:tcBorders>
              <w:top w:val="single" w:sz="4" w:space="0" w:color="auto"/>
              <w:left w:val="single" w:sz="4" w:space="0" w:color="auto"/>
              <w:bottom w:val="single" w:sz="4" w:space="0" w:color="auto"/>
              <w:right w:val="single" w:sz="4" w:space="0" w:color="auto"/>
            </w:tcBorders>
            <w:vAlign w:val="center"/>
          </w:tcPr>
          <w:p w14:paraId="712C29D2" w14:textId="77777777" w:rsidR="00233D33" w:rsidRPr="00761490" w:rsidRDefault="00233D33" w:rsidP="00804F67">
            <w:pPr>
              <w:keepNext/>
              <w:tabs>
                <w:tab w:val="left" w:pos="2127"/>
              </w:tabs>
              <w:jc w:val="center"/>
              <w:rPr>
                <w:rFonts w:ascii="Arial" w:hAnsi="Arial" w:cs="Arial"/>
                <w:b/>
                <w:bCs/>
                <w:color w:val="000000"/>
                <w:sz w:val="22"/>
                <w:szCs w:val="22"/>
                <w:vertAlign w:val="superscript"/>
              </w:rPr>
            </w:pPr>
            <w:r>
              <w:rPr>
                <w:rFonts w:ascii="Arial" w:hAnsi="Arial" w:cs="Arial"/>
                <w:b/>
                <w:bCs/>
                <w:color w:val="000000"/>
                <w:sz w:val="22"/>
                <w:szCs w:val="22"/>
              </w:rPr>
              <w:t xml:space="preserve">STIVARGA </w:t>
            </w:r>
            <w:r w:rsidRPr="000C7269">
              <w:rPr>
                <w:rFonts w:ascii="Arial" w:hAnsi="Arial" w:cs="Arial"/>
                <w:b/>
                <w:bCs/>
                <w:color w:val="000000"/>
                <w:sz w:val="22"/>
                <w:szCs w:val="22"/>
              </w:rPr>
              <w:t>plus BSC</w:t>
            </w:r>
            <w:r w:rsidR="002C4E78" w:rsidRPr="00761490">
              <w:rPr>
                <w:rFonts w:ascii="Arial" w:hAnsi="Arial" w:cs="Arial"/>
                <w:b/>
                <w:bCs/>
                <w:color w:val="000000"/>
                <w:sz w:val="22"/>
                <w:szCs w:val="22"/>
                <w:vertAlign w:val="superscript"/>
              </w:rPr>
              <w:t>§</w:t>
            </w:r>
          </w:p>
          <w:p w14:paraId="712C29D3" w14:textId="77777777" w:rsidR="00233D33" w:rsidRPr="000C7269" w:rsidRDefault="00233D33" w:rsidP="00804F67">
            <w:pPr>
              <w:keepNext/>
              <w:tabs>
                <w:tab w:val="left" w:pos="2127"/>
              </w:tabs>
              <w:jc w:val="center"/>
              <w:rPr>
                <w:rFonts w:ascii="Arial" w:hAnsi="Arial" w:cs="Arial"/>
                <w:b/>
                <w:bCs/>
                <w:color w:val="000000"/>
                <w:sz w:val="22"/>
                <w:szCs w:val="22"/>
              </w:rPr>
            </w:pPr>
            <w:r w:rsidRPr="000C7269">
              <w:rPr>
                <w:rFonts w:ascii="Arial" w:hAnsi="Arial" w:cs="Arial"/>
                <w:b/>
                <w:bCs/>
                <w:color w:val="000000"/>
                <w:sz w:val="22"/>
                <w:szCs w:val="22"/>
              </w:rPr>
              <w:t>(</w:t>
            </w:r>
            <w:r>
              <w:rPr>
                <w:rFonts w:ascii="Arial" w:hAnsi="Arial" w:cs="Arial"/>
                <w:b/>
                <w:bCs/>
                <w:color w:val="000000"/>
                <w:sz w:val="22"/>
                <w:szCs w:val="22"/>
              </w:rPr>
              <w:t>N</w:t>
            </w:r>
            <w:r w:rsidRPr="000C7269">
              <w:rPr>
                <w:rFonts w:ascii="Arial" w:hAnsi="Arial" w:cs="Arial"/>
                <w:b/>
                <w:bCs/>
                <w:color w:val="000000"/>
                <w:sz w:val="22"/>
                <w:szCs w:val="22"/>
              </w:rPr>
              <w:t>=132)</w:t>
            </w:r>
          </w:p>
        </w:tc>
        <w:tc>
          <w:tcPr>
            <w:tcW w:w="1876" w:type="pct"/>
            <w:gridSpan w:val="2"/>
            <w:tcBorders>
              <w:top w:val="single" w:sz="4" w:space="0" w:color="auto"/>
              <w:left w:val="single" w:sz="4" w:space="0" w:color="auto"/>
              <w:bottom w:val="single" w:sz="4" w:space="0" w:color="auto"/>
              <w:right w:val="single" w:sz="4" w:space="0" w:color="auto"/>
            </w:tcBorders>
            <w:vAlign w:val="center"/>
          </w:tcPr>
          <w:p w14:paraId="712C29D4" w14:textId="77777777" w:rsidR="00233D33" w:rsidRPr="000C7269" w:rsidRDefault="00233D33" w:rsidP="00804F67">
            <w:pPr>
              <w:keepNext/>
              <w:tabs>
                <w:tab w:val="left" w:pos="2127"/>
              </w:tabs>
              <w:jc w:val="center"/>
              <w:rPr>
                <w:rFonts w:ascii="Arial" w:hAnsi="Arial" w:cs="Arial"/>
                <w:b/>
                <w:bCs/>
                <w:color w:val="000000"/>
                <w:sz w:val="22"/>
                <w:szCs w:val="22"/>
              </w:rPr>
            </w:pPr>
            <w:r w:rsidRPr="000C7269">
              <w:rPr>
                <w:rFonts w:ascii="Arial" w:hAnsi="Arial" w:cs="Arial"/>
                <w:b/>
                <w:bCs/>
                <w:color w:val="000000"/>
                <w:sz w:val="22"/>
                <w:szCs w:val="22"/>
              </w:rPr>
              <w:t>Placebo plus BSC</w:t>
            </w:r>
            <w:r w:rsidR="002C4E78" w:rsidRPr="00761490">
              <w:rPr>
                <w:rFonts w:ascii="Arial" w:hAnsi="Arial" w:cs="Arial"/>
                <w:b/>
                <w:bCs/>
                <w:color w:val="000000"/>
                <w:sz w:val="22"/>
                <w:szCs w:val="22"/>
                <w:vertAlign w:val="superscript"/>
              </w:rPr>
              <w:t>§</w:t>
            </w:r>
          </w:p>
          <w:p w14:paraId="712C29D5" w14:textId="77777777" w:rsidR="00233D33" w:rsidRPr="000C7269" w:rsidRDefault="00233D33" w:rsidP="00804F67">
            <w:pPr>
              <w:keepNext/>
              <w:tabs>
                <w:tab w:val="left" w:pos="2127"/>
              </w:tabs>
              <w:jc w:val="center"/>
              <w:rPr>
                <w:rFonts w:ascii="Arial" w:hAnsi="Arial" w:cs="Arial"/>
                <w:b/>
                <w:bCs/>
                <w:color w:val="000000"/>
                <w:sz w:val="22"/>
                <w:szCs w:val="22"/>
              </w:rPr>
            </w:pPr>
            <w:r w:rsidRPr="000C7269">
              <w:rPr>
                <w:rFonts w:ascii="Arial" w:hAnsi="Arial" w:cs="Arial"/>
                <w:b/>
                <w:bCs/>
                <w:color w:val="000000"/>
                <w:sz w:val="22"/>
                <w:szCs w:val="22"/>
              </w:rPr>
              <w:t>(</w:t>
            </w:r>
            <w:r>
              <w:rPr>
                <w:rFonts w:ascii="Arial" w:hAnsi="Arial" w:cs="Arial"/>
                <w:b/>
                <w:bCs/>
                <w:color w:val="000000"/>
                <w:sz w:val="22"/>
                <w:szCs w:val="22"/>
              </w:rPr>
              <w:t>N</w:t>
            </w:r>
            <w:r w:rsidRPr="000C7269">
              <w:rPr>
                <w:rFonts w:ascii="Arial" w:hAnsi="Arial" w:cs="Arial"/>
                <w:b/>
                <w:bCs/>
                <w:color w:val="000000"/>
                <w:sz w:val="22"/>
                <w:szCs w:val="22"/>
              </w:rPr>
              <w:t>=66)</w:t>
            </w:r>
          </w:p>
        </w:tc>
      </w:tr>
      <w:tr w:rsidR="00233D33" w:rsidRPr="00681B2E" w14:paraId="712C29DA" w14:textId="77777777" w:rsidTr="00761490">
        <w:trPr>
          <w:trHeight w:val="288"/>
          <w:tblHeader/>
        </w:trPr>
        <w:tc>
          <w:tcPr>
            <w:tcW w:w="1404" w:type="pct"/>
            <w:vMerge/>
            <w:tcBorders>
              <w:left w:val="single" w:sz="4" w:space="0" w:color="auto"/>
              <w:right w:val="single" w:sz="4" w:space="0" w:color="auto"/>
            </w:tcBorders>
            <w:vAlign w:val="center"/>
          </w:tcPr>
          <w:p w14:paraId="712C29D7" w14:textId="77777777" w:rsidR="00233D33" w:rsidRPr="000C7269" w:rsidRDefault="00233D33" w:rsidP="00C07898">
            <w:pPr>
              <w:keepNext/>
              <w:tabs>
                <w:tab w:val="left" w:pos="2127"/>
              </w:tabs>
              <w:jc w:val="center"/>
              <w:rPr>
                <w:rFonts w:ascii="Arial" w:hAnsi="Arial" w:cs="Arial"/>
                <w:b/>
                <w:sz w:val="22"/>
                <w:szCs w:val="22"/>
              </w:rPr>
            </w:pPr>
          </w:p>
        </w:tc>
        <w:tc>
          <w:tcPr>
            <w:tcW w:w="1720" w:type="pct"/>
            <w:gridSpan w:val="2"/>
            <w:tcBorders>
              <w:top w:val="single" w:sz="4" w:space="0" w:color="auto"/>
              <w:left w:val="single" w:sz="4" w:space="0" w:color="auto"/>
              <w:bottom w:val="single" w:sz="4" w:space="0" w:color="auto"/>
              <w:right w:val="single" w:sz="4" w:space="0" w:color="auto"/>
            </w:tcBorders>
            <w:vAlign w:val="center"/>
          </w:tcPr>
          <w:p w14:paraId="712C29D8" w14:textId="77777777" w:rsidR="00233D33" w:rsidRPr="000C7269" w:rsidRDefault="00233D33" w:rsidP="00C07898">
            <w:pPr>
              <w:keepNext/>
              <w:tabs>
                <w:tab w:val="left" w:pos="2127"/>
              </w:tabs>
              <w:jc w:val="center"/>
              <w:rPr>
                <w:rFonts w:ascii="Arial" w:hAnsi="Arial" w:cs="Arial"/>
                <w:b/>
                <w:bCs/>
                <w:color w:val="000000"/>
                <w:sz w:val="22"/>
                <w:szCs w:val="22"/>
              </w:rPr>
            </w:pPr>
            <w:r w:rsidRPr="000C7269">
              <w:rPr>
                <w:rFonts w:ascii="Arial" w:hAnsi="Arial" w:cs="Arial"/>
                <w:b/>
                <w:bCs/>
                <w:color w:val="000000"/>
                <w:sz w:val="22"/>
                <w:szCs w:val="22"/>
              </w:rPr>
              <w:t>Grade</w:t>
            </w:r>
          </w:p>
        </w:tc>
        <w:tc>
          <w:tcPr>
            <w:tcW w:w="1876" w:type="pct"/>
            <w:gridSpan w:val="2"/>
            <w:tcBorders>
              <w:top w:val="single" w:sz="4" w:space="0" w:color="auto"/>
              <w:left w:val="single" w:sz="4" w:space="0" w:color="auto"/>
              <w:bottom w:val="single" w:sz="4" w:space="0" w:color="auto"/>
              <w:right w:val="single" w:sz="4" w:space="0" w:color="auto"/>
            </w:tcBorders>
            <w:vAlign w:val="center"/>
          </w:tcPr>
          <w:p w14:paraId="712C29D9" w14:textId="77777777" w:rsidR="00233D33" w:rsidRPr="000C7269" w:rsidRDefault="00233D33" w:rsidP="00C07898">
            <w:pPr>
              <w:keepNext/>
              <w:tabs>
                <w:tab w:val="left" w:pos="2127"/>
              </w:tabs>
              <w:jc w:val="center"/>
              <w:rPr>
                <w:rFonts w:ascii="Arial" w:hAnsi="Arial" w:cs="Arial"/>
                <w:b/>
                <w:bCs/>
                <w:color w:val="000000"/>
                <w:sz w:val="22"/>
                <w:szCs w:val="22"/>
              </w:rPr>
            </w:pPr>
            <w:r w:rsidRPr="000C7269">
              <w:rPr>
                <w:rFonts w:ascii="Arial" w:hAnsi="Arial" w:cs="Arial"/>
                <w:b/>
                <w:bCs/>
                <w:color w:val="000000"/>
                <w:sz w:val="22"/>
                <w:szCs w:val="22"/>
              </w:rPr>
              <w:t>Grade</w:t>
            </w:r>
          </w:p>
        </w:tc>
      </w:tr>
      <w:tr w:rsidR="002C4E78" w:rsidRPr="00240635" w14:paraId="712C29E4" w14:textId="77777777" w:rsidTr="00761490">
        <w:trPr>
          <w:trHeight w:val="576"/>
          <w:tblHeader/>
        </w:trPr>
        <w:tc>
          <w:tcPr>
            <w:tcW w:w="1404" w:type="pct"/>
            <w:vMerge/>
            <w:tcBorders>
              <w:left w:val="single" w:sz="4" w:space="0" w:color="auto"/>
              <w:bottom w:val="single" w:sz="4" w:space="0" w:color="auto"/>
              <w:right w:val="single" w:sz="4" w:space="0" w:color="auto"/>
            </w:tcBorders>
            <w:vAlign w:val="center"/>
          </w:tcPr>
          <w:p w14:paraId="712C29DB" w14:textId="77777777" w:rsidR="002C4E78" w:rsidRPr="00386290" w:rsidRDefault="002C4E78" w:rsidP="00C07898">
            <w:pPr>
              <w:keepNext/>
              <w:widowControl w:val="0"/>
              <w:tabs>
                <w:tab w:val="left" w:pos="2127"/>
              </w:tabs>
              <w:spacing w:before="60"/>
              <w:jc w:val="center"/>
              <w:rPr>
                <w:rFonts w:ascii="Arial" w:hAnsi="Arial" w:cs="Arial"/>
                <w:b/>
                <w:sz w:val="22"/>
                <w:szCs w:val="22"/>
              </w:rPr>
            </w:pPr>
          </w:p>
        </w:tc>
        <w:tc>
          <w:tcPr>
            <w:tcW w:w="860" w:type="pct"/>
            <w:tcBorders>
              <w:left w:val="single" w:sz="4" w:space="0" w:color="auto"/>
            </w:tcBorders>
            <w:vAlign w:val="center"/>
          </w:tcPr>
          <w:p w14:paraId="712C29DC" w14:textId="77777777" w:rsidR="002C4E78" w:rsidRPr="004F501C"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4F501C">
              <w:rPr>
                <w:rFonts w:ascii="Arial" w:eastAsia="Batang" w:hAnsi="Arial" w:cs="Arial"/>
                <w:b/>
                <w:bCs/>
                <w:color w:val="000000"/>
                <w:sz w:val="22"/>
                <w:szCs w:val="22"/>
                <w:lang w:eastAsia="ko-KR"/>
              </w:rPr>
              <w:t>All</w:t>
            </w:r>
          </w:p>
          <w:p w14:paraId="712C29DD" w14:textId="77777777" w:rsidR="002C4E78" w:rsidRPr="004F501C"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4F501C">
              <w:rPr>
                <w:rFonts w:ascii="Arial" w:eastAsia="Batang" w:hAnsi="Arial" w:cs="Arial"/>
                <w:b/>
                <w:bCs/>
                <w:color w:val="000000"/>
                <w:sz w:val="22"/>
                <w:szCs w:val="22"/>
                <w:lang w:eastAsia="ko-KR"/>
              </w:rPr>
              <w:t>%</w:t>
            </w:r>
          </w:p>
        </w:tc>
        <w:tc>
          <w:tcPr>
            <w:tcW w:w="860" w:type="pct"/>
            <w:vAlign w:val="center"/>
          </w:tcPr>
          <w:p w14:paraId="712C29DE" w14:textId="77777777" w:rsidR="002C4E78" w:rsidRPr="000C7269"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0C7269">
              <w:rPr>
                <w:rFonts w:ascii="Arial" w:eastAsia="Batang" w:hAnsi="Arial" w:cs="Arial"/>
                <w:b/>
                <w:bCs/>
                <w:color w:val="000000"/>
                <w:sz w:val="22"/>
                <w:szCs w:val="22"/>
                <w:lang w:eastAsia="ko-KR"/>
              </w:rPr>
              <w:t>≥3</w:t>
            </w:r>
          </w:p>
          <w:p w14:paraId="712C29DF" w14:textId="77777777" w:rsidR="002C4E78" w:rsidRPr="000C7269"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0C7269">
              <w:rPr>
                <w:rFonts w:ascii="Arial" w:eastAsia="Batang" w:hAnsi="Arial" w:cs="Arial"/>
                <w:b/>
                <w:bCs/>
                <w:color w:val="000000"/>
                <w:sz w:val="22"/>
                <w:szCs w:val="22"/>
                <w:lang w:eastAsia="ko-KR"/>
              </w:rPr>
              <w:t>%</w:t>
            </w:r>
          </w:p>
        </w:tc>
        <w:tc>
          <w:tcPr>
            <w:tcW w:w="938" w:type="pct"/>
            <w:vAlign w:val="center"/>
          </w:tcPr>
          <w:p w14:paraId="712C29E0" w14:textId="77777777" w:rsidR="002C4E78" w:rsidRPr="000C7269"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0C7269">
              <w:rPr>
                <w:rFonts w:ascii="Arial" w:eastAsia="Batang" w:hAnsi="Arial" w:cs="Arial"/>
                <w:b/>
                <w:bCs/>
                <w:color w:val="000000"/>
                <w:sz w:val="22"/>
                <w:szCs w:val="22"/>
                <w:lang w:eastAsia="ko-KR"/>
              </w:rPr>
              <w:t>All</w:t>
            </w:r>
          </w:p>
          <w:p w14:paraId="712C29E1" w14:textId="77777777" w:rsidR="002C4E78" w:rsidRPr="000C7269"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0C7269">
              <w:rPr>
                <w:rFonts w:ascii="Arial" w:eastAsia="Batang" w:hAnsi="Arial" w:cs="Arial"/>
                <w:b/>
                <w:bCs/>
                <w:color w:val="000000"/>
                <w:sz w:val="22"/>
                <w:szCs w:val="22"/>
                <w:lang w:eastAsia="ko-KR"/>
              </w:rPr>
              <w:t>%</w:t>
            </w:r>
          </w:p>
        </w:tc>
        <w:tc>
          <w:tcPr>
            <w:tcW w:w="938" w:type="pct"/>
            <w:vAlign w:val="center"/>
          </w:tcPr>
          <w:p w14:paraId="712C29E2" w14:textId="77777777" w:rsidR="002C4E78" w:rsidRPr="000C7269"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0C7269">
              <w:rPr>
                <w:rFonts w:ascii="Arial" w:eastAsia="Batang" w:hAnsi="Arial" w:cs="Arial"/>
                <w:b/>
                <w:bCs/>
                <w:color w:val="000000"/>
                <w:sz w:val="22"/>
                <w:szCs w:val="22"/>
                <w:lang w:eastAsia="ko-KR"/>
              </w:rPr>
              <w:t>≥3</w:t>
            </w:r>
          </w:p>
          <w:p w14:paraId="712C29E3" w14:textId="77777777" w:rsidR="002C4E78" w:rsidRPr="000C7269" w:rsidRDefault="002C4E78" w:rsidP="00C07898">
            <w:pPr>
              <w:keepNext/>
              <w:widowControl w:val="0"/>
              <w:tabs>
                <w:tab w:val="left" w:pos="2127"/>
              </w:tabs>
              <w:autoSpaceDE w:val="0"/>
              <w:autoSpaceDN w:val="0"/>
              <w:adjustRightInd w:val="0"/>
              <w:jc w:val="center"/>
              <w:rPr>
                <w:rFonts w:ascii="Arial" w:eastAsia="Batang" w:hAnsi="Arial" w:cs="Arial"/>
                <w:b/>
                <w:bCs/>
                <w:color w:val="000000"/>
                <w:sz w:val="22"/>
                <w:szCs w:val="22"/>
                <w:lang w:eastAsia="ko-KR"/>
              </w:rPr>
            </w:pPr>
            <w:r w:rsidRPr="000C7269">
              <w:rPr>
                <w:rFonts w:ascii="Arial" w:eastAsia="Batang" w:hAnsi="Arial" w:cs="Arial"/>
                <w:b/>
                <w:bCs/>
                <w:color w:val="000000"/>
                <w:sz w:val="22"/>
                <w:szCs w:val="22"/>
                <w:lang w:eastAsia="ko-KR"/>
              </w:rPr>
              <w:t>%</w:t>
            </w:r>
          </w:p>
        </w:tc>
      </w:tr>
      <w:tr w:rsidR="002C4E78" w:rsidRPr="00240635" w14:paraId="712C2A06" w14:textId="77777777" w:rsidTr="00761490">
        <w:trPr>
          <w:trHeight w:val="298"/>
        </w:trPr>
        <w:tc>
          <w:tcPr>
            <w:tcW w:w="1404" w:type="pct"/>
            <w:vAlign w:val="bottom"/>
          </w:tcPr>
          <w:p w14:paraId="712C29E5"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t>General disorders and administration site conditions</w:t>
            </w:r>
          </w:p>
          <w:p w14:paraId="712C29E6" w14:textId="77777777" w:rsidR="002C4E78" w:rsidRPr="000C7269" w:rsidRDefault="002C4E78" w:rsidP="00C07898">
            <w:pPr>
              <w:widowControl w:val="0"/>
              <w:tabs>
                <w:tab w:val="left" w:pos="180"/>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Asthenia/Fatigue</w:t>
            </w:r>
          </w:p>
          <w:p w14:paraId="712C29E7" w14:textId="77777777" w:rsidR="002C4E78" w:rsidRPr="000C7269" w:rsidRDefault="002C4E78" w:rsidP="00C07898">
            <w:pPr>
              <w:widowControl w:val="0"/>
              <w:tabs>
                <w:tab w:val="left" w:pos="180"/>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Mucosal inflammation</w:t>
            </w:r>
          </w:p>
          <w:p w14:paraId="712C29E8" w14:textId="77777777" w:rsidR="002C4E78" w:rsidRPr="000C7269" w:rsidRDefault="002C4E78" w:rsidP="00C07898">
            <w:pPr>
              <w:widowControl w:val="0"/>
              <w:tabs>
                <w:tab w:val="left" w:pos="180"/>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Pain</w:t>
            </w:r>
          </w:p>
          <w:p w14:paraId="712C29E9" w14:textId="77777777" w:rsidR="002C4E78" w:rsidRPr="000C7269" w:rsidRDefault="002C4E78" w:rsidP="00C07898">
            <w:pPr>
              <w:widowControl w:val="0"/>
              <w:tabs>
                <w:tab w:val="left" w:pos="180"/>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Fever</w:t>
            </w:r>
          </w:p>
        </w:tc>
        <w:tc>
          <w:tcPr>
            <w:tcW w:w="860" w:type="pct"/>
            <w:vAlign w:val="bottom"/>
          </w:tcPr>
          <w:p w14:paraId="712C29EA" w14:textId="77777777" w:rsidR="002C4E78" w:rsidRDefault="002C4E78" w:rsidP="00C07898">
            <w:pPr>
              <w:widowControl w:val="0"/>
              <w:tabs>
                <w:tab w:val="left" w:pos="180"/>
                <w:tab w:val="left" w:pos="2127"/>
              </w:tabs>
              <w:jc w:val="center"/>
              <w:rPr>
                <w:rFonts w:ascii="Arial" w:hAnsi="Arial" w:cs="Arial"/>
                <w:snapToGrid w:val="0"/>
                <w:sz w:val="22"/>
                <w:szCs w:val="22"/>
                <w:lang w:eastAsia="de-DE"/>
              </w:rPr>
            </w:pPr>
          </w:p>
          <w:p w14:paraId="712C29EB" w14:textId="77777777" w:rsidR="002C4E78" w:rsidRDefault="002C4E78" w:rsidP="00C07898">
            <w:pPr>
              <w:widowControl w:val="0"/>
              <w:tabs>
                <w:tab w:val="left" w:pos="180"/>
                <w:tab w:val="left" w:pos="2127"/>
              </w:tabs>
              <w:jc w:val="center"/>
              <w:rPr>
                <w:rFonts w:ascii="Arial" w:hAnsi="Arial" w:cs="Arial"/>
                <w:snapToGrid w:val="0"/>
                <w:sz w:val="22"/>
                <w:szCs w:val="22"/>
                <w:lang w:eastAsia="de-DE"/>
              </w:rPr>
            </w:pPr>
          </w:p>
          <w:p w14:paraId="712C29EC" w14:textId="77777777" w:rsidR="002C4E78" w:rsidRDefault="002C4E78" w:rsidP="00C07898">
            <w:pPr>
              <w:widowControl w:val="0"/>
              <w:tabs>
                <w:tab w:val="left" w:pos="180"/>
                <w:tab w:val="left" w:pos="2127"/>
              </w:tabs>
              <w:jc w:val="center"/>
              <w:rPr>
                <w:rFonts w:ascii="Arial" w:hAnsi="Arial" w:cs="Arial"/>
                <w:snapToGrid w:val="0"/>
                <w:sz w:val="22"/>
                <w:szCs w:val="22"/>
                <w:lang w:eastAsia="de-DE"/>
              </w:rPr>
            </w:pPr>
          </w:p>
          <w:p w14:paraId="712C29ED"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52</w:t>
            </w:r>
          </w:p>
          <w:p w14:paraId="712C29EE"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17</w:t>
            </w:r>
          </w:p>
          <w:p w14:paraId="712C29EF"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24</w:t>
            </w:r>
          </w:p>
          <w:p w14:paraId="712C29F0"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21</w:t>
            </w:r>
          </w:p>
        </w:tc>
        <w:tc>
          <w:tcPr>
            <w:tcW w:w="860" w:type="pct"/>
            <w:vAlign w:val="bottom"/>
          </w:tcPr>
          <w:p w14:paraId="712C29F1" w14:textId="77777777" w:rsidR="002C4E78" w:rsidRDefault="002C4E78" w:rsidP="00C07898">
            <w:pPr>
              <w:widowControl w:val="0"/>
              <w:tabs>
                <w:tab w:val="left" w:pos="180"/>
                <w:tab w:val="left" w:pos="2127"/>
              </w:tabs>
              <w:jc w:val="center"/>
              <w:rPr>
                <w:rFonts w:ascii="Arial" w:hAnsi="Arial" w:cs="Arial"/>
                <w:snapToGrid w:val="0"/>
                <w:sz w:val="22"/>
                <w:szCs w:val="22"/>
                <w:lang w:eastAsia="de-DE"/>
              </w:rPr>
            </w:pPr>
          </w:p>
          <w:p w14:paraId="712C29F2" w14:textId="77777777" w:rsidR="002C4E78" w:rsidRDefault="002C4E78" w:rsidP="00C07898">
            <w:pPr>
              <w:widowControl w:val="0"/>
              <w:tabs>
                <w:tab w:val="left" w:pos="180"/>
                <w:tab w:val="left" w:pos="2127"/>
              </w:tabs>
              <w:jc w:val="center"/>
              <w:rPr>
                <w:rFonts w:ascii="Arial" w:hAnsi="Arial" w:cs="Arial"/>
                <w:snapToGrid w:val="0"/>
                <w:sz w:val="22"/>
                <w:szCs w:val="22"/>
                <w:lang w:eastAsia="de-DE"/>
              </w:rPr>
            </w:pPr>
          </w:p>
          <w:p w14:paraId="712C29F3" w14:textId="77777777" w:rsidR="002C4E78" w:rsidRDefault="002C4E78" w:rsidP="00C07898">
            <w:pPr>
              <w:widowControl w:val="0"/>
              <w:tabs>
                <w:tab w:val="left" w:pos="180"/>
                <w:tab w:val="left" w:pos="2127"/>
              </w:tabs>
              <w:jc w:val="center"/>
              <w:rPr>
                <w:rFonts w:ascii="Arial" w:hAnsi="Arial" w:cs="Arial"/>
                <w:snapToGrid w:val="0"/>
                <w:sz w:val="22"/>
                <w:szCs w:val="22"/>
                <w:lang w:eastAsia="de-DE"/>
              </w:rPr>
            </w:pPr>
          </w:p>
          <w:p w14:paraId="712C29F4"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4</w:t>
            </w:r>
          </w:p>
          <w:p w14:paraId="712C29F5"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w:t>
            </w:r>
          </w:p>
          <w:p w14:paraId="712C29F6" w14:textId="77777777" w:rsidR="002C4E78" w:rsidRPr="000C7269" w:rsidRDefault="002C4E78" w:rsidP="00C07898">
            <w:pPr>
              <w:widowControl w:val="0"/>
              <w:tabs>
                <w:tab w:val="left" w:pos="180"/>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w:t>
            </w:r>
          </w:p>
          <w:p w14:paraId="712C29F7"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napToGrid w:val="0"/>
                <w:sz w:val="22"/>
                <w:szCs w:val="22"/>
                <w:lang w:eastAsia="de-DE"/>
              </w:rPr>
              <w:t>0</w:t>
            </w:r>
          </w:p>
        </w:tc>
        <w:tc>
          <w:tcPr>
            <w:tcW w:w="938" w:type="pct"/>
            <w:vAlign w:val="bottom"/>
          </w:tcPr>
          <w:p w14:paraId="712C29F8" w14:textId="77777777" w:rsidR="002C4E78" w:rsidRPr="000C7269" w:rsidRDefault="002C4E78" w:rsidP="00C07898">
            <w:pPr>
              <w:widowControl w:val="0"/>
              <w:tabs>
                <w:tab w:val="left" w:pos="2127"/>
              </w:tabs>
              <w:jc w:val="center"/>
              <w:rPr>
                <w:rFonts w:ascii="Arial" w:hAnsi="Arial" w:cs="Arial"/>
                <w:sz w:val="22"/>
                <w:szCs w:val="22"/>
              </w:rPr>
            </w:pPr>
          </w:p>
          <w:p w14:paraId="712C29F9" w14:textId="77777777" w:rsidR="002C4E78" w:rsidRDefault="002C4E78" w:rsidP="00C07898">
            <w:pPr>
              <w:widowControl w:val="0"/>
              <w:tabs>
                <w:tab w:val="left" w:pos="2127"/>
              </w:tabs>
              <w:jc w:val="center"/>
              <w:rPr>
                <w:rFonts w:ascii="Arial" w:hAnsi="Arial" w:cs="Arial"/>
                <w:sz w:val="22"/>
                <w:szCs w:val="22"/>
              </w:rPr>
            </w:pPr>
          </w:p>
          <w:p w14:paraId="712C29FA" w14:textId="77777777" w:rsidR="002C4E78" w:rsidRDefault="002C4E78" w:rsidP="00C07898">
            <w:pPr>
              <w:widowControl w:val="0"/>
              <w:tabs>
                <w:tab w:val="left" w:pos="2127"/>
              </w:tabs>
              <w:jc w:val="center"/>
              <w:rPr>
                <w:rFonts w:ascii="Arial" w:hAnsi="Arial" w:cs="Arial"/>
                <w:sz w:val="22"/>
                <w:szCs w:val="22"/>
              </w:rPr>
            </w:pPr>
          </w:p>
          <w:p w14:paraId="712C29FB"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39</w:t>
            </w:r>
          </w:p>
          <w:p w14:paraId="712C29FC"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2</w:t>
            </w:r>
          </w:p>
          <w:p w14:paraId="712C29FD"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21</w:t>
            </w:r>
          </w:p>
          <w:p w14:paraId="712C29FE"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11</w:t>
            </w:r>
          </w:p>
        </w:tc>
        <w:tc>
          <w:tcPr>
            <w:tcW w:w="938" w:type="pct"/>
            <w:vAlign w:val="bottom"/>
          </w:tcPr>
          <w:p w14:paraId="712C29FF" w14:textId="77777777" w:rsidR="002C4E78" w:rsidRPr="000C7269" w:rsidRDefault="002C4E78" w:rsidP="00C07898">
            <w:pPr>
              <w:widowControl w:val="0"/>
              <w:tabs>
                <w:tab w:val="left" w:pos="2127"/>
              </w:tabs>
              <w:rPr>
                <w:rFonts w:ascii="Arial" w:hAnsi="Arial" w:cs="Arial"/>
                <w:sz w:val="22"/>
                <w:szCs w:val="22"/>
              </w:rPr>
            </w:pPr>
          </w:p>
          <w:p w14:paraId="712C2A00" w14:textId="77777777" w:rsidR="002C4E78" w:rsidRDefault="002C4E78" w:rsidP="00C07898">
            <w:pPr>
              <w:widowControl w:val="0"/>
              <w:tabs>
                <w:tab w:val="left" w:pos="2127"/>
              </w:tabs>
              <w:jc w:val="center"/>
              <w:rPr>
                <w:rFonts w:ascii="Arial" w:hAnsi="Arial" w:cs="Arial"/>
                <w:sz w:val="22"/>
                <w:szCs w:val="22"/>
              </w:rPr>
            </w:pPr>
          </w:p>
          <w:p w14:paraId="712C2A01" w14:textId="77777777" w:rsidR="002C4E78" w:rsidRDefault="002C4E78" w:rsidP="00C07898">
            <w:pPr>
              <w:widowControl w:val="0"/>
              <w:tabs>
                <w:tab w:val="left" w:pos="2127"/>
              </w:tabs>
              <w:jc w:val="center"/>
              <w:rPr>
                <w:rFonts w:ascii="Arial" w:hAnsi="Arial" w:cs="Arial"/>
                <w:sz w:val="22"/>
                <w:szCs w:val="22"/>
              </w:rPr>
            </w:pPr>
          </w:p>
          <w:p w14:paraId="712C2A02"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2</w:t>
            </w:r>
          </w:p>
          <w:p w14:paraId="712C2A03"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0</w:t>
            </w:r>
          </w:p>
          <w:p w14:paraId="712C2A04"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5</w:t>
            </w:r>
          </w:p>
          <w:p w14:paraId="712C2A05" w14:textId="77777777" w:rsidR="002C4E78" w:rsidRPr="000C7269" w:rsidRDefault="002C4E78" w:rsidP="00761490">
            <w:pPr>
              <w:widowControl w:val="0"/>
              <w:tabs>
                <w:tab w:val="left" w:pos="2127"/>
              </w:tabs>
              <w:jc w:val="center"/>
              <w:rPr>
                <w:rFonts w:ascii="Arial" w:hAnsi="Arial" w:cs="Arial"/>
                <w:sz w:val="22"/>
                <w:szCs w:val="22"/>
              </w:rPr>
            </w:pPr>
            <w:r w:rsidRPr="000C7269">
              <w:rPr>
                <w:rFonts w:ascii="Arial" w:hAnsi="Arial" w:cs="Arial"/>
                <w:sz w:val="22"/>
                <w:szCs w:val="22"/>
              </w:rPr>
              <w:t>2</w:t>
            </w:r>
          </w:p>
        </w:tc>
      </w:tr>
      <w:tr w:rsidR="002C4E78" w:rsidRPr="00240635" w14:paraId="712C2A1A" w14:textId="77777777" w:rsidTr="00761490">
        <w:trPr>
          <w:trHeight w:val="576"/>
        </w:trPr>
        <w:tc>
          <w:tcPr>
            <w:tcW w:w="1404" w:type="pct"/>
            <w:vAlign w:val="bottom"/>
          </w:tcPr>
          <w:p w14:paraId="712C2A07" w14:textId="77777777" w:rsidR="002C4E78" w:rsidRPr="000C7269" w:rsidRDefault="002C4E78" w:rsidP="00C07898">
            <w:pPr>
              <w:widowControl w:val="0"/>
              <w:tabs>
                <w:tab w:val="left" w:pos="2127"/>
              </w:tabs>
              <w:rPr>
                <w:rFonts w:ascii="Arial" w:hAnsi="Arial" w:cs="Arial"/>
                <w:snapToGrid w:val="0"/>
                <w:sz w:val="22"/>
                <w:szCs w:val="22"/>
                <w:lang w:eastAsia="de-DE"/>
              </w:rPr>
            </w:pPr>
            <w:r w:rsidRPr="000C7269">
              <w:rPr>
                <w:rFonts w:ascii="Arial" w:hAnsi="Arial" w:cs="Arial"/>
                <w:b/>
                <w:sz w:val="22"/>
                <w:szCs w:val="22"/>
              </w:rPr>
              <w:t xml:space="preserve">Metabolism and nutrition disorders </w:t>
            </w:r>
          </w:p>
          <w:p w14:paraId="712C2A08" w14:textId="77777777" w:rsidR="002C4E78" w:rsidRPr="000C7269" w:rsidRDefault="002C4E78" w:rsidP="00C07898">
            <w:pPr>
              <w:widowControl w:val="0"/>
              <w:tabs>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lastRenderedPageBreak/>
              <w:t xml:space="preserve">Decreased appetite and food intake </w:t>
            </w:r>
          </w:p>
          <w:p w14:paraId="712C2A09"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Hypothyroidism</w:t>
            </w:r>
          </w:p>
        </w:tc>
        <w:tc>
          <w:tcPr>
            <w:tcW w:w="860" w:type="pct"/>
            <w:vAlign w:val="bottom"/>
          </w:tcPr>
          <w:p w14:paraId="712C2A0A"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0B"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31</w:t>
            </w:r>
          </w:p>
          <w:p w14:paraId="712C2A0C"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0D"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13</w:t>
            </w:r>
          </w:p>
        </w:tc>
        <w:tc>
          <w:tcPr>
            <w:tcW w:w="860" w:type="pct"/>
            <w:vAlign w:val="bottom"/>
          </w:tcPr>
          <w:p w14:paraId="712C2A0E"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0F"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&lt;1</w:t>
            </w:r>
          </w:p>
          <w:p w14:paraId="712C2A10"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11"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c>
          <w:tcPr>
            <w:tcW w:w="938" w:type="pct"/>
            <w:vAlign w:val="bottom"/>
          </w:tcPr>
          <w:p w14:paraId="712C2A12"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13"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21</w:t>
            </w:r>
          </w:p>
          <w:p w14:paraId="712C2A14"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15"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w:t>
            </w:r>
          </w:p>
        </w:tc>
        <w:tc>
          <w:tcPr>
            <w:tcW w:w="938" w:type="pct"/>
            <w:vAlign w:val="bottom"/>
          </w:tcPr>
          <w:p w14:paraId="712C2A16"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17"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w:t>
            </w:r>
          </w:p>
          <w:p w14:paraId="712C2A18"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19"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r>
      <w:tr w:rsidR="002C4E78" w:rsidRPr="00240635" w14:paraId="712C2A2F" w14:textId="77777777" w:rsidTr="00761490">
        <w:trPr>
          <w:trHeight w:val="576"/>
        </w:trPr>
        <w:tc>
          <w:tcPr>
            <w:tcW w:w="1404" w:type="pct"/>
            <w:vAlign w:val="bottom"/>
          </w:tcPr>
          <w:p w14:paraId="712C2A1B"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lastRenderedPageBreak/>
              <w:t>Skin and subcutaneous tissue disorders</w:t>
            </w:r>
          </w:p>
          <w:p w14:paraId="712C2A1C" w14:textId="77777777" w:rsidR="002C4E78" w:rsidRPr="000C7269" w:rsidRDefault="002C4E78" w:rsidP="00C07898">
            <w:pPr>
              <w:widowControl w:val="0"/>
              <w:tabs>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HFSR/PPE</w:t>
            </w:r>
          </w:p>
          <w:p w14:paraId="712C2A1D" w14:textId="77777777" w:rsidR="002C4E78" w:rsidRPr="000C7269" w:rsidRDefault="002C4E78" w:rsidP="00C07898">
            <w:pPr>
              <w:widowControl w:val="0"/>
              <w:tabs>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Rash</w:t>
            </w:r>
          </w:p>
          <w:p w14:paraId="712C2A1E" w14:textId="77777777" w:rsidR="002C4E78" w:rsidRPr="000C7269" w:rsidRDefault="002C4E78" w:rsidP="00C07898">
            <w:pPr>
              <w:widowControl w:val="0"/>
              <w:tabs>
                <w:tab w:val="left" w:pos="2127"/>
              </w:tabs>
              <w:rPr>
                <w:rFonts w:ascii="Arial" w:hAnsi="Arial" w:cs="Arial"/>
                <w:snapToGrid w:val="0"/>
                <w:sz w:val="22"/>
                <w:szCs w:val="22"/>
                <w:lang w:eastAsia="de-DE"/>
              </w:rPr>
            </w:pPr>
            <w:r w:rsidRPr="000C7269">
              <w:rPr>
                <w:rFonts w:ascii="Arial" w:hAnsi="Arial" w:cs="Arial"/>
                <w:snapToGrid w:val="0"/>
                <w:sz w:val="22"/>
                <w:szCs w:val="22"/>
                <w:lang w:eastAsia="de-DE"/>
              </w:rPr>
              <w:t xml:space="preserve">Alopecia </w:t>
            </w:r>
          </w:p>
        </w:tc>
        <w:tc>
          <w:tcPr>
            <w:tcW w:w="860" w:type="pct"/>
            <w:vAlign w:val="bottom"/>
          </w:tcPr>
          <w:p w14:paraId="712C2A1F"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20"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67</w:t>
            </w:r>
          </w:p>
          <w:p w14:paraId="712C2A21"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30</w:t>
            </w:r>
          </w:p>
          <w:p w14:paraId="712C2A22"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24</w:t>
            </w:r>
          </w:p>
        </w:tc>
        <w:tc>
          <w:tcPr>
            <w:tcW w:w="860" w:type="pct"/>
            <w:vAlign w:val="bottom"/>
          </w:tcPr>
          <w:p w14:paraId="712C2A23"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24"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22</w:t>
            </w:r>
          </w:p>
          <w:p w14:paraId="712C2A25"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7</w:t>
            </w:r>
          </w:p>
          <w:p w14:paraId="712C2A26"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napToGrid w:val="0"/>
                <w:sz w:val="22"/>
                <w:szCs w:val="22"/>
                <w:lang w:eastAsia="de-DE"/>
              </w:rPr>
              <w:t>2</w:t>
            </w:r>
          </w:p>
        </w:tc>
        <w:tc>
          <w:tcPr>
            <w:tcW w:w="938" w:type="pct"/>
            <w:vAlign w:val="bottom"/>
          </w:tcPr>
          <w:p w14:paraId="712C2A27" w14:textId="77777777" w:rsidR="002C4E78" w:rsidRPr="000C7269" w:rsidRDefault="002C4E78" w:rsidP="00C07898">
            <w:pPr>
              <w:widowControl w:val="0"/>
              <w:tabs>
                <w:tab w:val="left" w:pos="2127"/>
              </w:tabs>
              <w:jc w:val="center"/>
              <w:rPr>
                <w:rFonts w:ascii="Arial" w:hAnsi="Arial" w:cs="Arial"/>
                <w:sz w:val="22"/>
                <w:szCs w:val="22"/>
              </w:rPr>
            </w:pPr>
          </w:p>
          <w:p w14:paraId="712C2A28"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15</w:t>
            </w:r>
          </w:p>
          <w:p w14:paraId="712C2A29"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3</w:t>
            </w:r>
          </w:p>
          <w:p w14:paraId="712C2A2A"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2</w:t>
            </w:r>
          </w:p>
        </w:tc>
        <w:tc>
          <w:tcPr>
            <w:tcW w:w="938" w:type="pct"/>
            <w:vAlign w:val="bottom"/>
          </w:tcPr>
          <w:p w14:paraId="712C2A2B" w14:textId="77777777" w:rsidR="002C4E78" w:rsidRPr="000C7269" w:rsidRDefault="002C4E78" w:rsidP="00C07898">
            <w:pPr>
              <w:widowControl w:val="0"/>
              <w:tabs>
                <w:tab w:val="left" w:pos="2127"/>
              </w:tabs>
              <w:jc w:val="center"/>
              <w:rPr>
                <w:rFonts w:ascii="Arial" w:hAnsi="Arial" w:cs="Arial"/>
                <w:sz w:val="22"/>
                <w:szCs w:val="22"/>
              </w:rPr>
            </w:pPr>
          </w:p>
          <w:p w14:paraId="712C2A2C" w14:textId="77777777" w:rsidR="002C4E78" w:rsidRPr="000C7269" w:rsidRDefault="002C4E78" w:rsidP="00C07898">
            <w:pPr>
              <w:widowControl w:val="0"/>
              <w:tabs>
                <w:tab w:val="left" w:pos="2127"/>
              </w:tabs>
              <w:jc w:val="center"/>
              <w:rPr>
                <w:rFonts w:ascii="Arial" w:hAnsi="Arial" w:cs="Arial"/>
                <w:sz w:val="22"/>
                <w:szCs w:val="22"/>
              </w:rPr>
            </w:pPr>
            <w:r w:rsidRPr="000C7269">
              <w:rPr>
                <w:rFonts w:ascii="Arial" w:hAnsi="Arial" w:cs="Arial"/>
                <w:sz w:val="22"/>
                <w:szCs w:val="22"/>
              </w:rPr>
              <w:t>2</w:t>
            </w:r>
          </w:p>
          <w:p w14:paraId="712C2A2D"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p w14:paraId="712C2A2E" w14:textId="77777777" w:rsidR="002C4E78" w:rsidRPr="000C7269" w:rsidRDefault="002C4E78" w:rsidP="005F3D99">
            <w:pPr>
              <w:widowControl w:val="0"/>
              <w:tabs>
                <w:tab w:val="left" w:pos="2127"/>
              </w:tabs>
              <w:jc w:val="center"/>
              <w:rPr>
                <w:rFonts w:ascii="Arial" w:hAnsi="Arial" w:cs="Arial"/>
                <w:sz w:val="22"/>
                <w:szCs w:val="22"/>
              </w:rPr>
            </w:pPr>
            <w:r w:rsidRPr="000C7269">
              <w:rPr>
                <w:rFonts w:ascii="Arial" w:hAnsi="Arial" w:cs="Arial"/>
                <w:snapToGrid w:val="0"/>
                <w:sz w:val="22"/>
                <w:szCs w:val="22"/>
                <w:lang w:eastAsia="de-DE"/>
              </w:rPr>
              <w:t>0</w:t>
            </w:r>
          </w:p>
        </w:tc>
      </w:tr>
      <w:tr w:rsidR="002C4E78" w:rsidRPr="00240635" w14:paraId="712C2A45" w14:textId="77777777" w:rsidTr="00761490">
        <w:trPr>
          <w:cantSplit/>
          <w:trHeight w:val="576"/>
        </w:trPr>
        <w:tc>
          <w:tcPr>
            <w:tcW w:w="1404" w:type="pct"/>
            <w:vAlign w:val="bottom"/>
          </w:tcPr>
          <w:p w14:paraId="712C2A30"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t>Gastrointestinal disorders</w:t>
            </w:r>
          </w:p>
          <w:p w14:paraId="712C2A31"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Diarrh</w:t>
            </w:r>
            <w:r>
              <w:rPr>
                <w:rFonts w:ascii="Arial" w:hAnsi="Arial" w:cs="Arial"/>
                <w:sz w:val="22"/>
                <w:szCs w:val="22"/>
              </w:rPr>
              <w:t>o</w:t>
            </w:r>
            <w:r w:rsidRPr="000C7269">
              <w:rPr>
                <w:rFonts w:ascii="Arial" w:hAnsi="Arial" w:cs="Arial"/>
                <w:sz w:val="22"/>
                <w:szCs w:val="22"/>
              </w:rPr>
              <w:t>ea</w:t>
            </w:r>
          </w:p>
          <w:p w14:paraId="712C2A32"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Stomatitis</w:t>
            </w:r>
          </w:p>
          <w:p w14:paraId="712C2A33"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Nausea</w:t>
            </w:r>
          </w:p>
          <w:p w14:paraId="712C2A34"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Vomiting</w:t>
            </w:r>
          </w:p>
        </w:tc>
        <w:tc>
          <w:tcPr>
            <w:tcW w:w="860" w:type="pct"/>
            <w:vAlign w:val="bottom"/>
          </w:tcPr>
          <w:p w14:paraId="712C2A35" w14:textId="77777777" w:rsidR="002C4E78" w:rsidRPr="000C7269" w:rsidRDefault="002C4E78" w:rsidP="00761490">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47</w:t>
            </w:r>
          </w:p>
          <w:p w14:paraId="712C2A36"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25</w:t>
            </w:r>
          </w:p>
          <w:p w14:paraId="712C2A37"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20</w:t>
            </w:r>
          </w:p>
          <w:p w14:paraId="712C2A38"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17</w:t>
            </w:r>
          </w:p>
        </w:tc>
        <w:tc>
          <w:tcPr>
            <w:tcW w:w="860" w:type="pct"/>
            <w:vAlign w:val="bottom"/>
          </w:tcPr>
          <w:p w14:paraId="712C2A39"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8</w:t>
            </w:r>
          </w:p>
          <w:p w14:paraId="712C2A3A" w14:textId="77777777" w:rsidR="002C4E78" w:rsidRPr="000C7269" w:rsidRDefault="002C4E78" w:rsidP="005F3D99">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0</w:t>
            </w:r>
          </w:p>
          <w:p w14:paraId="712C2A3B"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w:t>
            </w:r>
          </w:p>
          <w:p w14:paraId="712C2A3C"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&lt;1</w:t>
            </w:r>
          </w:p>
        </w:tc>
        <w:tc>
          <w:tcPr>
            <w:tcW w:w="938" w:type="pct"/>
            <w:vAlign w:val="bottom"/>
          </w:tcPr>
          <w:p w14:paraId="712C2A3D"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9</w:t>
            </w:r>
          </w:p>
          <w:p w14:paraId="712C2A3E" w14:textId="77777777" w:rsidR="002C4E78" w:rsidRPr="000C7269" w:rsidRDefault="002C4E78" w:rsidP="005806EE">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6</w:t>
            </w:r>
          </w:p>
          <w:p w14:paraId="712C2A3F"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12</w:t>
            </w:r>
          </w:p>
          <w:p w14:paraId="712C2A40"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8</w:t>
            </w:r>
          </w:p>
        </w:tc>
        <w:tc>
          <w:tcPr>
            <w:tcW w:w="938" w:type="pct"/>
            <w:vAlign w:val="bottom"/>
          </w:tcPr>
          <w:p w14:paraId="712C2A41"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0</w:t>
            </w:r>
          </w:p>
          <w:p w14:paraId="712C2A42" w14:textId="77777777" w:rsidR="002C4E78" w:rsidRPr="000C7269" w:rsidRDefault="002C4E78" w:rsidP="005806EE">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w:t>
            </w:r>
          </w:p>
          <w:p w14:paraId="712C2A43"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w:t>
            </w:r>
          </w:p>
          <w:p w14:paraId="712C2A44" w14:textId="77777777" w:rsidR="002C4E78" w:rsidRDefault="002C4E78" w:rsidP="005F3D99">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0</w:t>
            </w:r>
          </w:p>
        </w:tc>
      </w:tr>
      <w:tr w:rsidR="002C4E78" w:rsidRPr="00240635" w14:paraId="712C2A4C" w14:textId="77777777" w:rsidTr="00761490">
        <w:trPr>
          <w:trHeight w:val="432"/>
        </w:trPr>
        <w:tc>
          <w:tcPr>
            <w:tcW w:w="1404" w:type="pct"/>
            <w:vAlign w:val="bottom"/>
          </w:tcPr>
          <w:p w14:paraId="712C2A46"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t>Investigations</w:t>
            </w:r>
          </w:p>
          <w:p w14:paraId="712C2A47"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napToGrid w:val="0"/>
                <w:sz w:val="22"/>
                <w:szCs w:val="22"/>
                <w:lang w:eastAsia="de-DE"/>
              </w:rPr>
              <w:t>Weight loss</w:t>
            </w:r>
          </w:p>
        </w:tc>
        <w:tc>
          <w:tcPr>
            <w:tcW w:w="860" w:type="pct"/>
            <w:vAlign w:val="bottom"/>
          </w:tcPr>
          <w:p w14:paraId="712C2A48" w14:textId="77777777" w:rsidR="002C4E78" w:rsidRPr="000C7269" w:rsidRDefault="002C4E78" w:rsidP="00C07898">
            <w:pPr>
              <w:keepNext/>
              <w:widowControl w:val="0"/>
              <w:tabs>
                <w:tab w:val="left" w:pos="180"/>
                <w:tab w:val="left" w:pos="2127"/>
              </w:tabs>
              <w:spacing w:before="240"/>
              <w:jc w:val="center"/>
              <w:rPr>
                <w:rFonts w:ascii="Arial" w:hAnsi="Arial" w:cs="Arial"/>
                <w:snapToGrid w:val="0"/>
                <w:sz w:val="22"/>
                <w:szCs w:val="22"/>
                <w:lang w:eastAsia="de-DE"/>
              </w:rPr>
            </w:pPr>
            <w:r w:rsidRPr="000C7269">
              <w:rPr>
                <w:rFonts w:ascii="Arial" w:hAnsi="Arial" w:cs="Arial"/>
                <w:snapToGrid w:val="0"/>
                <w:sz w:val="22"/>
                <w:szCs w:val="22"/>
                <w:lang w:eastAsia="de-DE"/>
              </w:rPr>
              <w:t>14</w:t>
            </w:r>
          </w:p>
        </w:tc>
        <w:tc>
          <w:tcPr>
            <w:tcW w:w="860" w:type="pct"/>
            <w:vAlign w:val="bottom"/>
          </w:tcPr>
          <w:p w14:paraId="712C2A49" w14:textId="77777777" w:rsidR="002C4E78" w:rsidRPr="000C7269" w:rsidRDefault="002C4E78" w:rsidP="00C07898">
            <w:pPr>
              <w:widowControl w:val="0"/>
              <w:tabs>
                <w:tab w:val="left" w:pos="2127"/>
              </w:tabs>
              <w:spacing w:before="240"/>
              <w:jc w:val="center"/>
              <w:rPr>
                <w:rFonts w:ascii="Arial" w:hAnsi="Arial" w:cs="Arial"/>
                <w:sz w:val="22"/>
                <w:szCs w:val="22"/>
              </w:rPr>
            </w:pPr>
            <w:r w:rsidRPr="000C7269">
              <w:rPr>
                <w:rFonts w:ascii="Arial" w:hAnsi="Arial" w:cs="Arial"/>
                <w:snapToGrid w:val="0"/>
                <w:sz w:val="22"/>
                <w:szCs w:val="22"/>
                <w:lang w:eastAsia="de-DE"/>
              </w:rPr>
              <w:t>0</w:t>
            </w:r>
          </w:p>
        </w:tc>
        <w:tc>
          <w:tcPr>
            <w:tcW w:w="938" w:type="pct"/>
            <w:vAlign w:val="bottom"/>
          </w:tcPr>
          <w:p w14:paraId="712C2A4A" w14:textId="77777777" w:rsidR="002C4E78" w:rsidRPr="000C7269" w:rsidRDefault="002C4E78" w:rsidP="00C07898">
            <w:pPr>
              <w:widowControl w:val="0"/>
              <w:tabs>
                <w:tab w:val="left" w:pos="2127"/>
              </w:tabs>
              <w:spacing w:before="240"/>
              <w:jc w:val="center"/>
              <w:rPr>
                <w:rFonts w:ascii="Arial" w:hAnsi="Arial" w:cs="Arial"/>
                <w:sz w:val="22"/>
                <w:szCs w:val="22"/>
              </w:rPr>
            </w:pPr>
            <w:r w:rsidRPr="000C7269">
              <w:rPr>
                <w:rFonts w:ascii="Arial" w:hAnsi="Arial" w:cs="Arial"/>
                <w:sz w:val="22"/>
                <w:szCs w:val="22"/>
              </w:rPr>
              <w:t>8</w:t>
            </w:r>
          </w:p>
        </w:tc>
        <w:tc>
          <w:tcPr>
            <w:tcW w:w="938" w:type="pct"/>
            <w:vAlign w:val="bottom"/>
          </w:tcPr>
          <w:p w14:paraId="712C2A4B" w14:textId="77777777" w:rsidR="002C4E78" w:rsidRPr="000C7269" w:rsidRDefault="002C4E78" w:rsidP="00C07898">
            <w:pPr>
              <w:widowControl w:val="0"/>
              <w:tabs>
                <w:tab w:val="left" w:pos="2127"/>
              </w:tabs>
              <w:spacing w:before="240"/>
              <w:jc w:val="center"/>
              <w:rPr>
                <w:rFonts w:ascii="Arial" w:hAnsi="Arial" w:cs="Arial"/>
                <w:sz w:val="22"/>
                <w:szCs w:val="22"/>
              </w:rPr>
            </w:pPr>
            <w:r w:rsidRPr="000C7269">
              <w:rPr>
                <w:rFonts w:ascii="Arial" w:hAnsi="Arial" w:cs="Arial"/>
                <w:sz w:val="22"/>
                <w:szCs w:val="22"/>
              </w:rPr>
              <w:t>0</w:t>
            </w:r>
          </w:p>
        </w:tc>
      </w:tr>
      <w:tr w:rsidR="002C4E78" w:rsidRPr="00240635" w14:paraId="712C2A53" w14:textId="77777777" w:rsidTr="00761490">
        <w:trPr>
          <w:trHeight w:val="432"/>
        </w:trPr>
        <w:tc>
          <w:tcPr>
            <w:tcW w:w="1404" w:type="pct"/>
            <w:tcBorders>
              <w:top w:val="single" w:sz="4" w:space="0" w:color="auto"/>
            </w:tcBorders>
            <w:vAlign w:val="bottom"/>
          </w:tcPr>
          <w:p w14:paraId="712C2A4D" w14:textId="77777777" w:rsidR="002C4E78" w:rsidRPr="000C7269" w:rsidRDefault="002C4E78" w:rsidP="004F501C">
            <w:pPr>
              <w:widowControl w:val="0"/>
              <w:tabs>
                <w:tab w:val="left" w:pos="2127"/>
              </w:tabs>
              <w:rPr>
                <w:rFonts w:ascii="Arial" w:hAnsi="Arial" w:cs="Arial"/>
                <w:b/>
                <w:sz w:val="22"/>
                <w:szCs w:val="22"/>
              </w:rPr>
            </w:pPr>
            <w:r w:rsidRPr="000C7269">
              <w:rPr>
                <w:rFonts w:ascii="Arial" w:hAnsi="Arial" w:cs="Arial"/>
                <w:b/>
                <w:sz w:val="22"/>
                <w:szCs w:val="22"/>
              </w:rPr>
              <w:t xml:space="preserve">Infections and infestations </w:t>
            </w:r>
          </w:p>
          <w:p w14:paraId="712C2A4E" w14:textId="77777777" w:rsidR="002C4E78" w:rsidRPr="000C7269" w:rsidRDefault="002C4E78" w:rsidP="004F501C">
            <w:pPr>
              <w:keepNext/>
              <w:widowControl w:val="0"/>
              <w:tabs>
                <w:tab w:val="left" w:pos="2127"/>
              </w:tabs>
              <w:rPr>
                <w:rFonts w:ascii="Arial" w:hAnsi="Arial" w:cs="Arial"/>
                <w:sz w:val="22"/>
                <w:szCs w:val="22"/>
              </w:rPr>
            </w:pPr>
            <w:r w:rsidRPr="000C7269">
              <w:rPr>
                <w:rFonts w:ascii="Arial" w:hAnsi="Arial" w:cs="Arial"/>
                <w:sz w:val="22"/>
                <w:szCs w:val="22"/>
              </w:rPr>
              <w:t>Infection</w:t>
            </w:r>
          </w:p>
        </w:tc>
        <w:tc>
          <w:tcPr>
            <w:tcW w:w="860" w:type="pct"/>
            <w:vAlign w:val="bottom"/>
          </w:tcPr>
          <w:p w14:paraId="712C2A4F" w14:textId="77777777" w:rsidR="002C4E78" w:rsidRPr="000C7269" w:rsidRDefault="002C4E78" w:rsidP="004F501C">
            <w:pPr>
              <w:keepNext/>
              <w:widowControl w:val="0"/>
              <w:tabs>
                <w:tab w:val="left" w:pos="2127"/>
              </w:tabs>
              <w:jc w:val="center"/>
              <w:rPr>
                <w:rFonts w:ascii="Arial" w:hAnsi="Arial" w:cs="Arial"/>
                <w:sz w:val="22"/>
                <w:szCs w:val="22"/>
              </w:rPr>
            </w:pPr>
            <w:r w:rsidRPr="000C7269">
              <w:rPr>
                <w:rFonts w:ascii="Arial" w:hAnsi="Arial" w:cs="Arial"/>
                <w:sz w:val="22"/>
                <w:szCs w:val="22"/>
              </w:rPr>
              <w:t>32</w:t>
            </w:r>
          </w:p>
        </w:tc>
        <w:tc>
          <w:tcPr>
            <w:tcW w:w="860" w:type="pct"/>
            <w:vAlign w:val="bottom"/>
          </w:tcPr>
          <w:p w14:paraId="712C2A50" w14:textId="77777777" w:rsidR="002C4E78" w:rsidRDefault="004D5793" w:rsidP="004F501C">
            <w:pPr>
              <w:keepNext/>
              <w:widowControl w:val="0"/>
              <w:tabs>
                <w:tab w:val="left" w:pos="2127"/>
              </w:tabs>
              <w:jc w:val="center"/>
              <w:rPr>
                <w:rFonts w:ascii="Arial" w:hAnsi="Arial" w:cs="Arial"/>
                <w:sz w:val="22"/>
                <w:szCs w:val="22"/>
              </w:rPr>
            </w:pPr>
            <w:r>
              <w:rPr>
                <w:rFonts w:ascii="Arial" w:hAnsi="Arial" w:cs="Arial"/>
                <w:sz w:val="22"/>
                <w:szCs w:val="22"/>
              </w:rPr>
              <w:t>5</w:t>
            </w:r>
          </w:p>
        </w:tc>
        <w:tc>
          <w:tcPr>
            <w:tcW w:w="938" w:type="pct"/>
            <w:vAlign w:val="bottom"/>
          </w:tcPr>
          <w:p w14:paraId="712C2A51" w14:textId="77777777" w:rsidR="002C4E78" w:rsidRPr="000C7269" w:rsidRDefault="002C4E78" w:rsidP="004F501C">
            <w:pPr>
              <w:keepNext/>
              <w:widowControl w:val="0"/>
              <w:tabs>
                <w:tab w:val="left" w:pos="2127"/>
              </w:tabs>
              <w:jc w:val="center"/>
              <w:rPr>
                <w:rFonts w:ascii="Arial" w:hAnsi="Arial" w:cs="Arial"/>
                <w:sz w:val="22"/>
                <w:szCs w:val="22"/>
              </w:rPr>
            </w:pPr>
            <w:r w:rsidRPr="000C7269">
              <w:rPr>
                <w:rFonts w:ascii="Arial" w:hAnsi="Arial" w:cs="Arial"/>
                <w:sz w:val="22"/>
                <w:szCs w:val="22"/>
              </w:rPr>
              <w:t>5</w:t>
            </w:r>
          </w:p>
        </w:tc>
        <w:tc>
          <w:tcPr>
            <w:tcW w:w="938" w:type="pct"/>
            <w:vAlign w:val="bottom"/>
          </w:tcPr>
          <w:p w14:paraId="712C2A52" w14:textId="77777777" w:rsidR="002C4E78" w:rsidRPr="000C7269" w:rsidRDefault="002C4E78" w:rsidP="004F501C">
            <w:pPr>
              <w:keepNext/>
              <w:widowControl w:val="0"/>
              <w:tabs>
                <w:tab w:val="left" w:pos="2127"/>
              </w:tabs>
              <w:jc w:val="center"/>
              <w:rPr>
                <w:rFonts w:ascii="Arial" w:hAnsi="Arial" w:cs="Arial"/>
                <w:sz w:val="22"/>
                <w:szCs w:val="22"/>
              </w:rPr>
            </w:pPr>
            <w:r w:rsidRPr="000C7269">
              <w:rPr>
                <w:rFonts w:ascii="Arial" w:hAnsi="Arial" w:cs="Arial"/>
                <w:sz w:val="22"/>
                <w:szCs w:val="22"/>
              </w:rPr>
              <w:t>0</w:t>
            </w:r>
          </w:p>
        </w:tc>
      </w:tr>
      <w:tr w:rsidR="002C4E78" w:rsidRPr="00240635" w14:paraId="712C2A5F" w14:textId="77777777" w:rsidTr="00761490">
        <w:trPr>
          <w:trHeight w:val="576"/>
        </w:trPr>
        <w:tc>
          <w:tcPr>
            <w:tcW w:w="1404" w:type="pct"/>
            <w:vAlign w:val="bottom"/>
          </w:tcPr>
          <w:p w14:paraId="712C2A54"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t>Vascular disorders</w:t>
            </w:r>
          </w:p>
          <w:p w14:paraId="712C2A55"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 xml:space="preserve">Hypertension </w:t>
            </w:r>
          </w:p>
          <w:p w14:paraId="712C2A56"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H</w:t>
            </w:r>
            <w:r>
              <w:rPr>
                <w:rFonts w:ascii="Arial" w:hAnsi="Arial" w:cs="Arial"/>
                <w:sz w:val="22"/>
                <w:szCs w:val="22"/>
              </w:rPr>
              <w:t>a</w:t>
            </w:r>
            <w:r w:rsidRPr="000C7269">
              <w:rPr>
                <w:rFonts w:ascii="Arial" w:hAnsi="Arial" w:cs="Arial"/>
                <w:sz w:val="22"/>
                <w:szCs w:val="22"/>
              </w:rPr>
              <w:t>emorrhage*</w:t>
            </w:r>
          </w:p>
        </w:tc>
        <w:tc>
          <w:tcPr>
            <w:tcW w:w="860" w:type="pct"/>
            <w:vAlign w:val="bottom"/>
          </w:tcPr>
          <w:p w14:paraId="712C2A57"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59</w:t>
            </w:r>
          </w:p>
          <w:p w14:paraId="712C2A58"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11</w:t>
            </w:r>
          </w:p>
        </w:tc>
        <w:tc>
          <w:tcPr>
            <w:tcW w:w="860" w:type="pct"/>
            <w:vAlign w:val="bottom"/>
          </w:tcPr>
          <w:p w14:paraId="712C2A59"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28</w:t>
            </w:r>
          </w:p>
          <w:p w14:paraId="712C2A5A"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4</w:t>
            </w:r>
          </w:p>
        </w:tc>
        <w:tc>
          <w:tcPr>
            <w:tcW w:w="938" w:type="pct"/>
            <w:vAlign w:val="bottom"/>
          </w:tcPr>
          <w:p w14:paraId="712C2A5B"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27</w:t>
            </w:r>
          </w:p>
          <w:p w14:paraId="712C2A5C"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w:t>
            </w:r>
          </w:p>
        </w:tc>
        <w:tc>
          <w:tcPr>
            <w:tcW w:w="938" w:type="pct"/>
            <w:vAlign w:val="bottom"/>
          </w:tcPr>
          <w:p w14:paraId="712C2A5D"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5</w:t>
            </w:r>
          </w:p>
          <w:p w14:paraId="712C2A5E"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r>
      <w:tr w:rsidR="002C4E78" w:rsidRPr="00240635" w14:paraId="712C2A66" w14:textId="77777777" w:rsidTr="00761490">
        <w:trPr>
          <w:trHeight w:val="576"/>
        </w:trPr>
        <w:tc>
          <w:tcPr>
            <w:tcW w:w="1404" w:type="pct"/>
            <w:tcBorders>
              <w:top w:val="single" w:sz="4" w:space="0" w:color="auto"/>
              <w:left w:val="single" w:sz="4" w:space="0" w:color="auto"/>
              <w:bottom w:val="single" w:sz="4" w:space="0" w:color="auto"/>
              <w:right w:val="single" w:sz="4" w:space="0" w:color="auto"/>
            </w:tcBorders>
            <w:vAlign w:val="bottom"/>
          </w:tcPr>
          <w:p w14:paraId="712C2A60"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t>Respiratory, thoracic and mediastinal disorders</w:t>
            </w:r>
          </w:p>
          <w:p w14:paraId="712C2A61"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Dysphonia</w:t>
            </w:r>
          </w:p>
        </w:tc>
        <w:tc>
          <w:tcPr>
            <w:tcW w:w="860" w:type="pct"/>
            <w:tcBorders>
              <w:top w:val="single" w:sz="4" w:space="0" w:color="auto"/>
              <w:left w:val="single" w:sz="4" w:space="0" w:color="auto"/>
              <w:bottom w:val="single" w:sz="4" w:space="0" w:color="auto"/>
              <w:right w:val="single" w:sz="4" w:space="0" w:color="auto"/>
            </w:tcBorders>
            <w:vAlign w:val="bottom"/>
          </w:tcPr>
          <w:p w14:paraId="712C2A62"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39</w:t>
            </w:r>
          </w:p>
        </w:tc>
        <w:tc>
          <w:tcPr>
            <w:tcW w:w="860" w:type="pct"/>
            <w:tcBorders>
              <w:top w:val="single" w:sz="4" w:space="0" w:color="auto"/>
              <w:left w:val="single" w:sz="4" w:space="0" w:color="auto"/>
              <w:bottom w:val="single" w:sz="4" w:space="0" w:color="auto"/>
              <w:right w:val="single" w:sz="4" w:space="0" w:color="auto"/>
            </w:tcBorders>
            <w:vAlign w:val="bottom"/>
          </w:tcPr>
          <w:p w14:paraId="712C2A63"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c>
          <w:tcPr>
            <w:tcW w:w="938" w:type="pct"/>
            <w:tcBorders>
              <w:top w:val="single" w:sz="4" w:space="0" w:color="auto"/>
              <w:left w:val="single" w:sz="4" w:space="0" w:color="auto"/>
              <w:bottom w:val="single" w:sz="4" w:space="0" w:color="auto"/>
              <w:right w:val="single" w:sz="4" w:space="0" w:color="auto"/>
            </w:tcBorders>
            <w:vAlign w:val="bottom"/>
          </w:tcPr>
          <w:p w14:paraId="712C2A64"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9</w:t>
            </w:r>
          </w:p>
        </w:tc>
        <w:tc>
          <w:tcPr>
            <w:tcW w:w="938" w:type="pct"/>
            <w:tcBorders>
              <w:top w:val="single" w:sz="4" w:space="0" w:color="auto"/>
              <w:left w:val="single" w:sz="4" w:space="0" w:color="auto"/>
              <w:bottom w:val="single" w:sz="4" w:space="0" w:color="auto"/>
              <w:right w:val="single" w:sz="4" w:space="0" w:color="auto"/>
            </w:tcBorders>
            <w:vAlign w:val="bottom"/>
          </w:tcPr>
          <w:p w14:paraId="712C2A65"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r>
      <w:tr w:rsidR="002C4E78" w:rsidRPr="00240635" w14:paraId="712C2A6D" w14:textId="77777777" w:rsidTr="00761490">
        <w:trPr>
          <w:trHeight w:val="576"/>
        </w:trPr>
        <w:tc>
          <w:tcPr>
            <w:tcW w:w="1404" w:type="pct"/>
            <w:tcBorders>
              <w:top w:val="single" w:sz="4" w:space="0" w:color="auto"/>
              <w:left w:val="single" w:sz="4" w:space="0" w:color="auto"/>
              <w:bottom w:val="single" w:sz="4" w:space="0" w:color="auto"/>
              <w:right w:val="single" w:sz="4" w:space="0" w:color="auto"/>
            </w:tcBorders>
            <w:vAlign w:val="bottom"/>
          </w:tcPr>
          <w:p w14:paraId="712C2A67" w14:textId="77777777" w:rsidR="002C4E78" w:rsidRPr="000C7269" w:rsidRDefault="002C4E78" w:rsidP="003209D5">
            <w:pPr>
              <w:widowControl w:val="0"/>
              <w:tabs>
                <w:tab w:val="left" w:pos="2127"/>
              </w:tabs>
              <w:rPr>
                <w:rFonts w:ascii="Arial" w:hAnsi="Arial" w:cs="Arial"/>
                <w:b/>
                <w:sz w:val="22"/>
                <w:szCs w:val="22"/>
              </w:rPr>
            </w:pPr>
            <w:r w:rsidRPr="000C7269">
              <w:rPr>
                <w:rFonts w:ascii="Arial" w:hAnsi="Arial" w:cs="Arial"/>
                <w:b/>
                <w:sz w:val="22"/>
                <w:szCs w:val="22"/>
              </w:rPr>
              <w:t>Nervous system disorders</w:t>
            </w:r>
          </w:p>
          <w:p w14:paraId="712C2A68" w14:textId="77777777" w:rsidR="002C4E78" w:rsidRPr="000C7269" w:rsidRDefault="002C4E78" w:rsidP="003209D5">
            <w:pPr>
              <w:widowControl w:val="0"/>
              <w:tabs>
                <w:tab w:val="left" w:pos="2127"/>
              </w:tabs>
              <w:rPr>
                <w:rFonts w:ascii="Arial" w:hAnsi="Arial" w:cs="Arial"/>
                <w:sz w:val="22"/>
                <w:szCs w:val="22"/>
              </w:rPr>
            </w:pPr>
            <w:r w:rsidRPr="000C7269">
              <w:rPr>
                <w:rFonts w:ascii="Arial" w:hAnsi="Arial" w:cs="Arial"/>
                <w:sz w:val="22"/>
                <w:szCs w:val="22"/>
              </w:rPr>
              <w:t xml:space="preserve">Headache </w:t>
            </w:r>
          </w:p>
        </w:tc>
        <w:tc>
          <w:tcPr>
            <w:tcW w:w="860" w:type="pct"/>
            <w:tcBorders>
              <w:top w:val="single" w:sz="4" w:space="0" w:color="auto"/>
              <w:left w:val="single" w:sz="4" w:space="0" w:color="auto"/>
              <w:bottom w:val="single" w:sz="4" w:space="0" w:color="auto"/>
              <w:right w:val="single" w:sz="4" w:space="0" w:color="auto"/>
            </w:tcBorders>
            <w:vAlign w:val="bottom"/>
          </w:tcPr>
          <w:p w14:paraId="712C2A69"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16</w:t>
            </w:r>
          </w:p>
        </w:tc>
        <w:tc>
          <w:tcPr>
            <w:tcW w:w="860" w:type="pct"/>
            <w:tcBorders>
              <w:top w:val="single" w:sz="4" w:space="0" w:color="auto"/>
              <w:left w:val="single" w:sz="4" w:space="0" w:color="auto"/>
              <w:bottom w:val="single" w:sz="4" w:space="0" w:color="auto"/>
              <w:right w:val="single" w:sz="4" w:space="0" w:color="auto"/>
            </w:tcBorders>
            <w:vAlign w:val="bottom"/>
          </w:tcPr>
          <w:p w14:paraId="712C2A6A"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c>
          <w:tcPr>
            <w:tcW w:w="938" w:type="pct"/>
            <w:tcBorders>
              <w:top w:val="single" w:sz="4" w:space="0" w:color="auto"/>
              <w:left w:val="single" w:sz="4" w:space="0" w:color="auto"/>
              <w:bottom w:val="single" w:sz="4" w:space="0" w:color="auto"/>
              <w:right w:val="single" w:sz="4" w:space="0" w:color="auto"/>
            </w:tcBorders>
            <w:vAlign w:val="bottom"/>
          </w:tcPr>
          <w:p w14:paraId="712C2A6B"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9</w:t>
            </w:r>
          </w:p>
        </w:tc>
        <w:tc>
          <w:tcPr>
            <w:tcW w:w="938" w:type="pct"/>
            <w:tcBorders>
              <w:top w:val="single" w:sz="4" w:space="0" w:color="auto"/>
              <w:left w:val="single" w:sz="4" w:space="0" w:color="auto"/>
              <w:bottom w:val="single" w:sz="4" w:space="0" w:color="auto"/>
              <w:right w:val="single" w:sz="4" w:space="0" w:color="auto"/>
            </w:tcBorders>
            <w:vAlign w:val="bottom"/>
          </w:tcPr>
          <w:p w14:paraId="712C2A6C" w14:textId="77777777" w:rsidR="002C4E78" w:rsidRPr="000C7269" w:rsidRDefault="002C4E78" w:rsidP="003209D5">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r>
      <w:tr w:rsidR="002C4E78" w:rsidRPr="00240635" w14:paraId="712C2A80" w14:textId="77777777" w:rsidTr="00761490">
        <w:trPr>
          <w:trHeight w:val="576"/>
        </w:trPr>
        <w:tc>
          <w:tcPr>
            <w:tcW w:w="1404" w:type="pct"/>
            <w:tcBorders>
              <w:top w:val="single" w:sz="4" w:space="0" w:color="auto"/>
              <w:left w:val="single" w:sz="4" w:space="0" w:color="auto"/>
              <w:bottom w:val="single" w:sz="4" w:space="0" w:color="auto"/>
              <w:right w:val="single" w:sz="4" w:space="0" w:color="auto"/>
            </w:tcBorders>
            <w:vAlign w:val="bottom"/>
          </w:tcPr>
          <w:p w14:paraId="712C2A6E" w14:textId="77777777" w:rsidR="002C4E78" w:rsidRPr="000C7269" w:rsidRDefault="002C4E78" w:rsidP="00C07898">
            <w:pPr>
              <w:widowControl w:val="0"/>
              <w:tabs>
                <w:tab w:val="left" w:pos="2127"/>
              </w:tabs>
              <w:rPr>
                <w:rFonts w:ascii="Arial" w:hAnsi="Arial" w:cs="Arial"/>
                <w:b/>
                <w:sz w:val="22"/>
                <w:szCs w:val="22"/>
              </w:rPr>
            </w:pPr>
            <w:r w:rsidRPr="000C7269">
              <w:rPr>
                <w:rFonts w:ascii="Arial" w:hAnsi="Arial" w:cs="Arial"/>
                <w:b/>
                <w:sz w:val="22"/>
                <w:szCs w:val="22"/>
              </w:rPr>
              <w:t>Musculoskeletal and connective tissue disorders</w:t>
            </w:r>
          </w:p>
          <w:p w14:paraId="712C2A6F" w14:textId="77777777" w:rsidR="002C4E78" w:rsidRPr="000C7269" w:rsidRDefault="002C4E78" w:rsidP="00C07898">
            <w:pPr>
              <w:widowControl w:val="0"/>
              <w:tabs>
                <w:tab w:val="left" w:pos="2127"/>
              </w:tabs>
              <w:rPr>
                <w:rFonts w:ascii="Arial" w:hAnsi="Arial" w:cs="Arial"/>
                <w:sz w:val="22"/>
                <w:szCs w:val="22"/>
              </w:rPr>
            </w:pPr>
            <w:r w:rsidRPr="000C7269">
              <w:rPr>
                <w:rFonts w:ascii="Arial" w:hAnsi="Arial" w:cs="Arial"/>
                <w:sz w:val="22"/>
                <w:szCs w:val="22"/>
              </w:rPr>
              <w:t>Musculoskeletal stiffness</w:t>
            </w:r>
          </w:p>
        </w:tc>
        <w:tc>
          <w:tcPr>
            <w:tcW w:w="860" w:type="pct"/>
            <w:tcBorders>
              <w:top w:val="single" w:sz="4" w:space="0" w:color="auto"/>
              <w:left w:val="single" w:sz="4" w:space="0" w:color="auto"/>
              <w:bottom w:val="single" w:sz="4" w:space="0" w:color="auto"/>
              <w:right w:val="single" w:sz="4" w:space="0" w:color="auto"/>
            </w:tcBorders>
            <w:vAlign w:val="bottom"/>
          </w:tcPr>
          <w:p w14:paraId="712C2A70"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71"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2"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3"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14</w:t>
            </w:r>
          </w:p>
        </w:tc>
        <w:tc>
          <w:tcPr>
            <w:tcW w:w="860" w:type="pct"/>
            <w:tcBorders>
              <w:top w:val="single" w:sz="4" w:space="0" w:color="auto"/>
              <w:left w:val="single" w:sz="4" w:space="0" w:color="auto"/>
              <w:bottom w:val="single" w:sz="4" w:space="0" w:color="auto"/>
              <w:right w:val="single" w:sz="4" w:space="0" w:color="auto"/>
            </w:tcBorders>
            <w:vAlign w:val="bottom"/>
          </w:tcPr>
          <w:p w14:paraId="712C2A74"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75"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6"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7"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c>
          <w:tcPr>
            <w:tcW w:w="938" w:type="pct"/>
            <w:tcBorders>
              <w:top w:val="single" w:sz="4" w:space="0" w:color="auto"/>
              <w:left w:val="single" w:sz="4" w:space="0" w:color="auto"/>
              <w:bottom w:val="single" w:sz="4" w:space="0" w:color="auto"/>
              <w:right w:val="single" w:sz="4" w:space="0" w:color="auto"/>
            </w:tcBorders>
            <w:vAlign w:val="bottom"/>
          </w:tcPr>
          <w:p w14:paraId="712C2A78"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9"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A"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7B"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3</w:t>
            </w:r>
          </w:p>
        </w:tc>
        <w:tc>
          <w:tcPr>
            <w:tcW w:w="938" w:type="pct"/>
            <w:tcBorders>
              <w:top w:val="single" w:sz="4" w:space="0" w:color="auto"/>
              <w:left w:val="single" w:sz="4" w:space="0" w:color="auto"/>
              <w:bottom w:val="single" w:sz="4" w:space="0" w:color="auto"/>
              <w:right w:val="single" w:sz="4" w:space="0" w:color="auto"/>
            </w:tcBorders>
            <w:vAlign w:val="bottom"/>
          </w:tcPr>
          <w:p w14:paraId="712C2A7C"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D"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7E"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p>
          <w:p w14:paraId="712C2A7F"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sidRPr="000C7269">
              <w:rPr>
                <w:rFonts w:ascii="Arial" w:hAnsi="Arial" w:cs="Arial"/>
                <w:snapToGrid w:val="0"/>
                <w:sz w:val="22"/>
                <w:szCs w:val="22"/>
                <w:lang w:eastAsia="de-DE"/>
              </w:rPr>
              <w:t>0</w:t>
            </w:r>
          </w:p>
        </w:tc>
      </w:tr>
      <w:tr w:rsidR="002C4E78" w:rsidRPr="00240635" w14:paraId="712C2A8B" w14:textId="77777777" w:rsidTr="00761490">
        <w:trPr>
          <w:trHeight w:val="576"/>
        </w:trPr>
        <w:tc>
          <w:tcPr>
            <w:tcW w:w="1404" w:type="pct"/>
            <w:tcBorders>
              <w:top w:val="single" w:sz="4" w:space="0" w:color="auto"/>
              <w:left w:val="single" w:sz="4" w:space="0" w:color="auto"/>
              <w:bottom w:val="single" w:sz="4" w:space="0" w:color="auto"/>
              <w:right w:val="single" w:sz="4" w:space="0" w:color="auto"/>
            </w:tcBorders>
            <w:vAlign w:val="bottom"/>
          </w:tcPr>
          <w:p w14:paraId="712C2A81" w14:textId="77777777" w:rsidR="002C4E78" w:rsidRDefault="002C4E78" w:rsidP="00C07898">
            <w:pPr>
              <w:widowControl w:val="0"/>
              <w:tabs>
                <w:tab w:val="left" w:pos="2127"/>
              </w:tabs>
              <w:rPr>
                <w:rFonts w:ascii="Arial" w:hAnsi="Arial" w:cs="Arial"/>
                <w:b/>
                <w:sz w:val="22"/>
                <w:szCs w:val="22"/>
              </w:rPr>
            </w:pPr>
            <w:r>
              <w:rPr>
                <w:rFonts w:ascii="Arial" w:hAnsi="Arial" w:cs="Arial"/>
                <w:b/>
                <w:sz w:val="22"/>
                <w:szCs w:val="22"/>
              </w:rPr>
              <w:t>Blood and lymphatic system disorders</w:t>
            </w:r>
          </w:p>
          <w:p w14:paraId="712C2A82" w14:textId="77777777" w:rsidR="002C4E78" w:rsidRPr="006B7F9F" w:rsidRDefault="002C4E78" w:rsidP="00C07898">
            <w:pPr>
              <w:widowControl w:val="0"/>
              <w:tabs>
                <w:tab w:val="left" w:pos="2127"/>
              </w:tabs>
              <w:rPr>
                <w:rFonts w:ascii="Arial" w:hAnsi="Arial" w:cs="Arial"/>
                <w:sz w:val="22"/>
                <w:szCs w:val="22"/>
              </w:rPr>
            </w:pPr>
            <w:r w:rsidRPr="006B7F9F">
              <w:rPr>
                <w:rFonts w:ascii="Arial" w:hAnsi="Arial" w:cs="Arial"/>
                <w:sz w:val="22"/>
                <w:szCs w:val="22"/>
              </w:rPr>
              <w:t>Anaemia</w:t>
            </w:r>
          </w:p>
        </w:tc>
        <w:tc>
          <w:tcPr>
            <w:tcW w:w="860" w:type="pct"/>
            <w:tcBorders>
              <w:top w:val="single" w:sz="4" w:space="0" w:color="auto"/>
              <w:left w:val="single" w:sz="4" w:space="0" w:color="auto"/>
              <w:bottom w:val="single" w:sz="4" w:space="0" w:color="auto"/>
              <w:right w:val="single" w:sz="4" w:space="0" w:color="auto"/>
            </w:tcBorders>
            <w:vAlign w:val="bottom"/>
          </w:tcPr>
          <w:p w14:paraId="712C2A83"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11</w:t>
            </w:r>
          </w:p>
        </w:tc>
        <w:tc>
          <w:tcPr>
            <w:tcW w:w="860" w:type="pct"/>
            <w:tcBorders>
              <w:top w:val="single" w:sz="4" w:space="0" w:color="auto"/>
              <w:left w:val="single" w:sz="4" w:space="0" w:color="auto"/>
              <w:bottom w:val="single" w:sz="4" w:space="0" w:color="auto"/>
              <w:right w:val="single" w:sz="4" w:space="0" w:color="auto"/>
            </w:tcBorders>
            <w:vAlign w:val="bottom"/>
          </w:tcPr>
          <w:p w14:paraId="712C2A84" w14:textId="77777777" w:rsidR="002C4E78" w:rsidRDefault="002C4E78" w:rsidP="00AE385F">
            <w:pPr>
              <w:widowControl w:val="0"/>
              <w:tabs>
                <w:tab w:val="left" w:pos="2127"/>
              </w:tabs>
              <w:rPr>
                <w:rFonts w:ascii="Arial" w:hAnsi="Arial" w:cs="Arial"/>
                <w:snapToGrid w:val="0"/>
                <w:sz w:val="22"/>
                <w:szCs w:val="22"/>
                <w:lang w:eastAsia="de-DE"/>
              </w:rPr>
            </w:pPr>
          </w:p>
          <w:p w14:paraId="712C2A85"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86"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w:t>
            </w:r>
          </w:p>
        </w:tc>
        <w:tc>
          <w:tcPr>
            <w:tcW w:w="938" w:type="pct"/>
            <w:tcBorders>
              <w:top w:val="single" w:sz="4" w:space="0" w:color="auto"/>
              <w:left w:val="single" w:sz="4" w:space="0" w:color="auto"/>
              <w:bottom w:val="single" w:sz="4" w:space="0" w:color="auto"/>
              <w:right w:val="single" w:sz="4" w:space="0" w:color="auto"/>
            </w:tcBorders>
            <w:vAlign w:val="bottom"/>
          </w:tcPr>
          <w:p w14:paraId="712C2A87" w14:textId="77777777" w:rsidR="002C4E78" w:rsidRPr="000C7269"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8</w:t>
            </w:r>
          </w:p>
        </w:tc>
        <w:tc>
          <w:tcPr>
            <w:tcW w:w="938" w:type="pct"/>
            <w:tcBorders>
              <w:top w:val="single" w:sz="4" w:space="0" w:color="auto"/>
              <w:left w:val="single" w:sz="4" w:space="0" w:color="auto"/>
              <w:bottom w:val="single" w:sz="4" w:space="0" w:color="auto"/>
              <w:right w:val="single" w:sz="4" w:space="0" w:color="auto"/>
            </w:tcBorders>
            <w:vAlign w:val="bottom"/>
          </w:tcPr>
          <w:p w14:paraId="712C2A88" w14:textId="77777777" w:rsidR="002C4E78" w:rsidRDefault="002C4E78" w:rsidP="00AE385F">
            <w:pPr>
              <w:widowControl w:val="0"/>
              <w:tabs>
                <w:tab w:val="left" w:pos="2127"/>
              </w:tabs>
              <w:rPr>
                <w:rFonts w:ascii="Arial" w:hAnsi="Arial" w:cs="Arial"/>
                <w:snapToGrid w:val="0"/>
                <w:sz w:val="22"/>
                <w:szCs w:val="22"/>
                <w:lang w:eastAsia="de-DE"/>
              </w:rPr>
            </w:pPr>
          </w:p>
          <w:p w14:paraId="712C2A89" w14:textId="77777777" w:rsidR="002C4E78" w:rsidRDefault="002C4E78" w:rsidP="00C07898">
            <w:pPr>
              <w:widowControl w:val="0"/>
              <w:tabs>
                <w:tab w:val="left" w:pos="2127"/>
              </w:tabs>
              <w:jc w:val="center"/>
              <w:rPr>
                <w:rFonts w:ascii="Arial" w:hAnsi="Arial" w:cs="Arial"/>
                <w:snapToGrid w:val="0"/>
                <w:sz w:val="22"/>
                <w:szCs w:val="22"/>
                <w:lang w:eastAsia="de-DE"/>
              </w:rPr>
            </w:pPr>
          </w:p>
          <w:p w14:paraId="712C2A8A" w14:textId="77777777" w:rsidR="002C4E78" w:rsidRDefault="002C4E78" w:rsidP="00C07898">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w:t>
            </w:r>
          </w:p>
        </w:tc>
      </w:tr>
      <w:tr w:rsidR="002C4E78" w14:paraId="712C2A9D" w14:textId="77777777" w:rsidTr="00761490">
        <w:trPr>
          <w:trHeight w:val="872"/>
        </w:trPr>
        <w:tc>
          <w:tcPr>
            <w:tcW w:w="1404" w:type="pct"/>
            <w:tcBorders>
              <w:top w:val="single" w:sz="4" w:space="0" w:color="auto"/>
              <w:left w:val="single" w:sz="4" w:space="0" w:color="auto"/>
              <w:bottom w:val="single" w:sz="4" w:space="0" w:color="auto"/>
              <w:right w:val="single" w:sz="4" w:space="0" w:color="auto"/>
            </w:tcBorders>
            <w:vAlign w:val="bottom"/>
          </w:tcPr>
          <w:p w14:paraId="712C2A8C" w14:textId="77777777" w:rsidR="002C4E78" w:rsidRDefault="002C4E78" w:rsidP="00E77923">
            <w:pPr>
              <w:widowControl w:val="0"/>
              <w:tabs>
                <w:tab w:val="left" w:pos="2127"/>
              </w:tabs>
              <w:rPr>
                <w:rFonts w:ascii="Arial" w:hAnsi="Arial" w:cs="Arial"/>
                <w:b/>
                <w:sz w:val="22"/>
                <w:szCs w:val="22"/>
              </w:rPr>
            </w:pPr>
            <w:r>
              <w:rPr>
                <w:rFonts w:ascii="Arial" w:hAnsi="Arial" w:cs="Arial"/>
                <w:b/>
                <w:sz w:val="22"/>
                <w:szCs w:val="22"/>
              </w:rPr>
              <w:t>Hepatobiliary disorders</w:t>
            </w:r>
          </w:p>
          <w:p w14:paraId="712C2A8D" w14:textId="77777777" w:rsidR="002C4E78" w:rsidRPr="006B7F9F" w:rsidRDefault="002C4E78" w:rsidP="00E77923">
            <w:pPr>
              <w:widowControl w:val="0"/>
              <w:tabs>
                <w:tab w:val="left" w:pos="2127"/>
              </w:tabs>
              <w:rPr>
                <w:rFonts w:ascii="Arial" w:hAnsi="Arial" w:cs="Arial"/>
                <w:sz w:val="22"/>
                <w:szCs w:val="22"/>
              </w:rPr>
            </w:pPr>
            <w:r w:rsidRPr="006B7F9F">
              <w:rPr>
                <w:rFonts w:ascii="Arial" w:hAnsi="Arial" w:cs="Arial"/>
                <w:sz w:val="22"/>
                <w:szCs w:val="22"/>
              </w:rPr>
              <w:t>Increase in transaminase</w:t>
            </w:r>
            <w:r>
              <w:rPr>
                <w:rFonts w:ascii="Arial" w:hAnsi="Arial" w:cs="Arial"/>
                <w:sz w:val="22"/>
                <w:szCs w:val="22"/>
              </w:rPr>
              <w:t>s</w:t>
            </w:r>
          </w:p>
        </w:tc>
        <w:tc>
          <w:tcPr>
            <w:tcW w:w="860" w:type="pct"/>
            <w:tcBorders>
              <w:top w:val="single" w:sz="4" w:space="0" w:color="auto"/>
              <w:left w:val="single" w:sz="4" w:space="0" w:color="auto"/>
              <w:bottom w:val="single" w:sz="4" w:space="0" w:color="auto"/>
              <w:right w:val="single" w:sz="4" w:space="0" w:color="auto"/>
            </w:tcBorders>
            <w:vAlign w:val="bottom"/>
          </w:tcPr>
          <w:p w14:paraId="712C2A8E"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8F"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0"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1" w14:textId="77777777" w:rsidR="002C4E78" w:rsidRPr="000C7269" w:rsidRDefault="002C4E78" w:rsidP="00E77923">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11</w:t>
            </w:r>
          </w:p>
        </w:tc>
        <w:tc>
          <w:tcPr>
            <w:tcW w:w="860" w:type="pct"/>
            <w:tcBorders>
              <w:top w:val="single" w:sz="4" w:space="0" w:color="auto"/>
              <w:left w:val="single" w:sz="4" w:space="0" w:color="auto"/>
              <w:bottom w:val="single" w:sz="4" w:space="0" w:color="auto"/>
              <w:right w:val="single" w:sz="4" w:space="0" w:color="auto"/>
            </w:tcBorders>
            <w:vAlign w:val="bottom"/>
          </w:tcPr>
          <w:p w14:paraId="712C2A92"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3"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4" w14:textId="77777777" w:rsidR="002C4E78" w:rsidRDefault="002C4E78" w:rsidP="00E77923">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3</w:t>
            </w:r>
          </w:p>
        </w:tc>
        <w:tc>
          <w:tcPr>
            <w:tcW w:w="938" w:type="pct"/>
            <w:tcBorders>
              <w:top w:val="single" w:sz="4" w:space="0" w:color="auto"/>
              <w:left w:val="single" w:sz="4" w:space="0" w:color="auto"/>
              <w:bottom w:val="single" w:sz="4" w:space="0" w:color="auto"/>
              <w:right w:val="single" w:sz="4" w:space="0" w:color="auto"/>
            </w:tcBorders>
            <w:vAlign w:val="bottom"/>
          </w:tcPr>
          <w:p w14:paraId="712C2A95"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6"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7" w14:textId="77777777" w:rsidR="002C4E78" w:rsidRDefault="002C4E78" w:rsidP="00E77923">
            <w:pPr>
              <w:widowControl w:val="0"/>
              <w:tabs>
                <w:tab w:val="left" w:pos="2127"/>
              </w:tabs>
              <w:jc w:val="center"/>
              <w:rPr>
                <w:rFonts w:ascii="Arial" w:hAnsi="Arial" w:cs="Arial"/>
                <w:snapToGrid w:val="0"/>
                <w:sz w:val="22"/>
                <w:szCs w:val="22"/>
                <w:lang w:eastAsia="de-DE"/>
              </w:rPr>
            </w:pPr>
          </w:p>
          <w:p w14:paraId="712C2A98" w14:textId="77777777" w:rsidR="002C4E78" w:rsidRPr="000C7269" w:rsidRDefault="002C4E78" w:rsidP="00E77923">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5</w:t>
            </w:r>
          </w:p>
        </w:tc>
        <w:tc>
          <w:tcPr>
            <w:tcW w:w="938" w:type="pct"/>
            <w:tcBorders>
              <w:top w:val="single" w:sz="4" w:space="0" w:color="auto"/>
              <w:left w:val="single" w:sz="4" w:space="0" w:color="auto"/>
              <w:bottom w:val="single" w:sz="4" w:space="0" w:color="auto"/>
              <w:right w:val="single" w:sz="4" w:space="0" w:color="auto"/>
            </w:tcBorders>
            <w:vAlign w:val="bottom"/>
          </w:tcPr>
          <w:p w14:paraId="712C2A99" w14:textId="77777777" w:rsidR="002C4E78" w:rsidRDefault="002C4E78" w:rsidP="00AE385F">
            <w:pPr>
              <w:widowControl w:val="0"/>
              <w:tabs>
                <w:tab w:val="left" w:pos="2127"/>
              </w:tabs>
              <w:rPr>
                <w:rFonts w:ascii="Arial" w:hAnsi="Arial" w:cs="Arial"/>
                <w:snapToGrid w:val="0"/>
                <w:sz w:val="22"/>
                <w:szCs w:val="22"/>
                <w:lang w:eastAsia="de-DE"/>
              </w:rPr>
            </w:pPr>
          </w:p>
          <w:p w14:paraId="712C2A9A" w14:textId="77777777" w:rsidR="002C4E78" w:rsidRDefault="002C4E78" w:rsidP="00AE385F">
            <w:pPr>
              <w:widowControl w:val="0"/>
              <w:tabs>
                <w:tab w:val="left" w:pos="2127"/>
              </w:tabs>
              <w:rPr>
                <w:rFonts w:ascii="Arial" w:hAnsi="Arial" w:cs="Arial"/>
                <w:snapToGrid w:val="0"/>
                <w:sz w:val="22"/>
                <w:szCs w:val="22"/>
                <w:lang w:eastAsia="de-DE"/>
              </w:rPr>
            </w:pPr>
          </w:p>
          <w:p w14:paraId="712C2A9B" w14:textId="77777777" w:rsidR="002C4E78" w:rsidRDefault="002C4E78" w:rsidP="00AE385F">
            <w:pPr>
              <w:widowControl w:val="0"/>
              <w:tabs>
                <w:tab w:val="left" w:pos="2127"/>
              </w:tabs>
              <w:rPr>
                <w:rFonts w:ascii="Arial" w:hAnsi="Arial" w:cs="Arial"/>
                <w:snapToGrid w:val="0"/>
                <w:sz w:val="22"/>
                <w:szCs w:val="22"/>
                <w:lang w:eastAsia="de-DE"/>
              </w:rPr>
            </w:pPr>
          </w:p>
          <w:p w14:paraId="712C2A9C" w14:textId="77777777" w:rsidR="002C4E78" w:rsidRDefault="002C4E78" w:rsidP="0034700C">
            <w:pPr>
              <w:widowControl w:val="0"/>
              <w:tabs>
                <w:tab w:val="left" w:pos="2127"/>
              </w:tabs>
              <w:jc w:val="center"/>
              <w:rPr>
                <w:rFonts w:ascii="Arial" w:hAnsi="Arial" w:cs="Arial"/>
                <w:snapToGrid w:val="0"/>
                <w:sz w:val="22"/>
                <w:szCs w:val="22"/>
                <w:lang w:eastAsia="de-DE"/>
              </w:rPr>
            </w:pPr>
            <w:r>
              <w:rPr>
                <w:rFonts w:ascii="Arial" w:hAnsi="Arial" w:cs="Arial"/>
                <w:snapToGrid w:val="0"/>
                <w:sz w:val="22"/>
                <w:szCs w:val="22"/>
                <w:lang w:eastAsia="de-DE"/>
              </w:rPr>
              <w:t>2</w:t>
            </w:r>
          </w:p>
        </w:tc>
      </w:tr>
    </w:tbl>
    <w:p w14:paraId="712C2A9E" w14:textId="77777777" w:rsidR="00D557DD" w:rsidRDefault="00D557DD" w:rsidP="00AE385F">
      <w:pPr>
        <w:tabs>
          <w:tab w:val="left" w:pos="540"/>
        </w:tabs>
        <w:autoSpaceDE w:val="0"/>
        <w:autoSpaceDN w:val="0"/>
        <w:adjustRightInd w:val="0"/>
        <w:rPr>
          <w:rFonts w:ascii="Arial" w:hAnsi="Arial" w:cs="Arial"/>
          <w:sz w:val="20"/>
          <w:szCs w:val="20"/>
        </w:rPr>
      </w:pPr>
      <w:r>
        <w:rPr>
          <w:rFonts w:ascii="Arial" w:hAnsi="Arial" w:cs="Arial"/>
          <w:color w:val="000000"/>
          <w:sz w:val="20"/>
          <w:szCs w:val="20"/>
          <w:vertAlign w:val="superscript"/>
        </w:rPr>
        <w:t>§</w:t>
      </w:r>
      <w:r>
        <w:rPr>
          <w:rFonts w:ascii="Arial" w:hAnsi="Arial" w:cs="Arial"/>
          <w:color w:val="000000"/>
          <w:sz w:val="20"/>
          <w:szCs w:val="20"/>
        </w:rPr>
        <w:t>Best supportive care</w:t>
      </w:r>
    </w:p>
    <w:p w14:paraId="712C2A9F" w14:textId="77777777" w:rsidR="003209D5" w:rsidRDefault="003209D5" w:rsidP="003209D5">
      <w:pPr>
        <w:tabs>
          <w:tab w:val="left" w:pos="284"/>
        </w:tabs>
        <w:autoSpaceDE w:val="0"/>
        <w:autoSpaceDN w:val="0"/>
        <w:adjustRightInd w:val="0"/>
        <w:rPr>
          <w:rFonts w:ascii="Arial" w:hAnsi="Arial" w:cs="Arial"/>
          <w:sz w:val="22"/>
          <w:szCs w:val="22"/>
        </w:rPr>
      </w:pPr>
      <w:r w:rsidRPr="00C34AF3">
        <w:rPr>
          <w:rFonts w:ascii="Arial" w:hAnsi="Arial" w:cs="Arial"/>
          <w:sz w:val="20"/>
          <w:szCs w:val="20"/>
        </w:rPr>
        <w:t>*Fatal outcome has been observed</w:t>
      </w:r>
    </w:p>
    <w:p w14:paraId="712C2AA0" w14:textId="77777777" w:rsidR="00833F59" w:rsidRDefault="00A83092" w:rsidP="00386290">
      <w:pPr>
        <w:pStyle w:val="BayerBodyTextFull"/>
        <w:keepNext/>
        <w:rPr>
          <w:rFonts w:ascii="Arial" w:hAnsi="Arial" w:cs="Arial"/>
          <w:sz w:val="22"/>
          <w:szCs w:val="22"/>
        </w:rPr>
      </w:pPr>
      <w:r>
        <w:rPr>
          <w:rFonts w:ascii="Arial" w:hAnsi="Arial" w:cs="Arial"/>
          <w:sz w:val="22"/>
          <w:szCs w:val="22"/>
        </w:rPr>
        <w:lastRenderedPageBreak/>
        <w:t>In the pivotal GRID study, o</w:t>
      </w:r>
      <w:r w:rsidR="003209D5" w:rsidRPr="003209D5">
        <w:rPr>
          <w:rFonts w:ascii="Arial" w:hAnsi="Arial" w:cs="Arial"/>
          <w:sz w:val="22"/>
          <w:szCs w:val="22"/>
        </w:rPr>
        <w:t>ther adverse reactions observed more commonly in less than 10</w:t>
      </w:r>
      <w:r w:rsidR="004F501C">
        <w:rPr>
          <w:rFonts w:ascii="Arial" w:hAnsi="Arial" w:cs="Arial"/>
          <w:sz w:val="22"/>
          <w:szCs w:val="22"/>
        </w:rPr>
        <w:t xml:space="preserve">% of </w:t>
      </w:r>
      <w:proofErr w:type="spellStart"/>
      <w:r w:rsidR="004F501C">
        <w:rPr>
          <w:rFonts w:ascii="Arial" w:hAnsi="Arial" w:cs="Arial"/>
          <w:sz w:val="22"/>
          <w:szCs w:val="22"/>
        </w:rPr>
        <w:t>Stivarga</w:t>
      </w:r>
      <w:proofErr w:type="spellEnd"/>
      <w:r w:rsidR="004F501C">
        <w:rPr>
          <w:rFonts w:ascii="Arial" w:hAnsi="Arial" w:cs="Arial"/>
          <w:sz w:val="22"/>
          <w:szCs w:val="22"/>
        </w:rPr>
        <w:t xml:space="preserve">-treated patients </w:t>
      </w:r>
      <w:r w:rsidR="003209D5" w:rsidRPr="003209D5">
        <w:rPr>
          <w:rFonts w:ascii="Arial" w:hAnsi="Arial" w:cs="Arial"/>
          <w:sz w:val="22"/>
          <w:szCs w:val="22"/>
        </w:rPr>
        <w:t xml:space="preserve">and at a higher incidence than in placebo-treated patients included the following:  </w:t>
      </w:r>
    </w:p>
    <w:tbl>
      <w:tblPr>
        <w:tblW w:w="0" w:type="auto"/>
        <w:tblLayout w:type="fixed"/>
        <w:tblLook w:val="04A0" w:firstRow="1" w:lastRow="0" w:firstColumn="1" w:lastColumn="0" w:noHBand="0" w:noVBand="1"/>
      </w:tblPr>
      <w:tblGrid>
        <w:gridCol w:w="5070"/>
        <w:gridCol w:w="4358"/>
      </w:tblGrid>
      <w:tr w:rsidR="00833F59" w:rsidRPr="00794C1D" w14:paraId="712C2AA3" w14:textId="77777777" w:rsidTr="007F2478">
        <w:tc>
          <w:tcPr>
            <w:tcW w:w="5070" w:type="dxa"/>
            <w:shd w:val="clear" w:color="auto" w:fill="auto"/>
          </w:tcPr>
          <w:p w14:paraId="712C2AA1" w14:textId="77777777" w:rsidR="00833F59" w:rsidRPr="00794C1D" w:rsidRDefault="00833F59" w:rsidP="00110401">
            <w:pPr>
              <w:pStyle w:val="BayerBodyTextFull"/>
              <w:keepNext/>
              <w:numPr>
                <w:ilvl w:val="0"/>
                <w:numId w:val="36"/>
              </w:numPr>
              <w:tabs>
                <w:tab w:val="left" w:pos="567"/>
              </w:tabs>
              <w:spacing w:line="260" w:lineRule="exact"/>
              <w:rPr>
                <w:rFonts w:ascii="Arial" w:hAnsi="Arial" w:cs="Arial"/>
                <w:sz w:val="22"/>
                <w:szCs w:val="22"/>
              </w:rPr>
            </w:pPr>
            <w:proofErr w:type="spellStart"/>
            <w:r w:rsidRPr="00794C1D">
              <w:rPr>
                <w:rFonts w:ascii="Arial" w:hAnsi="Arial" w:cs="Arial"/>
                <w:sz w:val="22"/>
                <w:szCs w:val="22"/>
              </w:rPr>
              <w:t>hyperbilirubinemia</w:t>
            </w:r>
            <w:proofErr w:type="spellEnd"/>
            <w:r w:rsidRPr="00794C1D">
              <w:rPr>
                <w:rFonts w:ascii="Arial" w:hAnsi="Arial" w:cs="Arial"/>
                <w:sz w:val="22"/>
                <w:szCs w:val="22"/>
              </w:rPr>
              <w:t xml:space="preserve"> (9.9 vs. 3.0)</w:t>
            </w:r>
          </w:p>
        </w:tc>
        <w:tc>
          <w:tcPr>
            <w:tcW w:w="4358" w:type="dxa"/>
            <w:shd w:val="clear" w:color="auto" w:fill="auto"/>
          </w:tcPr>
          <w:p w14:paraId="712C2AA2" w14:textId="77777777" w:rsidR="00833F59" w:rsidRPr="00794C1D" w:rsidRDefault="00833F59" w:rsidP="00386290">
            <w:pPr>
              <w:pStyle w:val="BayerBodyTextFull"/>
              <w:keepNext/>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taste disorders (9.9 vs. 3.0)</w:t>
            </w:r>
          </w:p>
        </w:tc>
      </w:tr>
      <w:tr w:rsidR="006B7F9F" w:rsidRPr="00794C1D" w14:paraId="712C2AA6" w14:textId="77777777" w:rsidTr="007F2478">
        <w:tc>
          <w:tcPr>
            <w:tcW w:w="5070" w:type="dxa"/>
            <w:shd w:val="clear" w:color="auto" w:fill="auto"/>
          </w:tcPr>
          <w:p w14:paraId="712C2AA4" w14:textId="77777777" w:rsidR="006B7F9F" w:rsidRPr="00794C1D" w:rsidRDefault="006B7F9F" w:rsidP="005F3D99">
            <w:pPr>
              <w:pStyle w:val="BayerBodyTextFull"/>
              <w:keepNext/>
              <w:numPr>
                <w:ilvl w:val="0"/>
                <w:numId w:val="36"/>
              </w:numPr>
              <w:tabs>
                <w:tab w:val="left" w:pos="567"/>
              </w:tabs>
              <w:spacing w:line="260" w:lineRule="exact"/>
              <w:rPr>
                <w:rFonts w:ascii="Arial" w:hAnsi="Arial" w:cs="Arial"/>
                <w:sz w:val="22"/>
                <w:szCs w:val="22"/>
              </w:rPr>
            </w:pPr>
            <w:r>
              <w:rPr>
                <w:rFonts w:ascii="Arial" w:hAnsi="Arial" w:cs="Arial"/>
                <w:sz w:val="22"/>
                <w:szCs w:val="22"/>
              </w:rPr>
              <w:t xml:space="preserve">leukopenia </w:t>
            </w:r>
            <w:r w:rsidR="006B087B">
              <w:rPr>
                <w:rFonts w:ascii="Arial" w:hAnsi="Arial" w:cs="Arial"/>
                <w:sz w:val="22"/>
                <w:szCs w:val="22"/>
              </w:rPr>
              <w:t>(8.3 vs. 7.6)</w:t>
            </w:r>
          </w:p>
        </w:tc>
        <w:tc>
          <w:tcPr>
            <w:tcW w:w="4358" w:type="dxa"/>
            <w:shd w:val="clear" w:color="auto" w:fill="auto"/>
          </w:tcPr>
          <w:p w14:paraId="712C2AA5" w14:textId="77777777" w:rsidR="006B7F9F" w:rsidRPr="00794C1D" w:rsidRDefault="006B087B" w:rsidP="00386290">
            <w:pPr>
              <w:pStyle w:val="BayerBodyTextFull"/>
              <w:keepNext/>
              <w:numPr>
                <w:ilvl w:val="0"/>
                <w:numId w:val="36"/>
              </w:numPr>
              <w:tabs>
                <w:tab w:val="left" w:pos="567"/>
              </w:tabs>
              <w:spacing w:line="260" w:lineRule="exact"/>
              <w:rPr>
                <w:rFonts w:ascii="Arial" w:hAnsi="Arial" w:cs="Arial"/>
                <w:sz w:val="22"/>
                <w:szCs w:val="22"/>
              </w:rPr>
            </w:pPr>
            <w:r>
              <w:rPr>
                <w:rFonts w:ascii="Arial" w:hAnsi="Arial" w:cs="Arial"/>
                <w:sz w:val="22"/>
                <w:szCs w:val="22"/>
              </w:rPr>
              <w:t xml:space="preserve">proteinuria (7.6 vs. 1.5) </w:t>
            </w:r>
          </w:p>
        </w:tc>
      </w:tr>
      <w:tr w:rsidR="00833F59" w:rsidRPr="00794C1D" w14:paraId="712C2AA9" w14:textId="77777777" w:rsidTr="007F2478">
        <w:tc>
          <w:tcPr>
            <w:tcW w:w="5070" w:type="dxa"/>
            <w:shd w:val="clear" w:color="auto" w:fill="auto"/>
          </w:tcPr>
          <w:p w14:paraId="712C2AA7" w14:textId="77777777" w:rsidR="00833F59" w:rsidRPr="00794C1D" w:rsidRDefault="00833F59" w:rsidP="00110401">
            <w:pPr>
              <w:pStyle w:val="BayerBodyTextFull"/>
              <w:keepNext/>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thrombocytopenia (6.1 vs. 0.0)</w:t>
            </w:r>
          </w:p>
        </w:tc>
        <w:tc>
          <w:tcPr>
            <w:tcW w:w="4358" w:type="dxa"/>
            <w:shd w:val="clear" w:color="auto" w:fill="auto"/>
          </w:tcPr>
          <w:p w14:paraId="712C2AA8" w14:textId="77777777" w:rsidR="00833F59" w:rsidRPr="00794C1D" w:rsidRDefault="00833F59" w:rsidP="00386290">
            <w:pPr>
              <w:pStyle w:val="BayerBodyTextFull"/>
              <w:keepNext/>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dry mouth (6.1 vs. 4.6)</w:t>
            </w:r>
          </w:p>
        </w:tc>
      </w:tr>
      <w:tr w:rsidR="00833F59" w:rsidRPr="00794C1D" w14:paraId="712C2AAC" w14:textId="77777777" w:rsidTr="007F2478">
        <w:tc>
          <w:tcPr>
            <w:tcW w:w="5070" w:type="dxa"/>
            <w:shd w:val="clear" w:color="auto" w:fill="auto"/>
          </w:tcPr>
          <w:p w14:paraId="712C2AAA" w14:textId="77777777" w:rsidR="00833F59" w:rsidRPr="00794C1D" w:rsidRDefault="00B423FB" w:rsidP="0079213D">
            <w:pPr>
              <w:pStyle w:val="BayerBodyTextFull"/>
              <w:keepNext/>
              <w:numPr>
                <w:ilvl w:val="0"/>
                <w:numId w:val="36"/>
              </w:numPr>
              <w:tabs>
                <w:tab w:val="left" w:pos="567"/>
              </w:tabs>
              <w:spacing w:line="260" w:lineRule="exact"/>
              <w:rPr>
                <w:rFonts w:ascii="Arial" w:hAnsi="Arial" w:cs="Arial"/>
                <w:sz w:val="22"/>
                <w:szCs w:val="22"/>
              </w:rPr>
            </w:pPr>
            <w:r>
              <w:rPr>
                <w:rFonts w:ascii="Arial" w:hAnsi="Arial" w:cs="Arial"/>
                <w:sz w:val="22"/>
                <w:szCs w:val="22"/>
              </w:rPr>
              <w:t>peripheral sensory neu</w:t>
            </w:r>
            <w:r w:rsidR="00110401">
              <w:rPr>
                <w:rFonts w:ascii="Arial" w:hAnsi="Arial" w:cs="Arial"/>
                <w:sz w:val="22"/>
                <w:szCs w:val="22"/>
              </w:rPr>
              <w:t>ropathy (6.1 vs</w:t>
            </w:r>
            <w:r w:rsidR="0079213D">
              <w:rPr>
                <w:rFonts w:ascii="Arial" w:hAnsi="Arial" w:cs="Arial"/>
                <w:sz w:val="22"/>
                <w:szCs w:val="22"/>
              </w:rPr>
              <w:t>.</w:t>
            </w:r>
            <w:r w:rsidR="00110401">
              <w:rPr>
                <w:rFonts w:ascii="Arial" w:hAnsi="Arial" w:cs="Arial"/>
                <w:sz w:val="22"/>
                <w:szCs w:val="22"/>
              </w:rPr>
              <w:t xml:space="preserve"> 1.5)</w:t>
            </w:r>
          </w:p>
        </w:tc>
        <w:tc>
          <w:tcPr>
            <w:tcW w:w="4358" w:type="dxa"/>
            <w:shd w:val="clear" w:color="auto" w:fill="auto"/>
          </w:tcPr>
          <w:p w14:paraId="712C2AAB" w14:textId="77777777" w:rsidR="00833F59" w:rsidRPr="00794C1D" w:rsidRDefault="00702520" w:rsidP="0079213D">
            <w:pPr>
              <w:pStyle w:val="BayerBodyTextFull"/>
              <w:keepNext/>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hypophosphatemia (5.3 vs. 0.0)</w:t>
            </w:r>
          </w:p>
        </w:tc>
      </w:tr>
      <w:tr w:rsidR="0079213D" w:rsidRPr="00794C1D" w14:paraId="712C2AAF" w14:textId="77777777" w:rsidTr="007F2478">
        <w:tc>
          <w:tcPr>
            <w:tcW w:w="5070" w:type="dxa"/>
            <w:shd w:val="clear" w:color="auto" w:fill="auto"/>
          </w:tcPr>
          <w:p w14:paraId="712C2AAD" w14:textId="77777777" w:rsidR="0079213D" w:rsidRDefault="0079213D" w:rsidP="00386290">
            <w:pPr>
              <w:pStyle w:val="BayerBodyTextFull"/>
              <w:keepNext/>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dry skin (4.6 vs. 0.0)</w:t>
            </w:r>
          </w:p>
        </w:tc>
        <w:tc>
          <w:tcPr>
            <w:tcW w:w="4358" w:type="dxa"/>
            <w:shd w:val="clear" w:color="auto" w:fill="auto"/>
          </w:tcPr>
          <w:p w14:paraId="712C2AAE" w14:textId="77777777" w:rsidR="0079213D" w:rsidRPr="00794C1D" w:rsidRDefault="0079213D" w:rsidP="0079213D">
            <w:pPr>
              <w:pStyle w:val="BayerBodyTextFull"/>
              <w:keepNext/>
              <w:numPr>
                <w:ilvl w:val="0"/>
                <w:numId w:val="36"/>
              </w:numPr>
              <w:tabs>
                <w:tab w:val="left" w:pos="567"/>
              </w:tabs>
              <w:spacing w:line="260" w:lineRule="exact"/>
              <w:rPr>
                <w:rFonts w:ascii="Arial" w:hAnsi="Arial" w:cs="Arial"/>
                <w:sz w:val="22"/>
                <w:szCs w:val="22"/>
              </w:rPr>
            </w:pPr>
            <w:proofErr w:type="spellStart"/>
            <w:r>
              <w:rPr>
                <w:rFonts w:ascii="Arial" w:hAnsi="Arial" w:cs="Arial"/>
                <w:sz w:val="22"/>
                <w:szCs w:val="22"/>
              </w:rPr>
              <w:t>hypoalbuminaemia</w:t>
            </w:r>
            <w:proofErr w:type="spellEnd"/>
            <w:r>
              <w:rPr>
                <w:rFonts w:ascii="Arial" w:hAnsi="Arial" w:cs="Arial"/>
                <w:sz w:val="22"/>
                <w:szCs w:val="22"/>
              </w:rPr>
              <w:t xml:space="preserve"> (4.5 vs. 0.0)</w:t>
            </w:r>
            <w:r w:rsidDel="0079213D">
              <w:rPr>
                <w:rFonts w:ascii="Arial" w:hAnsi="Arial" w:cs="Arial"/>
                <w:sz w:val="22"/>
                <w:szCs w:val="22"/>
              </w:rPr>
              <w:t xml:space="preserve"> </w:t>
            </w:r>
          </w:p>
        </w:tc>
      </w:tr>
      <w:tr w:rsidR="00833F59" w:rsidRPr="00794C1D" w14:paraId="712C2AB2" w14:textId="77777777" w:rsidTr="007F2478">
        <w:tc>
          <w:tcPr>
            <w:tcW w:w="5070" w:type="dxa"/>
            <w:shd w:val="clear" w:color="auto" w:fill="auto"/>
          </w:tcPr>
          <w:p w14:paraId="712C2AB0" w14:textId="77777777" w:rsidR="0079213D" w:rsidRPr="00794C1D" w:rsidRDefault="00923A6F" w:rsidP="0079213D">
            <w:pPr>
              <w:pStyle w:val="BayerBodyTextFull"/>
              <w:keepNext/>
              <w:numPr>
                <w:ilvl w:val="0"/>
                <w:numId w:val="36"/>
              </w:numPr>
              <w:tabs>
                <w:tab w:val="left" w:pos="567"/>
              </w:tabs>
              <w:spacing w:line="260" w:lineRule="exact"/>
              <w:rPr>
                <w:rFonts w:ascii="Arial" w:hAnsi="Arial" w:cs="Arial"/>
                <w:sz w:val="22"/>
                <w:szCs w:val="22"/>
              </w:rPr>
            </w:pPr>
            <w:r>
              <w:rPr>
                <w:rFonts w:ascii="Arial" w:hAnsi="Arial" w:cs="Arial"/>
                <w:sz w:val="22"/>
                <w:szCs w:val="22"/>
              </w:rPr>
              <w:t>vertigo (4.5 vs</w:t>
            </w:r>
            <w:r w:rsidR="0079213D">
              <w:rPr>
                <w:rFonts w:ascii="Arial" w:hAnsi="Arial" w:cs="Arial"/>
                <w:sz w:val="22"/>
                <w:szCs w:val="22"/>
              </w:rPr>
              <w:t>.</w:t>
            </w:r>
            <w:r>
              <w:rPr>
                <w:rFonts w:ascii="Arial" w:hAnsi="Arial" w:cs="Arial"/>
                <w:sz w:val="22"/>
                <w:szCs w:val="22"/>
              </w:rPr>
              <w:t xml:space="preserve"> 0.0)</w:t>
            </w:r>
          </w:p>
        </w:tc>
        <w:tc>
          <w:tcPr>
            <w:tcW w:w="4358" w:type="dxa"/>
            <w:shd w:val="clear" w:color="auto" w:fill="auto"/>
          </w:tcPr>
          <w:p w14:paraId="712C2AB1" w14:textId="77777777" w:rsidR="00833F59" w:rsidRPr="00794C1D" w:rsidRDefault="0079213D" w:rsidP="0079213D">
            <w:pPr>
              <w:pStyle w:val="BayerBodyTextFull"/>
              <w:keepNext/>
              <w:numPr>
                <w:ilvl w:val="0"/>
                <w:numId w:val="36"/>
              </w:numPr>
              <w:tabs>
                <w:tab w:val="left" w:pos="567"/>
              </w:tabs>
              <w:spacing w:line="260" w:lineRule="exact"/>
              <w:rPr>
                <w:rFonts w:ascii="Arial" w:hAnsi="Arial" w:cs="Arial"/>
                <w:sz w:val="22"/>
                <w:szCs w:val="22"/>
              </w:rPr>
            </w:pPr>
            <w:proofErr w:type="spellStart"/>
            <w:r w:rsidRPr="00794C1D">
              <w:rPr>
                <w:rFonts w:ascii="Arial" w:hAnsi="Arial" w:cs="Arial"/>
                <w:sz w:val="22"/>
                <w:szCs w:val="22"/>
              </w:rPr>
              <w:t>hypokal</w:t>
            </w:r>
            <w:r>
              <w:rPr>
                <w:rFonts w:ascii="Arial" w:hAnsi="Arial" w:cs="Arial"/>
                <w:sz w:val="22"/>
                <w:szCs w:val="22"/>
              </w:rPr>
              <w:t>a</w:t>
            </w:r>
            <w:r w:rsidRPr="00794C1D">
              <w:rPr>
                <w:rFonts w:ascii="Arial" w:hAnsi="Arial" w:cs="Arial"/>
                <w:sz w:val="22"/>
                <w:szCs w:val="22"/>
              </w:rPr>
              <w:t>emia</w:t>
            </w:r>
            <w:proofErr w:type="spellEnd"/>
            <w:r w:rsidRPr="00794C1D">
              <w:rPr>
                <w:rFonts w:ascii="Arial" w:hAnsi="Arial" w:cs="Arial"/>
                <w:sz w:val="22"/>
                <w:szCs w:val="22"/>
              </w:rPr>
              <w:t xml:space="preserve"> (3.8 vs. 3.0)</w:t>
            </w:r>
          </w:p>
        </w:tc>
      </w:tr>
      <w:tr w:rsidR="0079213D" w:rsidRPr="00794C1D" w14:paraId="712C2AB5" w14:textId="77777777" w:rsidTr="007F2478">
        <w:tc>
          <w:tcPr>
            <w:tcW w:w="5070" w:type="dxa"/>
            <w:shd w:val="clear" w:color="auto" w:fill="auto"/>
          </w:tcPr>
          <w:p w14:paraId="712C2AB3" w14:textId="77777777" w:rsidR="0079213D" w:rsidDel="0079213D" w:rsidRDefault="0079213D" w:rsidP="0079213D">
            <w:pPr>
              <w:pStyle w:val="BayerBodyTextFull"/>
              <w:numPr>
                <w:ilvl w:val="0"/>
                <w:numId w:val="36"/>
              </w:numPr>
              <w:tabs>
                <w:tab w:val="left" w:pos="567"/>
              </w:tabs>
              <w:spacing w:line="260" w:lineRule="exact"/>
              <w:rPr>
                <w:rFonts w:ascii="Arial" w:hAnsi="Arial" w:cs="Arial"/>
                <w:sz w:val="22"/>
                <w:szCs w:val="22"/>
              </w:rPr>
            </w:pPr>
            <w:r>
              <w:rPr>
                <w:rFonts w:ascii="Arial" w:hAnsi="Arial" w:cs="Arial"/>
                <w:sz w:val="22"/>
                <w:szCs w:val="22"/>
              </w:rPr>
              <w:t>acute kidney injury (2.3 vs. 0.0)</w:t>
            </w:r>
          </w:p>
        </w:tc>
        <w:tc>
          <w:tcPr>
            <w:tcW w:w="4358" w:type="dxa"/>
            <w:shd w:val="clear" w:color="auto" w:fill="auto"/>
          </w:tcPr>
          <w:p w14:paraId="712C2AB4" w14:textId="77777777" w:rsidR="0079213D" w:rsidRPr="00794C1D" w:rsidRDefault="0079213D" w:rsidP="0079213D">
            <w:pPr>
              <w:pStyle w:val="BayerBodyTextFull"/>
              <w:numPr>
                <w:ilvl w:val="0"/>
                <w:numId w:val="36"/>
              </w:numPr>
              <w:tabs>
                <w:tab w:val="left" w:pos="567"/>
              </w:tabs>
              <w:spacing w:line="260" w:lineRule="exact"/>
              <w:rPr>
                <w:rFonts w:ascii="Arial" w:hAnsi="Arial" w:cs="Arial"/>
                <w:sz w:val="22"/>
                <w:szCs w:val="22"/>
              </w:rPr>
            </w:pPr>
            <w:r>
              <w:rPr>
                <w:rFonts w:ascii="Arial" w:hAnsi="Arial" w:cs="Arial"/>
                <w:sz w:val="22"/>
                <w:szCs w:val="22"/>
              </w:rPr>
              <w:t>ear discomfort (2.3 vs. 0.0)</w:t>
            </w:r>
          </w:p>
        </w:tc>
      </w:tr>
      <w:tr w:rsidR="00833F59" w:rsidRPr="00794C1D" w14:paraId="712C2AB8" w14:textId="77777777" w:rsidTr="007F2478">
        <w:tc>
          <w:tcPr>
            <w:tcW w:w="5070" w:type="dxa"/>
            <w:shd w:val="clear" w:color="auto" w:fill="auto"/>
          </w:tcPr>
          <w:p w14:paraId="712C2AB6" w14:textId="77777777" w:rsidR="00833F59" w:rsidRPr="00794C1D" w:rsidRDefault="00923A6F" w:rsidP="0079213D">
            <w:pPr>
              <w:pStyle w:val="BayerBodyTextFull"/>
              <w:numPr>
                <w:ilvl w:val="0"/>
                <w:numId w:val="36"/>
              </w:numPr>
              <w:tabs>
                <w:tab w:val="left" w:pos="567"/>
              </w:tabs>
              <w:spacing w:line="260" w:lineRule="exact"/>
              <w:rPr>
                <w:rFonts w:ascii="Arial" w:hAnsi="Arial" w:cs="Arial"/>
                <w:sz w:val="22"/>
                <w:szCs w:val="22"/>
              </w:rPr>
            </w:pPr>
            <w:r>
              <w:rPr>
                <w:rFonts w:ascii="Arial" w:hAnsi="Arial" w:cs="Arial"/>
                <w:sz w:val="22"/>
                <w:szCs w:val="22"/>
              </w:rPr>
              <w:t>tinnitus (2.3 vs</w:t>
            </w:r>
            <w:r w:rsidR="0079213D">
              <w:rPr>
                <w:rFonts w:ascii="Arial" w:hAnsi="Arial" w:cs="Arial"/>
                <w:sz w:val="22"/>
                <w:szCs w:val="22"/>
              </w:rPr>
              <w:t>.</w:t>
            </w:r>
            <w:r>
              <w:rPr>
                <w:rFonts w:ascii="Arial" w:hAnsi="Arial" w:cs="Arial"/>
                <w:sz w:val="22"/>
                <w:szCs w:val="22"/>
              </w:rPr>
              <w:t xml:space="preserve"> 0.0)</w:t>
            </w:r>
          </w:p>
        </w:tc>
        <w:tc>
          <w:tcPr>
            <w:tcW w:w="4358" w:type="dxa"/>
            <w:shd w:val="clear" w:color="auto" w:fill="auto"/>
          </w:tcPr>
          <w:p w14:paraId="712C2AB7" w14:textId="77777777" w:rsidR="0079213D" w:rsidRPr="00794C1D" w:rsidRDefault="0079213D" w:rsidP="0079213D">
            <w:pPr>
              <w:pStyle w:val="BayerBodyTextFull"/>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gastroenteritis (1.5 vs. 0.0)</w:t>
            </w:r>
          </w:p>
        </w:tc>
      </w:tr>
      <w:tr w:rsidR="0079213D" w:rsidRPr="00794C1D" w14:paraId="712C2ABB" w14:textId="77777777" w:rsidTr="007F2478">
        <w:tc>
          <w:tcPr>
            <w:tcW w:w="5070" w:type="dxa"/>
            <w:shd w:val="clear" w:color="auto" w:fill="auto"/>
          </w:tcPr>
          <w:p w14:paraId="712C2AB9" w14:textId="77777777" w:rsidR="0079213D" w:rsidDel="0079213D" w:rsidRDefault="0079213D" w:rsidP="00794C1D">
            <w:pPr>
              <w:pStyle w:val="BayerBodyTextFull"/>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gastrointestinal fistula (1.5 vs. 0.0)</w:t>
            </w:r>
          </w:p>
        </w:tc>
        <w:tc>
          <w:tcPr>
            <w:tcW w:w="4358" w:type="dxa"/>
            <w:shd w:val="clear" w:color="auto" w:fill="auto"/>
          </w:tcPr>
          <w:p w14:paraId="712C2ABA" w14:textId="77777777" w:rsidR="0079213D" w:rsidRPr="0079213D" w:rsidRDefault="0079213D" w:rsidP="0079213D">
            <w:pPr>
              <w:pStyle w:val="BayerBodyTextFull"/>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hypocalcaemia (1.5 vs. 0.0)</w:t>
            </w:r>
          </w:p>
        </w:tc>
      </w:tr>
      <w:tr w:rsidR="00833F59" w:rsidRPr="00794C1D" w14:paraId="712C2ABE" w14:textId="77777777" w:rsidTr="007F2478">
        <w:tc>
          <w:tcPr>
            <w:tcW w:w="5070" w:type="dxa"/>
            <w:shd w:val="clear" w:color="auto" w:fill="auto"/>
          </w:tcPr>
          <w:p w14:paraId="712C2ABC" w14:textId="77777777" w:rsidR="00833F59" w:rsidRPr="00794C1D" w:rsidRDefault="00833F59" w:rsidP="00794C1D">
            <w:pPr>
              <w:pStyle w:val="BayerBodyTextFull"/>
              <w:numPr>
                <w:ilvl w:val="0"/>
                <w:numId w:val="36"/>
              </w:numPr>
              <w:tabs>
                <w:tab w:val="left" w:pos="567"/>
              </w:tabs>
              <w:spacing w:line="260" w:lineRule="exact"/>
              <w:rPr>
                <w:rFonts w:ascii="Arial" w:hAnsi="Arial" w:cs="Arial"/>
                <w:sz w:val="22"/>
                <w:szCs w:val="22"/>
              </w:rPr>
            </w:pPr>
            <w:r w:rsidRPr="00794C1D">
              <w:rPr>
                <w:rFonts w:ascii="Arial" w:hAnsi="Arial" w:cs="Arial"/>
                <w:sz w:val="22"/>
                <w:szCs w:val="22"/>
              </w:rPr>
              <w:t>increase in lipase (1.5 vs. 0.0)</w:t>
            </w:r>
          </w:p>
        </w:tc>
        <w:tc>
          <w:tcPr>
            <w:tcW w:w="4358" w:type="dxa"/>
            <w:shd w:val="clear" w:color="auto" w:fill="auto"/>
          </w:tcPr>
          <w:p w14:paraId="712C2ABD" w14:textId="77777777" w:rsidR="00833F59" w:rsidRPr="00794C1D" w:rsidRDefault="00833F59" w:rsidP="002E0641">
            <w:pPr>
              <w:pStyle w:val="BayerBodyTextFull"/>
              <w:numPr>
                <w:ilvl w:val="0"/>
                <w:numId w:val="36"/>
              </w:numPr>
              <w:tabs>
                <w:tab w:val="left" w:pos="567"/>
              </w:tabs>
              <w:spacing w:line="260" w:lineRule="exact"/>
              <w:ind w:left="360" w:firstLine="0"/>
              <w:rPr>
                <w:rFonts w:ascii="Arial" w:hAnsi="Arial" w:cs="Arial"/>
                <w:sz w:val="22"/>
                <w:szCs w:val="22"/>
              </w:rPr>
            </w:pPr>
            <w:r w:rsidRPr="00794C1D">
              <w:rPr>
                <w:rFonts w:ascii="Arial" w:hAnsi="Arial" w:cs="Arial"/>
                <w:sz w:val="22"/>
                <w:szCs w:val="22"/>
              </w:rPr>
              <w:t xml:space="preserve">abnormal international </w:t>
            </w:r>
            <w:proofErr w:type="spellStart"/>
            <w:r w:rsidRPr="00794C1D">
              <w:rPr>
                <w:rFonts w:ascii="Arial" w:hAnsi="Arial" w:cs="Arial"/>
                <w:sz w:val="22"/>
                <w:szCs w:val="22"/>
              </w:rPr>
              <w:t>normalised</w:t>
            </w:r>
            <w:proofErr w:type="spellEnd"/>
            <w:r w:rsidRPr="00794C1D">
              <w:rPr>
                <w:rFonts w:ascii="Arial" w:hAnsi="Arial" w:cs="Arial"/>
                <w:sz w:val="22"/>
                <w:szCs w:val="22"/>
              </w:rPr>
              <w:t xml:space="preserve"> ratio (INR) (0.8 vs. 0.0)</w:t>
            </w:r>
            <w:r w:rsidR="008215FF">
              <w:rPr>
                <w:rFonts w:ascii="Arial" w:hAnsi="Arial" w:cs="Arial"/>
                <w:sz w:val="22"/>
                <w:szCs w:val="22"/>
              </w:rPr>
              <w:t xml:space="preserve"> </w:t>
            </w:r>
          </w:p>
        </w:tc>
      </w:tr>
      <w:tr w:rsidR="006B087B" w:rsidRPr="00794C1D" w14:paraId="712C2AC1" w14:textId="77777777" w:rsidTr="007F2478">
        <w:tc>
          <w:tcPr>
            <w:tcW w:w="5070" w:type="dxa"/>
            <w:shd w:val="clear" w:color="auto" w:fill="auto"/>
          </w:tcPr>
          <w:p w14:paraId="712C2ABF" w14:textId="77777777" w:rsidR="006B087B" w:rsidRPr="00794C1D" w:rsidRDefault="006B087B" w:rsidP="00794C1D">
            <w:pPr>
              <w:pStyle w:val="BayerBodyTextFull"/>
              <w:numPr>
                <w:ilvl w:val="0"/>
                <w:numId w:val="36"/>
              </w:numPr>
              <w:tabs>
                <w:tab w:val="left" w:pos="567"/>
              </w:tabs>
              <w:spacing w:line="260" w:lineRule="exact"/>
              <w:rPr>
                <w:rFonts w:ascii="Arial" w:hAnsi="Arial" w:cs="Arial"/>
                <w:sz w:val="22"/>
                <w:szCs w:val="22"/>
              </w:rPr>
            </w:pPr>
            <w:proofErr w:type="gramStart"/>
            <w:r>
              <w:rPr>
                <w:rFonts w:ascii="Arial" w:hAnsi="Arial" w:cs="Arial"/>
                <w:sz w:val="22"/>
                <w:szCs w:val="22"/>
              </w:rPr>
              <w:t>tremor</w:t>
            </w:r>
            <w:proofErr w:type="gramEnd"/>
            <w:r>
              <w:rPr>
                <w:rFonts w:ascii="Arial" w:hAnsi="Arial" w:cs="Arial"/>
                <w:sz w:val="22"/>
                <w:szCs w:val="22"/>
              </w:rPr>
              <w:t xml:space="preserve"> (0.8 vs. 0.0)</w:t>
            </w:r>
            <w:r w:rsidR="00113B56">
              <w:rPr>
                <w:rFonts w:ascii="Arial" w:hAnsi="Arial" w:cs="Arial"/>
                <w:sz w:val="22"/>
                <w:szCs w:val="22"/>
              </w:rPr>
              <w:t>.</w:t>
            </w:r>
          </w:p>
        </w:tc>
        <w:tc>
          <w:tcPr>
            <w:tcW w:w="4358" w:type="dxa"/>
            <w:shd w:val="clear" w:color="auto" w:fill="auto"/>
          </w:tcPr>
          <w:p w14:paraId="712C2AC0" w14:textId="77777777" w:rsidR="006B087B" w:rsidRPr="00794C1D" w:rsidRDefault="006B087B" w:rsidP="006B087B">
            <w:pPr>
              <w:pStyle w:val="BayerBodyTextFull"/>
              <w:tabs>
                <w:tab w:val="left" w:pos="567"/>
              </w:tabs>
              <w:spacing w:line="260" w:lineRule="exact"/>
              <w:ind w:left="360"/>
              <w:rPr>
                <w:rFonts w:ascii="Arial" w:hAnsi="Arial" w:cs="Arial"/>
                <w:sz w:val="22"/>
                <w:szCs w:val="22"/>
              </w:rPr>
            </w:pPr>
          </w:p>
        </w:tc>
      </w:tr>
    </w:tbl>
    <w:p w14:paraId="712C2AC2" w14:textId="77777777" w:rsidR="005B16AA" w:rsidRDefault="005B16AA" w:rsidP="004A54C0">
      <w:pPr>
        <w:pStyle w:val="BayerBodyTextFull"/>
        <w:spacing w:before="0" w:after="0"/>
        <w:rPr>
          <w:rFonts w:ascii="Arial" w:hAnsi="Arial" w:cs="Arial"/>
          <w:sz w:val="22"/>
          <w:szCs w:val="22"/>
          <w:lang w:val="en-GB"/>
        </w:rPr>
      </w:pPr>
    </w:p>
    <w:p w14:paraId="712C2AC3" w14:textId="77777777" w:rsidR="003209D5" w:rsidRPr="003209D5" w:rsidRDefault="003209D5" w:rsidP="004A54C0">
      <w:pPr>
        <w:pStyle w:val="BayerBodyTextFull"/>
        <w:spacing w:before="0" w:after="0"/>
        <w:rPr>
          <w:rFonts w:ascii="Arial" w:hAnsi="Arial" w:cs="Arial"/>
          <w:sz w:val="22"/>
          <w:szCs w:val="22"/>
        </w:rPr>
      </w:pPr>
      <w:r w:rsidRPr="003209D5">
        <w:rPr>
          <w:rFonts w:ascii="Arial" w:hAnsi="Arial" w:cs="Arial"/>
          <w:sz w:val="22"/>
          <w:szCs w:val="22"/>
        </w:rPr>
        <w:t xml:space="preserve">The following events were reported with similar or lower frequencies in patients treated with </w:t>
      </w:r>
      <w:r w:rsidR="00601DFC">
        <w:rPr>
          <w:rFonts w:ascii="Arial" w:hAnsi="Arial" w:cs="Arial"/>
          <w:sz w:val="22"/>
          <w:szCs w:val="22"/>
        </w:rPr>
        <w:t>STIVARGA</w:t>
      </w:r>
      <w:r w:rsidR="005B16AA">
        <w:rPr>
          <w:rFonts w:ascii="Arial" w:hAnsi="Arial" w:cs="Arial"/>
          <w:sz w:val="22"/>
          <w:szCs w:val="22"/>
        </w:rPr>
        <w:t xml:space="preserve"> </w:t>
      </w:r>
      <w:r w:rsidRPr="003209D5">
        <w:rPr>
          <w:rFonts w:ascii="Arial" w:hAnsi="Arial" w:cs="Arial"/>
          <w:sz w:val="22"/>
          <w:szCs w:val="22"/>
        </w:rPr>
        <w:t>than placebo but are considered as adverse reactions based on safety data from other placebo-controlled clinical trials:</w:t>
      </w:r>
      <w:r w:rsidR="004F501C">
        <w:rPr>
          <w:rFonts w:ascii="Arial" w:hAnsi="Arial" w:cs="Arial"/>
          <w:sz w:val="22"/>
          <w:szCs w:val="22"/>
        </w:rPr>
        <w:t xml:space="preserve"> </w:t>
      </w:r>
      <w:r w:rsidRPr="003209D5">
        <w:rPr>
          <w:rFonts w:ascii="Arial" w:hAnsi="Arial" w:cs="Arial"/>
          <w:sz w:val="22"/>
          <w:szCs w:val="22"/>
        </w:rPr>
        <w:t>hyponatremia (3.0 vs</w:t>
      </w:r>
      <w:r w:rsidR="000A6C33">
        <w:rPr>
          <w:rFonts w:ascii="Arial" w:hAnsi="Arial" w:cs="Arial"/>
          <w:sz w:val="22"/>
          <w:szCs w:val="22"/>
        </w:rPr>
        <w:t>.</w:t>
      </w:r>
      <w:r w:rsidRPr="003209D5">
        <w:rPr>
          <w:rFonts w:ascii="Arial" w:hAnsi="Arial" w:cs="Arial"/>
          <w:sz w:val="22"/>
          <w:szCs w:val="22"/>
        </w:rPr>
        <w:t xml:space="preserve"> 4.6), </w:t>
      </w:r>
      <w:proofErr w:type="spellStart"/>
      <w:r w:rsidRPr="003209D5">
        <w:rPr>
          <w:rFonts w:ascii="Arial" w:hAnsi="Arial" w:cs="Arial"/>
          <w:sz w:val="22"/>
          <w:szCs w:val="22"/>
        </w:rPr>
        <w:t>hypomagnesemia</w:t>
      </w:r>
      <w:proofErr w:type="spellEnd"/>
      <w:r w:rsidRPr="003209D5">
        <w:rPr>
          <w:rFonts w:ascii="Arial" w:hAnsi="Arial" w:cs="Arial"/>
          <w:sz w:val="22"/>
          <w:szCs w:val="22"/>
        </w:rPr>
        <w:t xml:space="preserve"> (0.8 vs</w:t>
      </w:r>
      <w:r w:rsidR="000A6C33">
        <w:rPr>
          <w:rFonts w:ascii="Arial" w:hAnsi="Arial" w:cs="Arial"/>
          <w:sz w:val="22"/>
          <w:szCs w:val="22"/>
        </w:rPr>
        <w:t>.</w:t>
      </w:r>
      <w:r w:rsidRPr="003209D5">
        <w:rPr>
          <w:rFonts w:ascii="Arial" w:hAnsi="Arial" w:cs="Arial"/>
          <w:sz w:val="22"/>
          <w:szCs w:val="22"/>
        </w:rPr>
        <w:t xml:space="preserve"> 1.5), </w:t>
      </w:r>
      <w:proofErr w:type="spellStart"/>
      <w:r w:rsidRPr="003209D5">
        <w:rPr>
          <w:rFonts w:ascii="Arial" w:hAnsi="Arial" w:cs="Arial"/>
          <w:sz w:val="22"/>
          <w:szCs w:val="22"/>
        </w:rPr>
        <w:t>hyperuricemia</w:t>
      </w:r>
      <w:proofErr w:type="spellEnd"/>
      <w:r w:rsidRPr="003209D5">
        <w:rPr>
          <w:rFonts w:ascii="Arial" w:hAnsi="Arial" w:cs="Arial"/>
          <w:sz w:val="22"/>
          <w:szCs w:val="22"/>
        </w:rPr>
        <w:t xml:space="preserve"> (0.8 vs. 1.5), </w:t>
      </w:r>
      <w:r w:rsidR="006F4FCF">
        <w:rPr>
          <w:rFonts w:ascii="Arial" w:hAnsi="Arial" w:cs="Arial"/>
          <w:sz w:val="22"/>
          <w:szCs w:val="22"/>
        </w:rPr>
        <w:t>acute coronary syndrome (0.8 vs. 0.0),</w:t>
      </w:r>
      <w:r w:rsidR="00752515">
        <w:rPr>
          <w:rFonts w:ascii="Arial" w:hAnsi="Arial" w:cs="Arial"/>
          <w:sz w:val="22"/>
          <w:szCs w:val="22"/>
        </w:rPr>
        <w:t xml:space="preserve"> </w:t>
      </w:r>
      <w:proofErr w:type="spellStart"/>
      <w:r w:rsidRPr="003209D5">
        <w:rPr>
          <w:rFonts w:ascii="Arial" w:hAnsi="Arial" w:cs="Arial"/>
          <w:sz w:val="22"/>
          <w:szCs w:val="22"/>
        </w:rPr>
        <w:t>gastroesophageal</w:t>
      </w:r>
      <w:proofErr w:type="spellEnd"/>
      <w:r w:rsidRPr="003209D5">
        <w:rPr>
          <w:rFonts w:ascii="Arial" w:hAnsi="Arial" w:cs="Arial"/>
          <w:sz w:val="22"/>
          <w:szCs w:val="22"/>
        </w:rPr>
        <w:t xml:space="preserve"> reflux (0.0 vs</w:t>
      </w:r>
      <w:r w:rsidR="000A6C33">
        <w:rPr>
          <w:rFonts w:ascii="Arial" w:hAnsi="Arial" w:cs="Arial"/>
          <w:sz w:val="22"/>
          <w:szCs w:val="22"/>
        </w:rPr>
        <w:t>.</w:t>
      </w:r>
      <w:r w:rsidRPr="003209D5">
        <w:rPr>
          <w:rFonts w:ascii="Arial" w:hAnsi="Arial" w:cs="Arial"/>
          <w:sz w:val="22"/>
          <w:szCs w:val="22"/>
        </w:rPr>
        <w:t xml:space="preserve"> 0.0), nail disorder (0.0 vs</w:t>
      </w:r>
      <w:r w:rsidR="000A6C33">
        <w:rPr>
          <w:rFonts w:ascii="Arial" w:hAnsi="Arial" w:cs="Arial"/>
          <w:sz w:val="22"/>
          <w:szCs w:val="22"/>
        </w:rPr>
        <w:t>.</w:t>
      </w:r>
      <w:r w:rsidRPr="003209D5">
        <w:rPr>
          <w:rFonts w:ascii="Arial" w:hAnsi="Arial" w:cs="Arial"/>
          <w:sz w:val="22"/>
          <w:szCs w:val="22"/>
        </w:rPr>
        <w:t xml:space="preserve"> 0.0), myocardial ischemia (0.0 vs</w:t>
      </w:r>
      <w:r w:rsidR="000A6C33">
        <w:rPr>
          <w:rFonts w:ascii="Arial" w:hAnsi="Arial" w:cs="Arial"/>
          <w:sz w:val="22"/>
          <w:szCs w:val="22"/>
        </w:rPr>
        <w:t>.</w:t>
      </w:r>
      <w:r w:rsidRPr="003209D5">
        <w:rPr>
          <w:rFonts w:ascii="Arial" w:hAnsi="Arial" w:cs="Arial"/>
          <w:sz w:val="22"/>
          <w:szCs w:val="22"/>
        </w:rPr>
        <w:t xml:space="preserve"> 0.0), myocardial infarction (0.0 vs</w:t>
      </w:r>
      <w:r w:rsidR="000A6C33">
        <w:rPr>
          <w:rFonts w:ascii="Arial" w:hAnsi="Arial" w:cs="Arial"/>
          <w:sz w:val="22"/>
          <w:szCs w:val="22"/>
        </w:rPr>
        <w:t>.</w:t>
      </w:r>
      <w:r w:rsidRPr="003209D5">
        <w:rPr>
          <w:rFonts w:ascii="Arial" w:hAnsi="Arial" w:cs="Arial"/>
          <w:sz w:val="22"/>
          <w:szCs w:val="22"/>
        </w:rPr>
        <w:t xml:space="preserve"> 0.0), increase in amylase (0.0 vs</w:t>
      </w:r>
      <w:r w:rsidR="000A6C33">
        <w:rPr>
          <w:rFonts w:ascii="Arial" w:hAnsi="Arial" w:cs="Arial"/>
          <w:sz w:val="22"/>
          <w:szCs w:val="22"/>
        </w:rPr>
        <w:t>.</w:t>
      </w:r>
      <w:r w:rsidRPr="003209D5">
        <w:rPr>
          <w:rFonts w:ascii="Arial" w:hAnsi="Arial" w:cs="Arial"/>
          <w:sz w:val="22"/>
          <w:szCs w:val="22"/>
        </w:rPr>
        <w:t xml:space="preserve"> 0.0)</w:t>
      </w:r>
      <w:r w:rsidR="00181A35">
        <w:rPr>
          <w:rFonts w:ascii="Arial" w:hAnsi="Arial" w:cs="Arial"/>
          <w:sz w:val="22"/>
          <w:szCs w:val="22"/>
        </w:rPr>
        <w:t xml:space="preserve">, </w:t>
      </w:r>
      <w:proofErr w:type="spellStart"/>
      <w:r w:rsidR="00181A35" w:rsidRPr="003209D5">
        <w:rPr>
          <w:rFonts w:ascii="Arial" w:hAnsi="Arial" w:cs="Arial"/>
          <w:sz w:val="22"/>
          <w:szCs w:val="22"/>
        </w:rPr>
        <w:t>exfoliative</w:t>
      </w:r>
      <w:proofErr w:type="spellEnd"/>
      <w:r w:rsidR="00181A35" w:rsidRPr="003209D5">
        <w:rPr>
          <w:rFonts w:ascii="Arial" w:hAnsi="Arial" w:cs="Arial"/>
          <w:sz w:val="22"/>
          <w:szCs w:val="22"/>
        </w:rPr>
        <w:t xml:space="preserve"> rash (0.0 vs</w:t>
      </w:r>
      <w:r w:rsidR="000A6C33">
        <w:rPr>
          <w:rFonts w:ascii="Arial" w:hAnsi="Arial" w:cs="Arial"/>
          <w:sz w:val="22"/>
          <w:szCs w:val="22"/>
        </w:rPr>
        <w:t>.</w:t>
      </w:r>
      <w:r w:rsidR="00181A35" w:rsidRPr="003209D5">
        <w:rPr>
          <w:rFonts w:ascii="Arial" w:hAnsi="Arial" w:cs="Arial"/>
          <w:sz w:val="22"/>
          <w:szCs w:val="22"/>
        </w:rPr>
        <w:t xml:space="preserve"> 0.0), erythema </w:t>
      </w:r>
      <w:proofErr w:type="spellStart"/>
      <w:r w:rsidR="00181A35" w:rsidRPr="003209D5">
        <w:rPr>
          <w:rFonts w:ascii="Arial" w:hAnsi="Arial" w:cs="Arial"/>
          <w:sz w:val="22"/>
          <w:szCs w:val="22"/>
        </w:rPr>
        <w:t>multiforme</w:t>
      </w:r>
      <w:proofErr w:type="spellEnd"/>
      <w:r w:rsidR="00181A35" w:rsidRPr="003209D5">
        <w:rPr>
          <w:rFonts w:ascii="Arial" w:hAnsi="Arial" w:cs="Arial"/>
          <w:sz w:val="22"/>
          <w:szCs w:val="22"/>
        </w:rPr>
        <w:t xml:space="preserve"> (0.0 vs</w:t>
      </w:r>
      <w:r w:rsidR="000A6C33">
        <w:rPr>
          <w:rFonts w:ascii="Arial" w:hAnsi="Arial" w:cs="Arial"/>
          <w:sz w:val="22"/>
          <w:szCs w:val="22"/>
        </w:rPr>
        <w:t>.</w:t>
      </w:r>
      <w:r w:rsidR="00181A35" w:rsidRPr="003209D5">
        <w:rPr>
          <w:rFonts w:ascii="Arial" w:hAnsi="Arial" w:cs="Arial"/>
          <w:sz w:val="22"/>
          <w:szCs w:val="22"/>
        </w:rPr>
        <w:t xml:space="preserve"> 0.0</w:t>
      </w:r>
      <w:r w:rsidR="008E22D7">
        <w:rPr>
          <w:rFonts w:ascii="Arial" w:hAnsi="Arial" w:cs="Arial"/>
          <w:sz w:val="22"/>
          <w:szCs w:val="22"/>
        </w:rPr>
        <w:t>)</w:t>
      </w:r>
      <w:r w:rsidRPr="003209D5">
        <w:rPr>
          <w:rFonts w:ascii="Arial" w:hAnsi="Arial" w:cs="Arial"/>
          <w:sz w:val="22"/>
          <w:szCs w:val="22"/>
        </w:rPr>
        <w:t>. There was one report each for nail disorder and myocardial ischemia during the open-label treatment phase of the phase III trial in patients with GIST (GRID).</w:t>
      </w:r>
    </w:p>
    <w:p w14:paraId="712C2AC4" w14:textId="77777777" w:rsidR="003209D5" w:rsidRPr="00CF5E09" w:rsidRDefault="003209D5" w:rsidP="00C34AF3">
      <w:pPr>
        <w:tabs>
          <w:tab w:val="left" w:pos="284"/>
        </w:tabs>
        <w:autoSpaceDE w:val="0"/>
        <w:autoSpaceDN w:val="0"/>
        <w:adjustRightInd w:val="0"/>
        <w:rPr>
          <w:rFonts w:ascii="Arial" w:hAnsi="Arial" w:cs="Arial"/>
          <w:b/>
          <w:sz w:val="22"/>
          <w:szCs w:val="22"/>
          <w:lang w:val="en-US"/>
        </w:rPr>
      </w:pPr>
    </w:p>
    <w:p w14:paraId="712C2AC5" w14:textId="77777777" w:rsidR="001E2D60" w:rsidRPr="005B4EB5" w:rsidRDefault="001E2D60" w:rsidP="008F73BE">
      <w:pPr>
        <w:pStyle w:val="Heading3"/>
        <w:rPr>
          <w:rFonts w:ascii="Arial" w:hAnsi="Arial" w:cs="Arial"/>
          <w:sz w:val="22"/>
          <w:szCs w:val="22"/>
          <w:lang w:val="en-US"/>
        </w:rPr>
      </w:pPr>
      <w:r w:rsidRPr="005B4EB5">
        <w:rPr>
          <w:rFonts w:ascii="Arial" w:hAnsi="Arial" w:cs="Arial"/>
          <w:sz w:val="22"/>
          <w:szCs w:val="22"/>
          <w:lang w:val="en-US"/>
        </w:rPr>
        <w:lastRenderedPageBreak/>
        <w:t>Laboratory abnormalities</w:t>
      </w:r>
    </w:p>
    <w:p w14:paraId="712C2AC6" w14:textId="77777777" w:rsidR="001E2D60" w:rsidRDefault="001E2D60" w:rsidP="008F73BE">
      <w:pPr>
        <w:keepNext/>
        <w:tabs>
          <w:tab w:val="left" w:pos="284"/>
        </w:tabs>
        <w:autoSpaceDE w:val="0"/>
        <w:autoSpaceDN w:val="0"/>
        <w:adjustRightInd w:val="0"/>
        <w:rPr>
          <w:rFonts w:ascii="Arial" w:hAnsi="Arial" w:cs="Arial"/>
          <w:sz w:val="22"/>
          <w:szCs w:val="22"/>
          <w:lang w:val="en-US"/>
        </w:rPr>
      </w:pPr>
    </w:p>
    <w:p w14:paraId="712C2AC7" w14:textId="77777777" w:rsidR="001E2D60" w:rsidRDefault="00CF5E09" w:rsidP="008F73BE">
      <w:pPr>
        <w:keepNext/>
        <w:rPr>
          <w:rFonts w:ascii="Arial" w:hAnsi="Arial" w:cs="Arial"/>
          <w:sz w:val="22"/>
          <w:szCs w:val="22"/>
        </w:rPr>
      </w:pPr>
      <w:r w:rsidRPr="00CF5E09">
        <w:rPr>
          <w:rFonts w:ascii="Arial" w:hAnsi="Arial" w:cs="Arial"/>
          <w:sz w:val="22"/>
          <w:szCs w:val="22"/>
        </w:rPr>
        <w:t xml:space="preserve">Table 7 compares the incidence of laboratory test abnormalities in patients receiving </w:t>
      </w:r>
      <w:r w:rsidR="00601DFC">
        <w:rPr>
          <w:rFonts w:ascii="Arial" w:hAnsi="Arial" w:cs="Arial"/>
          <w:sz w:val="22"/>
          <w:szCs w:val="22"/>
        </w:rPr>
        <w:t>STIVARGA</w:t>
      </w:r>
      <w:r w:rsidR="005B16AA">
        <w:rPr>
          <w:rFonts w:ascii="Arial" w:hAnsi="Arial" w:cs="Arial"/>
          <w:sz w:val="22"/>
          <w:szCs w:val="22"/>
        </w:rPr>
        <w:t xml:space="preserve"> </w:t>
      </w:r>
      <w:r w:rsidRPr="00CF5E09">
        <w:rPr>
          <w:rFonts w:ascii="Arial" w:hAnsi="Arial" w:cs="Arial"/>
          <w:sz w:val="22"/>
          <w:szCs w:val="22"/>
        </w:rPr>
        <w:t>and in patients receiving placebo in the pivotal GRID study.</w:t>
      </w:r>
      <w:r w:rsidR="001E2D60" w:rsidRPr="00CF5E09">
        <w:rPr>
          <w:rFonts w:ascii="Arial" w:hAnsi="Arial" w:cs="Arial"/>
          <w:sz w:val="22"/>
          <w:szCs w:val="22"/>
        </w:rPr>
        <w:t xml:space="preserve"> </w:t>
      </w:r>
    </w:p>
    <w:p w14:paraId="712C2AC8" w14:textId="77777777" w:rsidR="00CF5E09" w:rsidRPr="00CF5E09" w:rsidRDefault="00CF5E09" w:rsidP="008F73BE">
      <w:pPr>
        <w:keepNext/>
        <w:spacing w:before="120" w:after="120"/>
        <w:rPr>
          <w:rFonts w:ascii="Arial" w:hAnsi="Arial" w:cs="Arial"/>
          <w:b/>
          <w:sz w:val="22"/>
          <w:szCs w:val="22"/>
        </w:rPr>
      </w:pPr>
      <w:r w:rsidRPr="00CF5E09">
        <w:rPr>
          <w:rFonts w:ascii="Arial" w:hAnsi="Arial" w:cs="Arial"/>
          <w:b/>
          <w:sz w:val="22"/>
          <w:szCs w:val="22"/>
        </w:rPr>
        <w:t xml:space="preserve">Table 7: Treatment-emergent laboratory test abnormalities reported in placebo-controlled Phase III trial </w:t>
      </w:r>
      <w:r w:rsidR="004251BF">
        <w:rPr>
          <w:rFonts w:ascii="Arial" w:hAnsi="Arial" w:cs="Arial"/>
          <w:b/>
          <w:sz w:val="22"/>
          <w:szCs w:val="22"/>
        </w:rPr>
        <w:t xml:space="preserve">(double-blind phase) </w:t>
      </w:r>
      <w:r w:rsidRPr="00CF5E09">
        <w:rPr>
          <w:rFonts w:ascii="Arial" w:hAnsi="Arial" w:cs="Arial"/>
          <w:b/>
          <w:sz w:val="22"/>
          <w:szCs w:val="22"/>
        </w:rPr>
        <w:t xml:space="preserve">in patients with GIST (GRID).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080"/>
        <w:gridCol w:w="1080"/>
        <w:gridCol w:w="1074"/>
        <w:gridCol w:w="6"/>
        <w:gridCol w:w="1058"/>
        <w:gridCol w:w="1134"/>
        <w:gridCol w:w="1048"/>
      </w:tblGrid>
      <w:tr w:rsidR="001E2D60" w:rsidRPr="00CF5E09" w14:paraId="712C2ACE" w14:textId="77777777" w:rsidTr="00C07898">
        <w:trPr>
          <w:trHeight w:val="288"/>
          <w:tblHeader/>
        </w:trPr>
        <w:tc>
          <w:tcPr>
            <w:tcW w:w="2898" w:type="dxa"/>
            <w:vMerge w:val="restart"/>
            <w:vAlign w:val="center"/>
          </w:tcPr>
          <w:p w14:paraId="712C2AC9" w14:textId="77777777" w:rsidR="001E2D60" w:rsidRPr="00CF5E09" w:rsidRDefault="001E2D60" w:rsidP="008F73BE">
            <w:pPr>
              <w:keepNext/>
              <w:jc w:val="center"/>
              <w:rPr>
                <w:rFonts w:ascii="Arial" w:hAnsi="Arial" w:cs="Arial"/>
                <w:b/>
                <w:sz w:val="22"/>
                <w:szCs w:val="22"/>
              </w:rPr>
            </w:pPr>
            <w:r w:rsidRPr="00CF5E09">
              <w:rPr>
                <w:rFonts w:ascii="Arial" w:eastAsia="Batang" w:hAnsi="Arial" w:cs="Arial"/>
                <w:b/>
                <w:bCs/>
                <w:color w:val="000000"/>
                <w:sz w:val="22"/>
                <w:szCs w:val="22"/>
                <w:lang w:eastAsia="ko-KR"/>
              </w:rPr>
              <w:t>Laboratory parameter</w:t>
            </w:r>
            <w:r w:rsidR="00712C81">
              <w:rPr>
                <w:rFonts w:ascii="Arial" w:eastAsia="Batang" w:hAnsi="Arial" w:cs="Arial"/>
                <w:b/>
                <w:bCs/>
                <w:color w:val="000000"/>
                <w:sz w:val="22"/>
                <w:szCs w:val="22"/>
                <w:lang w:eastAsia="ko-KR"/>
              </w:rPr>
              <w:t xml:space="preserve"> (in % of samples investigated)</w:t>
            </w:r>
          </w:p>
        </w:tc>
        <w:tc>
          <w:tcPr>
            <w:tcW w:w="3240" w:type="dxa"/>
            <w:gridSpan w:val="4"/>
          </w:tcPr>
          <w:p w14:paraId="712C2ACA" w14:textId="77777777" w:rsidR="001E2D60" w:rsidRPr="005F3D99" w:rsidRDefault="00601DFC" w:rsidP="008F73BE">
            <w:pPr>
              <w:keepNext/>
              <w:jc w:val="center"/>
              <w:rPr>
                <w:rFonts w:ascii="Arial Bold" w:hAnsi="Arial Bold" w:cs="Arial"/>
                <w:b/>
                <w:bCs/>
                <w:color w:val="000000"/>
                <w:sz w:val="22"/>
                <w:szCs w:val="22"/>
                <w:vertAlign w:val="superscript"/>
              </w:rPr>
            </w:pPr>
            <w:r>
              <w:rPr>
                <w:rFonts w:ascii="Arial" w:hAnsi="Arial" w:cs="Arial"/>
                <w:b/>
                <w:bCs/>
                <w:color w:val="000000"/>
                <w:sz w:val="22"/>
                <w:szCs w:val="22"/>
              </w:rPr>
              <w:t>STIVARGA</w:t>
            </w:r>
            <w:r w:rsidR="005B16AA">
              <w:rPr>
                <w:rFonts w:ascii="Arial" w:hAnsi="Arial" w:cs="Arial"/>
                <w:b/>
                <w:bCs/>
                <w:color w:val="000000"/>
                <w:sz w:val="22"/>
                <w:szCs w:val="22"/>
              </w:rPr>
              <w:t xml:space="preserve"> </w:t>
            </w:r>
            <w:r w:rsidR="001E2D60" w:rsidRPr="00CF5E09">
              <w:rPr>
                <w:rFonts w:ascii="Arial" w:hAnsi="Arial" w:cs="Arial"/>
                <w:b/>
                <w:sz w:val="22"/>
                <w:szCs w:val="22"/>
              </w:rPr>
              <w:t>plus BSC</w:t>
            </w:r>
            <w:r w:rsidR="005F3D99">
              <w:rPr>
                <w:rFonts w:ascii="Arial Bold" w:hAnsi="Arial Bold" w:cs="Arial"/>
                <w:b/>
                <w:sz w:val="22"/>
                <w:szCs w:val="22"/>
                <w:vertAlign w:val="superscript"/>
              </w:rPr>
              <w:t>§</w:t>
            </w:r>
          </w:p>
          <w:p w14:paraId="712C2ACB" w14:textId="77777777" w:rsidR="001E2D60" w:rsidRPr="00CF5E09" w:rsidRDefault="001E2D60" w:rsidP="008F73BE">
            <w:pPr>
              <w:keepNext/>
              <w:jc w:val="center"/>
              <w:rPr>
                <w:rFonts w:ascii="Arial" w:hAnsi="Arial" w:cs="Arial"/>
                <w:b/>
                <w:sz w:val="22"/>
                <w:szCs w:val="22"/>
              </w:rPr>
            </w:pPr>
            <w:r w:rsidRPr="00CF5E09">
              <w:rPr>
                <w:rFonts w:ascii="Arial" w:hAnsi="Arial" w:cs="Arial"/>
                <w:b/>
                <w:bCs/>
                <w:color w:val="000000"/>
                <w:sz w:val="22"/>
                <w:szCs w:val="22"/>
              </w:rPr>
              <w:t>(</w:t>
            </w:r>
            <w:r w:rsidR="00BE544D">
              <w:rPr>
                <w:rFonts w:ascii="Arial" w:hAnsi="Arial" w:cs="Arial"/>
                <w:b/>
                <w:bCs/>
                <w:color w:val="000000"/>
                <w:sz w:val="22"/>
                <w:szCs w:val="22"/>
              </w:rPr>
              <w:t>N</w:t>
            </w:r>
            <w:r w:rsidRPr="00CF5E09">
              <w:rPr>
                <w:rFonts w:ascii="Arial" w:hAnsi="Arial" w:cs="Arial"/>
                <w:b/>
                <w:bCs/>
                <w:color w:val="000000"/>
                <w:sz w:val="22"/>
                <w:szCs w:val="22"/>
              </w:rPr>
              <w:t>=132)</w:t>
            </w:r>
          </w:p>
        </w:tc>
        <w:tc>
          <w:tcPr>
            <w:tcW w:w="3240" w:type="dxa"/>
            <w:gridSpan w:val="3"/>
          </w:tcPr>
          <w:p w14:paraId="712C2ACC" w14:textId="77777777" w:rsidR="001E2D60" w:rsidRPr="00CF5E09" w:rsidRDefault="001E2D60" w:rsidP="008F73BE">
            <w:pPr>
              <w:keepNext/>
              <w:jc w:val="center"/>
              <w:rPr>
                <w:rFonts w:ascii="Arial" w:hAnsi="Arial" w:cs="Arial"/>
                <w:b/>
                <w:bCs/>
                <w:color w:val="000000"/>
                <w:sz w:val="22"/>
                <w:szCs w:val="22"/>
              </w:rPr>
            </w:pPr>
            <w:r w:rsidRPr="00CF5E09">
              <w:rPr>
                <w:rFonts w:ascii="Arial" w:hAnsi="Arial" w:cs="Arial"/>
                <w:b/>
                <w:bCs/>
                <w:color w:val="000000"/>
                <w:sz w:val="22"/>
                <w:szCs w:val="22"/>
              </w:rPr>
              <w:t>Placebo</w:t>
            </w:r>
            <w:r w:rsidRPr="00CF5E09">
              <w:rPr>
                <w:rFonts w:ascii="Arial" w:hAnsi="Arial" w:cs="Arial"/>
                <w:b/>
                <w:sz w:val="22"/>
                <w:szCs w:val="22"/>
              </w:rPr>
              <w:t xml:space="preserve"> plus BSC</w:t>
            </w:r>
            <w:r w:rsidR="005F3D99">
              <w:rPr>
                <w:rFonts w:ascii="Arial Bold" w:hAnsi="Arial Bold" w:cs="Arial"/>
                <w:b/>
                <w:sz w:val="22"/>
                <w:szCs w:val="22"/>
                <w:vertAlign w:val="superscript"/>
              </w:rPr>
              <w:t>§</w:t>
            </w:r>
          </w:p>
          <w:p w14:paraId="712C2ACD" w14:textId="77777777" w:rsidR="001E2D60" w:rsidRPr="00CF5E09" w:rsidRDefault="001E2D60" w:rsidP="008F73BE">
            <w:pPr>
              <w:keepNext/>
              <w:jc w:val="center"/>
              <w:rPr>
                <w:rFonts w:ascii="Arial" w:hAnsi="Arial" w:cs="Arial"/>
                <w:b/>
                <w:sz w:val="22"/>
                <w:szCs w:val="22"/>
              </w:rPr>
            </w:pPr>
            <w:r w:rsidRPr="00CF5E09">
              <w:rPr>
                <w:rFonts w:ascii="Arial" w:hAnsi="Arial" w:cs="Arial"/>
                <w:b/>
                <w:bCs/>
                <w:color w:val="000000"/>
                <w:sz w:val="22"/>
                <w:szCs w:val="22"/>
              </w:rPr>
              <w:t>(</w:t>
            </w:r>
            <w:r w:rsidR="00BE544D">
              <w:rPr>
                <w:rFonts w:ascii="Arial" w:hAnsi="Arial" w:cs="Arial"/>
                <w:b/>
                <w:bCs/>
                <w:color w:val="000000"/>
                <w:sz w:val="22"/>
                <w:szCs w:val="22"/>
              </w:rPr>
              <w:t>N</w:t>
            </w:r>
            <w:r w:rsidRPr="00CF5E09">
              <w:rPr>
                <w:rFonts w:ascii="Arial" w:hAnsi="Arial" w:cs="Arial"/>
                <w:b/>
                <w:bCs/>
                <w:color w:val="000000"/>
                <w:sz w:val="22"/>
                <w:szCs w:val="22"/>
              </w:rPr>
              <w:t>=66)</w:t>
            </w:r>
          </w:p>
        </w:tc>
      </w:tr>
      <w:tr w:rsidR="001E2D60" w:rsidRPr="00CF5E09" w14:paraId="712C2ADC" w14:textId="77777777" w:rsidTr="008515FD">
        <w:trPr>
          <w:trHeight w:val="576"/>
          <w:tblHeader/>
        </w:trPr>
        <w:tc>
          <w:tcPr>
            <w:tcW w:w="2898" w:type="dxa"/>
            <w:vMerge/>
            <w:vAlign w:val="center"/>
          </w:tcPr>
          <w:p w14:paraId="712C2ACF" w14:textId="77777777" w:rsidR="001E2D60" w:rsidRPr="00CF5E09" w:rsidRDefault="001E2D60" w:rsidP="00386290">
            <w:pPr>
              <w:keepNext/>
              <w:widowControl w:val="0"/>
              <w:spacing w:before="60" w:after="60"/>
              <w:jc w:val="center"/>
              <w:rPr>
                <w:rFonts w:ascii="Arial" w:hAnsi="Arial" w:cs="Arial"/>
                <w:b/>
                <w:sz w:val="22"/>
                <w:szCs w:val="22"/>
              </w:rPr>
            </w:pPr>
          </w:p>
        </w:tc>
        <w:tc>
          <w:tcPr>
            <w:tcW w:w="1080" w:type="dxa"/>
            <w:vAlign w:val="center"/>
          </w:tcPr>
          <w:p w14:paraId="712C2AD0"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r w:rsidRPr="00CF5E09">
              <w:rPr>
                <w:rFonts w:ascii="Arial" w:eastAsia="Batang" w:hAnsi="Arial" w:cs="Arial"/>
                <w:b/>
                <w:bCs/>
                <w:color w:val="000000"/>
                <w:sz w:val="22"/>
                <w:szCs w:val="22"/>
                <w:lang w:eastAsia="ko-KR"/>
              </w:rPr>
              <w:t>All</w:t>
            </w:r>
            <w:r w:rsidR="00712C81">
              <w:rPr>
                <w:rFonts w:ascii="Arial" w:eastAsia="Batang" w:hAnsi="Arial" w:cs="Arial"/>
                <w:b/>
                <w:bCs/>
                <w:color w:val="000000"/>
                <w:sz w:val="22"/>
                <w:szCs w:val="22"/>
                <w:lang w:eastAsia="ko-KR"/>
              </w:rPr>
              <w:t xml:space="preserve"> Grades*</w:t>
            </w:r>
          </w:p>
          <w:p w14:paraId="712C2AD1"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p>
        </w:tc>
        <w:tc>
          <w:tcPr>
            <w:tcW w:w="1080" w:type="dxa"/>
            <w:vAlign w:val="center"/>
          </w:tcPr>
          <w:p w14:paraId="712C2AD2" w14:textId="77777777" w:rsidR="001E2D60" w:rsidRPr="00CF5E09" w:rsidRDefault="00712C81" w:rsidP="00386290">
            <w:pPr>
              <w:keepNext/>
              <w:widowControl w:val="0"/>
              <w:autoSpaceDE w:val="0"/>
              <w:autoSpaceDN w:val="0"/>
              <w:adjustRightInd w:val="0"/>
              <w:jc w:val="center"/>
              <w:rPr>
                <w:rFonts w:ascii="Arial" w:eastAsia="Batang" w:hAnsi="Arial" w:cs="Arial"/>
                <w:b/>
                <w:bCs/>
                <w:color w:val="000000"/>
                <w:sz w:val="22"/>
                <w:szCs w:val="22"/>
                <w:lang w:eastAsia="ko-KR"/>
              </w:rPr>
            </w:pPr>
            <w:r>
              <w:rPr>
                <w:rFonts w:ascii="Arial" w:eastAsia="Batang" w:hAnsi="Arial" w:cs="Arial"/>
                <w:b/>
                <w:bCs/>
                <w:color w:val="000000"/>
                <w:sz w:val="22"/>
                <w:szCs w:val="22"/>
                <w:lang w:eastAsia="ko-KR"/>
              </w:rPr>
              <w:t xml:space="preserve">Grade </w:t>
            </w:r>
            <w:r w:rsidR="001E2D60" w:rsidRPr="00CF5E09">
              <w:rPr>
                <w:rFonts w:ascii="Arial" w:eastAsia="Batang" w:hAnsi="Arial" w:cs="Arial"/>
                <w:b/>
                <w:bCs/>
                <w:color w:val="000000"/>
                <w:sz w:val="22"/>
                <w:szCs w:val="22"/>
                <w:lang w:eastAsia="ko-KR"/>
              </w:rPr>
              <w:t>3</w:t>
            </w:r>
            <w:r>
              <w:rPr>
                <w:rFonts w:ascii="Arial" w:eastAsia="Batang" w:hAnsi="Arial" w:cs="Arial"/>
                <w:b/>
                <w:bCs/>
                <w:color w:val="000000"/>
                <w:sz w:val="22"/>
                <w:szCs w:val="22"/>
                <w:lang w:eastAsia="ko-KR"/>
              </w:rPr>
              <w:t>*</w:t>
            </w:r>
          </w:p>
          <w:p w14:paraId="712C2AD3"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p>
        </w:tc>
        <w:tc>
          <w:tcPr>
            <w:tcW w:w="1080" w:type="dxa"/>
            <w:gridSpan w:val="2"/>
            <w:vAlign w:val="center"/>
          </w:tcPr>
          <w:p w14:paraId="712C2AD4" w14:textId="77777777" w:rsidR="001E2D60" w:rsidRPr="00CF5E09" w:rsidRDefault="00712C81" w:rsidP="00386290">
            <w:pPr>
              <w:keepNext/>
              <w:widowControl w:val="0"/>
              <w:autoSpaceDE w:val="0"/>
              <w:autoSpaceDN w:val="0"/>
              <w:adjustRightInd w:val="0"/>
              <w:jc w:val="center"/>
              <w:rPr>
                <w:rFonts w:ascii="Arial" w:eastAsia="Batang" w:hAnsi="Arial" w:cs="Arial"/>
                <w:b/>
                <w:bCs/>
                <w:color w:val="000000"/>
                <w:sz w:val="22"/>
                <w:szCs w:val="22"/>
                <w:lang w:eastAsia="ko-KR"/>
              </w:rPr>
            </w:pPr>
            <w:r>
              <w:rPr>
                <w:rFonts w:ascii="Arial" w:eastAsia="Batang" w:hAnsi="Arial" w:cs="Arial"/>
                <w:b/>
                <w:bCs/>
                <w:color w:val="000000"/>
                <w:sz w:val="22"/>
                <w:szCs w:val="22"/>
                <w:lang w:eastAsia="ko-KR"/>
              </w:rPr>
              <w:t xml:space="preserve">Grade </w:t>
            </w:r>
            <w:r w:rsidR="001E2D60" w:rsidRPr="00CF5E09">
              <w:rPr>
                <w:rFonts w:ascii="Arial" w:eastAsia="Batang" w:hAnsi="Arial" w:cs="Arial"/>
                <w:b/>
                <w:bCs/>
                <w:color w:val="000000"/>
                <w:sz w:val="22"/>
                <w:szCs w:val="22"/>
                <w:lang w:eastAsia="ko-KR"/>
              </w:rPr>
              <w:t>4</w:t>
            </w:r>
            <w:r>
              <w:rPr>
                <w:rFonts w:ascii="Arial" w:eastAsia="Batang" w:hAnsi="Arial" w:cs="Arial"/>
                <w:b/>
                <w:bCs/>
                <w:color w:val="000000"/>
                <w:sz w:val="22"/>
                <w:szCs w:val="22"/>
                <w:lang w:eastAsia="ko-KR"/>
              </w:rPr>
              <w:t>*</w:t>
            </w:r>
          </w:p>
          <w:p w14:paraId="712C2AD5"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p>
        </w:tc>
        <w:tc>
          <w:tcPr>
            <w:tcW w:w="1058" w:type="dxa"/>
            <w:vAlign w:val="center"/>
          </w:tcPr>
          <w:p w14:paraId="712C2AD6"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r w:rsidRPr="00CF5E09">
              <w:rPr>
                <w:rFonts w:ascii="Arial" w:eastAsia="Batang" w:hAnsi="Arial" w:cs="Arial"/>
                <w:b/>
                <w:bCs/>
                <w:color w:val="000000"/>
                <w:sz w:val="22"/>
                <w:szCs w:val="22"/>
                <w:lang w:eastAsia="ko-KR"/>
              </w:rPr>
              <w:t>All</w:t>
            </w:r>
            <w:r w:rsidR="00712C81">
              <w:rPr>
                <w:rFonts w:ascii="Arial" w:eastAsia="Batang" w:hAnsi="Arial" w:cs="Arial"/>
                <w:b/>
                <w:bCs/>
                <w:color w:val="000000"/>
                <w:sz w:val="22"/>
                <w:szCs w:val="22"/>
                <w:lang w:eastAsia="ko-KR"/>
              </w:rPr>
              <w:t xml:space="preserve"> Grades*</w:t>
            </w:r>
          </w:p>
          <w:p w14:paraId="712C2AD7"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p>
        </w:tc>
        <w:tc>
          <w:tcPr>
            <w:tcW w:w="1134" w:type="dxa"/>
            <w:vAlign w:val="center"/>
          </w:tcPr>
          <w:p w14:paraId="712C2AD8" w14:textId="77777777" w:rsidR="001E2D60" w:rsidRPr="00CF5E09" w:rsidRDefault="00712C81" w:rsidP="00386290">
            <w:pPr>
              <w:keepNext/>
              <w:widowControl w:val="0"/>
              <w:autoSpaceDE w:val="0"/>
              <w:autoSpaceDN w:val="0"/>
              <w:adjustRightInd w:val="0"/>
              <w:jc w:val="center"/>
              <w:rPr>
                <w:rFonts w:ascii="Arial" w:eastAsia="Batang" w:hAnsi="Arial" w:cs="Arial"/>
                <w:b/>
                <w:bCs/>
                <w:color w:val="000000"/>
                <w:sz w:val="22"/>
                <w:szCs w:val="22"/>
                <w:lang w:eastAsia="ko-KR"/>
              </w:rPr>
            </w:pPr>
            <w:r>
              <w:rPr>
                <w:rFonts w:ascii="Arial" w:eastAsia="Batang" w:hAnsi="Arial" w:cs="Arial"/>
                <w:b/>
                <w:bCs/>
                <w:color w:val="000000"/>
                <w:sz w:val="22"/>
                <w:szCs w:val="22"/>
                <w:lang w:eastAsia="ko-KR"/>
              </w:rPr>
              <w:t xml:space="preserve">Grade </w:t>
            </w:r>
            <w:r w:rsidR="001E2D60" w:rsidRPr="00CF5E09">
              <w:rPr>
                <w:rFonts w:ascii="Arial" w:eastAsia="Batang" w:hAnsi="Arial" w:cs="Arial"/>
                <w:b/>
                <w:bCs/>
                <w:color w:val="000000"/>
                <w:sz w:val="22"/>
                <w:szCs w:val="22"/>
                <w:lang w:eastAsia="ko-KR"/>
              </w:rPr>
              <w:t>3</w:t>
            </w:r>
            <w:r>
              <w:rPr>
                <w:rFonts w:ascii="Arial" w:eastAsia="Batang" w:hAnsi="Arial" w:cs="Arial"/>
                <w:b/>
                <w:bCs/>
                <w:color w:val="000000"/>
                <w:sz w:val="22"/>
                <w:szCs w:val="22"/>
                <w:lang w:eastAsia="ko-KR"/>
              </w:rPr>
              <w:t>*</w:t>
            </w:r>
          </w:p>
          <w:p w14:paraId="712C2AD9"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p>
        </w:tc>
        <w:tc>
          <w:tcPr>
            <w:tcW w:w="1048" w:type="dxa"/>
            <w:vAlign w:val="center"/>
          </w:tcPr>
          <w:p w14:paraId="712C2ADA" w14:textId="77777777" w:rsidR="00712C81" w:rsidRPr="00CF5E09" w:rsidRDefault="00712C81" w:rsidP="00386290">
            <w:pPr>
              <w:keepNext/>
              <w:widowControl w:val="0"/>
              <w:autoSpaceDE w:val="0"/>
              <w:autoSpaceDN w:val="0"/>
              <w:adjustRightInd w:val="0"/>
              <w:jc w:val="center"/>
              <w:rPr>
                <w:rFonts w:ascii="Arial" w:eastAsia="Batang" w:hAnsi="Arial" w:cs="Arial"/>
                <w:b/>
                <w:bCs/>
                <w:color w:val="000000"/>
                <w:sz w:val="22"/>
                <w:szCs w:val="22"/>
                <w:lang w:eastAsia="ko-KR"/>
              </w:rPr>
            </w:pPr>
            <w:r>
              <w:rPr>
                <w:rFonts w:ascii="Arial" w:eastAsia="Batang" w:hAnsi="Arial" w:cs="Arial"/>
                <w:b/>
                <w:bCs/>
                <w:color w:val="000000"/>
                <w:sz w:val="22"/>
                <w:szCs w:val="22"/>
                <w:lang w:eastAsia="ko-KR"/>
              </w:rPr>
              <w:t xml:space="preserve">Grade </w:t>
            </w:r>
            <w:r w:rsidR="001E2D60" w:rsidRPr="00CF5E09">
              <w:rPr>
                <w:rFonts w:ascii="Arial" w:eastAsia="Batang" w:hAnsi="Arial" w:cs="Arial"/>
                <w:b/>
                <w:bCs/>
                <w:color w:val="000000"/>
                <w:sz w:val="22"/>
                <w:szCs w:val="22"/>
                <w:lang w:eastAsia="ko-KR"/>
              </w:rPr>
              <w:t>4</w:t>
            </w:r>
            <w:r>
              <w:rPr>
                <w:rFonts w:ascii="Arial" w:eastAsia="Batang" w:hAnsi="Arial" w:cs="Arial"/>
                <w:b/>
                <w:bCs/>
                <w:color w:val="000000"/>
                <w:sz w:val="22"/>
                <w:szCs w:val="22"/>
                <w:lang w:eastAsia="ko-KR"/>
              </w:rPr>
              <w:t>*</w:t>
            </w:r>
          </w:p>
          <w:p w14:paraId="712C2ADB" w14:textId="77777777" w:rsidR="001E2D60" w:rsidRPr="00CF5E09" w:rsidRDefault="001E2D60" w:rsidP="00386290">
            <w:pPr>
              <w:keepNext/>
              <w:widowControl w:val="0"/>
              <w:autoSpaceDE w:val="0"/>
              <w:autoSpaceDN w:val="0"/>
              <w:adjustRightInd w:val="0"/>
              <w:jc w:val="center"/>
              <w:rPr>
                <w:rFonts w:ascii="Arial" w:eastAsia="Batang" w:hAnsi="Arial" w:cs="Arial"/>
                <w:b/>
                <w:bCs/>
                <w:color w:val="000000"/>
                <w:sz w:val="22"/>
                <w:szCs w:val="22"/>
                <w:lang w:eastAsia="ko-KR"/>
              </w:rPr>
            </w:pPr>
          </w:p>
        </w:tc>
      </w:tr>
      <w:tr w:rsidR="001E2D60" w:rsidRPr="00386290" w14:paraId="712C2AE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696"/>
        </w:trPr>
        <w:tc>
          <w:tcPr>
            <w:tcW w:w="2898" w:type="dxa"/>
            <w:tcBorders>
              <w:top w:val="single" w:sz="6" w:space="0" w:color="000000"/>
              <w:left w:val="single" w:sz="6" w:space="0" w:color="000000"/>
              <w:bottom w:val="nil"/>
              <w:right w:val="single" w:sz="4" w:space="0" w:color="000000"/>
            </w:tcBorders>
          </w:tcPr>
          <w:p w14:paraId="712C2ADD" w14:textId="77777777" w:rsidR="001E2D60" w:rsidRPr="00CF5E09" w:rsidRDefault="001E2D60" w:rsidP="00C34AF3">
            <w:pPr>
              <w:keepNext/>
              <w:autoSpaceDE w:val="0"/>
              <w:autoSpaceDN w:val="0"/>
              <w:adjustRightInd w:val="0"/>
              <w:rPr>
                <w:rFonts w:ascii="Arial" w:hAnsi="Arial" w:cs="Arial"/>
                <w:b/>
                <w:bCs/>
                <w:sz w:val="22"/>
                <w:szCs w:val="22"/>
              </w:rPr>
            </w:pPr>
            <w:r w:rsidRPr="00CF5E09">
              <w:rPr>
                <w:rFonts w:ascii="Arial" w:hAnsi="Arial" w:cs="Arial"/>
                <w:b/>
                <w:bCs/>
                <w:sz w:val="22"/>
                <w:szCs w:val="22"/>
              </w:rPr>
              <w:t>Blood and</w:t>
            </w:r>
          </w:p>
          <w:p w14:paraId="712C2ADE" w14:textId="77777777" w:rsidR="001E2D60" w:rsidRPr="00CF5E09" w:rsidRDefault="001E2D60" w:rsidP="00C34AF3">
            <w:pPr>
              <w:keepNext/>
              <w:autoSpaceDE w:val="0"/>
              <w:autoSpaceDN w:val="0"/>
              <w:adjustRightInd w:val="0"/>
              <w:rPr>
                <w:rFonts w:ascii="Arial" w:hAnsi="Arial" w:cs="Arial"/>
                <w:b/>
                <w:bCs/>
                <w:sz w:val="22"/>
                <w:szCs w:val="22"/>
              </w:rPr>
            </w:pPr>
            <w:r w:rsidRPr="00CF5E09">
              <w:rPr>
                <w:rFonts w:ascii="Arial" w:hAnsi="Arial" w:cs="Arial"/>
                <w:b/>
                <w:bCs/>
                <w:sz w:val="22"/>
                <w:szCs w:val="22"/>
              </w:rPr>
              <w:t>lymphatic system</w:t>
            </w:r>
          </w:p>
          <w:p w14:paraId="712C2ADF" w14:textId="77777777" w:rsidR="001E2D60" w:rsidRPr="00CF5E09" w:rsidRDefault="001E2D60" w:rsidP="00C34AF3">
            <w:pPr>
              <w:keepNext/>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b/>
                <w:bCs/>
                <w:color w:val="000000"/>
                <w:sz w:val="22"/>
                <w:szCs w:val="22"/>
                <w:lang w:eastAsia="ko-KR"/>
              </w:rPr>
              <w:t xml:space="preserve">disorders  </w:t>
            </w:r>
          </w:p>
        </w:tc>
        <w:tc>
          <w:tcPr>
            <w:tcW w:w="1080" w:type="dxa"/>
            <w:tcBorders>
              <w:top w:val="single" w:sz="6" w:space="0" w:color="000000"/>
              <w:left w:val="single" w:sz="4" w:space="0" w:color="000000"/>
              <w:bottom w:val="nil"/>
              <w:right w:val="single" w:sz="4" w:space="0" w:color="000000"/>
            </w:tcBorders>
          </w:tcPr>
          <w:p w14:paraId="712C2AE0"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80" w:type="dxa"/>
            <w:tcBorders>
              <w:top w:val="single" w:sz="6" w:space="0" w:color="000000"/>
              <w:left w:val="single" w:sz="4" w:space="0" w:color="000000"/>
              <w:bottom w:val="nil"/>
              <w:right w:val="single" w:sz="4" w:space="0" w:color="000000"/>
            </w:tcBorders>
          </w:tcPr>
          <w:p w14:paraId="712C2AE1"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74" w:type="dxa"/>
            <w:tcBorders>
              <w:top w:val="single" w:sz="6" w:space="0" w:color="000000"/>
              <w:left w:val="single" w:sz="4" w:space="0" w:color="000000"/>
              <w:bottom w:val="nil"/>
              <w:right w:val="single" w:sz="4" w:space="0" w:color="000000"/>
            </w:tcBorders>
          </w:tcPr>
          <w:p w14:paraId="712C2AE2"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64" w:type="dxa"/>
            <w:gridSpan w:val="2"/>
            <w:tcBorders>
              <w:top w:val="single" w:sz="6" w:space="0" w:color="000000"/>
              <w:left w:val="single" w:sz="4" w:space="0" w:color="000000"/>
              <w:bottom w:val="nil"/>
              <w:right w:val="single" w:sz="4" w:space="0" w:color="000000"/>
            </w:tcBorders>
          </w:tcPr>
          <w:p w14:paraId="712C2AE3"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134" w:type="dxa"/>
            <w:tcBorders>
              <w:top w:val="single" w:sz="6" w:space="0" w:color="000000"/>
              <w:left w:val="single" w:sz="4" w:space="0" w:color="000000"/>
              <w:bottom w:val="nil"/>
              <w:right w:val="single" w:sz="4" w:space="0" w:color="000000"/>
            </w:tcBorders>
          </w:tcPr>
          <w:p w14:paraId="712C2AE4"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48" w:type="dxa"/>
            <w:tcBorders>
              <w:top w:val="single" w:sz="6" w:space="0" w:color="000000"/>
              <w:left w:val="single" w:sz="4" w:space="0" w:color="000000"/>
              <w:bottom w:val="nil"/>
              <w:right w:val="single" w:sz="4" w:space="0" w:color="000000"/>
            </w:tcBorders>
          </w:tcPr>
          <w:p w14:paraId="712C2AE5"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r>
      <w:tr w:rsidR="001E2D60" w:rsidRPr="00386290" w14:paraId="712C2AE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1"/>
        </w:trPr>
        <w:tc>
          <w:tcPr>
            <w:tcW w:w="2898" w:type="dxa"/>
            <w:tcBorders>
              <w:top w:val="nil"/>
              <w:left w:val="single" w:sz="6" w:space="0" w:color="000000"/>
              <w:bottom w:val="nil"/>
              <w:right w:val="single" w:sz="4" w:space="0" w:color="000000"/>
            </w:tcBorders>
          </w:tcPr>
          <w:p w14:paraId="712C2AE7" w14:textId="77777777" w:rsidR="001E2D60" w:rsidRPr="00CF5E09" w:rsidRDefault="001E2D60" w:rsidP="00C34AF3">
            <w:pPr>
              <w:keepNext/>
              <w:widowControl w:val="0"/>
              <w:autoSpaceDE w:val="0"/>
              <w:autoSpaceDN w:val="0"/>
              <w:adjustRightInd w:val="0"/>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An</w:t>
            </w:r>
            <w:r w:rsidR="00CF5E09">
              <w:rPr>
                <w:rFonts w:ascii="Arial" w:eastAsia="Batang" w:hAnsi="Arial" w:cs="Arial"/>
                <w:color w:val="000000"/>
                <w:sz w:val="22"/>
                <w:szCs w:val="22"/>
                <w:lang w:eastAsia="ko-KR"/>
              </w:rPr>
              <w:t>a</w:t>
            </w:r>
            <w:r w:rsidRPr="00CF5E09">
              <w:rPr>
                <w:rFonts w:ascii="Arial" w:eastAsia="Batang" w:hAnsi="Arial" w:cs="Arial"/>
                <w:color w:val="000000"/>
                <w:sz w:val="22"/>
                <w:szCs w:val="22"/>
                <w:lang w:eastAsia="ko-KR"/>
              </w:rPr>
              <w:t>emia</w:t>
            </w:r>
          </w:p>
        </w:tc>
        <w:tc>
          <w:tcPr>
            <w:tcW w:w="1080" w:type="dxa"/>
            <w:tcBorders>
              <w:top w:val="nil"/>
              <w:left w:val="single" w:sz="4" w:space="0" w:color="000000"/>
              <w:bottom w:val="nil"/>
              <w:right w:val="single" w:sz="4" w:space="0" w:color="000000"/>
            </w:tcBorders>
          </w:tcPr>
          <w:p w14:paraId="712C2AE8"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75</w:t>
            </w:r>
          </w:p>
        </w:tc>
        <w:tc>
          <w:tcPr>
            <w:tcW w:w="1080" w:type="dxa"/>
            <w:tcBorders>
              <w:top w:val="nil"/>
              <w:left w:val="single" w:sz="4" w:space="0" w:color="000000"/>
              <w:bottom w:val="nil"/>
              <w:right w:val="single" w:sz="4" w:space="0" w:color="000000"/>
            </w:tcBorders>
          </w:tcPr>
          <w:p w14:paraId="712C2AE9"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74" w:type="dxa"/>
            <w:tcBorders>
              <w:top w:val="nil"/>
              <w:left w:val="single" w:sz="4" w:space="0" w:color="000000"/>
              <w:bottom w:val="nil"/>
              <w:right w:val="single" w:sz="4" w:space="0" w:color="000000"/>
            </w:tcBorders>
          </w:tcPr>
          <w:p w14:paraId="712C2AEA"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64" w:type="dxa"/>
            <w:gridSpan w:val="2"/>
            <w:tcBorders>
              <w:top w:val="nil"/>
              <w:left w:val="single" w:sz="4" w:space="0" w:color="000000"/>
              <w:bottom w:val="nil"/>
              <w:right w:val="single" w:sz="4" w:space="0" w:color="000000"/>
            </w:tcBorders>
          </w:tcPr>
          <w:p w14:paraId="712C2AEB"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73</w:t>
            </w:r>
          </w:p>
        </w:tc>
        <w:tc>
          <w:tcPr>
            <w:tcW w:w="1134" w:type="dxa"/>
            <w:tcBorders>
              <w:top w:val="nil"/>
              <w:left w:val="single" w:sz="4" w:space="0" w:color="000000"/>
              <w:bottom w:val="nil"/>
              <w:right w:val="single" w:sz="4" w:space="0" w:color="000000"/>
            </w:tcBorders>
          </w:tcPr>
          <w:p w14:paraId="712C2AEC"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48" w:type="dxa"/>
            <w:tcBorders>
              <w:top w:val="nil"/>
              <w:left w:val="single" w:sz="4" w:space="0" w:color="000000"/>
              <w:bottom w:val="nil"/>
              <w:right w:val="single" w:sz="4" w:space="0" w:color="000000"/>
            </w:tcBorders>
          </w:tcPr>
          <w:p w14:paraId="712C2AED"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AF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5"/>
        </w:trPr>
        <w:tc>
          <w:tcPr>
            <w:tcW w:w="2898" w:type="dxa"/>
            <w:tcBorders>
              <w:top w:val="nil"/>
              <w:left w:val="single" w:sz="6" w:space="0" w:color="000000"/>
              <w:bottom w:val="nil"/>
              <w:right w:val="single" w:sz="4" w:space="0" w:color="000000"/>
            </w:tcBorders>
          </w:tcPr>
          <w:p w14:paraId="712C2AEF" w14:textId="77777777" w:rsidR="001E2D60" w:rsidRPr="00CF5E09" w:rsidRDefault="001E2D60" w:rsidP="00C34AF3">
            <w:pPr>
              <w:keepNext/>
              <w:widowControl w:val="0"/>
              <w:autoSpaceDE w:val="0"/>
              <w:autoSpaceDN w:val="0"/>
              <w:adjustRightInd w:val="0"/>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Thrombocytopenia</w:t>
            </w:r>
          </w:p>
        </w:tc>
        <w:tc>
          <w:tcPr>
            <w:tcW w:w="1080" w:type="dxa"/>
            <w:tcBorders>
              <w:top w:val="nil"/>
              <w:left w:val="single" w:sz="4" w:space="0" w:color="000000"/>
              <w:bottom w:val="nil"/>
              <w:right w:val="single" w:sz="4" w:space="0" w:color="000000"/>
            </w:tcBorders>
          </w:tcPr>
          <w:p w14:paraId="712C2AF0"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13</w:t>
            </w:r>
          </w:p>
        </w:tc>
        <w:tc>
          <w:tcPr>
            <w:tcW w:w="1080" w:type="dxa"/>
            <w:tcBorders>
              <w:top w:val="nil"/>
              <w:left w:val="single" w:sz="4" w:space="0" w:color="000000"/>
              <w:bottom w:val="nil"/>
              <w:right w:val="single" w:sz="4" w:space="0" w:color="000000"/>
            </w:tcBorders>
          </w:tcPr>
          <w:p w14:paraId="712C2AF1"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w:t>
            </w:r>
          </w:p>
        </w:tc>
        <w:tc>
          <w:tcPr>
            <w:tcW w:w="1074" w:type="dxa"/>
            <w:tcBorders>
              <w:top w:val="nil"/>
              <w:left w:val="single" w:sz="4" w:space="0" w:color="000000"/>
              <w:bottom w:val="nil"/>
              <w:right w:val="single" w:sz="4" w:space="0" w:color="000000"/>
            </w:tcBorders>
          </w:tcPr>
          <w:p w14:paraId="712C2AF2"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64" w:type="dxa"/>
            <w:gridSpan w:val="2"/>
            <w:tcBorders>
              <w:top w:val="nil"/>
              <w:left w:val="single" w:sz="4" w:space="0" w:color="000000"/>
              <w:bottom w:val="nil"/>
              <w:right w:val="single" w:sz="4" w:space="0" w:color="000000"/>
            </w:tcBorders>
          </w:tcPr>
          <w:p w14:paraId="712C2AF3"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134" w:type="dxa"/>
            <w:tcBorders>
              <w:top w:val="nil"/>
              <w:left w:val="single" w:sz="4" w:space="0" w:color="000000"/>
              <w:bottom w:val="nil"/>
              <w:right w:val="single" w:sz="4" w:space="0" w:color="000000"/>
            </w:tcBorders>
          </w:tcPr>
          <w:p w14:paraId="712C2AF4"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48" w:type="dxa"/>
            <w:tcBorders>
              <w:top w:val="nil"/>
              <w:left w:val="single" w:sz="4" w:space="0" w:color="000000"/>
              <w:bottom w:val="nil"/>
              <w:right w:val="single" w:sz="4" w:space="0" w:color="000000"/>
            </w:tcBorders>
          </w:tcPr>
          <w:p w14:paraId="712C2AF5"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r>
      <w:tr w:rsidR="001E2D60" w:rsidRPr="00386290" w14:paraId="712C2AF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8"/>
        </w:trPr>
        <w:tc>
          <w:tcPr>
            <w:tcW w:w="2898" w:type="dxa"/>
            <w:tcBorders>
              <w:top w:val="nil"/>
              <w:left w:val="single" w:sz="6" w:space="0" w:color="000000"/>
              <w:bottom w:val="nil"/>
              <w:right w:val="single" w:sz="4" w:space="0" w:color="000000"/>
            </w:tcBorders>
          </w:tcPr>
          <w:p w14:paraId="712C2AF7" w14:textId="77777777" w:rsidR="001E2D60" w:rsidRPr="00CF5E09" w:rsidRDefault="001E2D60" w:rsidP="00C34AF3">
            <w:pPr>
              <w:keepNext/>
              <w:widowControl w:val="0"/>
              <w:autoSpaceDE w:val="0"/>
              <w:autoSpaceDN w:val="0"/>
              <w:adjustRightInd w:val="0"/>
              <w:rPr>
                <w:rFonts w:ascii="Arial" w:eastAsia="Batang" w:hAnsi="Arial" w:cs="Arial"/>
                <w:color w:val="000000"/>
                <w:sz w:val="22"/>
                <w:szCs w:val="22"/>
                <w:lang w:eastAsia="ko-KR"/>
              </w:rPr>
            </w:pPr>
            <w:proofErr w:type="spellStart"/>
            <w:r w:rsidRPr="00CF5E09">
              <w:rPr>
                <w:rFonts w:ascii="Arial" w:eastAsia="Batang" w:hAnsi="Arial" w:cs="Arial"/>
                <w:color w:val="000000"/>
                <w:sz w:val="22"/>
                <w:szCs w:val="22"/>
                <w:lang w:eastAsia="ko-KR"/>
              </w:rPr>
              <w:t>Neutrop</w:t>
            </w:r>
            <w:r w:rsidR="00C74B51">
              <w:rPr>
                <w:rFonts w:ascii="Arial" w:eastAsia="Batang" w:hAnsi="Arial" w:cs="Arial"/>
                <w:color w:val="000000"/>
                <w:sz w:val="22"/>
                <w:szCs w:val="22"/>
                <w:lang w:eastAsia="ko-KR"/>
              </w:rPr>
              <w:t>a</w:t>
            </w:r>
            <w:r w:rsidRPr="00CF5E09">
              <w:rPr>
                <w:rFonts w:ascii="Arial" w:eastAsia="Batang" w:hAnsi="Arial" w:cs="Arial"/>
                <w:color w:val="000000"/>
                <w:sz w:val="22"/>
                <w:szCs w:val="22"/>
                <w:lang w:eastAsia="ko-KR"/>
              </w:rPr>
              <w:t>enia</w:t>
            </w:r>
            <w:proofErr w:type="spellEnd"/>
          </w:p>
        </w:tc>
        <w:tc>
          <w:tcPr>
            <w:tcW w:w="1080" w:type="dxa"/>
            <w:tcBorders>
              <w:top w:val="nil"/>
              <w:left w:val="single" w:sz="4" w:space="0" w:color="000000"/>
              <w:bottom w:val="nil"/>
              <w:right w:val="single" w:sz="4" w:space="0" w:color="000000"/>
            </w:tcBorders>
          </w:tcPr>
          <w:p w14:paraId="712C2AF8"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16</w:t>
            </w:r>
          </w:p>
        </w:tc>
        <w:tc>
          <w:tcPr>
            <w:tcW w:w="1080" w:type="dxa"/>
            <w:tcBorders>
              <w:top w:val="nil"/>
              <w:left w:val="single" w:sz="4" w:space="0" w:color="000000"/>
              <w:bottom w:val="nil"/>
              <w:right w:val="single" w:sz="4" w:space="0" w:color="000000"/>
            </w:tcBorders>
          </w:tcPr>
          <w:p w14:paraId="712C2AF9"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74" w:type="dxa"/>
            <w:tcBorders>
              <w:top w:val="nil"/>
              <w:left w:val="single" w:sz="4" w:space="0" w:color="000000"/>
              <w:bottom w:val="nil"/>
              <w:right w:val="single" w:sz="4" w:space="0" w:color="000000"/>
            </w:tcBorders>
          </w:tcPr>
          <w:p w14:paraId="712C2AFA"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64" w:type="dxa"/>
            <w:gridSpan w:val="2"/>
            <w:tcBorders>
              <w:top w:val="nil"/>
              <w:left w:val="single" w:sz="4" w:space="0" w:color="000000"/>
              <w:bottom w:val="nil"/>
              <w:right w:val="single" w:sz="4" w:space="0" w:color="000000"/>
            </w:tcBorders>
          </w:tcPr>
          <w:p w14:paraId="712C2AFB"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12</w:t>
            </w:r>
          </w:p>
        </w:tc>
        <w:tc>
          <w:tcPr>
            <w:tcW w:w="1134" w:type="dxa"/>
            <w:tcBorders>
              <w:top w:val="nil"/>
              <w:left w:val="single" w:sz="4" w:space="0" w:color="000000"/>
              <w:bottom w:val="nil"/>
              <w:right w:val="single" w:sz="4" w:space="0" w:color="000000"/>
            </w:tcBorders>
          </w:tcPr>
          <w:p w14:paraId="712C2AFC"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48" w:type="dxa"/>
            <w:tcBorders>
              <w:top w:val="nil"/>
              <w:left w:val="single" w:sz="4" w:space="0" w:color="000000"/>
              <w:bottom w:val="nil"/>
              <w:right w:val="single" w:sz="4" w:space="0" w:color="000000"/>
            </w:tcBorders>
          </w:tcPr>
          <w:p w14:paraId="712C2AFD"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0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9"/>
        </w:trPr>
        <w:tc>
          <w:tcPr>
            <w:tcW w:w="2898" w:type="dxa"/>
            <w:tcBorders>
              <w:top w:val="nil"/>
              <w:left w:val="single" w:sz="6" w:space="0" w:color="000000"/>
              <w:bottom w:val="nil"/>
              <w:right w:val="single" w:sz="4" w:space="0" w:color="000000"/>
            </w:tcBorders>
          </w:tcPr>
          <w:p w14:paraId="712C2AFF" w14:textId="77777777" w:rsidR="001E2D60" w:rsidRPr="00CF5E09" w:rsidRDefault="001E2D60" w:rsidP="00C34AF3">
            <w:pPr>
              <w:keepNext/>
              <w:widowControl w:val="0"/>
              <w:autoSpaceDE w:val="0"/>
              <w:autoSpaceDN w:val="0"/>
              <w:adjustRightInd w:val="0"/>
              <w:rPr>
                <w:rFonts w:ascii="Arial" w:eastAsia="Batang" w:hAnsi="Arial" w:cs="Arial"/>
                <w:color w:val="000000"/>
                <w:sz w:val="22"/>
                <w:szCs w:val="22"/>
                <w:lang w:eastAsia="ko-KR"/>
              </w:rPr>
            </w:pPr>
            <w:proofErr w:type="spellStart"/>
            <w:r w:rsidRPr="00CF5E09">
              <w:rPr>
                <w:rFonts w:ascii="Arial" w:eastAsia="Batang" w:hAnsi="Arial" w:cs="Arial"/>
                <w:color w:val="000000"/>
                <w:sz w:val="22"/>
                <w:szCs w:val="22"/>
                <w:lang w:eastAsia="ko-KR"/>
              </w:rPr>
              <w:t>Lymphopenia</w:t>
            </w:r>
            <w:proofErr w:type="spellEnd"/>
          </w:p>
        </w:tc>
        <w:tc>
          <w:tcPr>
            <w:tcW w:w="1080" w:type="dxa"/>
            <w:tcBorders>
              <w:top w:val="nil"/>
              <w:left w:val="single" w:sz="4" w:space="0" w:color="000000"/>
              <w:bottom w:val="nil"/>
              <w:right w:val="single" w:sz="4" w:space="0" w:color="000000"/>
            </w:tcBorders>
          </w:tcPr>
          <w:p w14:paraId="712C2B00"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30</w:t>
            </w:r>
          </w:p>
        </w:tc>
        <w:tc>
          <w:tcPr>
            <w:tcW w:w="1080" w:type="dxa"/>
            <w:tcBorders>
              <w:top w:val="nil"/>
              <w:left w:val="single" w:sz="4" w:space="0" w:color="000000"/>
              <w:bottom w:val="nil"/>
              <w:right w:val="single" w:sz="4" w:space="0" w:color="000000"/>
            </w:tcBorders>
          </w:tcPr>
          <w:p w14:paraId="712C2B01"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8</w:t>
            </w:r>
          </w:p>
        </w:tc>
        <w:tc>
          <w:tcPr>
            <w:tcW w:w="1074" w:type="dxa"/>
            <w:tcBorders>
              <w:top w:val="nil"/>
              <w:left w:val="single" w:sz="4" w:space="0" w:color="000000"/>
              <w:bottom w:val="nil"/>
              <w:right w:val="single" w:sz="4" w:space="0" w:color="000000"/>
            </w:tcBorders>
          </w:tcPr>
          <w:p w14:paraId="712C2B02"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64" w:type="dxa"/>
            <w:gridSpan w:val="2"/>
            <w:tcBorders>
              <w:top w:val="nil"/>
              <w:left w:val="single" w:sz="4" w:space="0" w:color="000000"/>
              <w:bottom w:val="nil"/>
              <w:right w:val="single" w:sz="4" w:space="0" w:color="000000"/>
            </w:tcBorders>
          </w:tcPr>
          <w:p w14:paraId="712C2B03" w14:textId="77777777" w:rsidR="001E2D60" w:rsidRPr="00CF5E09" w:rsidRDefault="00A8631A" w:rsidP="00C34AF3">
            <w:pPr>
              <w:keepNext/>
              <w:widowControl w:val="0"/>
              <w:autoSpaceDE w:val="0"/>
              <w:autoSpaceDN w:val="0"/>
              <w:adjustRightInd w:val="0"/>
              <w:jc w:val="center"/>
              <w:rPr>
                <w:rFonts w:ascii="Arial" w:eastAsia="Batang" w:hAnsi="Arial" w:cs="Arial"/>
                <w:color w:val="000000"/>
                <w:sz w:val="22"/>
                <w:szCs w:val="22"/>
                <w:lang w:eastAsia="ko-KR"/>
              </w:rPr>
            </w:pPr>
            <w:r>
              <w:rPr>
                <w:rFonts w:ascii="Arial" w:eastAsia="Batang" w:hAnsi="Arial" w:cs="Arial"/>
                <w:color w:val="000000"/>
                <w:sz w:val="22"/>
                <w:szCs w:val="22"/>
                <w:lang w:eastAsia="ko-KR"/>
              </w:rPr>
              <w:t>24</w:t>
            </w:r>
          </w:p>
        </w:tc>
        <w:tc>
          <w:tcPr>
            <w:tcW w:w="1134" w:type="dxa"/>
            <w:tcBorders>
              <w:top w:val="nil"/>
              <w:left w:val="single" w:sz="4" w:space="0" w:color="000000"/>
              <w:bottom w:val="nil"/>
              <w:right w:val="single" w:sz="4" w:space="0" w:color="000000"/>
            </w:tcBorders>
          </w:tcPr>
          <w:p w14:paraId="712C2B04"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48" w:type="dxa"/>
            <w:tcBorders>
              <w:top w:val="nil"/>
              <w:left w:val="single" w:sz="4" w:space="0" w:color="000000"/>
              <w:bottom w:val="nil"/>
              <w:right w:val="single" w:sz="4" w:space="0" w:color="000000"/>
            </w:tcBorders>
          </w:tcPr>
          <w:p w14:paraId="712C2B05"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0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16"/>
        </w:trPr>
        <w:tc>
          <w:tcPr>
            <w:tcW w:w="2898" w:type="dxa"/>
            <w:tcBorders>
              <w:top w:val="single" w:sz="6" w:space="0" w:color="000000"/>
              <w:left w:val="single" w:sz="6" w:space="0" w:color="000000"/>
              <w:bottom w:val="nil"/>
              <w:right w:val="single" w:sz="4" w:space="0" w:color="000000"/>
            </w:tcBorders>
          </w:tcPr>
          <w:p w14:paraId="712C2B07" w14:textId="77777777" w:rsidR="001E2D60" w:rsidRPr="00CF5E09" w:rsidRDefault="001E2D60" w:rsidP="00C34AF3">
            <w:pPr>
              <w:keepNext/>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b/>
                <w:bCs/>
                <w:color w:val="000000"/>
                <w:sz w:val="22"/>
                <w:szCs w:val="22"/>
                <w:lang w:eastAsia="ko-KR"/>
              </w:rPr>
              <w:t>Metabolism and nutrition disorders</w:t>
            </w:r>
          </w:p>
        </w:tc>
        <w:tc>
          <w:tcPr>
            <w:tcW w:w="1080" w:type="dxa"/>
            <w:tcBorders>
              <w:top w:val="single" w:sz="6" w:space="0" w:color="000000"/>
              <w:left w:val="single" w:sz="4" w:space="0" w:color="000000"/>
              <w:bottom w:val="nil"/>
              <w:right w:val="single" w:sz="4" w:space="0" w:color="000000"/>
            </w:tcBorders>
          </w:tcPr>
          <w:p w14:paraId="712C2B08"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80" w:type="dxa"/>
            <w:tcBorders>
              <w:top w:val="single" w:sz="6" w:space="0" w:color="000000"/>
              <w:left w:val="single" w:sz="4" w:space="0" w:color="000000"/>
              <w:bottom w:val="nil"/>
              <w:right w:val="single" w:sz="4" w:space="0" w:color="000000"/>
            </w:tcBorders>
          </w:tcPr>
          <w:p w14:paraId="712C2B09"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74" w:type="dxa"/>
            <w:tcBorders>
              <w:top w:val="single" w:sz="6" w:space="0" w:color="000000"/>
              <w:left w:val="single" w:sz="4" w:space="0" w:color="000000"/>
              <w:bottom w:val="nil"/>
              <w:right w:val="single" w:sz="4" w:space="0" w:color="000000"/>
            </w:tcBorders>
          </w:tcPr>
          <w:p w14:paraId="712C2B0A"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64" w:type="dxa"/>
            <w:gridSpan w:val="2"/>
            <w:tcBorders>
              <w:top w:val="single" w:sz="6" w:space="0" w:color="000000"/>
              <w:left w:val="single" w:sz="4" w:space="0" w:color="000000"/>
              <w:bottom w:val="nil"/>
              <w:right w:val="single" w:sz="4" w:space="0" w:color="000000"/>
            </w:tcBorders>
          </w:tcPr>
          <w:p w14:paraId="712C2B0B"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134" w:type="dxa"/>
            <w:tcBorders>
              <w:top w:val="single" w:sz="6" w:space="0" w:color="000000"/>
              <w:left w:val="single" w:sz="4" w:space="0" w:color="000000"/>
              <w:bottom w:val="nil"/>
              <w:right w:val="single" w:sz="4" w:space="0" w:color="000000"/>
            </w:tcBorders>
          </w:tcPr>
          <w:p w14:paraId="712C2B0C"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c>
          <w:tcPr>
            <w:tcW w:w="1048" w:type="dxa"/>
            <w:tcBorders>
              <w:top w:val="single" w:sz="6" w:space="0" w:color="000000"/>
              <w:left w:val="single" w:sz="4" w:space="0" w:color="000000"/>
              <w:bottom w:val="nil"/>
              <w:right w:val="single" w:sz="4" w:space="0" w:color="000000"/>
            </w:tcBorders>
          </w:tcPr>
          <w:p w14:paraId="712C2B0D"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p>
        </w:tc>
      </w:tr>
      <w:tr w:rsidR="001E2D60" w:rsidRPr="00386290" w14:paraId="712C2B1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1"/>
        </w:trPr>
        <w:tc>
          <w:tcPr>
            <w:tcW w:w="2898" w:type="dxa"/>
            <w:tcBorders>
              <w:top w:val="nil"/>
              <w:left w:val="single" w:sz="6" w:space="0" w:color="000000"/>
              <w:bottom w:val="nil"/>
              <w:right w:val="single" w:sz="4" w:space="0" w:color="000000"/>
            </w:tcBorders>
          </w:tcPr>
          <w:p w14:paraId="712C2B0F" w14:textId="77777777" w:rsidR="001E2D60" w:rsidRPr="00CF5E09" w:rsidRDefault="001E2D60" w:rsidP="00C34AF3">
            <w:pPr>
              <w:keepNext/>
              <w:widowControl w:val="0"/>
              <w:autoSpaceDE w:val="0"/>
              <w:autoSpaceDN w:val="0"/>
              <w:adjustRightInd w:val="0"/>
              <w:rPr>
                <w:rFonts w:ascii="Arial" w:eastAsia="Batang" w:hAnsi="Arial" w:cs="Arial"/>
                <w:color w:val="000000"/>
                <w:sz w:val="22"/>
                <w:szCs w:val="22"/>
                <w:lang w:eastAsia="ko-KR"/>
              </w:rPr>
            </w:pPr>
            <w:proofErr w:type="spellStart"/>
            <w:r w:rsidRPr="00CF5E09">
              <w:rPr>
                <w:rFonts w:ascii="Arial" w:eastAsia="Batang" w:hAnsi="Arial" w:cs="Arial"/>
                <w:color w:val="000000"/>
                <w:sz w:val="22"/>
                <w:szCs w:val="22"/>
                <w:lang w:eastAsia="ko-KR"/>
              </w:rPr>
              <w:t>Hypocalcemia</w:t>
            </w:r>
            <w:proofErr w:type="spellEnd"/>
          </w:p>
        </w:tc>
        <w:tc>
          <w:tcPr>
            <w:tcW w:w="1080" w:type="dxa"/>
            <w:tcBorders>
              <w:top w:val="nil"/>
              <w:left w:val="single" w:sz="4" w:space="0" w:color="000000"/>
              <w:bottom w:val="nil"/>
              <w:right w:val="single" w:sz="4" w:space="0" w:color="000000"/>
            </w:tcBorders>
          </w:tcPr>
          <w:p w14:paraId="712C2B10"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17</w:t>
            </w:r>
          </w:p>
        </w:tc>
        <w:tc>
          <w:tcPr>
            <w:tcW w:w="1080" w:type="dxa"/>
            <w:tcBorders>
              <w:top w:val="nil"/>
              <w:left w:val="single" w:sz="4" w:space="0" w:color="000000"/>
              <w:bottom w:val="nil"/>
              <w:right w:val="single" w:sz="4" w:space="0" w:color="000000"/>
            </w:tcBorders>
          </w:tcPr>
          <w:p w14:paraId="712C2B11"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74" w:type="dxa"/>
            <w:tcBorders>
              <w:top w:val="nil"/>
              <w:left w:val="single" w:sz="4" w:space="0" w:color="000000"/>
              <w:bottom w:val="nil"/>
              <w:right w:val="single" w:sz="4" w:space="0" w:color="000000"/>
            </w:tcBorders>
          </w:tcPr>
          <w:p w14:paraId="712C2B12"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64" w:type="dxa"/>
            <w:gridSpan w:val="2"/>
            <w:tcBorders>
              <w:top w:val="nil"/>
              <w:left w:val="single" w:sz="4" w:space="0" w:color="000000"/>
              <w:bottom w:val="nil"/>
              <w:right w:val="single" w:sz="4" w:space="0" w:color="000000"/>
            </w:tcBorders>
          </w:tcPr>
          <w:p w14:paraId="712C2B13"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w:t>
            </w:r>
          </w:p>
        </w:tc>
        <w:tc>
          <w:tcPr>
            <w:tcW w:w="1134" w:type="dxa"/>
            <w:tcBorders>
              <w:top w:val="nil"/>
              <w:left w:val="single" w:sz="4" w:space="0" w:color="000000"/>
              <w:bottom w:val="nil"/>
              <w:right w:val="single" w:sz="4" w:space="0" w:color="000000"/>
            </w:tcBorders>
          </w:tcPr>
          <w:p w14:paraId="712C2B14"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48" w:type="dxa"/>
            <w:tcBorders>
              <w:top w:val="nil"/>
              <w:left w:val="single" w:sz="4" w:space="0" w:color="000000"/>
              <w:bottom w:val="nil"/>
              <w:right w:val="single" w:sz="4" w:space="0" w:color="000000"/>
            </w:tcBorders>
          </w:tcPr>
          <w:p w14:paraId="712C2B15"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1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90"/>
        </w:trPr>
        <w:tc>
          <w:tcPr>
            <w:tcW w:w="2898" w:type="dxa"/>
            <w:tcBorders>
              <w:top w:val="nil"/>
              <w:left w:val="single" w:sz="6" w:space="0" w:color="000000"/>
              <w:bottom w:val="nil"/>
              <w:right w:val="single" w:sz="4" w:space="0" w:color="000000"/>
            </w:tcBorders>
          </w:tcPr>
          <w:p w14:paraId="712C2B17" w14:textId="77777777" w:rsidR="001E2D60" w:rsidRPr="00CF5E09" w:rsidRDefault="001E2D60" w:rsidP="00DB606A">
            <w:pPr>
              <w:keepNext/>
              <w:widowControl w:val="0"/>
              <w:autoSpaceDE w:val="0"/>
              <w:autoSpaceDN w:val="0"/>
              <w:adjustRightInd w:val="0"/>
              <w:rPr>
                <w:rFonts w:ascii="Arial" w:eastAsia="Batang" w:hAnsi="Arial" w:cs="Arial"/>
                <w:color w:val="000000"/>
                <w:sz w:val="22"/>
                <w:szCs w:val="22"/>
                <w:lang w:eastAsia="ko-KR"/>
              </w:rPr>
            </w:pPr>
            <w:r w:rsidRPr="002239D7">
              <w:rPr>
                <w:rFonts w:ascii="Arial" w:eastAsia="Batang" w:hAnsi="Arial" w:cs="Arial"/>
                <w:color w:val="000000"/>
                <w:sz w:val="22"/>
                <w:szCs w:val="22"/>
                <w:lang w:eastAsia="ko-KR"/>
              </w:rPr>
              <w:t>Hypokal</w:t>
            </w:r>
            <w:r w:rsidR="00F808D7">
              <w:rPr>
                <w:rFonts w:ascii="Arial" w:eastAsia="Batang" w:hAnsi="Arial" w:cs="Arial"/>
                <w:color w:val="000000"/>
                <w:sz w:val="22"/>
                <w:szCs w:val="22"/>
                <w:lang w:eastAsia="ko-KR"/>
              </w:rPr>
              <w:t>a</w:t>
            </w:r>
            <w:r w:rsidRPr="002239D7">
              <w:rPr>
                <w:rFonts w:ascii="Arial" w:eastAsia="Batang" w:hAnsi="Arial" w:cs="Arial"/>
                <w:color w:val="000000"/>
                <w:sz w:val="22"/>
                <w:szCs w:val="22"/>
                <w:lang w:eastAsia="ko-KR"/>
              </w:rPr>
              <w:t>emia</w:t>
            </w:r>
          </w:p>
        </w:tc>
        <w:tc>
          <w:tcPr>
            <w:tcW w:w="1080" w:type="dxa"/>
            <w:tcBorders>
              <w:top w:val="nil"/>
              <w:left w:val="single" w:sz="4" w:space="0" w:color="000000"/>
              <w:bottom w:val="nil"/>
              <w:right w:val="single" w:sz="4" w:space="0" w:color="000000"/>
            </w:tcBorders>
          </w:tcPr>
          <w:p w14:paraId="712C2B18"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21</w:t>
            </w:r>
          </w:p>
        </w:tc>
        <w:tc>
          <w:tcPr>
            <w:tcW w:w="1080" w:type="dxa"/>
            <w:tcBorders>
              <w:top w:val="nil"/>
              <w:left w:val="single" w:sz="4" w:space="0" w:color="000000"/>
              <w:bottom w:val="nil"/>
              <w:right w:val="single" w:sz="4" w:space="0" w:color="000000"/>
            </w:tcBorders>
          </w:tcPr>
          <w:p w14:paraId="712C2B19"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74" w:type="dxa"/>
            <w:tcBorders>
              <w:top w:val="nil"/>
              <w:left w:val="single" w:sz="4" w:space="0" w:color="000000"/>
              <w:bottom w:val="nil"/>
              <w:right w:val="single" w:sz="4" w:space="0" w:color="000000"/>
            </w:tcBorders>
          </w:tcPr>
          <w:p w14:paraId="712C2B1A"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64" w:type="dxa"/>
            <w:gridSpan w:val="2"/>
            <w:tcBorders>
              <w:top w:val="nil"/>
              <w:left w:val="single" w:sz="4" w:space="0" w:color="000000"/>
              <w:bottom w:val="nil"/>
              <w:right w:val="single" w:sz="4" w:space="0" w:color="000000"/>
            </w:tcBorders>
          </w:tcPr>
          <w:p w14:paraId="712C2B1B"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134" w:type="dxa"/>
            <w:tcBorders>
              <w:top w:val="nil"/>
              <w:left w:val="single" w:sz="4" w:space="0" w:color="000000"/>
              <w:bottom w:val="nil"/>
              <w:right w:val="single" w:sz="4" w:space="0" w:color="000000"/>
            </w:tcBorders>
          </w:tcPr>
          <w:p w14:paraId="712C2B1C" w14:textId="77777777" w:rsidR="001E2D60" w:rsidRPr="00CF5E09" w:rsidRDefault="001E2D60" w:rsidP="00C34AF3">
            <w:pPr>
              <w:keepNext/>
              <w:widowControl w:val="0"/>
              <w:tabs>
                <w:tab w:val="left" w:pos="300"/>
                <w:tab w:val="center" w:pos="432"/>
              </w:tabs>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48" w:type="dxa"/>
            <w:tcBorders>
              <w:top w:val="nil"/>
              <w:left w:val="single" w:sz="4" w:space="0" w:color="000000"/>
              <w:bottom w:val="nil"/>
              <w:right w:val="single" w:sz="4" w:space="0" w:color="000000"/>
            </w:tcBorders>
          </w:tcPr>
          <w:p w14:paraId="712C2B1D"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2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72"/>
        </w:trPr>
        <w:tc>
          <w:tcPr>
            <w:tcW w:w="2898" w:type="dxa"/>
            <w:tcBorders>
              <w:top w:val="nil"/>
              <w:left w:val="single" w:sz="6" w:space="0" w:color="000000"/>
              <w:bottom w:val="single" w:sz="4" w:space="0" w:color="000000"/>
              <w:right w:val="single" w:sz="4" w:space="0" w:color="000000"/>
            </w:tcBorders>
          </w:tcPr>
          <w:p w14:paraId="712C2B1F" w14:textId="77777777" w:rsidR="001E2D60" w:rsidRPr="00CF5E09" w:rsidRDefault="001E2D60" w:rsidP="00DB606A">
            <w:pPr>
              <w:keepNext/>
              <w:widowControl w:val="0"/>
              <w:autoSpaceDE w:val="0"/>
              <w:autoSpaceDN w:val="0"/>
              <w:adjustRightInd w:val="0"/>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 xml:space="preserve">Hyponatremia </w:t>
            </w:r>
          </w:p>
          <w:p w14:paraId="712C2B20" w14:textId="77777777" w:rsidR="004F66B3" w:rsidRPr="00CF5E09" w:rsidRDefault="001E2D60" w:rsidP="0034700C">
            <w:pPr>
              <w:keepNext/>
              <w:widowControl w:val="0"/>
              <w:autoSpaceDE w:val="0"/>
              <w:autoSpaceDN w:val="0"/>
              <w:adjustRightInd w:val="0"/>
              <w:rPr>
                <w:rFonts w:ascii="Arial" w:eastAsia="Batang" w:hAnsi="Arial" w:cs="Arial"/>
                <w:color w:val="000000"/>
                <w:sz w:val="22"/>
                <w:szCs w:val="22"/>
                <w:lang w:eastAsia="ko-KR"/>
              </w:rPr>
            </w:pPr>
            <w:proofErr w:type="spellStart"/>
            <w:r w:rsidRPr="00CF5E09">
              <w:rPr>
                <w:rFonts w:ascii="Arial" w:eastAsia="Batang" w:hAnsi="Arial" w:cs="Arial"/>
                <w:color w:val="000000"/>
                <w:sz w:val="22"/>
                <w:szCs w:val="22"/>
                <w:lang w:eastAsia="ko-KR"/>
              </w:rPr>
              <w:t>Hypophosphat</w:t>
            </w:r>
            <w:r w:rsidR="00C74B51">
              <w:rPr>
                <w:rFonts w:ascii="Arial" w:eastAsia="Batang" w:hAnsi="Arial" w:cs="Arial"/>
                <w:color w:val="000000"/>
                <w:sz w:val="22"/>
                <w:szCs w:val="22"/>
                <w:lang w:eastAsia="ko-KR"/>
              </w:rPr>
              <w:t>a</w:t>
            </w:r>
            <w:r w:rsidRPr="00CF5E09">
              <w:rPr>
                <w:rFonts w:ascii="Arial" w:eastAsia="Batang" w:hAnsi="Arial" w:cs="Arial"/>
                <w:color w:val="000000"/>
                <w:sz w:val="22"/>
                <w:szCs w:val="22"/>
                <w:lang w:eastAsia="ko-KR"/>
              </w:rPr>
              <w:t>emia</w:t>
            </w:r>
            <w:proofErr w:type="spellEnd"/>
          </w:p>
        </w:tc>
        <w:tc>
          <w:tcPr>
            <w:tcW w:w="1080" w:type="dxa"/>
            <w:tcBorders>
              <w:top w:val="nil"/>
              <w:left w:val="single" w:sz="4" w:space="0" w:color="000000"/>
              <w:bottom w:val="single" w:sz="4" w:space="0" w:color="000000"/>
              <w:right w:val="single" w:sz="4" w:space="0" w:color="000000"/>
            </w:tcBorders>
          </w:tcPr>
          <w:p w14:paraId="712C2B21" w14:textId="77777777" w:rsidR="001E2D60" w:rsidRPr="00CF5E09" w:rsidRDefault="001E2D60" w:rsidP="0034700C">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19</w:t>
            </w:r>
          </w:p>
          <w:p w14:paraId="712C2B22" w14:textId="77777777" w:rsidR="004F66B3"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55</w:t>
            </w:r>
          </w:p>
        </w:tc>
        <w:tc>
          <w:tcPr>
            <w:tcW w:w="1080" w:type="dxa"/>
            <w:tcBorders>
              <w:top w:val="nil"/>
              <w:left w:val="single" w:sz="4" w:space="0" w:color="000000"/>
              <w:bottom w:val="single" w:sz="4" w:space="0" w:color="000000"/>
              <w:right w:val="single" w:sz="4" w:space="0" w:color="000000"/>
            </w:tcBorders>
          </w:tcPr>
          <w:p w14:paraId="712C2B23"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w:t>
            </w:r>
          </w:p>
          <w:p w14:paraId="712C2B24" w14:textId="77777777" w:rsidR="004F66B3"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20</w:t>
            </w:r>
          </w:p>
        </w:tc>
        <w:tc>
          <w:tcPr>
            <w:tcW w:w="1074" w:type="dxa"/>
            <w:tcBorders>
              <w:top w:val="nil"/>
              <w:left w:val="single" w:sz="4" w:space="0" w:color="000000"/>
              <w:bottom w:val="single" w:sz="4" w:space="0" w:color="000000"/>
              <w:right w:val="single" w:sz="4" w:space="0" w:color="000000"/>
            </w:tcBorders>
          </w:tcPr>
          <w:p w14:paraId="712C2B25"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p w14:paraId="712C2B26" w14:textId="77777777" w:rsidR="004F66B3"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64" w:type="dxa"/>
            <w:gridSpan w:val="2"/>
            <w:tcBorders>
              <w:top w:val="nil"/>
              <w:left w:val="single" w:sz="4" w:space="0" w:color="000000"/>
              <w:bottom w:val="single" w:sz="4" w:space="0" w:color="000000"/>
              <w:right w:val="single" w:sz="4" w:space="0" w:color="000000"/>
            </w:tcBorders>
          </w:tcPr>
          <w:p w14:paraId="712C2B27"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18</w:t>
            </w:r>
          </w:p>
          <w:p w14:paraId="712C2B28" w14:textId="77777777" w:rsidR="004F66B3"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134" w:type="dxa"/>
            <w:tcBorders>
              <w:top w:val="nil"/>
              <w:left w:val="single" w:sz="4" w:space="0" w:color="000000"/>
              <w:bottom w:val="single" w:sz="4" w:space="0" w:color="000000"/>
              <w:right w:val="single" w:sz="4" w:space="0" w:color="000000"/>
            </w:tcBorders>
          </w:tcPr>
          <w:p w14:paraId="712C2B29" w14:textId="77777777" w:rsidR="001E2D60"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w:t>
            </w:r>
          </w:p>
          <w:p w14:paraId="712C2B2A" w14:textId="77777777" w:rsidR="004F66B3" w:rsidRPr="00CF5E09" w:rsidRDefault="001E2D60" w:rsidP="00C34AF3">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48" w:type="dxa"/>
            <w:tcBorders>
              <w:top w:val="nil"/>
              <w:left w:val="single" w:sz="4" w:space="0" w:color="000000"/>
              <w:bottom w:val="single" w:sz="4" w:space="0" w:color="000000"/>
              <w:right w:val="single" w:sz="4" w:space="0" w:color="000000"/>
            </w:tcBorders>
          </w:tcPr>
          <w:p w14:paraId="712C2B2B" w14:textId="77777777" w:rsidR="001E2D60" w:rsidRPr="00CF5E09" w:rsidRDefault="001E2D60" w:rsidP="0034700C">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p w14:paraId="712C2B2C" w14:textId="77777777" w:rsidR="004F66B3" w:rsidRPr="00CF5E09" w:rsidRDefault="001E2D60" w:rsidP="0034700C">
            <w:pPr>
              <w:keepNext/>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3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single" w:sz="4" w:space="0" w:color="000000"/>
              <w:left w:val="single" w:sz="6" w:space="0" w:color="000000"/>
              <w:bottom w:val="nil"/>
              <w:right w:val="single" w:sz="4" w:space="0" w:color="000000"/>
            </w:tcBorders>
          </w:tcPr>
          <w:p w14:paraId="712C2B2E" w14:textId="77777777" w:rsidR="001E2D60" w:rsidRPr="00CF5E09" w:rsidRDefault="001E2D60" w:rsidP="00C07898">
            <w:pPr>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b/>
                <w:bCs/>
                <w:color w:val="000000"/>
                <w:sz w:val="22"/>
                <w:szCs w:val="22"/>
                <w:lang w:eastAsia="ko-KR"/>
              </w:rPr>
              <w:t>Hepatobiliary disorders</w:t>
            </w:r>
          </w:p>
        </w:tc>
        <w:tc>
          <w:tcPr>
            <w:tcW w:w="1080" w:type="dxa"/>
            <w:tcBorders>
              <w:top w:val="single" w:sz="4" w:space="0" w:color="000000"/>
              <w:left w:val="single" w:sz="4" w:space="0" w:color="000000"/>
              <w:bottom w:val="nil"/>
              <w:right w:val="single" w:sz="4" w:space="0" w:color="000000"/>
            </w:tcBorders>
          </w:tcPr>
          <w:p w14:paraId="712C2B2F"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80" w:type="dxa"/>
            <w:tcBorders>
              <w:top w:val="single" w:sz="4" w:space="0" w:color="000000"/>
              <w:left w:val="single" w:sz="4" w:space="0" w:color="000000"/>
              <w:bottom w:val="nil"/>
              <w:right w:val="single" w:sz="4" w:space="0" w:color="000000"/>
            </w:tcBorders>
          </w:tcPr>
          <w:p w14:paraId="712C2B30"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74" w:type="dxa"/>
            <w:tcBorders>
              <w:top w:val="single" w:sz="4" w:space="0" w:color="000000"/>
              <w:left w:val="single" w:sz="4" w:space="0" w:color="000000"/>
              <w:bottom w:val="nil"/>
              <w:right w:val="single" w:sz="4" w:space="0" w:color="000000"/>
            </w:tcBorders>
          </w:tcPr>
          <w:p w14:paraId="712C2B31"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64" w:type="dxa"/>
            <w:gridSpan w:val="2"/>
            <w:tcBorders>
              <w:top w:val="single" w:sz="4" w:space="0" w:color="000000"/>
              <w:left w:val="single" w:sz="4" w:space="0" w:color="000000"/>
              <w:bottom w:val="nil"/>
              <w:right w:val="single" w:sz="4" w:space="0" w:color="000000"/>
            </w:tcBorders>
          </w:tcPr>
          <w:p w14:paraId="712C2B32"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134" w:type="dxa"/>
            <w:tcBorders>
              <w:top w:val="single" w:sz="4" w:space="0" w:color="000000"/>
              <w:left w:val="single" w:sz="4" w:space="0" w:color="000000"/>
              <w:bottom w:val="nil"/>
              <w:right w:val="single" w:sz="4" w:space="0" w:color="000000"/>
            </w:tcBorders>
          </w:tcPr>
          <w:p w14:paraId="712C2B33"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48" w:type="dxa"/>
            <w:tcBorders>
              <w:top w:val="single" w:sz="4" w:space="0" w:color="000000"/>
              <w:left w:val="single" w:sz="4" w:space="0" w:color="000000"/>
              <w:bottom w:val="nil"/>
              <w:right w:val="single" w:sz="4" w:space="0" w:color="000000"/>
            </w:tcBorders>
          </w:tcPr>
          <w:p w14:paraId="712C2B34"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r>
      <w:tr w:rsidR="001E2D60" w:rsidRPr="00386290" w14:paraId="712C2B3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28"/>
        </w:trPr>
        <w:tc>
          <w:tcPr>
            <w:tcW w:w="2898" w:type="dxa"/>
            <w:tcBorders>
              <w:top w:val="nil"/>
              <w:left w:val="single" w:sz="6" w:space="0" w:color="000000"/>
              <w:bottom w:val="nil"/>
              <w:right w:val="single" w:sz="4" w:space="0" w:color="000000"/>
            </w:tcBorders>
          </w:tcPr>
          <w:p w14:paraId="712C2B36" w14:textId="77777777" w:rsidR="001E2D60" w:rsidRPr="00CF5E09" w:rsidDel="00072184" w:rsidRDefault="001E2D60" w:rsidP="00C07898">
            <w:pPr>
              <w:widowControl w:val="0"/>
              <w:autoSpaceDE w:val="0"/>
              <w:autoSpaceDN w:val="0"/>
              <w:adjustRightInd w:val="0"/>
              <w:rPr>
                <w:rFonts w:ascii="Arial" w:eastAsia="Batang" w:hAnsi="Arial" w:cs="Arial"/>
                <w:b/>
                <w:bCs/>
                <w:color w:val="000000"/>
                <w:sz w:val="22"/>
                <w:szCs w:val="22"/>
                <w:lang w:eastAsia="ko-KR"/>
              </w:rPr>
            </w:pPr>
            <w:proofErr w:type="spellStart"/>
            <w:r w:rsidRPr="00CF5E09">
              <w:rPr>
                <w:rFonts w:ascii="Arial" w:eastAsia="Batang" w:hAnsi="Arial" w:cs="Arial"/>
                <w:color w:val="000000"/>
                <w:sz w:val="22"/>
                <w:szCs w:val="22"/>
                <w:lang w:eastAsia="ko-KR"/>
              </w:rPr>
              <w:t>Hyperbilirubin</w:t>
            </w:r>
            <w:r w:rsidR="00F808D7">
              <w:rPr>
                <w:rFonts w:ascii="Arial" w:eastAsia="Batang" w:hAnsi="Arial" w:cs="Arial"/>
                <w:color w:val="000000"/>
                <w:sz w:val="22"/>
                <w:szCs w:val="22"/>
                <w:lang w:eastAsia="ko-KR"/>
              </w:rPr>
              <w:t>a</w:t>
            </w:r>
            <w:r w:rsidRPr="00CF5E09">
              <w:rPr>
                <w:rFonts w:ascii="Arial" w:eastAsia="Batang" w:hAnsi="Arial" w:cs="Arial"/>
                <w:color w:val="000000"/>
                <w:sz w:val="22"/>
                <w:szCs w:val="22"/>
                <w:lang w:eastAsia="ko-KR"/>
              </w:rPr>
              <w:t>emia</w:t>
            </w:r>
            <w:proofErr w:type="spellEnd"/>
          </w:p>
        </w:tc>
        <w:tc>
          <w:tcPr>
            <w:tcW w:w="1080" w:type="dxa"/>
            <w:tcBorders>
              <w:top w:val="nil"/>
              <w:left w:val="single" w:sz="4" w:space="0" w:color="000000"/>
              <w:bottom w:val="nil"/>
              <w:right w:val="single" w:sz="4" w:space="0" w:color="000000"/>
            </w:tcBorders>
          </w:tcPr>
          <w:p w14:paraId="712C2B37"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33</w:t>
            </w:r>
          </w:p>
        </w:tc>
        <w:tc>
          <w:tcPr>
            <w:tcW w:w="1080" w:type="dxa"/>
            <w:tcBorders>
              <w:top w:val="nil"/>
              <w:left w:val="single" w:sz="4" w:space="0" w:color="000000"/>
              <w:bottom w:val="nil"/>
              <w:right w:val="single" w:sz="4" w:space="0" w:color="000000"/>
            </w:tcBorders>
          </w:tcPr>
          <w:p w14:paraId="712C2B38"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74" w:type="dxa"/>
            <w:tcBorders>
              <w:top w:val="nil"/>
              <w:left w:val="single" w:sz="4" w:space="0" w:color="000000"/>
              <w:bottom w:val="nil"/>
              <w:right w:val="single" w:sz="4" w:space="0" w:color="000000"/>
            </w:tcBorders>
          </w:tcPr>
          <w:p w14:paraId="712C2B39"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w:t>
            </w:r>
          </w:p>
        </w:tc>
        <w:tc>
          <w:tcPr>
            <w:tcW w:w="1064" w:type="dxa"/>
            <w:gridSpan w:val="2"/>
            <w:tcBorders>
              <w:top w:val="nil"/>
              <w:left w:val="single" w:sz="4" w:space="0" w:color="000000"/>
              <w:bottom w:val="nil"/>
              <w:right w:val="single" w:sz="4" w:space="0" w:color="000000"/>
            </w:tcBorders>
          </w:tcPr>
          <w:p w14:paraId="712C2B3A"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12</w:t>
            </w:r>
          </w:p>
        </w:tc>
        <w:tc>
          <w:tcPr>
            <w:tcW w:w="1134" w:type="dxa"/>
            <w:tcBorders>
              <w:top w:val="nil"/>
              <w:left w:val="single" w:sz="4" w:space="0" w:color="000000"/>
              <w:bottom w:val="nil"/>
              <w:right w:val="single" w:sz="4" w:space="0" w:color="000000"/>
            </w:tcBorders>
          </w:tcPr>
          <w:p w14:paraId="712C2B3B"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48" w:type="dxa"/>
            <w:tcBorders>
              <w:top w:val="nil"/>
              <w:left w:val="single" w:sz="4" w:space="0" w:color="000000"/>
              <w:bottom w:val="nil"/>
              <w:right w:val="single" w:sz="4" w:space="0" w:color="000000"/>
            </w:tcBorders>
          </w:tcPr>
          <w:p w14:paraId="712C2B3C"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4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nil"/>
              <w:right w:val="single" w:sz="4" w:space="0" w:color="000000"/>
            </w:tcBorders>
          </w:tcPr>
          <w:p w14:paraId="712C2B3E" w14:textId="77777777" w:rsidR="001E2D60" w:rsidRPr="00CF5E09" w:rsidRDefault="001E2D60" w:rsidP="00C07898">
            <w:pPr>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color w:val="000000"/>
                <w:sz w:val="22"/>
                <w:szCs w:val="22"/>
                <w:lang w:eastAsia="ko-KR"/>
              </w:rPr>
              <w:t xml:space="preserve">Increased AST </w:t>
            </w:r>
          </w:p>
        </w:tc>
        <w:tc>
          <w:tcPr>
            <w:tcW w:w="1080" w:type="dxa"/>
            <w:tcBorders>
              <w:top w:val="nil"/>
              <w:left w:val="single" w:sz="4" w:space="0" w:color="000000"/>
              <w:bottom w:val="nil"/>
              <w:right w:val="single" w:sz="4" w:space="0" w:color="000000"/>
            </w:tcBorders>
          </w:tcPr>
          <w:p w14:paraId="712C2B3F"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58</w:t>
            </w:r>
          </w:p>
        </w:tc>
        <w:tc>
          <w:tcPr>
            <w:tcW w:w="1080" w:type="dxa"/>
            <w:tcBorders>
              <w:top w:val="nil"/>
              <w:left w:val="single" w:sz="4" w:space="0" w:color="000000"/>
              <w:bottom w:val="nil"/>
              <w:right w:val="single" w:sz="4" w:space="0" w:color="000000"/>
            </w:tcBorders>
          </w:tcPr>
          <w:p w14:paraId="712C2B40"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74" w:type="dxa"/>
            <w:tcBorders>
              <w:top w:val="nil"/>
              <w:left w:val="single" w:sz="4" w:space="0" w:color="000000"/>
              <w:bottom w:val="nil"/>
              <w:right w:val="single" w:sz="4" w:space="0" w:color="000000"/>
            </w:tcBorders>
          </w:tcPr>
          <w:p w14:paraId="712C2B41"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w:t>
            </w:r>
          </w:p>
        </w:tc>
        <w:tc>
          <w:tcPr>
            <w:tcW w:w="1064" w:type="dxa"/>
            <w:gridSpan w:val="2"/>
            <w:tcBorders>
              <w:top w:val="nil"/>
              <w:left w:val="single" w:sz="4" w:space="0" w:color="000000"/>
              <w:bottom w:val="nil"/>
              <w:right w:val="single" w:sz="4" w:space="0" w:color="000000"/>
            </w:tcBorders>
          </w:tcPr>
          <w:p w14:paraId="712C2B42"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47</w:t>
            </w:r>
          </w:p>
        </w:tc>
        <w:tc>
          <w:tcPr>
            <w:tcW w:w="1134" w:type="dxa"/>
            <w:tcBorders>
              <w:top w:val="nil"/>
              <w:left w:val="single" w:sz="4" w:space="0" w:color="000000"/>
              <w:bottom w:val="nil"/>
              <w:right w:val="single" w:sz="4" w:space="0" w:color="000000"/>
            </w:tcBorders>
          </w:tcPr>
          <w:p w14:paraId="712C2B43"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w:t>
            </w:r>
          </w:p>
        </w:tc>
        <w:tc>
          <w:tcPr>
            <w:tcW w:w="1048" w:type="dxa"/>
            <w:tcBorders>
              <w:top w:val="nil"/>
              <w:left w:val="single" w:sz="4" w:space="0" w:color="000000"/>
              <w:bottom w:val="nil"/>
              <w:right w:val="single" w:sz="4" w:space="0" w:color="000000"/>
            </w:tcBorders>
          </w:tcPr>
          <w:p w14:paraId="712C2B44"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4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single" w:sz="4" w:space="0" w:color="000000"/>
              <w:right w:val="single" w:sz="4" w:space="0" w:color="000000"/>
            </w:tcBorders>
          </w:tcPr>
          <w:p w14:paraId="712C2B46" w14:textId="77777777" w:rsidR="001E2D60" w:rsidRPr="00CF5E09" w:rsidRDefault="001E2D60" w:rsidP="00C07898">
            <w:pPr>
              <w:widowControl w:val="0"/>
              <w:autoSpaceDE w:val="0"/>
              <w:autoSpaceDN w:val="0"/>
              <w:adjustRightInd w:val="0"/>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 xml:space="preserve">Increased ALT </w:t>
            </w:r>
          </w:p>
        </w:tc>
        <w:tc>
          <w:tcPr>
            <w:tcW w:w="1080" w:type="dxa"/>
            <w:tcBorders>
              <w:top w:val="nil"/>
              <w:left w:val="single" w:sz="4" w:space="0" w:color="000000"/>
              <w:bottom w:val="single" w:sz="4" w:space="0" w:color="000000"/>
              <w:right w:val="single" w:sz="4" w:space="0" w:color="000000"/>
            </w:tcBorders>
          </w:tcPr>
          <w:p w14:paraId="712C2B47"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39</w:t>
            </w:r>
          </w:p>
        </w:tc>
        <w:tc>
          <w:tcPr>
            <w:tcW w:w="1080" w:type="dxa"/>
            <w:tcBorders>
              <w:top w:val="nil"/>
              <w:left w:val="single" w:sz="4" w:space="0" w:color="000000"/>
              <w:bottom w:val="single" w:sz="4" w:space="0" w:color="000000"/>
              <w:right w:val="single" w:sz="4" w:space="0" w:color="000000"/>
            </w:tcBorders>
          </w:tcPr>
          <w:p w14:paraId="712C2B48"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4</w:t>
            </w:r>
          </w:p>
        </w:tc>
        <w:tc>
          <w:tcPr>
            <w:tcW w:w="1074" w:type="dxa"/>
            <w:tcBorders>
              <w:top w:val="nil"/>
              <w:left w:val="single" w:sz="4" w:space="0" w:color="000000"/>
              <w:bottom w:val="single" w:sz="4" w:space="0" w:color="000000"/>
              <w:right w:val="single" w:sz="4" w:space="0" w:color="000000"/>
            </w:tcBorders>
          </w:tcPr>
          <w:p w14:paraId="712C2B49"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w:t>
            </w:r>
          </w:p>
        </w:tc>
        <w:tc>
          <w:tcPr>
            <w:tcW w:w="1064" w:type="dxa"/>
            <w:gridSpan w:val="2"/>
            <w:tcBorders>
              <w:top w:val="nil"/>
              <w:left w:val="single" w:sz="4" w:space="0" w:color="000000"/>
              <w:bottom w:val="single" w:sz="4" w:space="0" w:color="000000"/>
              <w:right w:val="single" w:sz="4" w:space="0" w:color="000000"/>
            </w:tcBorders>
          </w:tcPr>
          <w:p w14:paraId="712C2B4A"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39</w:t>
            </w:r>
          </w:p>
        </w:tc>
        <w:tc>
          <w:tcPr>
            <w:tcW w:w="1134" w:type="dxa"/>
            <w:tcBorders>
              <w:top w:val="nil"/>
              <w:left w:val="single" w:sz="4" w:space="0" w:color="000000"/>
              <w:bottom w:val="single" w:sz="4" w:space="0" w:color="000000"/>
              <w:right w:val="single" w:sz="4" w:space="0" w:color="000000"/>
            </w:tcBorders>
          </w:tcPr>
          <w:p w14:paraId="712C2B4B"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48" w:type="dxa"/>
            <w:tcBorders>
              <w:top w:val="nil"/>
              <w:left w:val="single" w:sz="4" w:space="0" w:color="000000"/>
              <w:bottom w:val="single" w:sz="4" w:space="0" w:color="000000"/>
              <w:right w:val="single" w:sz="4" w:space="0" w:color="000000"/>
            </w:tcBorders>
          </w:tcPr>
          <w:p w14:paraId="712C2B4C"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r w:rsidR="001E2D60" w:rsidRPr="00386290" w14:paraId="712C2B5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18"/>
        </w:trPr>
        <w:tc>
          <w:tcPr>
            <w:tcW w:w="2898" w:type="dxa"/>
            <w:tcBorders>
              <w:top w:val="single" w:sz="4" w:space="0" w:color="000000"/>
              <w:left w:val="single" w:sz="6" w:space="0" w:color="000000"/>
              <w:bottom w:val="nil"/>
              <w:right w:val="single" w:sz="4" w:space="0" w:color="000000"/>
            </w:tcBorders>
          </w:tcPr>
          <w:p w14:paraId="712C2B4E" w14:textId="77777777" w:rsidR="001E2D60" w:rsidRPr="00CF5E09" w:rsidRDefault="001E2D60" w:rsidP="00C07898">
            <w:pPr>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b/>
                <w:bCs/>
                <w:color w:val="000000"/>
                <w:sz w:val="22"/>
                <w:szCs w:val="22"/>
                <w:lang w:eastAsia="ko-KR"/>
              </w:rPr>
              <w:t xml:space="preserve">Renal and urinary disorders </w:t>
            </w:r>
          </w:p>
        </w:tc>
        <w:tc>
          <w:tcPr>
            <w:tcW w:w="1080" w:type="dxa"/>
            <w:tcBorders>
              <w:top w:val="single" w:sz="4" w:space="0" w:color="000000"/>
              <w:left w:val="single" w:sz="4" w:space="0" w:color="000000"/>
              <w:bottom w:val="nil"/>
              <w:right w:val="single" w:sz="4" w:space="0" w:color="000000"/>
            </w:tcBorders>
          </w:tcPr>
          <w:p w14:paraId="712C2B4F"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80" w:type="dxa"/>
            <w:tcBorders>
              <w:top w:val="single" w:sz="4" w:space="0" w:color="000000"/>
              <w:left w:val="single" w:sz="4" w:space="0" w:color="000000"/>
              <w:bottom w:val="nil"/>
              <w:right w:val="single" w:sz="4" w:space="0" w:color="000000"/>
            </w:tcBorders>
          </w:tcPr>
          <w:p w14:paraId="712C2B50"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74" w:type="dxa"/>
            <w:tcBorders>
              <w:top w:val="single" w:sz="4" w:space="0" w:color="000000"/>
              <w:left w:val="single" w:sz="4" w:space="0" w:color="000000"/>
              <w:bottom w:val="nil"/>
              <w:right w:val="single" w:sz="4" w:space="0" w:color="000000"/>
            </w:tcBorders>
          </w:tcPr>
          <w:p w14:paraId="712C2B51"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64" w:type="dxa"/>
            <w:gridSpan w:val="2"/>
            <w:tcBorders>
              <w:top w:val="single" w:sz="4" w:space="0" w:color="000000"/>
              <w:left w:val="single" w:sz="4" w:space="0" w:color="000000"/>
              <w:bottom w:val="nil"/>
              <w:right w:val="single" w:sz="4" w:space="0" w:color="000000"/>
            </w:tcBorders>
          </w:tcPr>
          <w:p w14:paraId="712C2B52"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134" w:type="dxa"/>
            <w:tcBorders>
              <w:top w:val="single" w:sz="4" w:space="0" w:color="000000"/>
              <w:left w:val="single" w:sz="4" w:space="0" w:color="000000"/>
              <w:bottom w:val="nil"/>
              <w:right w:val="single" w:sz="4" w:space="0" w:color="000000"/>
            </w:tcBorders>
          </w:tcPr>
          <w:p w14:paraId="712C2B53"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48" w:type="dxa"/>
            <w:tcBorders>
              <w:top w:val="single" w:sz="4" w:space="0" w:color="000000"/>
              <w:left w:val="single" w:sz="4" w:space="0" w:color="000000"/>
              <w:bottom w:val="nil"/>
              <w:right w:val="single" w:sz="4" w:space="0" w:color="000000"/>
            </w:tcBorders>
          </w:tcPr>
          <w:p w14:paraId="712C2B54"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r>
      <w:tr w:rsidR="001E2D60" w:rsidRPr="00386290" w14:paraId="712C2B5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15"/>
        </w:trPr>
        <w:tc>
          <w:tcPr>
            <w:tcW w:w="2898" w:type="dxa"/>
            <w:tcBorders>
              <w:top w:val="nil"/>
              <w:left w:val="single" w:sz="6" w:space="0" w:color="000000"/>
              <w:bottom w:val="single" w:sz="4" w:space="0" w:color="000000"/>
              <w:right w:val="single" w:sz="4" w:space="0" w:color="000000"/>
            </w:tcBorders>
          </w:tcPr>
          <w:p w14:paraId="712C2B56" w14:textId="77777777" w:rsidR="001E2D60" w:rsidRPr="00CF5E09" w:rsidRDefault="001E2D60" w:rsidP="00C07898">
            <w:pPr>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color w:val="000000"/>
                <w:sz w:val="22"/>
                <w:szCs w:val="22"/>
                <w:lang w:eastAsia="ko-KR"/>
              </w:rPr>
              <w:t>Proteinuria</w:t>
            </w:r>
          </w:p>
        </w:tc>
        <w:tc>
          <w:tcPr>
            <w:tcW w:w="1080" w:type="dxa"/>
            <w:tcBorders>
              <w:top w:val="nil"/>
              <w:left w:val="single" w:sz="4" w:space="0" w:color="000000"/>
              <w:bottom w:val="single" w:sz="4" w:space="0" w:color="000000"/>
              <w:right w:val="single" w:sz="4" w:space="0" w:color="000000"/>
            </w:tcBorders>
          </w:tcPr>
          <w:p w14:paraId="712C2B57"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39</w:t>
            </w:r>
          </w:p>
        </w:tc>
        <w:tc>
          <w:tcPr>
            <w:tcW w:w="1080" w:type="dxa"/>
            <w:tcBorders>
              <w:top w:val="nil"/>
              <w:left w:val="single" w:sz="4" w:space="0" w:color="000000"/>
              <w:bottom w:val="single" w:sz="4" w:space="0" w:color="000000"/>
              <w:right w:val="single" w:sz="4" w:space="0" w:color="000000"/>
            </w:tcBorders>
          </w:tcPr>
          <w:p w14:paraId="712C2B58"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74" w:type="dxa"/>
            <w:tcBorders>
              <w:top w:val="nil"/>
              <w:left w:val="single" w:sz="4" w:space="0" w:color="000000"/>
              <w:bottom w:val="single" w:sz="4" w:space="0" w:color="000000"/>
              <w:right w:val="single" w:sz="4" w:space="0" w:color="000000"/>
            </w:tcBorders>
          </w:tcPr>
          <w:p w14:paraId="712C2B59"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w:t>
            </w:r>
          </w:p>
        </w:tc>
        <w:tc>
          <w:tcPr>
            <w:tcW w:w="1064" w:type="dxa"/>
            <w:gridSpan w:val="2"/>
            <w:tcBorders>
              <w:top w:val="nil"/>
              <w:left w:val="single" w:sz="4" w:space="0" w:color="000000"/>
              <w:bottom w:val="single" w:sz="4" w:space="0" w:color="000000"/>
              <w:right w:val="single" w:sz="4" w:space="0" w:color="000000"/>
            </w:tcBorders>
          </w:tcPr>
          <w:p w14:paraId="712C2B5A"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39</w:t>
            </w:r>
          </w:p>
        </w:tc>
        <w:tc>
          <w:tcPr>
            <w:tcW w:w="1134" w:type="dxa"/>
            <w:tcBorders>
              <w:top w:val="nil"/>
              <w:left w:val="single" w:sz="4" w:space="0" w:color="000000"/>
              <w:bottom w:val="single" w:sz="4" w:space="0" w:color="000000"/>
              <w:right w:val="single" w:sz="4" w:space="0" w:color="000000"/>
            </w:tcBorders>
          </w:tcPr>
          <w:p w14:paraId="712C2B5B"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48" w:type="dxa"/>
            <w:tcBorders>
              <w:top w:val="nil"/>
              <w:left w:val="single" w:sz="4" w:space="0" w:color="000000"/>
              <w:bottom w:val="single" w:sz="4" w:space="0" w:color="000000"/>
              <w:right w:val="single" w:sz="4" w:space="0" w:color="000000"/>
            </w:tcBorders>
          </w:tcPr>
          <w:p w14:paraId="712C2B5C"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w:t>
            </w:r>
          </w:p>
        </w:tc>
      </w:tr>
      <w:tr w:rsidR="001E2D60" w:rsidRPr="00386290" w14:paraId="712C2B6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09"/>
        </w:trPr>
        <w:tc>
          <w:tcPr>
            <w:tcW w:w="2898" w:type="dxa"/>
            <w:tcBorders>
              <w:top w:val="single" w:sz="4" w:space="0" w:color="000000"/>
              <w:left w:val="single" w:sz="6" w:space="0" w:color="000000"/>
              <w:bottom w:val="nil"/>
              <w:right w:val="single" w:sz="4" w:space="0" w:color="000000"/>
            </w:tcBorders>
          </w:tcPr>
          <w:p w14:paraId="712C2B5E" w14:textId="77777777" w:rsidR="001E2D60" w:rsidRPr="00CF5E09" w:rsidRDefault="001E2D60" w:rsidP="00C07898">
            <w:pPr>
              <w:widowControl w:val="0"/>
              <w:autoSpaceDE w:val="0"/>
              <w:autoSpaceDN w:val="0"/>
              <w:adjustRightInd w:val="0"/>
              <w:rPr>
                <w:rFonts w:ascii="Arial" w:eastAsia="Batang" w:hAnsi="Arial" w:cs="Arial"/>
                <w:color w:val="000000"/>
                <w:sz w:val="22"/>
                <w:szCs w:val="22"/>
                <w:lang w:eastAsia="ko-KR"/>
              </w:rPr>
            </w:pPr>
            <w:r w:rsidRPr="00CF5E09">
              <w:rPr>
                <w:rFonts w:ascii="Arial" w:eastAsia="Batang" w:hAnsi="Arial" w:cs="Arial"/>
                <w:b/>
                <w:bCs/>
                <w:color w:val="000000"/>
                <w:sz w:val="22"/>
                <w:szCs w:val="22"/>
                <w:lang w:eastAsia="ko-KR"/>
              </w:rPr>
              <w:t xml:space="preserve">Investigations </w:t>
            </w:r>
          </w:p>
        </w:tc>
        <w:tc>
          <w:tcPr>
            <w:tcW w:w="1080" w:type="dxa"/>
            <w:tcBorders>
              <w:top w:val="single" w:sz="4" w:space="0" w:color="000000"/>
              <w:left w:val="single" w:sz="4" w:space="0" w:color="000000"/>
              <w:bottom w:val="nil"/>
              <w:right w:val="single" w:sz="4" w:space="0" w:color="000000"/>
            </w:tcBorders>
          </w:tcPr>
          <w:p w14:paraId="712C2B5F"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80" w:type="dxa"/>
            <w:tcBorders>
              <w:top w:val="single" w:sz="4" w:space="0" w:color="000000"/>
              <w:left w:val="single" w:sz="4" w:space="0" w:color="000000"/>
              <w:bottom w:val="nil"/>
              <w:right w:val="single" w:sz="4" w:space="0" w:color="000000"/>
            </w:tcBorders>
          </w:tcPr>
          <w:p w14:paraId="712C2B60"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74" w:type="dxa"/>
            <w:tcBorders>
              <w:top w:val="single" w:sz="4" w:space="0" w:color="000000"/>
              <w:left w:val="single" w:sz="4" w:space="0" w:color="000000"/>
              <w:bottom w:val="nil"/>
              <w:right w:val="single" w:sz="4" w:space="0" w:color="000000"/>
            </w:tcBorders>
          </w:tcPr>
          <w:p w14:paraId="712C2B61"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64" w:type="dxa"/>
            <w:gridSpan w:val="2"/>
            <w:tcBorders>
              <w:top w:val="single" w:sz="4" w:space="0" w:color="000000"/>
              <w:left w:val="single" w:sz="4" w:space="0" w:color="000000"/>
              <w:bottom w:val="nil"/>
              <w:right w:val="single" w:sz="4" w:space="0" w:color="000000"/>
            </w:tcBorders>
          </w:tcPr>
          <w:p w14:paraId="712C2B62"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134" w:type="dxa"/>
            <w:tcBorders>
              <w:top w:val="single" w:sz="4" w:space="0" w:color="000000"/>
              <w:left w:val="single" w:sz="4" w:space="0" w:color="000000"/>
              <w:bottom w:val="nil"/>
              <w:right w:val="single" w:sz="4" w:space="0" w:color="000000"/>
            </w:tcBorders>
          </w:tcPr>
          <w:p w14:paraId="712C2B63"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c>
          <w:tcPr>
            <w:tcW w:w="1048" w:type="dxa"/>
            <w:tcBorders>
              <w:top w:val="single" w:sz="4" w:space="0" w:color="000000"/>
              <w:left w:val="single" w:sz="4" w:space="0" w:color="000000"/>
              <w:bottom w:val="nil"/>
              <w:right w:val="single" w:sz="4" w:space="0" w:color="000000"/>
            </w:tcBorders>
          </w:tcPr>
          <w:p w14:paraId="712C2B64"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p>
        </w:tc>
      </w:tr>
      <w:tr w:rsidR="001E2D60" w:rsidRPr="00386290" w14:paraId="712C2B6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nil"/>
              <w:right w:val="single" w:sz="4" w:space="0" w:color="000000"/>
            </w:tcBorders>
          </w:tcPr>
          <w:p w14:paraId="712C2B66" w14:textId="77777777" w:rsidR="001E2D60" w:rsidRPr="00CF5E09" w:rsidRDefault="001E2D60" w:rsidP="00C07898">
            <w:pPr>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color w:val="000000"/>
                <w:sz w:val="22"/>
                <w:szCs w:val="22"/>
                <w:lang w:eastAsia="ko-KR"/>
              </w:rPr>
              <w:t xml:space="preserve">Increased INR** </w:t>
            </w:r>
          </w:p>
        </w:tc>
        <w:tc>
          <w:tcPr>
            <w:tcW w:w="1080" w:type="dxa"/>
            <w:tcBorders>
              <w:top w:val="nil"/>
              <w:left w:val="single" w:sz="4" w:space="0" w:color="000000"/>
              <w:bottom w:val="nil"/>
              <w:right w:val="single" w:sz="4" w:space="0" w:color="000000"/>
            </w:tcBorders>
          </w:tcPr>
          <w:p w14:paraId="712C2B67"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9</w:t>
            </w:r>
          </w:p>
        </w:tc>
        <w:tc>
          <w:tcPr>
            <w:tcW w:w="1080" w:type="dxa"/>
            <w:tcBorders>
              <w:top w:val="nil"/>
              <w:left w:val="single" w:sz="4" w:space="0" w:color="000000"/>
              <w:bottom w:val="nil"/>
              <w:right w:val="single" w:sz="4" w:space="0" w:color="000000"/>
            </w:tcBorders>
          </w:tcPr>
          <w:p w14:paraId="712C2B68"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2</w:t>
            </w:r>
          </w:p>
        </w:tc>
        <w:tc>
          <w:tcPr>
            <w:tcW w:w="1074" w:type="dxa"/>
            <w:tcBorders>
              <w:top w:val="nil"/>
              <w:left w:val="single" w:sz="4" w:space="0" w:color="000000"/>
              <w:bottom w:val="nil"/>
              <w:right w:val="single" w:sz="4" w:space="0" w:color="000000"/>
            </w:tcBorders>
          </w:tcPr>
          <w:p w14:paraId="712C2B69"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N/A</w:t>
            </w:r>
          </w:p>
        </w:tc>
        <w:tc>
          <w:tcPr>
            <w:tcW w:w="1064" w:type="dxa"/>
            <w:gridSpan w:val="2"/>
            <w:tcBorders>
              <w:top w:val="nil"/>
              <w:left w:val="single" w:sz="4" w:space="0" w:color="000000"/>
              <w:bottom w:val="nil"/>
              <w:right w:val="single" w:sz="4" w:space="0" w:color="000000"/>
            </w:tcBorders>
          </w:tcPr>
          <w:p w14:paraId="712C2B6A"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13</w:t>
            </w:r>
          </w:p>
        </w:tc>
        <w:tc>
          <w:tcPr>
            <w:tcW w:w="1134" w:type="dxa"/>
            <w:tcBorders>
              <w:top w:val="nil"/>
              <w:left w:val="single" w:sz="4" w:space="0" w:color="000000"/>
              <w:bottom w:val="nil"/>
              <w:right w:val="single" w:sz="4" w:space="0" w:color="000000"/>
            </w:tcBorders>
          </w:tcPr>
          <w:p w14:paraId="712C2B6B"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w:t>
            </w:r>
          </w:p>
        </w:tc>
        <w:tc>
          <w:tcPr>
            <w:tcW w:w="1048" w:type="dxa"/>
            <w:tcBorders>
              <w:top w:val="nil"/>
              <w:left w:val="single" w:sz="4" w:space="0" w:color="000000"/>
              <w:bottom w:val="nil"/>
              <w:right w:val="single" w:sz="4" w:space="0" w:color="000000"/>
            </w:tcBorders>
          </w:tcPr>
          <w:p w14:paraId="712C2B6C"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N/A</w:t>
            </w:r>
          </w:p>
        </w:tc>
      </w:tr>
      <w:tr w:rsidR="001E2D60" w:rsidRPr="00386290" w14:paraId="712C2B7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single" w:sz="4" w:space="0" w:color="auto"/>
              <w:right w:val="single" w:sz="4" w:space="0" w:color="000000"/>
            </w:tcBorders>
          </w:tcPr>
          <w:p w14:paraId="712C2B6E" w14:textId="77777777" w:rsidR="001E2D60" w:rsidRPr="00CF5E09" w:rsidRDefault="001E2D60" w:rsidP="00C07898">
            <w:pPr>
              <w:widowControl w:val="0"/>
              <w:autoSpaceDE w:val="0"/>
              <w:autoSpaceDN w:val="0"/>
              <w:adjustRightInd w:val="0"/>
              <w:rPr>
                <w:rFonts w:ascii="Arial" w:eastAsia="Batang" w:hAnsi="Arial" w:cs="Arial"/>
                <w:b/>
                <w:bCs/>
                <w:color w:val="000000"/>
                <w:sz w:val="22"/>
                <w:szCs w:val="22"/>
                <w:lang w:eastAsia="ko-KR"/>
              </w:rPr>
            </w:pPr>
            <w:r w:rsidRPr="00CF5E09">
              <w:rPr>
                <w:rFonts w:ascii="Arial" w:eastAsia="Batang" w:hAnsi="Arial" w:cs="Arial"/>
                <w:color w:val="000000"/>
                <w:sz w:val="22"/>
                <w:szCs w:val="22"/>
                <w:lang w:eastAsia="ko-KR"/>
              </w:rPr>
              <w:t xml:space="preserve">Increased Lipase </w:t>
            </w:r>
          </w:p>
        </w:tc>
        <w:tc>
          <w:tcPr>
            <w:tcW w:w="1080" w:type="dxa"/>
            <w:tcBorders>
              <w:top w:val="nil"/>
              <w:left w:val="single" w:sz="4" w:space="0" w:color="000000"/>
              <w:bottom w:val="single" w:sz="4" w:space="0" w:color="auto"/>
              <w:right w:val="single" w:sz="4" w:space="0" w:color="000000"/>
            </w:tcBorders>
          </w:tcPr>
          <w:p w14:paraId="712C2B6F"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14</w:t>
            </w:r>
          </w:p>
        </w:tc>
        <w:tc>
          <w:tcPr>
            <w:tcW w:w="1080" w:type="dxa"/>
            <w:tcBorders>
              <w:top w:val="nil"/>
              <w:left w:val="single" w:sz="4" w:space="0" w:color="000000"/>
              <w:bottom w:val="single" w:sz="4" w:space="0" w:color="auto"/>
              <w:right w:val="single" w:sz="4" w:space="0" w:color="000000"/>
            </w:tcBorders>
          </w:tcPr>
          <w:p w14:paraId="712C2B70"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74" w:type="dxa"/>
            <w:tcBorders>
              <w:top w:val="nil"/>
              <w:left w:val="single" w:sz="4" w:space="0" w:color="000000"/>
              <w:bottom w:val="single" w:sz="4" w:space="0" w:color="auto"/>
              <w:right w:val="single" w:sz="4" w:space="0" w:color="000000"/>
            </w:tcBorders>
          </w:tcPr>
          <w:p w14:paraId="712C2B71"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1</w:t>
            </w:r>
          </w:p>
        </w:tc>
        <w:tc>
          <w:tcPr>
            <w:tcW w:w="1064" w:type="dxa"/>
            <w:gridSpan w:val="2"/>
            <w:tcBorders>
              <w:top w:val="nil"/>
              <w:left w:val="single" w:sz="4" w:space="0" w:color="000000"/>
              <w:bottom w:val="single" w:sz="4" w:space="0" w:color="auto"/>
              <w:right w:val="single" w:sz="4" w:space="0" w:color="000000"/>
            </w:tcBorders>
          </w:tcPr>
          <w:p w14:paraId="712C2B72"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5</w:t>
            </w:r>
          </w:p>
        </w:tc>
        <w:tc>
          <w:tcPr>
            <w:tcW w:w="1134" w:type="dxa"/>
            <w:tcBorders>
              <w:top w:val="nil"/>
              <w:left w:val="single" w:sz="4" w:space="0" w:color="000000"/>
              <w:bottom w:val="single" w:sz="4" w:space="0" w:color="auto"/>
              <w:right w:val="single" w:sz="4" w:space="0" w:color="000000"/>
            </w:tcBorders>
          </w:tcPr>
          <w:p w14:paraId="712C2B73"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c>
          <w:tcPr>
            <w:tcW w:w="1048" w:type="dxa"/>
            <w:tcBorders>
              <w:top w:val="nil"/>
              <w:left w:val="single" w:sz="4" w:space="0" w:color="000000"/>
              <w:bottom w:val="single" w:sz="4" w:space="0" w:color="auto"/>
              <w:right w:val="single" w:sz="4" w:space="0" w:color="000000"/>
            </w:tcBorders>
          </w:tcPr>
          <w:p w14:paraId="712C2B74" w14:textId="77777777" w:rsidR="001E2D60" w:rsidRPr="00CF5E09" w:rsidRDefault="001E2D60" w:rsidP="00C07898">
            <w:pPr>
              <w:widowControl w:val="0"/>
              <w:autoSpaceDE w:val="0"/>
              <w:autoSpaceDN w:val="0"/>
              <w:adjustRightInd w:val="0"/>
              <w:jc w:val="center"/>
              <w:rPr>
                <w:rFonts w:ascii="Arial" w:eastAsia="Batang" w:hAnsi="Arial" w:cs="Arial"/>
                <w:color w:val="000000"/>
                <w:sz w:val="22"/>
                <w:szCs w:val="22"/>
                <w:lang w:eastAsia="ko-KR"/>
              </w:rPr>
            </w:pPr>
            <w:r w:rsidRPr="00CF5E09">
              <w:rPr>
                <w:rFonts w:ascii="Arial" w:eastAsia="Batang" w:hAnsi="Arial" w:cs="Arial"/>
                <w:color w:val="000000"/>
                <w:sz w:val="22"/>
                <w:szCs w:val="22"/>
                <w:lang w:eastAsia="ko-KR"/>
              </w:rPr>
              <w:t>0</w:t>
            </w:r>
          </w:p>
        </w:tc>
      </w:tr>
    </w:tbl>
    <w:p w14:paraId="712C2B76" w14:textId="77777777" w:rsidR="00594470" w:rsidRPr="005F3D99" w:rsidRDefault="005F3D99" w:rsidP="002239D7">
      <w:pPr>
        <w:tabs>
          <w:tab w:val="left" w:pos="540"/>
        </w:tabs>
        <w:autoSpaceDE w:val="0"/>
        <w:autoSpaceDN w:val="0"/>
        <w:adjustRightInd w:val="0"/>
        <w:rPr>
          <w:rFonts w:ascii="Arial" w:hAnsi="Arial" w:cs="Arial"/>
          <w:color w:val="000000"/>
          <w:sz w:val="20"/>
          <w:szCs w:val="20"/>
        </w:rPr>
      </w:pPr>
      <w:r>
        <w:rPr>
          <w:rFonts w:ascii="Arial" w:hAnsi="Arial" w:cs="Arial"/>
          <w:color w:val="000000"/>
          <w:sz w:val="20"/>
          <w:szCs w:val="20"/>
          <w:vertAlign w:val="superscript"/>
        </w:rPr>
        <w:t>§</w:t>
      </w:r>
      <w:r w:rsidR="00594470">
        <w:rPr>
          <w:rFonts w:ascii="Arial" w:hAnsi="Arial" w:cs="Arial"/>
          <w:color w:val="000000"/>
          <w:sz w:val="20"/>
          <w:szCs w:val="20"/>
        </w:rPr>
        <w:t>Best supportive care</w:t>
      </w:r>
    </w:p>
    <w:p w14:paraId="712C2B77" w14:textId="77777777" w:rsidR="001E2D60" w:rsidRPr="00CF5E09" w:rsidRDefault="001E2D60" w:rsidP="002239D7">
      <w:pPr>
        <w:tabs>
          <w:tab w:val="left" w:pos="540"/>
        </w:tabs>
        <w:autoSpaceDE w:val="0"/>
        <w:autoSpaceDN w:val="0"/>
        <w:adjustRightInd w:val="0"/>
        <w:rPr>
          <w:rFonts w:ascii="Arial" w:hAnsi="Arial" w:cs="Arial"/>
          <w:color w:val="000000"/>
          <w:sz w:val="20"/>
          <w:szCs w:val="20"/>
        </w:rPr>
      </w:pPr>
      <w:r w:rsidRPr="005F3D99">
        <w:rPr>
          <w:rFonts w:ascii="Arial" w:hAnsi="Arial" w:cs="Arial"/>
          <w:color w:val="000000"/>
          <w:sz w:val="20"/>
          <w:szCs w:val="20"/>
        </w:rPr>
        <w:t>*</w:t>
      </w:r>
      <w:r w:rsidR="00712C81" w:rsidRPr="008259D7">
        <w:rPr>
          <w:rFonts w:ascii="Arial" w:hAnsi="Arial" w:cs="Arial"/>
          <w:sz w:val="20"/>
          <w:szCs w:val="20"/>
        </w:rPr>
        <w:t xml:space="preserve">Common Terminology Criteria for Adverse Events (CTCAE), Version 4.0 </w:t>
      </w:r>
    </w:p>
    <w:p w14:paraId="712C2B78" w14:textId="77777777" w:rsidR="001E2D60" w:rsidRPr="00CF5E09" w:rsidRDefault="002239D7" w:rsidP="00CF5E09">
      <w:pPr>
        <w:tabs>
          <w:tab w:val="left" w:pos="540"/>
        </w:tabs>
        <w:autoSpaceDE w:val="0"/>
        <w:autoSpaceDN w:val="0"/>
        <w:adjustRightInd w:val="0"/>
        <w:rPr>
          <w:rFonts w:ascii="Arial" w:hAnsi="Arial" w:cs="Arial"/>
          <w:color w:val="000000"/>
          <w:sz w:val="20"/>
          <w:szCs w:val="20"/>
        </w:rPr>
      </w:pPr>
      <w:r>
        <w:rPr>
          <w:rFonts w:ascii="Arial" w:hAnsi="Arial" w:cs="Arial"/>
          <w:color w:val="000000"/>
          <w:sz w:val="20"/>
          <w:szCs w:val="20"/>
        </w:rPr>
        <w:t>**</w:t>
      </w:r>
      <w:r w:rsidR="001E2D60" w:rsidRPr="00CF5E09">
        <w:rPr>
          <w:rFonts w:ascii="Arial" w:hAnsi="Arial" w:cs="Arial"/>
          <w:color w:val="000000"/>
          <w:sz w:val="20"/>
          <w:szCs w:val="20"/>
        </w:rPr>
        <w:t>International normalised ratio</w:t>
      </w:r>
    </w:p>
    <w:p w14:paraId="712C2B79" w14:textId="77777777" w:rsidR="00FD48A1" w:rsidRPr="005F3D99" w:rsidRDefault="002239D7" w:rsidP="00CF5E09">
      <w:pPr>
        <w:tabs>
          <w:tab w:val="left" w:pos="540"/>
        </w:tabs>
        <w:autoSpaceDE w:val="0"/>
        <w:autoSpaceDN w:val="0"/>
        <w:adjustRightInd w:val="0"/>
        <w:rPr>
          <w:rFonts w:ascii="Arial" w:hAnsi="Arial" w:cs="Arial"/>
          <w:color w:val="000000"/>
          <w:sz w:val="20"/>
          <w:szCs w:val="20"/>
        </w:rPr>
      </w:pPr>
      <w:r>
        <w:rPr>
          <w:rFonts w:ascii="Arial" w:hAnsi="Arial" w:cs="Arial"/>
          <w:color w:val="000000"/>
          <w:sz w:val="20"/>
          <w:szCs w:val="20"/>
        </w:rPr>
        <w:t>-</w:t>
      </w:r>
      <w:r w:rsidR="001E2D60" w:rsidRPr="00CF5E09">
        <w:rPr>
          <w:rFonts w:ascii="Arial" w:hAnsi="Arial" w:cs="Arial"/>
          <w:color w:val="000000"/>
          <w:sz w:val="20"/>
          <w:szCs w:val="20"/>
        </w:rPr>
        <w:t>No Grade 4 denoted in CTCAE, v4.0</w:t>
      </w:r>
    </w:p>
    <w:p w14:paraId="712C2B7A" w14:textId="77777777" w:rsidR="00A83092" w:rsidRPr="005F3D99" w:rsidRDefault="00A83092" w:rsidP="00CF5E09">
      <w:pPr>
        <w:tabs>
          <w:tab w:val="left" w:pos="540"/>
        </w:tabs>
        <w:autoSpaceDE w:val="0"/>
        <w:autoSpaceDN w:val="0"/>
        <w:adjustRightInd w:val="0"/>
        <w:rPr>
          <w:rFonts w:ascii="Arial" w:hAnsi="Arial" w:cs="Arial"/>
          <w:color w:val="000000"/>
          <w:sz w:val="20"/>
          <w:szCs w:val="20"/>
        </w:rPr>
      </w:pPr>
    </w:p>
    <w:p w14:paraId="712C2B7B" w14:textId="77777777" w:rsidR="00A83092" w:rsidRPr="005B4EB5" w:rsidRDefault="00A83092" w:rsidP="005B4EB5">
      <w:pPr>
        <w:pStyle w:val="Heading3"/>
        <w:rPr>
          <w:rFonts w:ascii="Arial" w:hAnsi="Arial" w:cs="Arial"/>
          <w:i w:val="0"/>
          <w:sz w:val="22"/>
          <w:szCs w:val="22"/>
        </w:rPr>
      </w:pPr>
      <w:r w:rsidRPr="005B4EB5">
        <w:rPr>
          <w:rFonts w:ascii="Arial" w:hAnsi="Arial" w:cs="Arial"/>
          <w:i w:val="0"/>
          <w:sz w:val="22"/>
          <w:szCs w:val="22"/>
        </w:rPr>
        <w:t xml:space="preserve">Clinical Trials experience – Other </w:t>
      </w:r>
    </w:p>
    <w:p w14:paraId="712C2B7C" w14:textId="77777777" w:rsidR="00A83092" w:rsidRPr="003A5EE1" w:rsidRDefault="00A83092" w:rsidP="00A83092">
      <w:pPr>
        <w:pStyle w:val="BayerBodyTextFull"/>
        <w:spacing w:before="60" w:after="60"/>
        <w:rPr>
          <w:rFonts w:ascii="Arial" w:hAnsi="Arial" w:cs="Arial"/>
          <w:sz w:val="22"/>
          <w:szCs w:val="22"/>
        </w:rPr>
      </w:pPr>
      <w:r w:rsidRPr="003A5EE1">
        <w:rPr>
          <w:rFonts w:ascii="Arial" w:hAnsi="Arial" w:cs="Arial"/>
          <w:sz w:val="22"/>
          <w:szCs w:val="22"/>
        </w:rPr>
        <w:t xml:space="preserve">Other adverse reactions were observed in patients treated with </w:t>
      </w:r>
      <w:r w:rsidR="00601DFC">
        <w:rPr>
          <w:rFonts w:ascii="Arial" w:hAnsi="Arial" w:cs="Arial"/>
          <w:sz w:val="22"/>
          <w:szCs w:val="22"/>
        </w:rPr>
        <w:t>STIVARGA</w:t>
      </w:r>
      <w:r w:rsidR="005B16AA">
        <w:rPr>
          <w:rFonts w:ascii="Arial" w:hAnsi="Arial" w:cs="Arial"/>
          <w:sz w:val="22"/>
          <w:szCs w:val="22"/>
        </w:rPr>
        <w:t xml:space="preserve"> </w:t>
      </w:r>
      <w:r w:rsidRPr="003A5EE1">
        <w:rPr>
          <w:rFonts w:ascii="Arial" w:hAnsi="Arial" w:cs="Arial"/>
          <w:sz w:val="22"/>
          <w:szCs w:val="22"/>
        </w:rPr>
        <w:t>in open-label or placebo-controlled clinical trials</w:t>
      </w:r>
      <w:r>
        <w:rPr>
          <w:rFonts w:ascii="Arial" w:hAnsi="Arial" w:cs="Arial"/>
          <w:sz w:val="22"/>
          <w:szCs w:val="22"/>
        </w:rPr>
        <w:t>:</w:t>
      </w:r>
      <w:r w:rsidRPr="003A5EE1">
        <w:rPr>
          <w:rFonts w:ascii="Arial" w:hAnsi="Arial" w:cs="Arial"/>
          <w:sz w:val="22"/>
          <w:szCs w:val="22"/>
        </w:rPr>
        <w:t xml:space="preserve"> gastrointestinal perforation* (0.</w:t>
      </w:r>
      <w:r w:rsidR="00233D33">
        <w:rPr>
          <w:rFonts w:ascii="Arial" w:hAnsi="Arial" w:cs="Arial"/>
          <w:sz w:val="22"/>
          <w:szCs w:val="22"/>
        </w:rPr>
        <w:t>58</w:t>
      </w:r>
      <w:r w:rsidRPr="003A5EE1">
        <w:rPr>
          <w:rFonts w:ascii="Arial" w:hAnsi="Arial" w:cs="Arial"/>
          <w:sz w:val="22"/>
          <w:szCs w:val="22"/>
        </w:rPr>
        <w:t>%), severe liver injury</w:t>
      </w:r>
      <w:r w:rsidRPr="003A5EE1">
        <w:rPr>
          <w:rFonts w:ascii="Arial" w:hAnsi="Arial" w:cs="Arial"/>
          <w:sz w:val="22"/>
          <w:szCs w:val="22"/>
          <w:vertAlign w:val="superscript"/>
        </w:rPr>
        <w:t xml:space="preserve">*¥ </w:t>
      </w:r>
      <w:r w:rsidRPr="003A5EE1">
        <w:rPr>
          <w:rFonts w:ascii="Arial" w:hAnsi="Arial" w:cs="Arial"/>
          <w:sz w:val="22"/>
          <w:szCs w:val="22"/>
        </w:rPr>
        <w:t>(0.</w:t>
      </w:r>
      <w:r w:rsidR="00233D33">
        <w:rPr>
          <w:rFonts w:ascii="Arial" w:hAnsi="Arial" w:cs="Arial"/>
          <w:sz w:val="22"/>
          <w:szCs w:val="22"/>
        </w:rPr>
        <w:t>25</w:t>
      </w:r>
      <w:r w:rsidRPr="003A5EE1">
        <w:rPr>
          <w:rFonts w:ascii="Arial" w:hAnsi="Arial" w:cs="Arial"/>
          <w:sz w:val="22"/>
          <w:szCs w:val="22"/>
        </w:rPr>
        <w:t>%), hypertensive crisis (0.2</w:t>
      </w:r>
      <w:r w:rsidR="00233D33">
        <w:rPr>
          <w:rFonts w:ascii="Arial" w:hAnsi="Arial" w:cs="Arial"/>
          <w:sz w:val="22"/>
          <w:szCs w:val="22"/>
        </w:rPr>
        <w:t>5</w:t>
      </w:r>
      <w:r w:rsidRPr="003A5EE1">
        <w:rPr>
          <w:rFonts w:ascii="Arial" w:hAnsi="Arial" w:cs="Arial"/>
          <w:sz w:val="22"/>
          <w:szCs w:val="22"/>
        </w:rPr>
        <w:t xml:space="preserve">%), </w:t>
      </w:r>
      <w:r w:rsidR="00233D33">
        <w:rPr>
          <w:rFonts w:ascii="Arial" w:hAnsi="Arial" w:cs="Arial"/>
          <w:sz w:val="22"/>
          <w:szCs w:val="22"/>
        </w:rPr>
        <w:t xml:space="preserve">hypersensitivity reaction (0.14%), </w:t>
      </w:r>
      <w:r w:rsidRPr="003A5EE1">
        <w:rPr>
          <w:rFonts w:ascii="Arial" w:hAnsi="Arial" w:cs="Arial"/>
          <w:sz w:val="22"/>
          <w:szCs w:val="22"/>
        </w:rPr>
        <w:t xml:space="preserve">toxic epidermal </w:t>
      </w:r>
      <w:proofErr w:type="spellStart"/>
      <w:r w:rsidRPr="003A5EE1">
        <w:rPr>
          <w:rFonts w:ascii="Arial" w:hAnsi="Arial" w:cs="Arial"/>
          <w:sz w:val="22"/>
          <w:szCs w:val="22"/>
        </w:rPr>
        <w:t>necrolysis</w:t>
      </w:r>
      <w:proofErr w:type="spellEnd"/>
      <w:r w:rsidRPr="003A5EE1">
        <w:rPr>
          <w:rFonts w:ascii="Arial" w:hAnsi="Arial" w:cs="Arial"/>
          <w:sz w:val="22"/>
          <w:szCs w:val="22"/>
        </w:rPr>
        <w:t xml:space="preserve"> (TEN) (0.09%), reversible posterior leukoencephalopathy syndrome (RPLS) (0.08%), Stevens-Johnson syndrome (SJS) (0.05%) and </w:t>
      </w:r>
      <w:proofErr w:type="spellStart"/>
      <w:r w:rsidRPr="003A5EE1">
        <w:rPr>
          <w:rFonts w:ascii="Arial" w:hAnsi="Arial" w:cs="Arial"/>
          <w:sz w:val="22"/>
          <w:szCs w:val="22"/>
        </w:rPr>
        <w:t>keratoacanthoma</w:t>
      </w:r>
      <w:proofErr w:type="spellEnd"/>
      <w:r w:rsidRPr="003A5EE1">
        <w:rPr>
          <w:rFonts w:ascii="Arial" w:hAnsi="Arial" w:cs="Arial"/>
          <w:sz w:val="22"/>
          <w:szCs w:val="22"/>
        </w:rPr>
        <w:t>/squamous cell carcinoma of the skin (0.05%).</w:t>
      </w:r>
    </w:p>
    <w:p w14:paraId="712C2B7D" w14:textId="77777777" w:rsidR="00A83092" w:rsidRPr="00A83092" w:rsidRDefault="00A83092" w:rsidP="00A83092">
      <w:pPr>
        <w:pStyle w:val="BayerBodyTextFull"/>
        <w:spacing w:before="0" w:after="0"/>
        <w:rPr>
          <w:rFonts w:ascii="Arial" w:hAnsi="Arial" w:cs="Arial"/>
          <w:sz w:val="16"/>
          <w:szCs w:val="16"/>
        </w:rPr>
      </w:pPr>
      <w:r w:rsidRPr="00A83092">
        <w:rPr>
          <w:rFonts w:ascii="Arial" w:hAnsi="Arial" w:cs="Arial"/>
          <w:sz w:val="16"/>
          <w:szCs w:val="16"/>
        </w:rPr>
        <w:lastRenderedPageBreak/>
        <w:t xml:space="preserve">*fatal outcome has been observed </w:t>
      </w:r>
    </w:p>
    <w:p w14:paraId="712C2B7E" w14:textId="77777777" w:rsidR="00A83092" w:rsidRPr="00A83092" w:rsidRDefault="00A83092" w:rsidP="00A83092">
      <w:pPr>
        <w:pStyle w:val="BayerBodyTextFull"/>
        <w:spacing w:before="0" w:after="0"/>
        <w:rPr>
          <w:rFonts w:ascii="Arial" w:hAnsi="Arial" w:cs="Arial"/>
          <w:color w:val="000000"/>
          <w:sz w:val="16"/>
          <w:szCs w:val="16"/>
        </w:rPr>
      </w:pPr>
      <w:proofErr w:type="gramStart"/>
      <w:r w:rsidRPr="00A83092">
        <w:rPr>
          <w:rFonts w:ascii="Arial" w:hAnsi="Arial" w:cs="Arial"/>
          <w:sz w:val="16"/>
          <w:szCs w:val="16"/>
          <w:vertAlign w:val="superscript"/>
        </w:rPr>
        <w:t>¥</w:t>
      </w:r>
      <w:r w:rsidRPr="00A83092">
        <w:rPr>
          <w:rFonts w:ascii="Arial" w:hAnsi="Arial" w:cs="Arial"/>
          <w:sz w:val="16"/>
          <w:szCs w:val="16"/>
        </w:rPr>
        <w:t>According to drug-induced liver injury (DILI) criteria of the international DILI expert working group.</w:t>
      </w:r>
      <w:proofErr w:type="gramEnd"/>
    </w:p>
    <w:p w14:paraId="712C2B7F" w14:textId="77777777" w:rsidR="001E2D60" w:rsidRDefault="001E2D60" w:rsidP="003209D5">
      <w:pPr>
        <w:tabs>
          <w:tab w:val="left" w:pos="284"/>
        </w:tabs>
        <w:autoSpaceDE w:val="0"/>
        <w:autoSpaceDN w:val="0"/>
        <w:adjustRightInd w:val="0"/>
        <w:rPr>
          <w:rFonts w:ascii="Arial" w:hAnsi="Arial" w:cs="Arial"/>
          <w:sz w:val="22"/>
          <w:szCs w:val="22"/>
        </w:rPr>
      </w:pPr>
    </w:p>
    <w:p w14:paraId="712C2B80" w14:textId="77777777" w:rsidR="00962F5B" w:rsidRPr="005B4EB5" w:rsidRDefault="001E2167" w:rsidP="005B4EB5">
      <w:pPr>
        <w:pStyle w:val="Heading3"/>
        <w:rPr>
          <w:rFonts w:ascii="Arial" w:hAnsi="Arial" w:cs="Arial"/>
          <w:i w:val="0"/>
          <w:sz w:val="22"/>
          <w:szCs w:val="22"/>
        </w:rPr>
      </w:pPr>
      <w:r w:rsidRPr="005B4EB5">
        <w:rPr>
          <w:rFonts w:ascii="Arial" w:hAnsi="Arial" w:cs="Arial"/>
          <w:i w:val="0"/>
          <w:sz w:val="22"/>
          <w:szCs w:val="22"/>
        </w:rPr>
        <w:t xml:space="preserve">Description of selected adverse reactions </w:t>
      </w:r>
    </w:p>
    <w:p w14:paraId="712C2B81" w14:textId="77777777" w:rsidR="001E2167" w:rsidRDefault="001E2167" w:rsidP="00485416">
      <w:pPr>
        <w:tabs>
          <w:tab w:val="left" w:pos="284"/>
        </w:tabs>
        <w:autoSpaceDE w:val="0"/>
        <w:autoSpaceDN w:val="0"/>
        <w:adjustRightInd w:val="0"/>
        <w:rPr>
          <w:rFonts w:ascii="Arial" w:hAnsi="Arial" w:cs="Arial"/>
          <w:b/>
          <w:sz w:val="22"/>
          <w:szCs w:val="22"/>
        </w:rPr>
      </w:pPr>
    </w:p>
    <w:p w14:paraId="712C2B82" w14:textId="77777777" w:rsidR="00E16D20" w:rsidRPr="005B4EB5" w:rsidRDefault="00E16D20" w:rsidP="005B4EB5">
      <w:pPr>
        <w:pStyle w:val="Heading4"/>
        <w:rPr>
          <w:b w:val="0"/>
        </w:rPr>
      </w:pPr>
      <w:r w:rsidRPr="005B4EB5">
        <w:rPr>
          <w:b w:val="0"/>
        </w:rPr>
        <w:t>Haemorrhage</w:t>
      </w:r>
    </w:p>
    <w:p w14:paraId="712C2B83" w14:textId="77777777" w:rsidR="00FE77A5" w:rsidRPr="0047783E" w:rsidRDefault="001A77C2" w:rsidP="002E54D9">
      <w:pPr>
        <w:pStyle w:val="BayerBodyTextFull"/>
        <w:spacing w:before="0" w:after="0"/>
        <w:rPr>
          <w:rFonts w:ascii="Arial" w:hAnsi="Arial" w:cs="Arial"/>
          <w:sz w:val="22"/>
          <w:szCs w:val="22"/>
          <w:lang w:val="en-GB"/>
        </w:rPr>
      </w:pPr>
      <w:r w:rsidRPr="0047783E">
        <w:rPr>
          <w:rFonts w:ascii="Arial" w:hAnsi="Arial" w:cs="Arial"/>
          <w:sz w:val="22"/>
          <w:szCs w:val="22"/>
          <w:lang w:val="en-GB"/>
        </w:rPr>
        <w:t xml:space="preserve">In the </w:t>
      </w:r>
      <w:r w:rsidR="002239D7">
        <w:rPr>
          <w:rFonts w:ascii="Arial" w:hAnsi="Arial" w:cs="Arial"/>
          <w:sz w:val="22"/>
          <w:szCs w:val="22"/>
          <w:lang w:val="en-GB"/>
        </w:rPr>
        <w:t xml:space="preserve">two </w:t>
      </w:r>
      <w:r w:rsidRPr="0047783E">
        <w:rPr>
          <w:rFonts w:ascii="Arial" w:hAnsi="Arial" w:cs="Arial"/>
          <w:sz w:val="22"/>
          <w:szCs w:val="22"/>
          <w:lang w:val="en-GB"/>
        </w:rPr>
        <w:t>placebo-controlled P</w:t>
      </w:r>
      <w:r w:rsidR="00FE77A5" w:rsidRPr="0047783E">
        <w:rPr>
          <w:rFonts w:ascii="Arial" w:hAnsi="Arial" w:cs="Arial"/>
          <w:sz w:val="22"/>
          <w:szCs w:val="22"/>
          <w:lang w:val="en-GB"/>
        </w:rPr>
        <w:t>hase III trial</w:t>
      </w:r>
      <w:r w:rsidR="002239D7">
        <w:rPr>
          <w:rFonts w:ascii="Arial" w:hAnsi="Arial" w:cs="Arial"/>
          <w:sz w:val="22"/>
          <w:szCs w:val="22"/>
          <w:lang w:val="en-GB"/>
        </w:rPr>
        <w:t>s</w:t>
      </w:r>
      <w:r w:rsidR="00FE77A5" w:rsidRPr="0047783E">
        <w:rPr>
          <w:rFonts w:ascii="Arial" w:hAnsi="Arial" w:cs="Arial"/>
          <w:sz w:val="22"/>
          <w:szCs w:val="22"/>
          <w:lang w:val="en-GB"/>
        </w:rPr>
        <w:t>, the overall incidence of h</w:t>
      </w:r>
      <w:r w:rsidRPr="0047783E">
        <w:rPr>
          <w:rFonts w:ascii="Arial" w:hAnsi="Arial" w:cs="Arial"/>
          <w:sz w:val="22"/>
          <w:szCs w:val="22"/>
          <w:lang w:val="en-GB"/>
        </w:rPr>
        <w:t>a</w:t>
      </w:r>
      <w:r w:rsidR="00FE77A5" w:rsidRPr="0047783E">
        <w:rPr>
          <w:rFonts w:ascii="Arial" w:hAnsi="Arial" w:cs="Arial"/>
          <w:sz w:val="22"/>
          <w:szCs w:val="22"/>
          <w:lang w:val="en-GB"/>
        </w:rPr>
        <w:t xml:space="preserve">emorrhage was </w:t>
      </w:r>
      <w:r w:rsidR="002239D7">
        <w:rPr>
          <w:rFonts w:ascii="Arial" w:hAnsi="Arial" w:cs="Arial"/>
          <w:sz w:val="22"/>
          <w:szCs w:val="22"/>
          <w:lang w:val="en-GB"/>
        </w:rPr>
        <w:t>19.3</w:t>
      </w:r>
      <w:r w:rsidR="00FE77A5" w:rsidRPr="0047783E">
        <w:rPr>
          <w:rFonts w:ascii="Arial" w:hAnsi="Arial" w:cs="Arial"/>
          <w:sz w:val="22"/>
          <w:szCs w:val="22"/>
          <w:lang w:val="en-GB"/>
        </w:rPr>
        <w:t xml:space="preserve">% in patients treated with </w:t>
      </w:r>
      <w:r w:rsidR="005B16AA">
        <w:rPr>
          <w:rFonts w:ascii="Arial" w:hAnsi="Arial" w:cs="Arial"/>
          <w:sz w:val="22"/>
          <w:szCs w:val="22"/>
          <w:lang w:val="en-GB"/>
        </w:rPr>
        <w:t>STIVARGA</w:t>
      </w:r>
      <w:r w:rsidR="00FE77A5" w:rsidRPr="0047783E">
        <w:rPr>
          <w:rFonts w:ascii="Arial" w:hAnsi="Arial" w:cs="Arial"/>
          <w:sz w:val="22"/>
          <w:szCs w:val="22"/>
          <w:lang w:val="en-GB"/>
        </w:rPr>
        <w:t xml:space="preserve">. </w:t>
      </w:r>
      <w:proofErr w:type="gramStart"/>
      <w:r w:rsidR="00FE77A5" w:rsidRPr="0047783E">
        <w:rPr>
          <w:rFonts w:ascii="Arial" w:hAnsi="Arial" w:cs="Arial"/>
          <w:sz w:val="22"/>
          <w:szCs w:val="22"/>
          <w:lang w:val="en-GB"/>
        </w:rPr>
        <w:t xml:space="preserve">Most cases of bleeding events were mild to moderate in </w:t>
      </w:r>
      <w:r w:rsidR="00FE77A5" w:rsidRPr="0047783E">
        <w:rPr>
          <w:rFonts w:ascii="Arial" w:hAnsi="Arial" w:cs="Arial"/>
          <w:color w:val="000000"/>
          <w:sz w:val="22"/>
          <w:szCs w:val="22"/>
          <w:lang w:val="en-GB"/>
        </w:rPr>
        <w:t xml:space="preserve">severity (Grades 1 and 2: </w:t>
      </w:r>
      <w:r w:rsidR="002239D7">
        <w:rPr>
          <w:rFonts w:ascii="Arial" w:hAnsi="Arial" w:cs="Arial"/>
          <w:color w:val="000000"/>
          <w:sz w:val="22"/>
          <w:szCs w:val="22"/>
          <w:lang w:val="en-GB"/>
        </w:rPr>
        <w:t>16.9</w:t>
      </w:r>
      <w:r w:rsidR="00FE77A5" w:rsidRPr="0047783E">
        <w:rPr>
          <w:rFonts w:ascii="Arial" w:hAnsi="Arial" w:cs="Arial"/>
          <w:color w:val="000000"/>
          <w:sz w:val="22"/>
          <w:szCs w:val="22"/>
          <w:lang w:val="en-GB"/>
        </w:rPr>
        <w:t>%), most</w:t>
      </w:r>
      <w:r w:rsidR="00FE77A5" w:rsidRPr="0047783E">
        <w:rPr>
          <w:rFonts w:ascii="Arial" w:hAnsi="Arial" w:cs="Arial"/>
          <w:sz w:val="22"/>
          <w:szCs w:val="22"/>
          <w:lang w:val="en-GB"/>
        </w:rPr>
        <w:t xml:space="preserve"> notably epistaxis (</w:t>
      </w:r>
      <w:r w:rsidR="002239D7">
        <w:rPr>
          <w:rFonts w:ascii="Arial" w:hAnsi="Arial" w:cs="Arial"/>
          <w:sz w:val="22"/>
          <w:szCs w:val="22"/>
          <w:lang w:val="en-GB"/>
        </w:rPr>
        <w:t>7.6</w:t>
      </w:r>
      <w:r w:rsidR="00FE77A5" w:rsidRPr="0047783E">
        <w:rPr>
          <w:rFonts w:ascii="Arial" w:hAnsi="Arial" w:cs="Arial"/>
          <w:sz w:val="22"/>
          <w:szCs w:val="22"/>
          <w:lang w:val="en-GB"/>
        </w:rPr>
        <w:t>%).</w:t>
      </w:r>
      <w:proofErr w:type="gramEnd"/>
      <w:r w:rsidR="00FE77A5" w:rsidRPr="0047783E">
        <w:rPr>
          <w:rFonts w:ascii="Arial" w:hAnsi="Arial" w:cs="Arial"/>
          <w:sz w:val="22"/>
          <w:szCs w:val="22"/>
          <w:lang w:val="en-GB"/>
        </w:rPr>
        <w:t xml:space="preserve"> Fatal events were uncommon (0.</w:t>
      </w:r>
      <w:r w:rsidR="002239D7">
        <w:rPr>
          <w:rFonts w:ascii="Arial" w:hAnsi="Arial" w:cs="Arial"/>
          <w:sz w:val="22"/>
          <w:szCs w:val="22"/>
          <w:lang w:val="en-GB"/>
        </w:rPr>
        <w:t>6</w:t>
      </w:r>
      <w:r w:rsidR="00FE77A5" w:rsidRPr="0047783E">
        <w:rPr>
          <w:rFonts w:ascii="Arial" w:hAnsi="Arial" w:cs="Arial"/>
          <w:sz w:val="22"/>
          <w:szCs w:val="22"/>
          <w:lang w:val="en-GB"/>
        </w:rPr>
        <w:t>%), and involved the respiratory, gastrointestinal and genitourinary tracts.</w:t>
      </w:r>
    </w:p>
    <w:p w14:paraId="712C2B84" w14:textId="77777777" w:rsidR="009D03ED" w:rsidRPr="0047783E" w:rsidRDefault="009D03ED" w:rsidP="002E54D9">
      <w:pPr>
        <w:pStyle w:val="BayerBodyTextFull"/>
        <w:spacing w:before="0" w:after="0"/>
        <w:rPr>
          <w:rFonts w:ascii="Arial" w:hAnsi="Arial" w:cs="Arial"/>
          <w:sz w:val="22"/>
          <w:szCs w:val="22"/>
          <w:lang w:val="en-GB"/>
        </w:rPr>
      </w:pPr>
    </w:p>
    <w:p w14:paraId="712C2B85" w14:textId="77777777" w:rsidR="00E16D20" w:rsidRPr="005B4EB5" w:rsidRDefault="00E16D20" w:rsidP="005B4EB5">
      <w:pPr>
        <w:pStyle w:val="Heading4"/>
        <w:rPr>
          <w:b w:val="0"/>
        </w:rPr>
      </w:pPr>
      <w:r w:rsidRPr="005B4EB5">
        <w:rPr>
          <w:b w:val="0"/>
        </w:rPr>
        <w:t>Infection</w:t>
      </w:r>
    </w:p>
    <w:p w14:paraId="712C2B86" w14:textId="77777777" w:rsidR="00FE77A5" w:rsidRPr="00CB6D09" w:rsidRDefault="002239D7" w:rsidP="002E54D9">
      <w:pPr>
        <w:pStyle w:val="BayerBodyTextFull"/>
        <w:spacing w:before="0" w:after="0"/>
        <w:rPr>
          <w:rFonts w:ascii="Arial" w:hAnsi="Arial" w:cs="Arial"/>
          <w:sz w:val="22"/>
          <w:szCs w:val="22"/>
          <w:lang w:val="en-GB"/>
        </w:rPr>
      </w:pPr>
      <w:r>
        <w:rPr>
          <w:rFonts w:ascii="Arial" w:hAnsi="Arial" w:cs="Arial"/>
          <w:sz w:val="22"/>
          <w:szCs w:val="22"/>
          <w:lang w:val="en-GB"/>
        </w:rPr>
        <w:t>In the two placebo-controlled Phase III trials, i</w:t>
      </w:r>
      <w:r w:rsidR="00FE77A5" w:rsidRPr="00CB6D09">
        <w:rPr>
          <w:rFonts w:ascii="Arial" w:hAnsi="Arial" w:cs="Arial"/>
          <w:sz w:val="22"/>
          <w:szCs w:val="22"/>
          <w:lang w:val="en-GB"/>
        </w:rPr>
        <w:t xml:space="preserve">nfections were more often observed in patients treated with </w:t>
      </w:r>
      <w:r w:rsidR="00601DFC">
        <w:rPr>
          <w:rFonts w:ascii="Arial" w:hAnsi="Arial" w:cs="Arial"/>
          <w:sz w:val="22"/>
          <w:szCs w:val="22"/>
          <w:lang w:val="en-GB"/>
        </w:rPr>
        <w:t xml:space="preserve">STIVARGA </w:t>
      </w:r>
      <w:r w:rsidR="00FE77A5" w:rsidRPr="00CB6D09">
        <w:rPr>
          <w:rFonts w:ascii="Arial" w:hAnsi="Arial" w:cs="Arial"/>
          <w:sz w:val="22"/>
          <w:szCs w:val="22"/>
          <w:lang w:val="en-GB"/>
        </w:rPr>
        <w:t>compared to patients receiving placebo (all grades: 3</w:t>
      </w:r>
      <w:r>
        <w:rPr>
          <w:rFonts w:ascii="Arial" w:hAnsi="Arial" w:cs="Arial"/>
          <w:sz w:val="22"/>
          <w:szCs w:val="22"/>
          <w:lang w:val="en-GB"/>
        </w:rPr>
        <w:t>1.0</w:t>
      </w:r>
      <w:r w:rsidR="00FE77A5" w:rsidRPr="00CB6D09">
        <w:rPr>
          <w:rFonts w:ascii="Arial" w:hAnsi="Arial" w:cs="Arial"/>
          <w:sz w:val="22"/>
          <w:szCs w:val="22"/>
          <w:lang w:val="en-GB"/>
        </w:rPr>
        <w:t>% vs. 1</w:t>
      </w:r>
      <w:r>
        <w:rPr>
          <w:rFonts w:ascii="Arial" w:hAnsi="Arial" w:cs="Arial"/>
          <w:sz w:val="22"/>
          <w:szCs w:val="22"/>
          <w:lang w:val="en-GB"/>
        </w:rPr>
        <w:t>4.4</w:t>
      </w:r>
      <w:r w:rsidR="00FE77A5" w:rsidRPr="00CB6D09">
        <w:rPr>
          <w:rFonts w:ascii="Arial" w:hAnsi="Arial" w:cs="Arial"/>
          <w:sz w:val="22"/>
          <w:szCs w:val="22"/>
          <w:lang w:val="en-GB"/>
        </w:rPr>
        <w:t xml:space="preserve">%). Most infections in patients treated with </w:t>
      </w:r>
      <w:r w:rsidR="00601DFC">
        <w:rPr>
          <w:rFonts w:ascii="Arial" w:hAnsi="Arial" w:cs="Arial"/>
          <w:sz w:val="22"/>
          <w:szCs w:val="22"/>
          <w:lang w:val="en-GB"/>
        </w:rPr>
        <w:t xml:space="preserve">STIVARGA </w:t>
      </w:r>
      <w:r w:rsidR="00FE77A5" w:rsidRPr="00CB6D09">
        <w:rPr>
          <w:rFonts w:ascii="Arial" w:hAnsi="Arial" w:cs="Arial"/>
          <w:sz w:val="22"/>
          <w:szCs w:val="22"/>
          <w:lang w:val="en-GB"/>
        </w:rPr>
        <w:t>were mild to moderate in severity (G</w:t>
      </w:r>
      <w:r w:rsidR="00FE77A5" w:rsidRPr="00CB6D09">
        <w:rPr>
          <w:rFonts w:ascii="Arial" w:hAnsi="Arial" w:cs="Arial"/>
          <w:color w:val="000000"/>
          <w:sz w:val="22"/>
          <w:szCs w:val="22"/>
          <w:lang w:val="en-GB"/>
        </w:rPr>
        <w:t xml:space="preserve">rades </w:t>
      </w:r>
      <w:r w:rsidR="00FE77A5" w:rsidRPr="00CB6D09">
        <w:rPr>
          <w:rFonts w:ascii="Arial" w:hAnsi="Arial" w:cs="Arial"/>
          <w:sz w:val="22"/>
          <w:szCs w:val="22"/>
          <w:lang w:val="en-GB"/>
        </w:rPr>
        <w:t>1 and 2: 22.</w:t>
      </w:r>
      <w:r>
        <w:rPr>
          <w:rFonts w:ascii="Arial" w:hAnsi="Arial" w:cs="Arial"/>
          <w:sz w:val="22"/>
          <w:szCs w:val="22"/>
          <w:lang w:val="en-GB"/>
        </w:rPr>
        <w:t>9</w:t>
      </w:r>
      <w:r w:rsidR="00FE77A5" w:rsidRPr="00CB6D09">
        <w:rPr>
          <w:rFonts w:ascii="Arial" w:hAnsi="Arial" w:cs="Arial"/>
          <w:sz w:val="22"/>
          <w:szCs w:val="22"/>
          <w:lang w:val="en-GB"/>
        </w:rPr>
        <w:t>%), and included urinary tract infections (</w:t>
      </w:r>
      <w:r>
        <w:rPr>
          <w:rFonts w:ascii="Arial" w:hAnsi="Arial" w:cs="Arial"/>
          <w:sz w:val="22"/>
          <w:szCs w:val="22"/>
          <w:lang w:val="en-GB"/>
        </w:rPr>
        <w:t>6.8</w:t>
      </w:r>
      <w:r w:rsidR="00FE77A5" w:rsidRPr="00CB6D09">
        <w:rPr>
          <w:rFonts w:ascii="Arial" w:hAnsi="Arial" w:cs="Arial"/>
          <w:sz w:val="22"/>
          <w:szCs w:val="22"/>
          <w:lang w:val="en-GB"/>
        </w:rPr>
        <w:t xml:space="preserve">%) as well as </w:t>
      </w:r>
      <w:proofErr w:type="spellStart"/>
      <w:r w:rsidR="00FE77A5" w:rsidRPr="00CB6D09">
        <w:rPr>
          <w:rFonts w:ascii="Arial" w:hAnsi="Arial" w:cs="Arial"/>
          <w:sz w:val="22"/>
          <w:szCs w:val="22"/>
          <w:lang w:val="en-GB"/>
        </w:rPr>
        <w:t>mucocutaneous</w:t>
      </w:r>
      <w:proofErr w:type="spellEnd"/>
      <w:r w:rsidR="00FE77A5" w:rsidRPr="00CB6D09">
        <w:rPr>
          <w:rFonts w:ascii="Arial" w:hAnsi="Arial" w:cs="Arial"/>
          <w:sz w:val="22"/>
          <w:szCs w:val="22"/>
          <w:lang w:val="en-GB"/>
        </w:rPr>
        <w:t xml:space="preserve"> and systemic fungal infections (</w:t>
      </w:r>
      <w:r>
        <w:rPr>
          <w:rFonts w:ascii="Arial" w:hAnsi="Arial" w:cs="Arial"/>
          <w:sz w:val="22"/>
          <w:szCs w:val="22"/>
          <w:lang w:val="en-GB"/>
        </w:rPr>
        <w:t>2.4</w:t>
      </w:r>
      <w:r w:rsidR="00FE77A5" w:rsidRPr="00CB6D09">
        <w:rPr>
          <w:rFonts w:ascii="Arial" w:hAnsi="Arial" w:cs="Arial"/>
          <w:sz w:val="22"/>
          <w:szCs w:val="22"/>
          <w:lang w:val="en-GB"/>
        </w:rPr>
        <w:t xml:space="preserve">%). No difference in fatal outcomes associated with infection between treatment groups was observed (0.6%, </w:t>
      </w:r>
      <w:r w:rsidR="00601DFC">
        <w:rPr>
          <w:rFonts w:ascii="Arial" w:hAnsi="Arial" w:cs="Arial"/>
          <w:sz w:val="22"/>
          <w:szCs w:val="22"/>
          <w:lang w:val="en-GB"/>
        </w:rPr>
        <w:t xml:space="preserve">STIVARGA </w:t>
      </w:r>
      <w:r w:rsidR="00FE77A5" w:rsidRPr="00CB6D09">
        <w:rPr>
          <w:rFonts w:ascii="Arial" w:hAnsi="Arial" w:cs="Arial"/>
          <w:sz w:val="22"/>
          <w:szCs w:val="22"/>
          <w:lang w:val="en-GB"/>
        </w:rPr>
        <w:t>arm vs. 0.</w:t>
      </w:r>
      <w:r>
        <w:rPr>
          <w:rFonts w:ascii="Arial" w:hAnsi="Arial" w:cs="Arial"/>
          <w:sz w:val="22"/>
          <w:szCs w:val="22"/>
          <w:lang w:val="en-GB"/>
        </w:rPr>
        <w:t>6</w:t>
      </w:r>
      <w:r w:rsidR="00FE77A5" w:rsidRPr="00CB6D09">
        <w:rPr>
          <w:rFonts w:ascii="Arial" w:hAnsi="Arial" w:cs="Arial"/>
          <w:sz w:val="22"/>
          <w:szCs w:val="22"/>
          <w:lang w:val="en-GB"/>
        </w:rPr>
        <w:t>%, placebo arm).</w:t>
      </w:r>
    </w:p>
    <w:p w14:paraId="712C2B87" w14:textId="77777777" w:rsidR="001A77C2" w:rsidRPr="00165ADC" w:rsidRDefault="001A77C2" w:rsidP="002E54D9">
      <w:pPr>
        <w:pStyle w:val="BayerBodyTextFull"/>
        <w:spacing w:before="0" w:after="0"/>
        <w:rPr>
          <w:rFonts w:ascii="Arial" w:hAnsi="Arial" w:cs="Arial"/>
          <w:i/>
          <w:sz w:val="22"/>
          <w:szCs w:val="22"/>
          <w:lang w:val="en-GB"/>
        </w:rPr>
      </w:pPr>
    </w:p>
    <w:p w14:paraId="712C2B88" w14:textId="77777777" w:rsidR="00E16D20" w:rsidRPr="005B4EB5" w:rsidRDefault="00E16D20" w:rsidP="005B4EB5">
      <w:pPr>
        <w:pStyle w:val="Heading4"/>
        <w:rPr>
          <w:b w:val="0"/>
        </w:rPr>
      </w:pPr>
      <w:r w:rsidRPr="005B4EB5">
        <w:rPr>
          <w:b w:val="0"/>
        </w:rPr>
        <w:t>Hand-foot skin reaction</w:t>
      </w:r>
    </w:p>
    <w:p w14:paraId="712C2B89" w14:textId="77777777" w:rsidR="00F34FCB" w:rsidRPr="005F3D99" w:rsidRDefault="00056379" w:rsidP="002E54D9">
      <w:pPr>
        <w:pStyle w:val="BayerBodyTextFull"/>
        <w:spacing w:before="0" w:after="0"/>
        <w:rPr>
          <w:rFonts w:ascii="Arial" w:hAnsi="Arial" w:cs="Arial"/>
          <w:sz w:val="22"/>
          <w:szCs w:val="22"/>
          <w:lang w:val="en-GB"/>
        </w:rPr>
      </w:pPr>
      <w:r w:rsidRPr="0047783E">
        <w:rPr>
          <w:rFonts w:ascii="Arial" w:hAnsi="Arial" w:cs="Arial"/>
          <w:sz w:val="22"/>
          <w:szCs w:val="22"/>
          <w:lang w:val="en-GB"/>
        </w:rPr>
        <w:t>In the placebo-controlled metastatic CRC Phase III trial, t</w:t>
      </w:r>
      <w:r w:rsidR="00FE77A5" w:rsidRPr="0047783E">
        <w:rPr>
          <w:rFonts w:ascii="Arial" w:hAnsi="Arial" w:cs="Arial"/>
          <w:sz w:val="22"/>
          <w:szCs w:val="22"/>
          <w:lang w:val="en-GB"/>
        </w:rPr>
        <w:t>he overall incidence of hand</w:t>
      </w:r>
      <w:r w:rsidR="00E16D20" w:rsidRPr="0047783E">
        <w:rPr>
          <w:rFonts w:ascii="Arial" w:hAnsi="Arial" w:cs="Arial"/>
          <w:sz w:val="22"/>
          <w:szCs w:val="22"/>
          <w:lang w:val="en-GB"/>
        </w:rPr>
        <w:t>-</w:t>
      </w:r>
      <w:r w:rsidR="00FE77A5" w:rsidRPr="0047783E">
        <w:rPr>
          <w:rFonts w:ascii="Arial" w:hAnsi="Arial" w:cs="Arial"/>
          <w:sz w:val="22"/>
          <w:szCs w:val="22"/>
          <w:lang w:val="en-GB"/>
        </w:rPr>
        <w:t xml:space="preserve">foot skin reaction was 45.2% in patients treated with </w:t>
      </w:r>
      <w:r w:rsidR="00601DFC">
        <w:rPr>
          <w:rFonts w:ascii="Arial" w:hAnsi="Arial" w:cs="Arial"/>
          <w:sz w:val="22"/>
          <w:szCs w:val="22"/>
          <w:lang w:val="en-GB"/>
        </w:rPr>
        <w:t xml:space="preserve">STIVARGA </w:t>
      </w:r>
      <w:r w:rsidRPr="0047783E">
        <w:rPr>
          <w:rFonts w:ascii="Arial" w:hAnsi="Arial" w:cs="Arial"/>
          <w:sz w:val="22"/>
          <w:szCs w:val="22"/>
          <w:lang w:val="en-GB"/>
        </w:rPr>
        <w:t>and 7.1% in patients receiving placebo</w:t>
      </w:r>
      <w:r w:rsidR="00FE77A5" w:rsidRPr="00F765D4">
        <w:rPr>
          <w:rFonts w:ascii="Arial" w:hAnsi="Arial" w:cs="Arial"/>
          <w:sz w:val="22"/>
          <w:szCs w:val="22"/>
          <w:lang w:val="en-GB"/>
        </w:rPr>
        <w:t xml:space="preserve">. </w:t>
      </w:r>
      <w:r w:rsidR="00F765D4">
        <w:rPr>
          <w:rFonts w:ascii="Arial" w:hAnsi="Arial" w:cs="Arial"/>
          <w:sz w:val="22"/>
          <w:szCs w:val="22"/>
        </w:rPr>
        <w:t>In the placebo-controlled GIST P</w:t>
      </w:r>
      <w:r w:rsidR="00F765D4" w:rsidRPr="00F765D4">
        <w:rPr>
          <w:rFonts w:ascii="Arial" w:hAnsi="Arial" w:cs="Arial"/>
          <w:sz w:val="22"/>
          <w:szCs w:val="22"/>
        </w:rPr>
        <w:t xml:space="preserve">hase III trial, the overall incidence of hand-foot skin reaction was 66.7% in patients treated with </w:t>
      </w:r>
      <w:r w:rsidR="00601DFC">
        <w:rPr>
          <w:rFonts w:ascii="Arial" w:hAnsi="Arial" w:cs="Arial"/>
          <w:sz w:val="22"/>
          <w:szCs w:val="22"/>
        </w:rPr>
        <w:t>STIVARGA</w:t>
      </w:r>
      <w:r w:rsidR="005B16AA">
        <w:rPr>
          <w:rFonts w:ascii="Arial" w:hAnsi="Arial" w:cs="Arial"/>
          <w:sz w:val="22"/>
          <w:szCs w:val="22"/>
        </w:rPr>
        <w:t xml:space="preserve"> </w:t>
      </w:r>
      <w:r w:rsidR="00F765D4">
        <w:rPr>
          <w:rFonts w:ascii="Arial" w:hAnsi="Arial" w:cs="Arial"/>
          <w:sz w:val="22"/>
          <w:szCs w:val="22"/>
        </w:rPr>
        <w:t>and</w:t>
      </w:r>
      <w:r w:rsidR="00F765D4" w:rsidRPr="00F765D4">
        <w:rPr>
          <w:rFonts w:ascii="Arial" w:hAnsi="Arial" w:cs="Arial"/>
          <w:sz w:val="22"/>
          <w:szCs w:val="22"/>
        </w:rPr>
        <w:t xml:space="preserve"> 15.2% in patients receiving placebo. In both trials, </w:t>
      </w:r>
      <w:r w:rsidR="00F765D4">
        <w:rPr>
          <w:rFonts w:ascii="Arial" w:hAnsi="Arial" w:cs="Arial"/>
          <w:sz w:val="22"/>
          <w:szCs w:val="22"/>
          <w:lang w:val="en-GB"/>
        </w:rPr>
        <w:t>m</w:t>
      </w:r>
      <w:r w:rsidR="00FE77A5" w:rsidRPr="0047783E">
        <w:rPr>
          <w:rFonts w:ascii="Arial" w:hAnsi="Arial" w:cs="Arial"/>
          <w:sz w:val="22"/>
          <w:szCs w:val="22"/>
          <w:lang w:val="en-GB"/>
        </w:rPr>
        <w:t>ost cases of hand</w:t>
      </w:r>
      <w:r w:rsidR="00E16D20" w:rsidRPr="0047783E">
        <w:rPr>
          <w:rFonts w:ascii="Arial" w:hAnsi="Arial" w:cs="Arial"/>
          <w:sz w:val="22"/>
          <w:szCs w:val="22"/>
          <w:lang w:val="en-GB"/>
        </w:rPr>
        <w:t>-</w:t>
      </w:r>
      <w:r w:rsidR="00FE77A5" w:rsidRPr="0047783E">
        <w:rPr>
          <w:rFonts w:ascii="Arial" w:hAnsi="Arial" w:cs="Arial"/>
          <w:sz w:val="22"/>
          <w:szCs w:val="22"/>
          <w:lang w:val="en-GB"/>
        </w:rPr>
        <w:t xml:space="preserve">foot skin reaction </w:t>
      </w:r>
      <w:r w:rsidR="00F765D4">
        <w:rPr>
          <w:rFonts w:ascii="Arial" w:hAnsi="Arial" w:cs="Arial"/>
          <w:sz w:val="22"/>
          <w:szCs w:val="22"/>
          <w:lang w:val="en-GB"/>
        </w:rPr>
        <w:t xml:space="preserve">in patients treated with </w:t>
      </w:r>
      <w:r w:rsidR="00601DFC">
        <w:rPr>
          <w:rFonts w:ascii="Arial" w:hAnsi="Arial" w:cs="Arial"/>
          <w:sz w:val="22"/>
          <w:szCs w:val="22"/>
          <w:lang w:val="en-GB"/>
        </w:rPr>
        <w:t>STIVARGA</w:t>
      </w:r>
      <w:r w:rsidR="005B16AA">
        <w:rPr>
          <w:rFonts w:ascii="Arial" w:hAnsi="Arial" w:cs="Arial"/>
          <w:sz w:val="22"/>
          <w:szCs w:val="22"/>
          <w:lang w:val="en-GB"/>
        </w:rPr>
        <w:t xml:space="preserve"> </w:t>
      </w:r>
      <w:r w:rsidR="00F765D4">
        <w:rPr>
          <w:rFonts w:ascii="Arial" w:hAnsi="Arial" w:cs="Arial"/>
          <w:sz w:val="22"/>
          <w:szCs w:val="22"/>
          <w:lang w:val="en-GB"/>
        </w:rPr>
        <w:t xml:space="preserve">appeared during the first cycle of treatment and </w:t>
      </w:r>
      <w:r w:rsidR="00FE77A5" w:rsidRPr="0047783E">
        <w:rPr>
          <w:rFonts w:ascii="Arial" w:hAnsi="Arial" w:cs="Arial"/>
          <w:sz w:val="22"/>
          <w:szCs w:val="22"/>
          <w:lang w:val="en-GB"/>
        </w:rPr>
        <w:t xml:space="preserve">were mild to moderate in severity (Grades 1 and 2: </w:t>
      </w:r>
      <w:r w:rsidR="00F765D4">
        <w:rPr>
          <w:rFonts w:ascii="Arial" w:hAnsi="Arial" w:cs="Arial"/>
          <w:sz w:val="22"/>
          <w:szCs w:val="22"/>
          <w:lang w:val="en-GB"/>
        </w:rPr>
        <w:t>28.6</w:t>
      </w:r>
      <w:r w:rsidR="00FE77A5" w:rsidRPr="0047783E">
        <w:rPr>
          <w:rFonts w:ascii="Arial" w:hAnsi="Arial" w:cs="Arial"/>
          <w:sz w:val="22"/>
          <w:szCs w:val="22"/>
          <w:lang w:val="en-GB"/>
        </w:rPr>
        <w:t>%</w:t>
      </w:r>
      <w:r w:rsidR="00F765D4">
        <w:rPr>
          <w:rFonts w:ascii="Arial" w:hAnsi="Arial" w:cs="Arial"/>
          <w:sz w:val="22"/>
          <w:szCs w:val="22"/>
          <w:lang w:val="en-GB"/>
        </w:rPr>
        <w:t xml:space="preserve">, CRC </w:t>
      </w:r>
      <w:r w:rsidR="00C268FE">
        <w:rPr>
          <w:rFonts w:ascii="Arial" w:hAnsi="Arial" w:cs="Arial"/>
          <w:sz w:val="22"/>
          <w:szCs w:val="22"/>
          <w:lang w:val="en-GB"/>
        </w:rPr>
        <w:t>and 44.7%, GIST</w:t>
      </w:r>
      <w:r w:rsidR="00FE77A5" w:rsidRPr="0047783E">
        <w:rPr>
          <w:rFonts w:ascii="Arial" w:hAnsi="Arial" w:cs="Arial"/>
          <w:sz w:val="22"/>
          <w:szCs w:val="22"/>
          <w:lang w:val="en-GB"/>
        </w:rPr>
        <w:t>)</w:t>
      </w:r>
      <w:r w:rsidR="00C268FE">
        <w:rPr>
          <w:rFonts w:ascii="Arial" w:hAnsi="Arial" w:cs="Arial"/>
          <w:sz w:val="22"/>
          <w:szCs w:val="22"/>
          <w:lang w:val="en-GB"/>
        </w:rPr>
        <w:t>.</w:t>
      </w:r>
      <w:r w:rsidR="00FE77A5" w:rsidRPr="0047783E">
        <w:rPr>
          <w:rFonts w:ascii="Arial" w:hAnsi="Arial" w:cs="Arial"/>
          <w:sz w:val="22"/>
          <w:szCs w:val="22"/>
          <w:lang w:val="en-GB"/>
        </w:rPr>
        <w:t xml:space="preserve"> </w:t>
      </w:r>
      <w:r w:rsidRPr="0047783E">
        <w:rPr>
          <w:rFonts w:ascii="Arial" w:hAnsi="Arial" w:cs="Arial"/>
          <w:sz w:val="22"/>
          <w:szCs w:val="22"/>
          <w:lang w:val="en-GB"/>
        </w:rPr>
        <w:t>The incidence of Grade 3 hand-foot skin reaction was 16.6%</w:t>
      </w:r>
      <w:r w:rsidR="00C268FE">
        <w:rPr>
          <w:rFonts w:ascii="Arial" w:hAnsi="Arial" w:cs="Arial"/>
          <w:sz w:val="22"/>
          <w:szCs w:val="22"/>
          <w:lang w:val="en-GB"/>
        </w:rPr>
        <w:t xml:space="preserve"> (CRC) and 22.0% (GIST)</w:t>
      </w:r>
      <w:r w:rsidRPr="0047783E">
        <w:rPr>
          <w:rFonts w:ascii="Arial" w:hAnsi="Arial" w:cs="Arial"/>
          <w:sz w:val="22"/>
          <w:szCs w:val="22"/>
          <w:lang w:val="en-GB"/>
        </w:rPr>
        <w:t>.</w:t>
      </w:r>
      <w:r w:rsidR="0084372E">
        <w:rPr>
          <w:rFonts w:ascii="Arial" w:hAnsi="Arial" w:cs="Arial"/>
          <w:sz w:val="22"/>
          <w:szCs w:val="22"/>
          <w:lang w:val="en-GB"/>
        </w:rPr>
        <w:t xml:space="preserve"> </w:t>
      </w:r>
      <w:r w:rsidR="004F4040">
        <w:rPr>
          <w:rFonts w:ascii="Arial" w:hAnsi="Arial" w:cs="Arial"/>
          <w:sz w:val="22"/>
          <w:szCs w:val="22"/>
          <w:lang w:val="en-GB"/>
        </w:rPr>
        <w:t xml:space="preserve">In both trials, the overall incidence of hand-foot skin reaction was higher in STIVARGA treated Asian patients compared to other </w:t>
      </w:r>
      <w:r w:rsidR="008E22D7">
        <w:rPr>
          <w:rFonts w:ascii="Arial" w:hAnsi="Arial" w:cs="Arial"/>
          <w:sz w:val="22"/>
          <w:szCs w:val="22"/>
          <w:lang w:val="en-GB"/>
        </w:rPr>
        <w:t>ethnicities (78.4%</w:t>
      </w:r>
      <w:r w:rsidR="00E81D9A">
        <w:rPr>
          <w:rFonts w:ascii="Arial" w:hAnsi="Arial" w:cs="Arial"/>
          <w:sz w:val="22"/>
          <w:szCs w:val="22"/>
          <w:lang w:val="en-GB"/>
        </w:rPr>
        <w:t xml:space="preserve"> vs. </w:t>
      </w:r>
      <w:r w:rsidR="00E81D9A" w:rsidRPr="00FB6A9C">
        <w:rPr>
          <w:rFonts w:ascii="Arial" w:hAnsi="Arial" w:cs="Arial"/>
          <w:sz w:val="22"/>
          <w:szCs w:val="22"/>
          <w:lang w:val="en-GB"/>
        </w:rPr>
        <w:t>39.2%</w:t>
      </w:r>
      <w:r w:rsidR="008E22D7">
        <w:rPr>
          <w:rFonts w:ascii="Arial" w:hAnsi="Arial" w:cs="Arial"/>
          <w:sz w:val="22"/>
          <w:szCs w:val="22"/>
          <w:lang w:val="en-GB"/>
        </w:rPr>
        <w:t xml:space="preserve"> CRC and 88.2%</w:t>
      </w:r>
      <w:r w:rsidR="0038008F">
        <w:rPr>
          <w:rFonts w:ascii="Arial" w:hAnsi="Arial" w:cs="Arial"/>
          <w:sz w:val="22"/>
          <w:szCs w:val="22"/>
          <w:lang w:val="en-GB"/>
        </w:rPr>
        <w:t xml:space="preserve"> </w:t>
      </w:r>
      <w:r w:rsidR="00E81D9A">
        <w:rPr>
          <w:rFonts w:ascii="Arial" w:hAnsi="Arial" w:cs="Arial"/>
          <w:sz w:val="22"/>
          <w:szCs w:val="22"/>
          <w:lang w:val="en-GB"/>
        </w:rPr>
        <w:t xml:space="preserve">vs. </w:t>
      </w:r>
      <w:r w:rsidR="00E81D9A" w:rsidRPr="00FB6A9C">
        <w:rPr>
          <w:rFonts w:ascii="Arial" w:hAnsi="Arial" w:cs="Arial"/>
          <w:sz w:val="22"/>
          <w:szCs w:val="22"/>
          <w:lang w:val="en-GB"/>
        </w:rPr>
        <w:t>59.6%</w:t>
      </w:r>
      <w:r w:rsidR="00E81D9A">
        <w:rPr>
          <w:rFonts w:ascii="Arial" w:hAnsi="Arial" w:cs="Arial"/>
          <w:sz w:val="22"/>
          <w:szCs w:val="22"/>
          <w:lang w:val="en-GB"/>
        </w:rPr>
        <w:t xml:space="preserve"> </w:t>
      </w:r>
      <w:r w:rsidR="0038008F">
        <w:rPr>
          <w:rFonts w:ascii="Arial" w:hAnsi="Arial" w:cs="Arial"/>
          <w:sz w:val="22"/>
          <w:szCs w:val="22"/>
          <w:lang w:val="en-GB"/>
        </w:rPr>
        <w:t>GIST)</w:t>
      </w:r>
      <w:r w:rsidR="004F4040">
        <w:rPr>
          <w:rFonts w:ascii="Arial" w:hAnsi="Arial" w:cs="Arial"/>
          <w:sz w:val="22"/>
          <w:szCs w:val="22"/>
          <w:lang w:val="en-GB"/>
        </w:rPr>
        <w:t>. The incidence of Grade 3 hand-foot ski</w:t>
      </w:r>
      <w:r w:rsidR="00E81D9A">
        <w:rPr>
          <w:rFonts w:ascii="Arial" w:hAnsi="Arial" w:cs="Arial"/>
          <w:sz w:val="22"/>
          <w:szCs w:val="22"/>
          <w:lang w:val="en-GB"/>
        </w:rPr>
        <w:t>n reaction in Asians was 28.4% (CRC)</w:t>
      </w:r>
      <w:r w:rsidR="004F4040">
        <w:rPr>
          <w:rFonts w:ascii="Arial" w:hAnsi="Arial" w:cs="Arial"/>
          <w:sz w:val="22"/>
          <w:szCs w:val="22"/>
          <w:lang w:val="en-GB"/>
        </w:rPr>
        <w:t xml:space="preserve"> and 23.5% (GIST).</w:t>
      </w:r>
    </w:p>
    <w:p w14:paraId="712C2B8A" w14:textId="77777777" w:rsidR="0036132D" w:rsidRPr="005F3D99" w:rsidRDefault="0036132D" w:rsidP="002E54D9">
      <w:pPr>
        <w:pStyle w:val="BayerBodyTextFull"/>
        <w:spacing w:before="0" w:after="0"/>
        <w:rPr>
          <w:rFonts w:ascii="Arial" w:hAnsi="Arial" w:cs="Arial"/>
          <w:i/>
          <w:sz w:val="22"/>
          <w:szCs w:val="22"/>
          <w:lang w:val="en-GB"/>
        </w:rPr>
      </w:pPr>
    </w:p>
    <w:p w14:paraId="712C2B8B" w14:textId="77777777" w:rsidR="0036132D" w:rsidRPr="005B4EB5" w:rsidRDefault="0036132D" w:rsidP="005B4EB5">
      <w:pPr>
        <w:pStyle w:val="Heading4"/>
        <w:rPr>
          <w:b w:val="0"/>
        </w:rPr>
      </w:pPr>
      <w:r w:rsidRPr="005B4EB5">
        <w:rPr>
          <w:b w:val="0"/>
        </w:rPr>
        <w:t>Hypertension</w:t>
      </w:r>
    </w:p>
    <w:p w14:paraId="712C2B8C" w14:textId="77777777" w:rsidR="005B16AA" w:rsidRDefault="00056379" w:rsidP="00386290">
      <w:pPr>
        <w:rPr>
          <w:rFonts w:ascii="Arial" w:hAnsi="Arial" w:cs="Arial"/>
          <w:sz w:val="22"/>
          <w:szCs w:val="22"/>
        </w:rPr>
      </w:pPr>
      <w:r w:rsidRPr="00386290">
        <w:rPr>
          <w:rFonts w:ascii="Arial" w:hAnsi="Arial" w:cs="Arial"/>
          <w:sz w:val="22"/>
          <w:szCs w:val="22"/>
        </w:rPr>
        <w:t>In the placebo-controlled metastatic CRC Phase III trial, t</w:t>
      </w:r>
      <w:r w:rsidR="0036132D" w:rsidRPr="00386290">
        <w:rPr>
          <w:rFonts w:ascii="Arial" w:hAnsi="Arial" w:cs="Arial"/>
          <w:sz w:val="22"/>
          <w:szCs w:val="22"/>
        </w:rPr>
        <w:t xml:space="preserve">he overall incidence of hypertension was 30.4% in patients treated with </w:t>
      </w:r>
      <w:r w:rsidR="00601DFC" w:rsidRPr="00386290">
        <w:rPr>
          <w:rFonts w:ascii="Arial" w:hAnsi="Arial" w:cs="Arial"/>
          <w:sz w:val="22"/>
          <w:szCs w:val="22"/>
        </w:rPr>
        <w:t xml:space="preserve">STIVARGA </w:t>
      </w:r>
      <w:r w:rsidR="0036132D" w:rsidRPr="00386290">
        <w:rPr>
          <w:rFonts w:ascii="Arial" w:hAnsi="Arial" w:cs="Arial"/>
          <w:sz w:val="22"/>
          <w:szCs w:val="22"/>
        </w:rPr>
        <w:t xml:space="preserve">and 7.9% in patients receiving placebo. </w:t>
      </w:r>
      <w:r w:rsidR="00C268FE" w:rsidRPr="00386290">
        <w:rPr>
          <w:rFonts w:ascii="Arial" w:hAnsi="Arial" w:cs="Arial"/>
          <w:sz w:val="22"/>
          <w:szCs w:val="22"/>
        </w:rPr>
        <w:t xml:space="preserve">In the placebo-controlled GIST Phase III trial, the overall incidence of hypertension was 59.1% in patients treated with </w:t>
      </w:r>
      <w:r w:rsidR="00601DFC" w:rsidRPr="00386290">
        <w:rPr>
          <w:rFonts w:ascii="Arial" w:hAnsi="Arial" w:cs="Arial"/>
          <w:sz w:val="22"/>
          <w:szCs w:val="22"/>
        </w:rPr>
        <w:t>STIVARGA</w:t>
      </w:r>
      <w:r w:rsidR="00B20A74" w:rsidRPr="00386290">
        <w:rPr>
          <w:rFonts w:ascii="Arial" w:hAnsi="Arial" w:cs="Arial"/>
          <w:sz w:val="22"/>
          <w:szCs w:val="22"/>
        </w:rPr>
        <w:t xml:space="preserve"> </w:t>
      </w:r>
      <w:r w:rsidR="00390E0E" w:rsidRPr="00386290">
        <w:rPr>
          <w:rFonts w:ascii="Arial" w:hAnsi="Arial" w:cs="Arial"/>
          <w:sz w:val="22"/>
          <w:szCs w:val="22"/>
        </w:rPr>
        <w:t>and</w:t>
      </w:r>
      <w:r w:rsidR="00C268FE" w:rsidRPr="00386290">
        <w:rPr>
          <w:rFonts w:ascii="Arial" w:hAnsi="Arial" w:cs="Arial"/>
          <w:sz w:val="22"/>
          <w:szCs w:val="22"/>
        </w:rPr>
        <w:t xml:space="preserve"> 27.3% in patients receiving placebo. In both trials, m</w:t>
      </w:r>
      <w:r w:rsidRPr="00386290">
        <w:rPr>
          <w:rFonts w:ascii="Arial" w:hAnsi="Arial" w:cs="Arial"/>
          <w:sz w:val="22"/>
          <w:szCs w:val="22"/>
        </w:rPr>
        <w:t xml:space="preserve">ost cases of hypertension in patients treated with </w:t>
      </w:r>
      <w:r w:rsidR="00601DFC" w:rsidRPr="00386290">
        <w:rPr>
          <w:rFonts w:ascii="Arial" w:hAnsi="Arial" w:cs="Arial"/>
          <w:sz w:val="22"/>
          <w:szCs w:val="22"/>
        </w:rPr>
        <w:t xml:space="preserve">STIVARGA </w:t>
      </w:r>
      <w:r w:rsidRPr="00386290">
        <w:rPr>
          <w:rFonts w:ascii="Arial" w:hAnsi="Arial" w:cs="Arial"/>
          <w:sz w:val="22"/>
          <w:szCs w:val="22"/>
        </w:rPr>
        <w:t>appeared during the first cycle of treatment and were mild to moderate in severity (Grades 1 and 2: 22</w:t>
      </w:r>
      <w:r w:rsidRPr="00121695">
        <w:rPr>
          <w:rFonts w:ascii="Arial" w:hAnsi="Arial" w:cs="Arial"/>
          <w:sz w:val="22"/>
          <w:szCs w:val="22"/>
        </w:rPr>
        <w:t>.8%</w:t>
      </w:r>
      <w:r w:rsidR="00E37F22" w:rsidRPr="00A85291">
        <w:rPr>
          <w:rFonts w:ascii="Arial" w:hAnsi="Arial" w:cs="Arial"/>
          <w:sz w:val="22"/>
          <w:szCs w:val="22"/>
        </w:rPr>
        <w:t>, CRC and 31.1%</w:t>
      </w:r>
      <w:r w:rsidR="00E37F22">
        <w:rPr>
          <w:rFonts w:ascii="Arial" w:hAnsi="Arial" w:cs="Arial"/>
          <w:b/>
          <w:caps/>
          <w:sz w:val="22"/>
          <w:szCs w:val="22"/>
        </w:rPr>
        <w:t xml:space="preserve"> </w:t>
      </w:r>
      <w:r w:rsidR="00390E0E" w:rsidRPr="00386290">
        <w:rPr>
          <w:rFonts w:ascii="Arial" w:hAnsi="Arial" w:cs="Arial"/>
          <w:sz w:val="22"/>
          <w:szCs w:val="22"/>
        </w:rPr>
        <w:t>GIST</w:t>
      </w:r>
      <w:r w:rsidRPr="00386290">
        <w:rPr>
          <w:rFonts w:ascii="Arial" w:hAnsi="Arial" w:cs="Arial"/>
          <w:sz w:val="22"/>
          <w:szCs w:val="22"/>
        </w:rPr>
        <w:t>). The incidence of Grade 3 hypertension was 7.6%</w:t>
      </w:r>
      <w:r w:rsidR="00390E0E" w:rsidRPr="00386290">
        <w:rPr>
          <w:rFonts w:ascii="Arial" w:hAnsi="Arial" w:cs="Arial"/>
          <w:sz w:val="22"/>
          <w:szCs w:val="22"/>
        </w:rPr>
        <w:t xml:space="preserve"> (CRC) and 27.3% (GIST)</w:t>
      </w:r>
      <w:r w:rsidRPr="00386290">
        <w:rPr>
          <w:rFonts w:ascii="Arial" w:hAnsi="Arial" w:cs="Arial"/>
          <w:sz w:val="22"/>
          <w:szCs w:val="22"/>
        </w:rPr>
        <w:t>.</w:t>
      </w:r>
      <w:r w:rsidR="002239D7" w:rsidRPr="00386290">
        <w:rPr>
          <w:rFonts w:ascii="Arial" w:hAnsi="Arial" w:cs="Arial"/>
          <w:sz w:val="22"/>
          <w:szCs w:val="22"/>
        </w:rPr>
        <w:t xml:space="preserve"> On</w:t>
      </w:r>
      <w:r w:rsidR="00390E0E" w:rsidRPr="00386290">
        <w:rPr>
          <w:rFonts w:ascii="Arial" w:hAnsi="Arial" w:cs="Arial"/>
          <w:sz w:val="22"/>
          <w:szCs w:val="22"/>
        </w:rPr>
        <w:t>e case of Grade 4 hypertension was reported in the GIST trial</w:t>
      </w:r>
      <w:r w:rsidR="005F3D99">
        <w:rPr>
          <w:rFonts w:ascii="Arial" w:hAnsi="Arial" w:cs="Arial"/>
          <w:sz w:val="22"/>
          <w:szCs w:val="22"/>
        </w:rPr>
        <w:t xml:space="preserve"> and associated with RPLS</w:t>
      </w:r>
      <w:r w:rsidR="00390E0E" w:rsidRPr="00386290">
        <w:rPr>
          <w:rFonts w:ascii="Arial" w:hAnsi="Arial" w:cs="Arial"/>
          <w:sz w:val="22"/>
          <w:szCs w:val="22"/>
        </w:rPr>
        <w:t>.</w:t>
      </w:r>
      <w:r w:rsidRPr="00386290">
        <w:rPr>
          <w:rFonts w:ascii="Arial" w:hAnsi="Arial" w:cs="Arial"/>
          <w:sz w:val="22"/>
          <w:szCs w:val="22"/>
        </w:rPr>
        <w:t xml:space="preserve"> </w:t>
      </w:r>
    </w:p>
    <w:p w14:paraId="712C2B8D" w14:textId="77777777" w:rsidR="00830D6D" w:rsidRPr="00830D6D" w:rsidRDefault="00830D6D" w:rsidP="00830D6D">
      <w:pPr>
        <w:rPr>
          <w:rFonts w:ascii="Arial" w:hAnsi="Arial" w:cs="Arial"/>
          <w:lang w:val="en-AU"/>
        </w:rPr>
      </w:pPr>
    </w:p>
    <w:p w14:paraId="712C2B8E" w14:textId="77777777" w:rsidR="0060094A" w:rsidRDefault="0060094A" w:rsidP="0060094A">
      <w:pPr>
        <w:pStyle w:val="Heading1"/>
        <w:spacing w:before="0" w:after="0"/>
        <w:ind w:right="45"/>
        <w:jc w:val="left"/>
      </w:pPr>
      <w:r w:rsidRPr="009C7DDF">
        <w:t>DOSAGE AND ADMINISTRATION</w:t>
      </w:r>
    </w:p>
    <w:p w14:paraId="712C2B8F" w14:textId="77777777" w:rsidR="0060094A" w:rsidRPr="003A5EE1" w:rsidRDefault="0060094A" w:rsidP="003A5EE1">
      <w:pPr>
        <w:rPr>
          <w:lang w:val="en-AU"/>
        </w:rPr>
      </w:pPr>
    </w:p>
    <w:p w14:paraId="712C2B90" w14:textId="77777777" w:rsidR="00E4702E" w:rsidRPr="003A5EE1" w:rsidRDefault="00116C14" w:rsidP="00CF7423">
      <w:pPr>
        <w:pStyle w:val="BayerBodyTextFull"/>
        <w:spacing w:before="0" w:after="0"/>
        <w:rPr>
          <w:rFonts w:ascii="Arial" w:hAnsi="Arial" w:cs="Arial"/>
          <w:snapToGrid w:val="0"/>
          <w:sz w:val="22"/>
          <w:szCs w:val="22"/>
          <w:lang w:val="en-GB"/>
        </w:rPr>
      </w:pPr>
      <w:r w:rsidRPr="003A5EE1">
        <w:rPr>
          <w:rFonts w:ascii="Arial" w:hAnsi="Arial" w:cs="Arial"/>
          <w:snapToGrid w:val="0"/>
          <w:sz w:val="22"/>
          <w:szCs w:val="22"/>
          <w:lang w:val="en-GB"/>
        </w:rPr>
        <w:t xml:space="preserve">Take </w:t>
      </w:r>
      <w:r w:rsidR="007B431E" w:rsidRPr="003A5EE1">
        <w:rPr>
          <w:rFonts w:ascii="Arial" w:hAnsi="Arial" w:cs="Arial"/>
          <w:snapToGrid w:val="0"/>
          <w:sz w:val="22"/>
          <w:szCs w:val="22"/>
          <w:lang w:val="en-GB"/>
        </w:rPr>
        <w:t>four</w:t>
      </w:r>
      <w:r w:rsidRPr="003A5EE1">
        <w:rPr>
          <w:rFonts w:ascii="Arial" w:hAnsi="Arial" w:cs="Arial"/>
          <w:snapToGrid w:val="0"/>
          <w:sz w:val="22"/>
          <w:szCs w:val="22"/>
          <w:lang w:val="en-GB"/>
        </w:rPr>
        <w:t xml:space="preserve"> </w:t>
      </w:r>
      <w:r w:rsidR="00601DFC">
        <w:rPr>
          <w:rFonts w:ascii="Arial" w:hAnsi="Arial" w:cs="Arial"/>
          <w:snapToGrid w:val="0"/>
          <w:sz w:val="22"/>
          <w:szCs w:val="22"/>
          <w:lang w:val="en-GB"/>
        </w:rPr>
        <w:t xml:space="preserve">STIVARGA </w:t>
      </w:r>
      <w:r w:rsidR="00AF1100" w:rsidRPr="003A5EE1">
        <w:rPr>
          <w:rFonts w:ascii="Arial" w:hAnsi="Arial" w:cs="Arial"/>
          <w:snapToGrid w:val="0"/>
          <w:sz w:val="22"/>
          <w:szCs w:val="22"/>
          <w:lang w:val="en-GB"/>
        </w:rPr>
        <w:t>(</w:t>
      </w:r>
      <w:r w:rsidRPr="003A5EE1">
        <w:rPr>
          <w:rFonts w:ascii="Arial" w:hAnsi="Arial" w:cs="Arial"/>
          <w:snapToGrid w:val="0"/>
          <w:sz w:val="22"/>
          <w:szCs w:val="22"/>
          <w:lang w:val="en-GB"/>
        </w:rPr>
        <w:t>40 mg</w:t>
      </w:r>
      <w:r w:rsidR="00AF1100" w:rsidRPr="003A5EE1">
        <w:rPr>
          <w:rFonts w:ascii="Arial" w:hAnsi="Arial" w:cs="Arial"/>
          <w:snapToGrid w:val="0"/>
          <w:sz w:val="22"/>
          <w:szCs w:val="22"/>
          <w:lang w:val="en-GB"/>
        </w:rPr>
        <w:t>)</w:t>
      </w:r>
      <w:r w:rsidRPr="003A5EE1">
        <w:rPr>
          <w:rFonts w:ascii="Arial" w:hAnsi="Arial" w:cs="Arial"/>
          <w:snapToGrid w:val="0"/>
          <w:sz w:val="22"/>
          <w:szCs w:val="22"/>
          <w:lang w:val="en-GB"/>
        </w:rPr>
        <w:t xml:space="preserve"> tablet</w:t>
      </w:r>
      <w:r w:rsidR="009E63D5" w:rsidRPr="003A5EE1">
        <w:rPr>
          <w:rFonts w:ascii="Arial" w:hAnsi="Arial" w:cs="Arial"/>
          <w:snapToGrid w:val="0"/>
          <w:sz w:val="22"/>
          <w:szCs w:val="22"/>
          <w:lang w:val="en-GB"/>
        </w:rPr>
        <w:t>s</w:t>
      </w:r>
      <w:r w:rsidRPr="003A5EE1">
        <w:rPr>
          <w:rFonts w:ascii="Arial" w:hAnsi="Arial" w:cs="Arial"/>
          <w:snapToGrid w:val="0"/>
          <w:sz w:val="22"/>
          <w:szCs w:val="22"/>
          <w:lang w:val="en-GB"/>
        </w:rPr>
        <w:t xml:space="preserve"> daily at the same time each day for </w:t>
      </w:r>
      <w:r w:rsidR="007B431E" w:rsidRPr="003A5EE1">
        <w:rPr>
          <w:rFonts w:ascii="Arial" w:hAnsi="Arial" w:cs="Arial"/>
          <w:snapToGrid w:val="0"/>
          <w:sz w:val="22"/>
          <w:szCs w:val="22"/>
          <w:lang w:val="en-GB"/>
        </w:rPr>
        <w:t>three</w:t>
      </w:r>
      <w:r w:rsidRPr="003A5EE1">
        <w:rPr>
          <w:rFonts w:ascii="Arial" w:hAnsi="Arial" w:cs="Arial"/>
          <w:snapToGrid w:val="0"/>
          <w:sz w:val="22"/>
          <w:szCs w:val="22"/>
          <w:lang w:val="en-GB"/>
        </w:rPr>
        <w:t xml:space="preserve"> </w:t>
      </w:r>
      <w:r w:rsidR="00D8674D" w:rsidRPr="003A5EE1">
        <w:rPr>
          <w:rFonts w:ascii="Arial" w:hAnsi="Arial" w:cs="Arial"/>
          <w:snapToGrid w:val="0"/>
          <w:sz w:val="22"/>
          <w:szCs w:val="22"/>
          <w:lang w:val="en-GB"/>
        </w:rPr>
        <w:t>weeks on</w:t>
      </w:r>
      <w:r w:rsidRPr="003A5EE1">
        <w:rPr>
          <w:rFonts w:ascii="Arial" w:hAnsi="Arial" w:cs="Arial"/>
          <w:snapToGrid w:val="0"/>
          <w:sz w:val="22"/>
          <w:szCs w:val="22"/>
          <w:lang w:val="en-GB"/>
        </w:rPr>
        <w:t xml:space="preserve"> therapy </w:t>
      </w:r>
      <w:r w:rsidR="00F44B4B" w:rsidRPr="003A5EE1">
        <w:rPr>
          <w:rFonts w:ascii="Arial" w:hAnsi="Arial" w:cs="Arial"/>
          <w:snapToGrid w:val="0"/>
          <w:sz w:val="22"/>
          <w:szCs w:val="22"/>
          <w:lang w:val="en-GB"/>
        </w:rPr>
        <w:t xml:space="preserve">(21 days) </w:t>
      </w:r>
      <w:r w:rsidRPr="003A5EE1">
        <w:rPr>
          <w:rFonts w:ascii="Arial" w:hAnsi="Arial" w:cs="Arial"/>
          <w:snapToGrid w:val="0"/>
          <w:sz w:val="22"/>
          <w:szCs w:val="22"/>
          <w:lang w:val="en-GB"/>
        </w:rPr>
        <w:t xml:space="preserve">followed by </w:t>
      </w:r>
      <w:r w:rsidR="007B431E" w:rsidRPr="003A5EE1">
        <w:rPr>
          <w:rFonts w:ascii="Arial" w:hAnsi="Arial" w:cs="Arial"/>
          <w:snapToGrid w:val="0"/>
          <w:sz w:val="22"/>
          <w:szCs w:val="22"/>
          <w:lang w:val="en-GB"/>
        </w:rPr>
        <w:t>one</w:t>
      </w:r>
      <w:r w:rsidRPr="003A5EE1">
        <w:rPr>
          <w:rFonts w:ascii="Arial" w:hAnsi="Arial" w:cs="Arial"/>
          <w:snapToGrid w:val="0"/>
          <w:sz w:val="22"/>
          <w:szCs w:val="22"/>
          <w:lang w:val="en-GB"/>
        </w:rPr>
        <w:t xml:space="preserve"> week off therapy </w:t>
      </w:r>
      <w:r w:rsidR="00F44B4B" w:rsidRPr="003A5EE1">
        <w:rPr>
          <w:rFonts w:ascii="Arial" w:hAnsi="Arial" w:cs="Arial"/>
          <w:snapToGrid w:val="0"/>
          <w:sz w:val="22"/>
          <w:szCs w:val="22"/>
          <w:lang w:val="en-GB"/>
        </w:rPr>
        <w:t xml:space="preserve">(7 days) </w:t>
      </w:r>
      <w:r w:rsidRPr="003A5EE1">
        <w:rPr>
          <w:rFonts w:ascii="Arial" w:hAnsi="Arial" w:cs="Arial"/>
          <w:snapToGrid w:val="0"/>
          <w:sz w:val="22"/>
          <w:szCs w:val="22"/>
          <w:lang w:val="en-GB"/>
        </w:rPr>
        <w:t xml:space="preserve">to comprise a cycle of </w:t>
      </w:r>
      <w:r w:rsidR="007B431E" w:rsidRPr="003A5EE1">
        <w:rPr>
          <w:rFonts w:ascii="Arial" w:hAnsi="Arial" w:cs="Arial"/>
          <w:snapToGrid w:val="0"/>
          <w:sz w:val="22"/>
          <w:szCs w:val="22"/>
          <w:lang w:val="en-GB"/>
        </w:rPr>
        <w:t>four</w:t>
      </w:r>
      <w:r w:rsidRPr="003A5EE1">
        <w:rPr>
          <w:rFonts w:ascii="Arial" w:hAnsi="Arial" w:cs="Arial"/>
          <w:snapToGrid w:val="0"/>
          <w:sz w:val="22"/>
          <w:szCs w:val="22"/>
          <w:lang w:val="en-GB"/>
        </w:rPr>
        <w:t xml:space="preserve"> weeks </w:t>
      </w:r>
      <w:r w:rsidR="00BB3DF3" w:rsidRPr="003A5EE1">
        <w:rPr>
          <w:rFonts w:ascii="Arial" w:hAnsi="Arial" w:cs="Arial"/>
          <w:snapToGrid w:val="0"/>
          <w:sz w:val="22"/>
          <w:szCs w:val="22"/>
          <w:lang w:val="en-GB"/>
        </w:rPr>
        <w:t xml:space="preserve">(28 days) </w:t>
      </w:r>
      <w:r w:rsidRPr="003A5EE1">
        <w:rPr>
          <w:rFonts w:ascii="Arial" w:hAnsi="Arial" w:cs="Arial"/>
          <w:snapToGrid w:val="0"/>
          <w:sz w:val="22"/>
          <w:szCs w:val="22"/>
          <w:lang w:val="en-GB"/>
        </w:rPr>
        <w:t>(</w:t>
      </w:r>
      <w:r w:rsidR="00415012" w:rsidRPr="003A5EE1">
        <w:rPr>
          <w:rFonts w:ascii="Arial" w:hAnsi="Arial" w:cs="Arial"/>
          <w:snapToGrid w:val="0"/>
          <w:sz w:val="22"/>
          <w:szCs w:val="22"/>
          <w:lang w:val="en-GB"/>
        </w:rPr>
        <w:t>see</w:t>
      </w:r>
      <w:r w:rsidRPr="003A5EE1">
        <w:rPr>
          <w:rFonts w:ascii="Arial" w:hAnsi="Arial" w:cs="Arial"/>
          <w:snapToGrid w:val="0"/>
          <w:sz w:val="22"/>
          <w:szCs w:val="22"/>
          <w:lang w:val="en-GB"/>
        </w:rPr>
        <w:t xml:space="preserve"> Pharmacokinetic</w:t>
      </w:r>
      <w:r w:rsidR="00762FB9" w:rsidRPr="003A5EE1">
        <w:rPr>
          <w:rFonts w:ascii="Arial" w:hAnsi="Arial" w:cs="Arial"/>
          <w:snapToGrid w:val="0"/>
          <w:sz w:val="22"/>
          <w:szCs w:val="22"/>
          <w:lang w:val="en-GB"/>
        </w:rPr>
        <w:t>s</w:t>
      </w:r>
      <w:r w:rsidR="009E63D5" w:rsidRPr="003A5EE1">
        <w:rPr>
          <w:rFonts w:ascii="Arial" w:hAnsi="Arial" w:cs="Arial"/>
          <w:snapToGrid w:val="0"/>
          <w:sz w:val="22"/>
          <w:szCs w:val="22"/>
          <w:lang w:val="en-GB"/>
        </w:rPr>
        <w:t xml:space="preserve"> </w:t>
      </w:r>
      <w:r w:rsidRPr="003A5EE1">
        <w:rPr>
          <w:rFonts w:ascii="Arial" w:hAnsi="Arial" w:cs="Arial"/>
          <w:snapToGrid w:val="0"/>
          <w:sz w:val="22"/>
          <w:szCs w:val="22"/>
          <w:lang w:val="en-GB"/>
        </w:rPr>
        <w:t>– Absorption)</w:t>
      </w:r>
      <w:r w:rsidRPr="003A5EE1">
        <w:rPr>
          <w:rFonts w:ascii="Arial" w:hAnsi="Arial" w:cs="Arial"/>
          <w:i/>
          <w:snapToGrid w:val="0"/>
          <w:color w:val="0000FF"/>
          <w:sz w:val="22"/>
          <w:szCs w:val="22"/>
          <w:lang w:val="en-GB"/>
        </w:rPr>
        <w:t xml:space="preserve">. </w:t>
      </w:r>
      <w:r w:rsidR="00A61CA6" w:rsidRPr="003A5EE1">
        <w:rPr>
          <w:rFonts w:ascii="Arial" w:hAnsi="Arial" w:cs="Arial"/>
          <w:snapToGrid w:val="0"/>
          <w:sz w:val="22"/>
          <w:szCs w:val="22"/>
          <w:lang w:val="en-GB"/>
        </w:rPr>
        <w:t>The tablets should be swallowed whole with water after a low fat meal (ideally at breakfast) that contains less than 30% fat. Example</w:t>
      </w:r>
      <w:r w:rsidR="00461711" w:rsidRPr="003A5EE1">
        <w:rPr>
          <w:rFonts w:ascii="Arial" w:hAnsi="Arial" w:cs="Arial"/>
          <w:snapToGrid w:val="0"/>
          <w:sz w:val="22"/>
          <w:szCs w:val="22"/>
          <w:lang w:val="en-GB"/>
        </w:rPr>
        <w:t xml:space="preserve"> of a low fat meal include one cup of cereal, 250 mL or one glass of skimmed milk, one slice of toast </w:t>
      </w:r>
      <w:r w:rsidR="00461711" w:rsidRPr="003A5EE1">
        <w:rPr>
          <w:rFonts w:ascii="Arial" w:hAnsi="Arial" w:cs="Arial"/>
          <w:snapToGrid w:val="0"/>
          <w:sz w:val="22"/>
          <w:szCs w:val="22"/>
          <w:lang w:val="en-GB"/>
        </w:rPr>
        <w:lastRenderedPageBreak/>
        <w:t>with jam, apple juice and one cup of coffee or tea</w:t>
      </w:r>
      <w:r w:rsidR="00407CD2" w:rsidRPr="003A5EE1">
        <w:rPr>
          <w:rFonts w:ascii="Arial" w:hAnsi="Arial" w:cs="Arial"/>
          <w:snapToGrid w:val="0"/>
          <w:sz w:val="22"/>
          <w:szCs w:val="22"/>
          <w:lang w:val="en-GB"/>
        </w:rPr>
        <w:t xml:space="preserve"> (520 calories, 2 g fat, 17 g protein, 93 g of carbohydrate)</w:t>
      </w:r>
      <w:r w:rsidR="00461711" w:rsidRPr="003A5EE1">
        <w:rPr>
          <w:rFonts w:ascii="Arial" w:hAnsi="Arial" w:cs="Arial"/>
          <w:snapToGrid w:val="0"/>
          <w:sz w:val="22"/>
          <w:szCs w:val="22"/>
          <w:lang w:val="en-GB"/>
        </w:rPr>
        <w:t xml:space="preserve">. </w:t>
      </w:r>
    </w:p>
    <w:p w14:paraId="712C2B91" w14:textId="77777777" w:rsidR="00461711" w:rsidRPr="003A5EE1" w:rsidRDefault="00461711" w:rsidP="00CF7423">
      <w:pPr>
        <w:pStyle w:val="BayerBodyTextFull"/>
        <w:spacing w:before="0" w:after="0"/>
        <w:rPr>
          <w:rFonts w:ascii="Arial" w:hAnsi="Arial" w:cs="Arial"/>
          <w:i/>
          <w:snapToGrid w:val="0"/>
          <w:color w:val="000000"/>
          <w:sz w:val="22"/>
          <w:szCs w:val="22"/>
          <w:lang w:val="en-GB"/>
        </w:rPr>
      </w:pPr>
    </w:p>
    <w:p w14:paraId="712C2B92" w14:textId="77777777" w:rsidR="00461711" w:rsidRPr="003A5EE1" w:rsidRDefault="00461711" w:rsidP="00461711">
      <w:pPr>
        <w:pStyle w:val="BayerBodyTextFull"/>
        <w:spacing w:before="0" w:after="0"/>
        <w:rPr>
          <w:rFonts w:ascii="Arial" w:hAnsi="Arial" w:cs="Arial"/>
          <w:i/>
          <w:snapToGrid w:val="0"/>
          <w:color w:val="000000"/>
          <w:sz w:val="22"/>
          <w:szCs w:val="22"/>
          <w:lang w:val="en-GB"/>
        </w:rPr>
      </w:pPr>
      <w:r w:rsidRPr="003A5EE1">
        <w:rPr>
          <w:rFonts w:ascii="Arial" w:hAnsi="Arial" w:cs="Arial"/>
          <w:snapToGrid w:val="0"/>
          <w:color w:val="000000"/>
          <w:sz w:val="22"/>
          <w:szCs w:val="22"/>
          <w:lang w:val="en-GB"/>
        </w:rPr>
        <w:t xml:space="preserve">The recommended </w:t>
      </w:r>
      <w:r w:rsidR="00A61CA6" w:rsidRPr="003A5EE1">
        <w:rPr>
          <w:rFonts w:ascii="Arial" w:hAnsi="Arial" w:cs="Arial"/>
          <w:snapToGrid w:val="0"/>
          <w:color w:val="000000"/>
          <w:sz w:val="22"/>
          <w:szCs w:val="22"/>
          <w:lang w:val="en-GB"/>
        </w:rPr>
        <w:t xml:space="preserve">daily </w:t>
      </w:r>
      <w:r w:rsidRPr="003A5EE1">
        <w:rPr>
          <w:rFonts w:ascii="Arial" w:hAnsi="Arial" w:cs="Arial"/>
          <w:snapToGrid w:val="0"/>
          <w:color w:val="000000"/>
          <w:sz w:val="22"/>
          <w:szCs w:val="22"/>
          <w:lang w:val="en-GB"/>
        </w:rPr>
        <w:t xml:space="preserve">dose is 160 mg and contains 2.427 </w:t>
      </w:r>
      <w:proofErr w:type="spellStart"/>
      <w:r w:rsidRPr="003A5EE1">
        <w:rPr>
          <w:rFonts w:ascii="Arial" w:hAnsi="Arial" w:cs="Arial"/>
          <w:snapToGrid w:val="0"/>
          <w:color w:val="000000"/>
          <w:sz w:val="22"/>
          <w:szCs w:val="22"/>
          <w:lang w:val="en-GB"/>
        </w:rPr>
        <w:t>mmol</w:t>
      </w:r>
      <w:proofErr w:type="spellEnd"/>
      <w:r w:rsidRPr="003A5EE1">
        <w:rPr>
          <w:rFonts w:ascii="Arial" w:hAnsi="Arial" w:cs="Arial"/>
          <w:snapToGrid w:val="0"/>
          <w:color w:val="000000"/>
          <w:sz w:val="22"/>
          <w:szCs w:val="22"/>
          <w:lang w:val="en-GB"/>
        </w:rPr>
        <w:t xml:space="preserve"> (equivalent to 55.8 mg) of sodium per daily dose. </w:t>
      </w:r>
    </w:p>
    <w:p w14:paraId="712C2B93" w14:textId="77777777" w:rsidR="00116C14" w:rsidRPr="003A5EE1" w:rsidRDefault="00116C14" w:rsidP="002E54D9">
      <w:pPr>
        <w:pStyle w:val="BayerBodyTextFull"/>
        <w:spacing w:before="0" w:after="0"/>
        <w:rPr>
          <w:rFonts w:ascii="Arial" w:hAnsi="Arial" w:cs="Arial"/>
          <w:snapToGrid w:val="0"/>
          <w:sz w:val="22"/>
          <w:szCs w:val="22"/>
          <w:lang w:val="en-GB"/>
        </w:rPr>
      </w:pPr>
    </w:p>
    <w:p w14:paraId="712C2B94" w14:textId="77777777" w:rsidR="00FE77A5" w:rsidRPr="003A5EE1" w:rsidRDefault="00FE77A5" w:rsidP="002E54D9">
      <w:pPr>
        <w:pStyle w:val="BayerBodyTextFull"/>
        <w:spacing w:before="0" w:after="0"/>
        <w:rPr>
          <w:rFonts w:ascii="Arial" w:hAnsi="Arial" w:cs="Arial"/>
          <w:sz w:val="22"/>
          <w:szCs w:val="22"/>
        </w:rPr>
      </w:pPr>
      <w:r w:rsidRPr="003A5EE1">
        <w:rPr>
          <w:rFonts w:ascii="Arial" w:hAnsi="Arial" w:cs="Arial"/>
          <w:sz w:val="22"/>
          <w:szCs w:val="22"/>
        </w:rPr>
        <w:t xml:space="preserve">If a dose of </w:t>
      </w:r>
      <w:r w:rsidR="00601DFC">
        <w:rPr>
          <w:rFonts w:ascii="Arial" w:hAnsi="Arial" w:cs="Arial"/>
          <w:sz w:val="22"/>
          <w:szCs w:val="22"/>
        </w:rPr>
        <w:t xml:space="preserve">STIVARGA </w:t>
      </w:r>
      <w:r w:rsidRPr="003A5EE1">
        <w:rPr>
          <w:rFonts w:ascii="Arial" w:hAnsi="Arial" w:cs="Arial"/>
          <w:sz w:val="22"/>
          <w:szCs w:val="22"/>
        </w:rPr>
        <w:t>is missed, then it should be taken on the same day as soon as the patient remembers. The patient should not take two doses on the same day to make up for a missed dose.</w:t>
      </w:r>
    </w:p>
    <w:p w14:paraId="712C2B95" w14:textId="77777777" w:rsidR="00116C14" w:rsidRPr="003A5EE1" w:rsidRDefault="00116C14" w:rsidP="002E54D9">
      <w:pPr>
        <w:pStyle w:val="BayerBodyTextFull"/>
        <w:spacing w:before="0" w:after="0"/>
        <w:rPr>
          <w:rFonts w:ascii="Arial" w:hAnsi="Arial" w:cs="Arial"/>
          <w:snapToGrid w:val="0"/>
          <w:sz w:val="22"/>
          <w:szCs w:val="22"/>
          <w:lang w:val="en-GB"/>
        </w:rPr>
      </w:pPr>
    </w:p>
    <w:p w14:paraId="712C2B96" w14:textId="77777777" w:rsidR="0033195B" w:rsidRPr="003A5EE1" w:rsidRDefault="00FE77A5" w:rsidP="002E54D9">
      <w:pPr>
        <w:pStyle w:val="BayerBodyTextFull"/>
        <w:spacing w:before="0" w:after="0"/>
        <w:rPr>
          <w:rFonts w:ascii="Arial" w:hAnsi="Arial" w:cs="Arial"/>
          <w:i/>
          <w:sz w:val="22"/>
          <w:szCs w:val="22"/>
        </w:rPr>
      </w:pPr>
      <w:r w:rsidRPr="003A5EE1">
        <w:rPr>
          <w:rFonts w:ascii="Arial" w:hAnsi="Arial" w:cs="Arial"/>
          <w:sz w:val="22"/>
          <w:szCs w:val="22"/>
        </w:rPr>
        <w:t>Treatment should continue as long as benefit is observed or until unacceptable toxicity occurs (</w:t>
      </w:r>
      <w:r w:rsidR="00493702" w:rsidRPr="003A5EE1">
        <w:rPr>
          <w:rFonts w:ascii="Arial" w:hAnsi="Arial" w:cs="Arial"/>
          <w:sz w:val="22"/>
          <w:szCs w:val="22"/>
        </w:rPr>
        <w:t>see</w:t>
      </w:r>
      <w:r w:rsidR="00116C14" w:rsidRPr="003A5EE1">
        <w:rPr>
          <w:rFonts w:ascii="Arial" w:hAnsi="Arial" w:cs="Arial"/>
          <w:sz w:val="22"/>
          <w:szCs w:val="22"/>
        </w:rPr>
        <w:t xml:space="preserve"> </w:t>
      </w:r>
      <w:r w:rsidR="00F00CDC">
        <w:rPr>
          <w:rFonts w:ascii="Arial" w:hAnsi="Arial" w:cs="Arial"/>
          <w:sz w:val="22"/>
          <w:szCs w:val="22"/>
        </w:rPr>
        <w:t>PRECAUTIONS</w:t>
      </w:r>
      <w:r w:rsidRPr="003A5EE1">
        <w:rPr>
          <w:rFonts w:ascii="Arial" w:hAnsi="Arial" w:cs="Arial"/>
          <w:sz w:val="22"/>
          <w:szCs w:val="22"/>
        </w:rPr>
        <w:t>)</w:t>
      </w:r>
      <w:r w:rsidRPr="003A5EE1">
        <w:rPr>
          <w:rFonts w:ascii="Arial" w:hAnsi="Arial" w:cs="Arial"/>
          <w:i/>
          <w:sz w:val="22"/>
          <w:szCs w:val="22"/>
        </w:rPr>
        <w:t>.</w:t>
      </w:r>
    </w:p>
    <w:p w14:paraId="712C2B97" w14:textId="77777777" w:rsidR="0033195B" w:rsidRPr="003A5EE1" w:rsidRDefault="0033195B" w:rsidP="002E54D9">
      <w:pPr>
        <w:pStyle w:val="BayerBodyTextFull"/>
        <w:spacing w:before="0" w:after="0"/>
        <w:rPr>
          <w:rFonts w:ascii="Arial" w:hAnsi="Arial" w:cs="Arial"/>
          <w:i/>
          <w:sz w:val="22"/>
          <w:szCs w:val="22"/>
        </w:rPr>
      </w:pPr>
    </w:p>
    <w:p w14:paraId="712C2B98" w14:textId="77777777" w:rsidR="00FE77A5" w:rsidRPr="00504EA0" w:rsidRDefault="00FE77A5" w:rsidP="00504EA0">
      <w:pPr>
        <w:pStyle w:val="Heading3"/>
        <w:rPr>
          <w:rFonts w:ascii="Arial" w:hAnsi="Arial" w:cs="Arial"/>
          <w:sz w:val="22"/>
          <w:szCs w:val="22"/>
        </w:rPr>
      </w:pPr>
      <w:r w:rsidRPr="00504EA0">
        <w:rPr>
          <w:rFonts w:ascii="Arial" w:hAnsi="Arial" w:cs="Arial"/>
          <w:sz w:val="22"/>
          <w:szCs w:val="22"/>
        </w:rPr>
        <w:t>Dose modification</w:t>
      </w:r>
      <w:r w:rsidR="00493702" w:rsidRPr="00504EA0">
        <w:rPr>
          <w:rFonts w:ascii="Arial" w:hAnsi="Arial" w:cs="Arial"/>
          <w:sz w:val="22"/>
          <w:szCs w:val="22"/>
        </w:rPr>
        <w:t>/discontinuations</w:t>
      </w:r>
    </w:p>
    <w:p w14:paraId="712C2B99" w14:textId="77777777" w:rsidR="00116C14" w:rsidRPr="003A5EE1" w:rsidRDefault="00116C14" w:rsidP="009B62F1">
      <w:pPr>
        <w:pStyle w:val="BayerBodyTextFull"/>
        <w:keepNext/>
        <w:spacing w:before="0" w:after="0"/>
        <w:rPr>
          <w:rFonts w:ascii="Arial" w:hAnsi="Arial" w:cs="Arial"/>
          <w:b/>
          <w:i/>
          <w:sz w:val="22"/>
          <w:szCs w:val="22"/>
        </w:rPr>
      </w:pPr>
    </w:p>
    <w:p w14:paraId="712C2B9A" w14:textId="77777777" w:rsidR="00FE77A5" w:rsidRDefault="00FE77A5" w:rsidP="009B62F1">
      <w:pPr>
        <w:pStyle w:val="BayerBodyTextFull"/>
        <w:keepNext/>
        <w:spacing w:before="0" w:after="0"/>
        <w:rPr>
          <w:rFonts w:ascii="Arial" w:hAnsi="Arial" w:cs="Arial"/>
          <w:sz w:val="22"/>
          <w:szCs w:val="22"/>
        </w:rPr>
      </w:pPr>
      <w:r w:rsidRPr="003A5EE1">
        <w:rPr>
          <w:rFonts w:ascii="Arial" w:hAnsi="Arial" w:cs="Arial"/>
          <w:sz w:val="22"/>
          <w:szCs w:val="22"/>
        </w:rPr>
        <w:t>Dose interruptions and/or dose reductions</w:t>
      </w:r>
      <w:r w:rsidR="00C51EF6">
        <w:rPr>
          <w:rFonts w:ascii="Arial" w:hAnsi="Arial" w:cs="Arial"/>
          <w:sz w:val="22"/>
          <w:szCs w:val="22"/>
        </w:rPr>
        <w:t xml:space="preserve"> or dose discontinuations</w:t>
      </w:r>
      <w:r w:rsidRPr="003A5EE1">
        <w:rPr>
          <w:rFonts w:ascii="Arial" w:hAnsi="Arial" w:cs="Arial"/>
          <w:sz w:val="22"/>
          <w:szCs w:val="22"/>
        </w:rPr>
        <w:t xml:space="preserve"> may be required based on individual safety and tolerability. Dose modifications are to be applied in 40 mg (one tablet) steps. The lowest recommended daily dose is 80 mg. The maximum daily dose is 160 mg.</w:t>
      </w:r>
    </w:p>
    <w:p w14:paraId="712C2B9B" w14:textId="77777777" w:rsidR="0074770A" w:rsidRDefault="0074770A" w:rsidP="00F34FCB">
      <w:pPr>
        <w:pStyle w:val="BayerBodyTextFull"/>
        <w:spacing w:before="0"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74770A" w:rsidRPr="00304CB3" w14:paraId="712C2B9D" w14:textId="77777777" w:rsidTr="00304CB3">
        <w:tc>
          <w:tcPr>
            <w:tcW w:w="9428" w:type="dxa"/>
            <w:tcBorders>
              <w:left w:val="nil"/>
              <w:right w:val="nil"/>
            </w:tcBorders>
            <w:shd w:val="pct12" w:color="auto" w:fill="auto"/>
          </w:tcPr>
          <w:p w14:paraId="712C2B9C"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 xml:space="preserve">Discontinue </w:t>
            </w:r>
            <w:r w:rsidR="00601DFC">
              <w:rPr>
                <w:rFonts w:ascii="Arial" w:hAnsi="Arial" w:cs="Arial"/>
                <w:sz w:val="22"/>
                <w:szCs w:val="22"/>
              </w:rPr>
              <w:t xml:space="preserve">STIVARGA </w:t>
            </w:r>
            <w:r w:rsidRPr="00304CB3">
              <w:rPr>
                <w:rFonts w:ascii="Arial" w:hAnsi="Arial" w:cs="Arial"/>
                <w:sz w:val="22"/>
                <w:szCs w:val="22"/>
              </w:rPr>
              <w:t xml:space="preserve">permanently for (see </w:t>
            </w:r>
            <w:r w:rsidR="00F00CDC">
              <w:rPr>
                <w:rFonts w:ascii="Arial" w:hAnsi="Arial" w:cs="Arial"/>
                <w:sz w:val="22"/>
                <w:szCs w:val="22"/>
              </w:rPr>
              <w:t>PRECAUTIONS</w:t>
            </w:r>
            <w:r w:rsidRPr="00304CB3">
              <w:rPr>
                <w:rFonts w:ascii="Arial" w:hAnsi="Arial" w:cs="Arial"/>
                <w:sz w:val="22"/>
                <w:szCs w:val="22"/>
              </w:rPr>
              <w:t>):</w:t>
            </w:r>
          </w:p>
        </w:tc>
      </w:tr>
      <w:tr w:rsidR="0074770A" w:rsidRPr="00304CB3" w14:paraId="712C2BAA" w14:textId="77777777" w:rsidTr="00304CB3">
        <w:tc>
          <w:tcPr>
            <w:tcW w:w="9428" w:type="dxa"/>
            <w:tcBorders>
              <w:left w:val="nil"/>
              <w:bottom w:val="single" w:sz="4" w:space="0" w:color="auto"/>
              <w:right w:val="nil"/>
            </w:tcBorders>
            <w:shd w:val="clear" w:color="auto" w:fill="auto"/>
          </w:tcPr>
          <w:p w14:paraId="712C2B9E" w14:textId="77777777" w:rsidR="0074770A"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Severe and persistent hepatotoxicity</w:t>
            </w:r>
          </w:p>
          <w:p w14:paraId="712C2B9F" w14:textId="77777777"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 xml:space="preserve">Severe or life-threatening </w:t>
            </w:r>
            <w:proofErr w:type="spellStart"/>
            <w:r w:rsidRPr="00304CB3">
              <w:rPr>
                <w:rFonts w:ascii="Arial" w:hAnsi="Arial" w:cs="Arial"/>
                <w:sz w:val="22"/>
                <w:szCs w:val="22"/>
              </w:rPr>
              <w:t>haemorrhage</w:t>
            </w:r>
            <w:proofErr w:type="spellEnd"/>
          </w:p>
          <w:p w14:paraId="712C2BA0" w14:textId="77777777"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Severe and persistent HFSR</w:t>
            </w:r>
          </w:p>
          <w:p w14:paraId="712C2BA1" w14:textId="77777777"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Hypertensive crisis</w:t>
            </w:r>
          </w:p>
          <w:p w14:paraId="712C2BA2" w14:textId="77777777"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RPLS</w:t>
            </w:r>
          </w:p>
          <w:p w14:paraId="712C2BA3" w14:textId="77777777" w:rsidR="0074770A"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Gastrointestinal perforation or fistula</w:t>
            </w:r>
          </w:p>
          <w:p w14:paraId="712C2BA4" w14:textId="77777777" w:rsidR="003C449E" w:rsidRDefault="003C449E" w:rsidP="009B62F1">
            <w:pPr>
              <w:pStyle w:val="BayerBodyTextFull"/>
              <w:numPr>
                <w:ilvl w:val="0"/>
                <w:numId w:val="32"/>
              </w:numPr>
              <w:tabs>
                <w:tab w:val="left" w:pos="567"/>
              </w:tabs>
              <w:spacing w:before="0" w:after="0" w:line="260" w:lineRule="exact"/>
              <w:rPr>
                <w:rFonts w:ascii="Arial" w:hAnsi="Arial" w:cs="Arial"/>
                <w:sz w:val="22"/>
                <w:szCs w:val="22"/>
              </w:rPr>
            </w:pPr>
            <w:r>
              <w:rPr>
                <w:rFonts w:ascii="Arial" w:hAnsi="Arial" w:cs="Arial"/>
                <w:sz w:val="22"/>
                <w:szCs w:val="22"/>
              </w:rPr>
              <w:t xml:space="preserve">Development of new or acute onset cardiac </w:t>
            </w:r>
            <w:proofErr w:type="spellStart"/>
            <w:r>
              <w:rPr>
                <w:rFonts w:ascii="Arial" w:hAnsi="Arial" w:cs="Arial"/>
                <w:sz w:val="22"/>
                <w:szCs w:val="22"/>
              </w:rPr>
              <w:t>ischaemia</w:t>
            </w:r>
            <w:proofErr w:type="spellEnd"/>
            <w:r>
              <w:rPr>
                <w:rFonts w:ascii="Arial" w:hAnsi="Arial" w:cs="Arial"/>
                <w:sz w:val="22"/>
                <w:szCs w:val="22"/>
              </w:rPr>
              <w:t xml:space="preserve"> and/or infarction if not resolved after interruption </w:t>
            </w:r>
          </w:p>
          <w:p w14:paraId="712C2BA5" w14:textId="77777777" w:rsidR="0074770A" w:rsidRPr="00304CB3" w:rsidRDefault="0074770A" w:rsidP="009B62F1">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Wound dehiscence</w:t>
            </w:r>
          </w:p>
          <w:p w14:paraId="712C2BA6" w14:textId="77777777" w:rsidR="0074770A" w:rsidRPr="00304CB3" w:rsidRDefault="0074770A" w:rsidP="009B62F1">
            <w:pPr>
              <w:numPr>
                <w:ilvl w:val="0"/>
                <w:numId w:val="32"/>
              </w:numPr>
              <w:tabs>
                <w:tab w:val="left" w:pos="567"/>
              </w:tabs>
              <w:autoSpaceDE w:val="0"/>
              <w:autoSpaceDN w:val="0"/>
              <w:adjustRightInd w:val="0"/>
              <w:spacing w:line="260" w:lineRule="exact"/>
              <w:rPr>
                <w:rFonts w:ascii="Arial" w:hAnsi="Arial" w:cs="Arial"/>
                <w:bCs/>
                <w:color w:val="000000"/>
                <w:sz w:val="22"/>
                <w:szCs w:val="22"/>
                <w:lang w:val="en-AU" w:eastAsia="en-AU"/>
              </w:rPr>
            </w:pPr>
            <w:r w:rsidRPr="00304CB3">
              <w:rPr>
                <w:rFonts w:ascii="Arial" w:hAnsi="Arial" w:cs="Arial"/>
                <w:sz w:val="22"/>
                <w:szCs w:val="22"/>
                <w:lang w:val="en-AU" w:eastAsia="en-AU"/>
              </w:rPr>
              <w:t xml:space="preserve">Significant </w:t>
            </w:r>
            <w:r w:rsidRPr="00304CB3">
              <w:rPr>
                <w:rFonts w:ascii="Arial" w:hAnsi="Arial" w:cs="Arial"/>
                <w:bCs/>
                <w:color w:val="000000"/>
                <w:sz w:val="22"/>
                <w:szCs w:val="22"/>
                <w:lang w:val="en-AU" w:eastAsia="en-AU"/>
              </w:rPr>
              <w:t xml:space="preserve">biochemical and metabolic abnormalities </w:t>
            </w:r>
          </w:p>
          <w:p w14:paraId="712C2BA7" w14:textId="77777777"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lang w:val="en-AU" w:eastAsia="en-AU"/>
              </w:rPr>
              <w:t>Failure to tolerate 80 mg dose</w:t>
            </w:r>
          </w:p>
          <w:p w14:paraId="712C2BA8" w14:textId="77777777"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lang w:val="en-AU" w:eastAsia="en-AU"/>
              </w:rPr>
              <w:t>For any Grade 4 adverse reaction; only resume if the potential benefit outweighs the risks</w:t>
            </w:r>
          </w:p>
          <w:p w14:paraId="712C2BA9"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14:paraId="712C2BAC" w14:textId="77777777" w:rsidTr="00304CB3">
        <w:tc>
          <w:tcPr>
            <w:tcW w:w="9428" w:type="dxa"/>
            <w:tcBorders>
              <w:left w:val="nil"/>
              <w:right w:val="nil"/>
            </w:tcBorders>
            <w:shd w:val="pct12" w:color="auto" w:fill="auto"/>
          </w:tcPr>
          <w:p w14:paraId="712C2BAB" w14:textId="77777777" w:rsidR="0074770A" w:rsidRPr="00304CB3" w:rsidRDefault="0074770A" w:rsidP="00304CB3">
            <w:pPr>
              <w:pStyle w:val="BayerBodyTextFull"/>
              <w:keepNext/>
              <w:tabs>
                <w:tab w:val="left" w:pos="567"/>
              </w:tabs>
              <w:spacing w:before="0" w:after="0" w:line="260" w:lineRule="exact"/>
              <w:rPr>
                <w:rFonts w:ascii="Arial" w:hAnsi="Arial" w:cs="Arial"/>
                <w:sz w:val="22"/>
                <w:szCs w:val="22"/>
              </w:rPr>
            </w:pPr>
            <w:r w:rsidRPr="00304CB3">
              <w:rPr>
                <w:rFonts w:ascii="Arial" w:hAnsi="Arial" w:cs="Arial"/>
                <w:sz w:val="22"/>
                <w:szCs w:val="22"/>
              </w:rPr>
              <w:t xml:space="preserve">Interrupt </w:t>
            </w:r>
            <w:r w:rsidR="00601DFC">
              <w:rPr>
                <w:rFonts w:ascii="Arial" w:hAnsi="Arial" w:cs="Arial"/>
                <w:sz w:val="22"/>
                <w:szCs w:val="22"/>
              </w:rPr>
              <w:t xml:space="preserve">STIVARGA </w:t>
            </w:r>
            <w:r w:rsidRPr="00304CB3">
              <w:rPr>
                <w:rFonts w:ascii="Arial" w:hAnsi="Arial" w:cs="Arial"/>
                <w:sz w:val="22"/>
                <w:szCs w:val="22"/>
              </w:rPr>
              <w:t>for the following:</w:t>
            </w:r>
          </w:p>
        </w:tc>
      </w:tr>
      <w:tr w:rsidR="0074770A" w:rsidRPr="00304CB3" w14:paraId="712C2BB1" w14:textId="77777777" w:rsidTr="00304CB3">
        <w:tc>
          <w:tcPr>
            <w:tcW w:w="9428" w:type="dxa"/>
            <w:tcBorders>
              <w:left w:val="nil"/>
              <w:bottom w:val="nil"/>
              <w:right w:val="nil"/>
            </w:tcBorders>
            <w:shd w:val="clear" w:color="auto" w:fill="auto"/>
          </w:tcPr>
          <w:p w14:paraId="712C2BAD" w14:textId="77777777" w:rsidR="0074770A" w:rsidRPr="00304CB3" w:rsidRDefault="0074770A" w:rsidP="003C449E">
            <w:pPr>
              <w:numPr>
                <w:ilvl w:val="0"/>
                <w:numId w:val="33"/>
              </w:numPr>
              <w:tabs>
                <w:tab w:val="left" w:pos="567"/>
              </w:tabs>
              <w:autoSpaceDE w:val="0"/>
              <w:autoSpaceDN w:val="0"/>
              <w:adjustRightInd w:val="0"/>
              <w:spacing w:line="260" w:lineRule="exact"/>
              <w:rPr>
                <w:rFonts w:ascii="Arial" w:hAnsi="Arial" w:cs="Arial"/>
                <w:sz w:val="22"/>
                <w:szCs w:val="22"/>
                <w:lang w:val="en-AU" w:eastAsia="en-AU"/>
              </w:rPr>
            </w:pPr>
            <w:r w:rsidRPr="00304CB3">
              <w:rPr>
                <w:rFonts w:ascii="Arial" w:hAnsi="Arial" w:cs="Arial"/>
                <w:sz w:val="22"/>
                <w:szCs w:val="22"/>
                <w:lang w:val="en-AU" w:eastAsia="en-AU"/>
              </w:rPr>
              <w:t>Symptomatic Grade 2 hypertension</w:t>
            </w:r>
          </w:p>
          <w:p w14:paraId="712C2BAE" w14:textId="77777777" w:rsidR="0074770A" w:rsidRPr="0047783E" w:rsidRDefault="0074770A" w:rsidP="003C449E">
            <w:pPr>
              <w:pStyle w:val="BayerBodyTextFull"/>
              <w:numPr>
                <w:ilvl w:val="0"/>
                <w:numId w:val="33"/>
              </w:numPr>
              <w:tabs>
                <w:tab w:val="left" w:pos="567"/>
              </w:tabs>
              <w:spacing w:before="0" w:after="0" w:line="260" w:lineRule="exact"/>
              <w:rPr>
                <w:rFonts w:ascii="Arial" w:hAnsi="Arial" w:cs="Arial"/>
                <w:sz w:val="22"/>
                <w:szCs w:val="22"/>
              </w:rPr>
            </w:pPr>
            <w:r w:rsidRPr="00304CB3">
              <w:rPr>
                <w:rFonts w:ascii="Arial" w:hAnsi="Arial" w:cs="Arial"/>
                <w:sz w:val="22"/>
                <w:szCs w:val="22"/>
                <w:lang w:val="en-AU" w:eastAsia="en-AU"/>
              </w:rPr>
              <w:t>Any Grade 3 or 4 adverse reaction</w:t>
            </w:r>
          </w:p>
          <w:p w14:paraId="712C2BAF" w14:textId="77777777" w:rsidR="003C449E" w:rsidRPr="0047783E" w:rsidRDefault="00082837" w:rsidP="003C449E">
            <w:pPr>
              <w:pStyle w:val="BayerBodyTextFull"/>
              <w:numPr>
                <w:ilvl w:val="0"/>
                <w:numId w:val="33"/>
              </w:numPr>
              <w:tabs>
                <w:tab w:val="left" w:pos="567"/>
              </w:tabs>
              <w:spacing w:before="0" w:after="0" w:line="260" w:lineRule="exact"/>
              <w:rPr>
                <w:rFonts w:ascii="Arial" w:hAnsi="Arial" w:cs="Arial"/>
                <w:sz w:val="22"/>
                <w:szCs w:val="22"/>
              </w:rPr>
            </w:pPr>
            <w:r>
              <w:rPr>
                <w:rFonts w:ascii="Arial" w:hAnsi="Arial" w:cs="Arial"/>
                <w:sz w:val="22"/>
                <w:szCs w:val="22"/>
                <w:lang w:val="en-AU" w:eastAsia="en-AU"/>
              </w:rPr>
              <w:t>S</w:t>
            </w:r>
            <w:r w:rsidR="003C449E">
              <w:rPr>
                <w:rFonts w:ascii="Arial" w:hAnsi="Arial" w:cs="Arial"/>
                <w:sz w:val="22"/>
                <w:szCs w:val="22"/>
                <w:lang w:val="en-AU" w:eastAsia="en-AU"/>
              </w:rPr>
              <w:t>urgical procedures</w:t>
            </w:r>
          </w:p>
          <w:p w14:paraId="712C2BB0" w14:textId="77777777" w:rsidR="003C449E" w:rsidRPr="00304CB3" w:rsidRDefault="003C449E" w:rsidP="003C449E">
            <w:pPr>
              <w:pStyle w:val="BayerBodyTextFull"/>
              <w:numPr>
                <w:ilvl w:val="0"/>
                <w:numId w:val="33"/>
              </w:numPr>
              <w:tabs>
                <w:tab w:val="left" w:pos="567"/>
              </w:tabs>
              <w:spacing w:before="0" w:after="0" w:line="260" w:lineRule="exact"/>
              <w:rPr>
                <w:rFonts w:ascii="Arial" w:hAnsi="Arial" w:cs="Arial"/>
                <w:sz w:val="22"/>
                <w:szCs w:val="22"/>
              </w:rPr>
            </w:pPr>
            <w:r>
              <w:rPr>
                <w:rFonts w:ascii="Arial" w:hAnsi="Arial" w:cs="Arial"/>
                <w:sz w:val="22"/>
                <w:szCs w:val="22"/>
              </w:rPr>
              <w:t xml:space="preserve">Development of new or acute onset cardiac </w:t>
            </w:r>
            <w:proofErr w:type="spellStart"/>
            <w:r>
              <w:rPr>
                <w:rFonts w:ascii="Arial" w:hAnsi="Arial" w:cs="Arial"/>
                <w:sz w:val="22"/>
                <w:szCs w:val="22"/>
              </w:rPr>
              <w:t>ischaemia</w:t>
            </w:r>
            <w:proofErr w:type="spellEnd"/>
            <w:r>
              <w:rPr>
                <w:rFonts w:ascii="Arial" w:hAnsi="Arial" w:cs="Arial"/>
                <w:sz w:val="22"/>
                <w:szCs w:val="22"/>
              </w:rPr>
              <w:t xml:space="preserve"> and/or infarction</w:t>
            </w:r>
          </w:p>
        </w:tc>
      </w:tr>
      <w:tr w:rsidR="0074770A" w:rsidRPr="00304CB3" w14:paraId="712C2BB3" w14:textId="77777777" w:rsidTr="00304CB3">
        <w:tc>
          <w:tcPr>
            <w:tcW w:w="9428" w:type="dxa"/>
            <w:tcBorders>
              <w:top w:val="nil"/>
              <w:left w:val="nil"/>
              <w:bottom w:val="single" w:sz="4" w:space="0" w:color="auto"/>
              <w:right w:val="nil"/>
            </w:tcBorders>
            <w:shd w:val="clear" w:color="auto" w:fill="auto"/>
          </w:tcPr>
          <w:p w14:paraId="712C2BB2"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14:paraId="712C2BB5" w14:textId="77777777" w:rsidTr="00304CB3">
        <w:tc>
          <w:tcPr>
            <w:tcW w:w="9428" w:type="dxa"/>
            <w:tcBorders>
              <w:left w:val="nil"/>
              <w:bottom w:val="single" w:sz="4" w:space="0" w:color="auto"/>
              <w:right w:val="nil"/>
            </w:tcBorders>
            <w:shd w:val="pct12" w:color="auto" w:fill="auto"/>
          </w:tcPr>
          <w:p w14:paraId="712C2BB4"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 xml:space="preserve">Reduce the dose of </w:t>
            </w:r>
            <w:r w:rsidR="00601DFC">
              <w:rPr>
                <w:rFonts w:ascii="Arial" w:hAnsi="Arial" w:cs="Arial"/>
                <w:sz w:val="22"/>
                <w:szCs w:val="22"/>
              </w:rPr>
              <w:t xml:space="preserve">STIVARGA </w:t>
            </w:r>
            <w:r w:rsidRPr="00304CB3">
              <w:rPr>
                <w:rFonts w:ascii="Arial" w:hAnsi="Arial" w:cs="Arial"/>
                <w:sz w:val="22"/>
                <w:szCs w:val="22"/>
              </w:rPr>
              <w:t>to 120 mg:</w:t>
            </w:r>
          </w:p>
        </w:tc>
      </w:tr>
      <w:tr w:rsidR="0074770A" w:rsidRPr="00304CB3" w14:paraId="712C2BB7" w14:textId="77777777" w:rsidTr="00304CB3">
        <w:tc>
          <w:tcPr>
            <w:tcW w:w="9428" w:type="dxa"/>
            <w:tcBorders>
              <w:top w:val="single" w:sz="4" w:space="0" w:color="auto"/>
              <w:left w:val="nil"/>
              <w:bottom w:val="nil"/>
              <w:right w:val="nil"/>
            </w:tcBorders>
            <w:shd w:val="clear" w:color="auto" w:fill="auto"/>
          </w:tcPr>
          <w:p w14:paraId="712C2BB6" w14:textId="77777777" w:rsidR="0074770A" w:rsidRPr="00304CB3" w:rsidRDefault="0074770A" w:rsidP="00304CB3">
            <w:pPr>
              <w:pStyle w:val="BayerBodyTextFull"/>
              <w:numPr>
                <w:ilvl w:val="0"/>
                <w:numId w:val="35"/>
              </w:numPr>
              <w:tabs>
                <w:tab w:val="left" w:pos="567"/>
              </w:tabs>
              <w:spacing w:before="0" w:after="0" w:line="260" w:lineRule="exact"/>
              <w:rPr>
                <w:rFonts w:ascii="Arial" w:hAnsi="Arial" w:cs="Arial"/>
                <w:sz w:val="22"/>
                <w:szCs w:val="22"/>
              </w:rPr>
            </w:pPr>
            <w:r w:rsidRPr="00304CB3">
              <w:rPr>
                <w:rFonts w:ascii="Arial" w:hAnsi="Arial" w:cs="Arial"/>
                <w:sz w:val="22"/>
                <w:szCs w:val="22"/>
              </w:rPr>
              <w:t>After recovery of any Grade 3 or 4 adverse reaction</w:t>
            </w:r>
          </w:p>
        </w:tc>
      </w:tr>
      <w:tr w:rsidR="0074770A" w:rsidRPr="00304CB3" w14:paraId="712C2BB9" w14:textId="77777777" w:rsidTr="00304CB3">
        <w:tc>
          <w:tcPr>
            <w:tcW w:w="9428" w:type="dxa"/>
            <w:tcBorders>
              <w:top w:val="nil"/>
              <w:left w:val="nil"/>
              <w:bottom w:val="single" w:sz="4" w:space="0" w:color="auto"/>
              <w:right w:val="nil"/>
            </w:tcBorders>
            <w:shd w:val="clear" w:color="auto" w:fill="auto"/>
          </w:tcPr>
          <w:p w14:paraId="712C2BB8"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14:paraId="712C2BBB" w14:textId="77777777" w:rsidTr="00304CB3">
        <w:tc>
          <w:tcPr>
            <w:tcW w:w="9428" w:type="dxa"/>
            <w:tcBorders>
              <w:top w:val="single" w:sz="4" w:space="0" w:color="auto"/>
              <w:left w:val="nil"/>
              <w:right w:val="nil"/>
            </w:tcBorders>
            <w:shd w:val="pct12" w:color="auto" w:fill="auto"/>
          </w:tcPr>
          <w:p w14:paraId="712C2BBA"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 xml:space="preserve">Reduce the dose of </w:t>
            </w:r>
            <w:r w:rsidR="00601DFC">
              <w:rPr>
                <w:rFonts w:ascii="Arial" w:hAnsi="Arial" w:cs="Arial"/>
                <w:sz w:val="22"/>
                <w:szCs w:val="22"/>
              </w:rPr>
              <w:t xml:space="preserve">STIVARGA </w:t>
            </w:r>
            <w:r w:rsidRPr="00304CB3">
              <w:rPr>
                <w:rFonts w:ascii="Arial" w:hAnsi="Arial" w:cs="Arial"/>
                <w:sz w:val="22"/>
                <w:szCs w:val="22"/>
              </w:rPr>
              <w:t>to 80 mg:</w:t>
            </w:r>
          </w:p>
        </w:tc>
      </w:tr>
      <w:tr w:rsidR="0074770A" w:rsidRPr="00304CB3" w14:paraId="712C2BBD" w14:textId="77777777" w:rsidTr="00304CB3">
        <w:tc>
          <w:tcPr>
            <w:tcW w:w="9428" w:type="dxa"/>
            <w:tcBorders>
              <w:left w:val="nil"/>
              <w:bottom w:val="nil"/>
              <w:right w:val="nil"/>
            </w:tcBorders>
            <w:shd w:val="clear" w:color="auto" w:fill="auto"/>
          </w:tcPr>
          <w:p w14:paraId="712C2BBC" w14:textId="77777777" w:rsidR="0074770A" w:rsidRPr="00304CB3" w:rsidRDefault="0074770A" w:rsidP="00304CB3">
            <w:pPr>
              <w:pStyle w:val="BayerBodyTextFull"/>
              <w:numPr>
                <w:ilvl w:val="0"/>
                <w:numId w:val="35"/>
              </w:numPr>
              <w:tabs>
                <w:tab w:val="left" w:pos="567"/>
              </w:tabs>
              <w:spacing w:before="0" w:after="0" w:line="260" w:lineRule="exact"/>
              <w:rPr>
                <w:rFonts w:ascii="Arial" w:hAnsi="Arial" w:cs="Arial"/>
                <w:sz w:val="22"/>
                <w:szCs w:val="22"/>
              </w:rPr>
            </w:pPr>
            <w:r w:rsidRPr="00304CB3">
              <w:rPr>
                <w:rFonts w:ascii="Arial" w:hAnsi="Arial" w:cs="Arial"/>
                <w:sz w:val="22"/>
                <w:szCs w:val="22"/>
              </w:rPr>
              <w:t>After recovery of any Grade 3 or 4 adverse reaction at the 120 mg dose (except hepa</w:t>
            </w:r>
            <w:r w:rsidR="0047783E">
              <w:rPr>
                <w:rFonts w:ascii="Arial" w:hAnsi="Arial" w:cs="Arial"/>
                <w:sz w:val="22"/>
                <w:szCs w:val="22"/>
              </w:rPr>
              <w:t>to</w:t>
            </w:r>
            <w:r w:rsidRPr="00304CB3">
              <w:rPr>
                <w:rFonts w:ascii="Arial" w:hAnsi="Arial" w:cs="Arial"/>
                <w:sz w:val="22"/>
                <w:szCs w:val="22"/>
              </w:rPr>
              <w:t>toxicity)</w:t>
            </w:r>
          </w:p>
        </w:tc>
      </w:tr>
    </w:tbl>
    <w:p w14:paraId="712C2BBE" w14:textId="77777777" w:rsidR="00415012" w:rsidRPr="00592429" w:rsidRDefault="00415012" w:rsidP="00C32BA7">
      <w:pPr>
        <w:pStyle w:val="BayerBodyTextFull"/>
        <w:spacing w:before="0" w:after="0"/>
        <w:rPr>
          <w:rFonts w:ascii="Arial" w:hAnsi="Arial" w:cs="Arial"/>
          <w:sz w:val="22"/>
          <w:szCs w:val="22"/>
        </w:rPr>
      </w:pPr>
    </w:p>
    <w:p w14:paraId="712C2BBF" w14:textId="77777777" w:rsidR="00FE77A5" w:rsidRPr="003A5EE1" w:rsidRDefault="00FE77A5" w:rsidP="00F34FCB">
      <w:pPr>
        <w:pStyle w:val="BayerBodyTextFull"/>
        <w:spacing w:before="0" w:after="0"/>
        <w:rPr>
          <w:rFonts w:ascii="Arial" w:hAnsi="Arial" w:cs="Arial"/>
          <w:sz w:val="22"/>
          <w:szCs w:val="22"/>
        </w:rPr>
      </w:pPr>
      <w:r w:rsidRPr="003A5EE1">
        <w:rPr>
          <w:rFonts w:ascii="Arial" w:hAnsi="Arial" w:cs="Arial"/>
          <w:sz w:val="22"/>
          <w:szCs w:val="22"/>
        </w:rPr>
        <w:t xml:space="preserve">For </w:t>
      </w:r>
      <w:r w:rsidR="00BB3DF3" w:rsidRPr="003A5EE1">
        <w:rPr>
          <w:rFonts w:ascii="Arial" w:hAnsi="Arial" w:cs="Arial"/>
          <w:sz w:val="22"/>
          <w:szCs w:val="22"/>
        </w:rPr>
        <w:t xml:space="preserve">recommended </w:t>
      </w:r>
      <w:r w:rsidRPr="003A5EE1">
        <w:rPr>
          <w:rFonts w:ascii="Arial" w:hAnsi="Arial" w:cs="Arial"/>
          <w:sz w:val="22"/>
          <w:szCs w:val="22"/>
        </w:rPr>
        <w:t xml:space="preserve">dose modifications and measures in case of hand-foot skin reaction (HFSR/palmar-plantar </w:t>
      </w:r>
      <w:proofErr w:type="spellStart"/>
      <w:r w:rsidRPr="003A5EE1">
        <w:rPr>
          <w:rFonts w:ascii="Arial" w:hAnsi="Arial" w:cs="Arial"/>
          <w:sz w:val="22"/>
          <w:szCs w:val="22"/>
        </w:rPr>
        <w:t>erythrody</w:t>
      </w:r>
      <w:bookmarkStart w:id="9" w:name="_GoBack"/>
      <w:bookmarkEnd w:id="9"/>
      <w:r w:rsidRPr="003A5EE1">
        <w:rPr>
          <w:rFonts w:ascii="Arial" w:hAnsi="Arial" w:cs="Arial"/>
          <w:sz w:val="22"/>
          <w:szCs w:val="22"/>
        </w:rPr>
        <w:t>sesthesia</w:t>
      </w:r>
      <w:proofErr w:type="spellEnd"/>
      <w:r w:rsidRPr="003A5EE1">
        <w:rPr>
          <w:rFonts w:ascii="Arial" w:hAnsi="Arial" w:cs="Arial"/>
          <w:sz w:val="22"/>
          <w:szCs w:val="22"/>
        </w:rPr>
        <w:t xml:space="preserve"> syndrome</w:t>
      </w:r>
      <w:r w:rsidR="00520D28">
        <w:rPr>
          <w:rFonts w:ascii="Arial" w:hAnsi="Arial" w:cs="Arial"/>
          <w:sz w:val="22"/>
          <w:szCs w:val="22"/>
        </w:rPr>
        <w:t xml:space="preserve"> (PPE)</w:t>
      </w:r>
      <w:r w:rsidRPr="003A5EE1">
        <w:rPr>
          <w:rFonts w:ascii="Arial" w:hAnsi="Arial" w:cs="Arial"/>
          <w:sz w:val="22"/>
          <w:szCs w:val="22"/>
        </w:rPr>
        <w:t>) see</w:t>
      </w:r>
      <w:r w:rsidR="007E4AA5" w:rsidRPr="003A5EE1">
        <w:rPr>
          <w:rFonts w:ascii="Arial" w:hAnsi="Arial" w:cs="Arial"/>
          <w:sz w:val="22"/>
          <w:szCs w:val="22"/>
        </w:rPr>
        <w:t xml:space="preserve"> Table </w:t>
      </w:r>
      <w:r w:rsidR="009C178C">
        <w:rPr>
          <w:rFonts w:ascii="Arial" w:hAnsi="Arial" w:cs="Arial"/>
          <w:sz w:val="22"/>
          <w:szCs w:val="22"/>
        </w:rPr>
        <w:t>8</w:t>
      </w:r>
      <w:r w:rsidRPr="003A5EE1">
        <w:rPr>
          <w:rFonts w:ascii="Arial" w:hAnsi="Arial" w:cs="Arial"/>
          <w:sz w:val="22"/>
          <w:szCs w:val="22"/>
        </w:rPr>
        <w:t>.</w:t>
      </w:r>
    </w:p>
    <w:p w14:paraId="712C2BC0" w14:textId="77777777" w:rsidR="00FE77A5" w:rsidRPr="003A5EE1" w:rsidRDefault="00FE77A5" w:rsidP="00BE4D21">
      <w:pPr>
        <w:pStyle w:val="Caption"/>
        <w:keepNext/>
      </w:pPr>
      <w:bookmarkStart w:id="10" w:name="table1"/>
      <w:r w:rsidRPr="003A5EE1">
        <w:rPr>
          <w:rFonts w:ascii="Arial" w:hAnsi="Arial" w:cs="Arial"/>
          <w:bCs w:val="0"/>
          <w:sz w:val="22"/>
          <w:szCs w:val="22"/>
        </w:rPr>
        <w:lastRenderedPageBreak/>
        <w:t xml:space="preserve">Table </w:t>
      </w:r>
      <w:r w:rsidR="009C178C">
        <w:rPr>
          <w:rFonts w:ascii="Arial" w:hAnsi="Arial" w:cs="Arial"/>
          <w:bCs w:val="0"/>
          <w:sz w:val="22"/>
          <w:szCs w:val="22"/>
        </w:rPr>
        <w:t>8</w:t>
      </w:r>
      <w:r w:rsidRPr="003A5EE1">
        <w:rPr>
          <w:rFonts w:ascii="Arial" w:hAnsi="Arial" w:cs="Arial"/>
          <w:bCs w:val="0"/>
          <w:sz w:val="22"/>
          <w:szCs w:val="22"/>
        </w:rPr>
        <w:t>: Recommended dose modifications and measures for HFSR</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68"/>
        <w:gridCol w:w="1984"/>
        <w:gridCol w:w="5954"/>
      </w:tblGrid>
      <w:tr w:rsidR="00FE77A5" w:rsidRPr="003A5EE1" w14:paraId="712C2BC5" w14:textId="77777777" w:rsidTr="006603B9">
        <w:trPr>
          <w:cantSplit/>
          <w:tblHeader/>
        </w:trPr>
        <w:tc>
          <w:tcPr>
            <w:tcW w:w="1668" w:type="dxa"/>
          </w:tcPr>
          <w:bookmarkEnd w:id="10"/>
          <w:p w14:paraId="712C2BC1" w14:textId="77777777" w:rsidR="00FE77A5" w:rsidRPr="003A5EE1" w:rsidRDefault="00FE77A5" w:rsidP="00BE4D21">
            <w:pPr>
              <w:pStyle w:val="BayerTableColumnHeadings"/>
              <w:keepNext/>
              <w:widowControl w:val="0"/>
              <w:rPr>
                <w:rFonts w:ascii="Arial" w:hAnsi="Arial" w:cs="Arial"/>
                <w:szCs w:val="22"/>
              </w:rPr>
            </w:pPr>
            <w:r w:rsidRPr="003A5EE1">
              <w:rPr>
                <w:rFonts w:ascii="Arial" w:hAnsi="Arial" w:cs="Arial"/>
                <w:szCs w:val="22"/>
              </w:rPr>
              <w:t>Skin toxicity grade</w:t>
            </w:r>
          </w:p>
        </w:tc>
        <w:tc>
          <w:tcPr>
            <w:tcW w:w="1984" w:type="dxa"/>
          </w:tcPr>
          <w:p w14:paraId="712C2BC2" w14:textId="77777777" w:rsidR="00FE77A5" w:rsidRPr="003A5EE1" w:rsidRDefault="00FE77A5" w:rsidP="00BE4D21">
            <w:pPr>
              <w:pStyle w:val="BayerTableColumnHeadings"/>
              <w:keepNext/>
              <w:widowControl w:val="0"/>
              <w:rPr>
                <w:rFonts w:ascii="Arial" w:hAnsi="Arial" w:cs="Arial"/>
                <w:szCs w:val="22"/>
              </w:rPr>
            </w:pPr>
            <w:r w:rsidRPr="003A5EE1">
              <w:rPr>
                <w:rFonts w:ascii="Arial" w:hAnsi="Arial" w:cs="Arial"/>
                <w:szCs w:val="22"/>
              </w:rPr>
              <w:t>Occurrence</w:t>
            </w:r>
          </w:p>
        </w:tc>
        <w:tc>
          <w:tcPr>
            <w:tcW w:w="5954" w:type="dxa"/>
          </w:tcPr>
          <w:p w14:paraId="712C2BC3" w14:textId="77777777" w:rsidR="00FE77A5" w:rsidRPr="003A5EE1" w:rsidRDefault="00FE77A5" w:rsidP="00BE4D21">
            <w:pPr>
              <w:pStyle w:val="BayerTableColumnHeadings"/>
              <w:keepNext/>
              <w:widowControl w:val="0"/>
              <w:rPr>
                <w:rFonts w:ascii="Arial" w:hAnsi="Arial" w:cs="Arial"/>
                <w:szCs w:val="22"/>
              </w:rPr>
            </w:pPr>
            <w:r w:rsidRPr="003A5EE1">
              <w:rPr>
                <w:rFonts w:ascii="Arial" w:hAnsi="Arial" w:cs="Arial"/>
                <w:szCs w:val="22"/>
              </w:rPr>
              <w:t>Recommended dose modification and measures</w:t>
            </w:r>
          </w:p>
          <w:p w14:paraId="712C2BC4" w14:textId="77777777" w:rsidR="00FE77A5" w:rsidRPr="003A5EE1" w:rsidRDefault="00FE77A5" w:rsidP="00BE4D21">
            <w:pPr>
              <w:pStyle w:val="BayerTableColumnHeadings"/>
              <w:keepNext/>
              <w:widowControl w:val="0"/>
              <w:rPr>
                <w:rFonts w:ascii="Arial" w:hAnsi="Arial" w:cs="Arial"/>
                <w:szCs w:val="22"/>
              </w:rPr>
            </w:pPr>
          </w:p>
        </w:tc>
      </w:tr>
      <w:tr w:rsidR="00FE77A5" w:rsidRPr="003A5EE1" w14:paraId="712C2BC9" w14:textId="77777777" w:rsidTr="006603B9">
        <w:trPr>
          <w:cantSplit/>
        </w:trPr>
        <w:tc>
          <w:tcPr>
            <w:tcW w:w="1668" w:type="dxa"/>
            <w:tcBorders>
              <w:bottom w:val="single" w:sz="6" w:space="0" w:color="000000"/>
            </w:tcBorders>
          </w:tcPr>
          <w:p w14:paraId="712C2BC6" w14:textId="77777777" w:rsidR="00FE77A5" w:rsidRPr="003A5EE1" w:rsidRDefault="00FE77A5" w:rsidP="00BE4D21">
            <w:pPr>
              <w:pStyle w:val="BayerTableStyleCentered"/>
              <w:rPr>
                <w:rFonts w:ascii="Arial" w:hAnsi="Arial" w:cs="Arial"/>
                <w:szCs w:val="22"/>
              </w:rPr>
            </w:pPr>
            <w:r w:rsidRPr="003A5EE1">
              <w:rPr>
                <w:rFonts w:ascii="Arial" w:hAnsi="Arial" w:cs="Arial"/>
                <w:szCs w:val="22"/>
              </w:rPr>
              <w:t>Grade 1</w:t>
            </w:r>
          </w:p>
        </w:tc>
        <w:tc>
          <w:tcPr>
            <w:tcW w:w="1984" w:type="dxa"/>
          </w:tcPr>
          <w:p w14:paraId="712C2BC7"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Any</w:t>
            </w:r>
          </w:p>
        </w:tc>
        <w:tc>
          <w:tcPr>
            <w:tcW w:w="5954" w:type="dxa"/>
          </w:tcPr>
          <w:p w14:paraId="712C2BC8"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 xml:space="preserve">Maintain dose level and immediately institute supportive measures for symptomatic relief. </w:t>
            </w:r>
          </w:p>
        </w:tc>
      </w:tr>
      <w:tr w:rsidR="00FE77A5" w:rsidRPr="003A5EE1" w14:paraId="712C2BCF" w14:textId="77777777" w:rsidTr="006603B9">
        <w:trPr>
          <w:cantSplit/>
        </w:trPr>
        <w:tc>
          <w:tcPr>
            <w:tcW w:w="1668" w:type="dxa"/>
            <w:tcBorders>
              <w:bottom w:val="nil"/>
            </w:tcBorders>
          </w:tcPr>
          <w:p w14:paraId="712C2BCA" w14:textId="77777777" w:rsidR="00FE77A5" w:rsidRPr="003A5EE1" w:rsidRDefault="00FE77A5" w:rsidP="00BE4D21">
            <w:pPr>
              <w:pStyle w:val="BayerTableStyleCentered"/>
              <w:rPr>
                <w:rFonts w:ascii="Arial" w:hAnsi="Arial" w:cs="Arial"/>
                <w:szCs w:val="22"/>
              </w:rPr>
            </w:pPr>
            <w:r w:rsidRPr="003A5EE1">
              <w:rPr>
                <w:rFonts w:ascii="Arial" w:hAnsi="Arial" w:cs="Arial"/>
                <w:szCs w:val="22"/>
              </w:rPr>
              <w:t>Grade 2</w:t>
            </w:r>
          </w:p>
        </w:tc>
        <w:tc>
          <w:tcPr>
            <w:tcW w:w="1984" w:type="dxa"/>
          </w:tcPr>
          <w:p w14:paraId="712C2BCB"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1st occurrence</w:t>
            </w:r>
          </w:p>
        </w:tc>
        <w:tc>
          <w:tcPr>
            <w:tcW w:w="5954" w:type="dxa"/>
          </w:tcPr>
          <w:p w14:paraId="712C2BCC" w14:textId="77777777" w:rsidR="00FE77A5" w:rsidRPr="003A5EE1" w:rsidRDefault="00FE77A5" w:rsidP="00BE4D21">
            <w:pPr>
              <w:pStyle w:val="BayerTableStyleLeftJustified"/>
              <w:keepNext/>
              <w:spacing w:after="120"/>
              <w:rPr>
                <w:rFonts w:ascii="Arial" w:hAnsi="Arial" w:cs="Arial"/>
                <w:szCs w:val="22"/>
              </w:rPr>
            </w:pPr>
            <w:r w:rsidRPr="003A5EE1">
              <w:rPr>
                <w:rFonts w:ascii="Arial" w:hAnsi="Arial" w:cs="Arial"/>
                <w:szCs w:val="22"/>
              </w:rPr>
              <w:t xml:space="preserve">Decrease dose by 40 mg (one tablet) and immediately institute supportive measures. </w:t>
            </w:r>
          </w:p>
          <w:p w14:paraId="712C2BCD" w14:textId="77777777" w:rsidR="00FE77A5" w:rsidRPr="003A5EE1" w:rsidRDefault="00FE77A5" w:rsidP="00BE4D21">
            <w:pPr>
              <w:pStyle w:val="BayerTableStyleLeftJustified"/>
              <w:keepNext/>
              <w:spacing w:after="120"/>
              <w:rPr>
                <w:rFonts w:ascii="Arial" w:hAnsi="Arial" w:cs="Arial"/>
                <w:szCs w:val="22"/>
              </w:rPr>
            </w:pPr>
            <w:r w:rsidRPr="003A5EE1">
              <w:rPr>
                <w:rFonts w:ascii="Arial" w:hAnsi="Arial" w:cs="Arial"/>
                <w:szCs w:val="22"/>
              </w:rPr>
              <w:t xml:space="preserve">If no improvement occurs despite dose reduction, interrupt therapy for a minimum of 7 days, until toxicity resolves to Grade 0-1. </w:t>
            </w:r>
          </w:p>
          <w:p w14:paraId="712C2BCE"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w:t>
            </w:r>
          </w:p>
        </w:tc>
      </w:tr>
      <w:tr w:rsidR="00FE77A5" w:rsidRPr="003A5EE1" w14:paraId="712C2BD5" w14:textId="77777777" w:rsidTr="006603B9">
        <w:trPr>
          <w:cantSplit/>
        </w:trPr>
        <w:tc>
          <w:tcPr>
            <w:tcW w:w="1668" w:type="dxa"/>
            <w:tcBorders>
              <w:top w:val="nil"/>
              <w:bottom w:val="nil"/>
            </w:tcBorders>
          </w:tcPr>
          <w:p w14:paraId="712C2BD0" w14:textId="77777777" w:rsidR="00FE77A5" w:rsidRPr="003A5EE1" w:rsidRDefault="00FE77A5" w:rsidP="006603B9">
            <w:pPr>
              <w:pStyle w:val="BayerTableStyleCentered"/>
              <w:keepNext w:val="0"/>
              <w:rPr>
                <w:rFonts w:ascii="Arial" w:hAnsi="Arial" w:cs="Arial"/>
                <w:szCs w:val="22"/>
              </w:rPr>
            </w:pPr>
          </w:p>
        </w:tc>
        <w:tc>
          <w:tcPr>
            <w:tcW w:w="1984" w:type="dxa"/>
          </w:tcPr>
          <w:p w14:paraId="712C2BD1"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No improvement within 7 days or 2nd occurrence</w:t>
            </w:r>
          </w:p>
        </w:tc>
        <w:tc>
          <w:tcPr>
            <w:tcW w:w="5954" w:type="dxa"/>
          </w:tcPr>
          <w:p w14:paraId="712C2BD2"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Interrupt therapy until toxicity resolves to Grade 0-1. </w:t>
            </w:r>
          </w:p>
          <w:p w14:paraId="712C2BD3"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116D1F">
              <w:rPr>
                <w:rFonts w:ascii="Arial" w:hAnsi="Arial" w:cs="Arial"/>
                <w:szCs w:val="22"/>
              </w:rPr>
              <w:t xml:space="preserve"> </w:t>
            </w:r>
            <w:r w:rsidRPr="003A5EE1">
              <w:rPr>
                <w:rFonts w:ascii="Arial" w:hAnsi="Arial" w:cs="Arial"/>
                <w:szCs w:val="22"/>
              </w:rPr>
              <w:t xml:space="preserve">(one tablet). </w:t>
            </w:r>
          </w:p>
          <w:p w14:paraId="712C2BD4"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 xml:space="preserve">. </w:t>
            </w:r>
          </w:p>
        </w:tc>
      </w:tr>
      <w:tr w:rsidR="00FE77A5" w:rsidRPr="003A5EE1" w14:paraId="712C2BDB" w14:textId="77777777" w:rsidTr="006603B9">
        <w:trPr>
          <w:cantSplit/>
        </w:trPr>
        <w:tc>
          <w:tcPr>
            <w:tcW w:w="1668" w:type="dxa"/>
            <w:tcBorders>
              <w:top w:val="nil"/>
              <w:bottom w:val="nil"/>
            </w:tcBorders>
          </w:tcPr>
          <w:p w14:paraId="712C2BD6" w14:textId="77777777" w:rsidR="00FE77A5" w:rsidRPr="003A5EE1" w:rsidRDefault="00FE77A5" w:rsidP="006603B9">
            <w:pPr>
              <w:pStyle w:val="BayerTableStyleCentered"/>
              <w:keepNext w:val="0"/>
              <w:rPr>
                <w:rFonts w:ascii="Arial" w:hAnsi="Arial" w:cs="Arial"/>
                <w:szCs w:val="22"/>
              </w:rPr>
            </w:pPr>
          </w:p>
        </w:tc>
        <w:tc>
          <w:tcPr>
            <w:tcW w:w="1984" w:type="dxa"/>
          </w:tcPr>
          <w:p w14:paraId="712C2BD7"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3rd occurrence</w:t>
            </w:r>
          </w:p>
        </w:tc>
        <w:tc>
          <w:tcPr>
            <w:tcW w:w="5954" w:type="dxa"/>
          </w:tcPr>
          <w:p w14:paraId="712C2BD8"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Interrupt therapy until toxicity resolves to Grade 0-1. </w:t>
            </w:r>
          </w:p>
          <w:p w14:paraId="712C2BD9"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116D1F">
              <w:rPr>
                <w:rFonts w:ascii="Arial" w:hAnsi="Arial" w:cs="Arial"/>
                <w:szCs w:val="22"/>
              </w:rPr>
              <w:t xml:space="preserve"> </w:t>
            </w:r>
            <w:r w:rsidRPr="003A5EE1">
              <w:rPr>
                <w:rFonts w:ascii="Arial" w:hAnsi="Arial" w:cs="Arial"/>
                <w:szCs w:val="22"/>
              </w:rPr>
              <w:t xml:space="preserve">(one tablet). </w:t>
            </w:r>
          </w:p>
          <w:p w14:paraId="712C2BDA"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w:t>
            </w:r>
          </w:p>
        </w:tc>
      </w:tr>
      <w:tr w:rsidR="00FE77A5" w:rsidRPr="003A5EE1" w14:paraId="712C2BDF" w14:textId="77777777" w:rsidTr="006603B9">
        <w:trPr>
          <w:cantSplit/>
        </w:trPr>
        <w:tc>
          <w:tcPr>
            <w:tcW w:w="1668" w:type="dxa"/>
            <w:tcBorders>
              <w:top w:val="nil"/>
              <w:bottom w:val="single" w:sz="6" w:space="0" w:color="000000"/>
            </w:tcBorders>
          </w:tcPr>
          <w:p w14:paraId="712C2BDC" w14:textId="77777777" w:rsidR="00FE77A5" w:rsidRPr="003A5EE1" w:rsidRDefault="00FE77A5" w:rsidP="006603B9">
            <w:pPr>
              <w:pStyle w:val="BayerTableStyleCentered"/>
              <w:keepNext w:val="0"/>
              <w:rPr>
                <w:rFonts w:ascii="Arial" w:hAnsi="Arial" w:cs="Arial"/>
                <w:szCs w:val="22"/>
              </w:rPr>
            </w:pPr>
          </w:p>
        </w:tc>
        <w:tc>
          <w:tcPr>
            <w:tcW w:w="1984" w:type="dxa"/>
          </w:tcPr>
          <w:p w14:paraId="712C2BDD"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4th occurrence</w:t>
            </w:r>
          </w:p>
        </w:tc>
        <w:tc>
          <w:tcPr>
            <w:tcW w:w="5954" w:type="dxa"/>
          </w:tcPr>
          <w:p w14:paraId="712C2BDE"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Discontinue treatment.</w:t>
            </w:r>
          </w:p>
        </w:tc>
      </w:tr>
      <w:tr w:rsidR="00FE77A5" w:rsidRPr="003A5EE1" w14:paraId="712C2BE5" w14:textId="77777777" w:rsidTr="006603B9">
        <w:trPr>
          <w:cantSplit/>
        </w:trPr>
        <w:tc>
          <w:tcPr>
            <w:tcW w:w="1668" w:type="dxa"/>
            <w:tcBorders>
              <w:bottom w:val="nil"/>
            </w:tcBorders>
          </w:tcPr>
          <w:p w14:paraId="712C2BE0" w14:textId="77777777" w:rsidR="00FE77A5" w:rsidRPr="003A5EE1" w:rsidRDefault="00FE77A5" w:rsidP="006603B9">
            <w:pPr>
              <w:pStyle w:val="BayerTableStyleCentered"/>
              <w:keepNext w:val="0"/>
              <w:rPr>
                <w:rFonts w:ascii="Arial" w:hAnsi="Arial" w:cs="Arial"/>
                <w:szCs w:val="22"/>
              </w:rPr>
            </w:pPr>
            <w:r w:rsidRPr="003A5EE1">
              <w:rPr>
                <w:rFonts w:ascii="Arial" w:hAnsi="Arial" w:cs="Arial"/>
                <w:szCs w:val="22"/>
              </w:rPr>
              <w:t>Grade 3</w:t>
            </w:r>
          </w:p>
        </w:tc>
        <w:tc>
          <w:tcPr>
            <w:tcW w:w="1984" w:type="dxa"/>
          </w:tcPr>
          <w:p w14:paraId="712C2BE1"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954" w:type="dxa"/>
          </w:tcPr>
          <w:p w14:paraId="712C2BE2"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Institute supportive measures immediately. Interrupt therapy for a minimum of 7 days until toxicity resolves to Grade 0-1. </w:t>
            </w:r>
          </w:p>
          <w:p w14:paraId="712C2BE3"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0F2452">
              <w:rPr>
                <w:rFonts w:ascii="Arial" w:hAnsi="Arial" w:cs="Arial"/>
                <w:szCs w:val="22"/>
              </w:rPr>
              <w:t xml:space="preserve"> </w:t>
            </w:r>
            <w:r w:rsidRPr="003A5EE1">
              <w:rPr>
                <w:rFonts w:ascii="Arial" w:hAnsi="Arial" w:cs="Arial"/>
                <w:szCs w:val="22"/>
              </w:rPr>
              <w:t xml:space="preserve">(one tablet). </w:t>
            </w:r>
          </w:p>
          <w:p w14:paraId="712C2BE4"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 xml:space="preserve">. </w:t>
            </w:r>
          </w:p>
        </w:tc>
      </w:tr>
      <w:tr w:rsidR="00FE77A5" w:rsidRPr="003A5EE1" w14:paraId="712C2BEA" w14:textId="77777777" w:rsidTr="006603B9">
        <w:trPr>
          <w:cantSplit/>
        </w:trPr>
        <w:tc>
          <w:tcPr>
            <w:tcW w:w="1668" w:type="dxa"/>
            <w:tcBorders>
              <w:top w:val="nil"/>
              <w:bottom w:val="nil"/>
            </w:tcBorders>
          </w:tcPr>
          <w:p w14:paraId="712C2BE6" w14:textId="77777777" w:rsidR="00FE77A5" w:rsidRPr="003A5EE1" w:rsidRDefault="00FE77A5" w:rsidP="006603B9">
            <w:pPr>
              <w:pStyle w:val="BayerTableStyleLeftJustified"/>
              <w:rPr>
                <w:rFonts w:ascii="Arial" w:hAnsi="Arial" w:cs="Arial"/>
                <w:szCs w:val="22"/>
              </w:rPr>
            </w:pPr>
          </w:p>
        </w:tc>
        <w:tc>
          <w:tcPr>
            <w:tcW w:w="1984" w:type="dxa"/>
          </w:tcPr>
          <w:p w14:paraId="712C2BE7"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2nd occurrence</w:t>
            </w:r>
          </w:p>
        </w:tc>
        <w:tc>
          <w:tcPr>
            <w:tcW w:w="5954" w:type="dxa"/>
          </w:tcPr>
          <w:p w14:paraId="712C2BE8"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Institute supportive measures immediately. Interrupt therapy for a minimum of 7 days until toxicity resolves to Grade 0-1. </w:t>
            </w:r>
          </w:p>
          <w:p w14:paraId="712C2BE9"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When resuming treatment, decrease dose by 40 mg (one tablet). </w:t>
            </w:r>
          </w:p>
        </w:tc>
      </w:tr>
      <w:tr w:rsidR="00FE77A5" w:rsidRPr="003A5EE1" w14:paraId="712C2BEE" w14:textId="77777777" w:rsidTr="006603B9">
        <w:trPr>
          <w:cantSplit/>
        </w:trPr>
        <w:tc>
          <w:tcPr>
            <w:tcW w:w="1668" w:type="dxa"/>
            <w:tcBorders>
              <w:top w:val="nil"/>
            </w:tcBorders>
          </w:tcPr>
          <w:p w14:paraId="712C2BEB" w14:textId="77777777" w:rsidR="00FE77A5" w:rsidRPr="003A5EE1" w:rsidRDefault="00FE77A5" w:rsidP="006603B9">
            <w:pPr>
              <w:pStyle w:val="BayerTableStyleLeftJustified"/>
              <w:rPr>
                <w:rFonts w:ascii="Arial" w:hAnsi="Arial" w:cs="Arial"/>
                <w:szCs w:val="22"/>
              </w:rPr>
            </w:pPr>
          </w:p>
        </w:tc>
        <w:tc>
          <w:tcPr>
            <w:tcW w:w="1984" w:type="dxa"/>
          </w:tcPr>
          <w:p w14:paraId="712C2BEC"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3rd occurrence</w:t>
            </w:r>
          </w:p>
        </w:tc>
        <w:tc>
          <w:tcPr>
            <w:tcW w:w="5954" w:type="dxa"/>
          </w:tcPr>
          <w:p w14:paraId="712C2BED"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Discontinue treatment.</w:t>
            </w:r>
          </w:p>
        </w:tc>
      </w:tr>
    </w:tbl>
    <w:p w14:paraId="712C2BEF" w14:textId="77777777" w:rsidR="00FE77A5" w:rsidRPr="003A5EE1" w:rsidRDefault="00FE77A5" w:rsidP="00FE77A5">
      <w:pPr>
        <w:rPr>
          <w:rFonts w:ascii="Arial" w:hAnsi="Arial" w:cs="Arial"/>
          <w:sz w:val="22"/>
          <w:szCs w:val="22"/>
        </w:rPr>
      </w:pPr>
    </w:p>
    <w:p w14:paraId="712C2BF0" w14:textId="77777777" w:rsidR="00FE77A5" w:rsidRPr="003A5EE1" w:rsidRDefault="00FE77A5" w:rsidP="00CF7423">
      <w:pPr>
        <w:rPr>
          <w:rFonts w:ascii="Arial" w:hAnsi="Arial" w:cs="Arial"/>
          <w:sz w:val="22"/>
          <w:szCs w:val="22"/>
        </w:rPr>
      </w:pPr>
      <w:r w:rsidRPr="003A5EE1">
        <w:rPr>
          <w:rFonts w:ascii="Arial" w:hAnsi="Arial" w:cs="Arial"/>
          <w:sz w:val="22"/>
          <w:szCs w:val="22"/>
        </w:rPr>
        <w:t xml:space="preserve">For recommended measures and dose modifications in case of worsening of liver function tests considered related to treatment with </w:t>
      </w:r>
      <w:r w:rsidR="00601DFC">
        <w:rPr>
          <w:rFonts w:ascii="Arial" w:hAnsi="Arial" w:cs="Arial"/>
          <w:sz w:val="22"/>
          <w:szCs w:val="22"/>
        </w:rPr>
        <w:t xml:space="preserve">STIVARGA </w:t>
      </w:r>
      <w:r w:rsidRPr="003A5EE1">
        <w:rPr>
          <w:rFonts w:ascii="Arial" w:hAnsi="Arial" w:cs="Arial"/>
          <w:sz w:val="22"/>
          <w:szCs w:val="22"/>
        </w:rPr>
        <w:t xml:space="preserve">see </w:t>
      </w:r>
      <w:r w:rsidR="007E4AA5" w:rsidRPr="003A5EE1">
        <w:rPr>
          <w:rFonts w:ascii="Arial" w:hAnsi="Arial" w:cs="Arial"/>
          <w:sz w:val="22"/>
          <w:szCs w:val="22"/>
        </w:rPr>
        <w:t xml:space="preserve">Table </w:t>
      </w:r>
      <w:r w:rsidR="009B62F1">
        <w:rPr>
          <w:rFonts w:ascii="Arial" w:hAnsi="Arial" w:cs="Arial"/>
          <w:sz w:val="22"/>
          <w:szCs w:val="22"/>
        </w:rPr>
        <w:t>9</w:t>
      </w:r>
      <w:r w:rsidR="007E4AA5" w:rsidRPr="003A5EE1">
        <w:rPr>
          <w:rStyle w:val="Hyperlink"/>
          <w:rFonts w:ascii="Arial" w:hAnsi="Arial" w:cs="Arial"/>
          <w:color w:val="auto"/>
          <w:sz w:val="22"/>
          <w:szCs w:val="22"/>
          <w:u w:val="none"/>
        </w:rPr>
        <w:t xml:space="preserve"> </w:t>
      </w:r>
      <w:r w:rsidR="00BB0856" w:rsidRPr="003A5EE1">
        <w:rPr>
          <w:rFonts w:ascii="Arial" w:hAnsi="Arial" w:cs="Arial"/>
          <w:sz w:val="22"/>
          <w:szCs w:val="22"/>
        </w:rPr>
        <w:t>(</w:t>
      </w:r>
      <w:r w:rsidR="00AB7282">
        <w:rPr>
          <w:rFonts w:ascii="Arial" w:hAnsi="Arial" w:cs="Arial"/>
          <w:sz w:val="22"/>
          <w:szCs w:val="22"/>
        </w:rPr>
        <w:t>see</w:t>
      </w:r>
      <w:r w:rsidR="00BB0856" w:rsidRPr="003A5EE1">
        <w:rPr>
          <w:rFonts w:ascii="Arial" w:hAnsi="Arial" w:cs="Arial"/>
          <w:sz w:val="22"/>
          <w:szCs w:val="22"/>
        </w:rPr>
        <w:t xml:space="preserve"> </w:t>
      </w:r>
      <w:r w:rsidR="00F00CDC">
        <w:rPr>
          <w:rFonts w:ascii="Arial" w:hAnsi="Arial" w:cs="Arial"/>
          <w:sz w:val="22"/>
          <w:szCs w:val="22"/>
        </w:rPr>
        <w:t>PRECAUTIONS</w:t>
      </w:r>
      <w:r w:rsidRPr="003A5EE1">
        <w:rPr>
          <w:rFonts w:ascii="Arial" w:hAnsi="Arial" w:cs="Arial"/>
          <w:sz w:val="22"/>
          <w:szCs w:val="22"/>
        </w:rPr>
        <w:t>).</w:t>
      </w:r>
    </w:p>
    <w:p w14:paraId="712C2BF1" w14:textId="77777777" w:rsidR="00FE77A5" w:rsidRPr="003A5EE1" w:rsidRDefault="00FE77A5" w:rsidP="00CF7423">
      <w:pPr>
        <w:rPr>
          <w:rFonts w:ascii="Arial" w:hAnsi="Arial" w:cs="Arial"/>
          <w:sz w:val="22"/>
          <w:szCs w:val="22"/>
        </w:rPr>
      </w:pPr>
    </w:p>
    <w:p w14:paraId="712C2BF2" w14:textId="77777777" w:rsidR="00FE77A5" w:rsidRPr="003A5EE1" w:rsidRDefault="00FE77A5" w:rsidP="00BE4D21">
      <w:pPr>
        <w:pStyle w:val="Caption"/>
        <w:keepNext/>
        <w:rPr>
          <w:rFonts w:ascii="Arial" w:hAnsi="Arial" w:cs="Arial"/>
          <w:bCs w:val="0"/>
          <w:sz w:val="22"/>
          <w:szCs w:val="22"/>
        </w:rPr>
      </w:pPr>
      <w:bookmarkStart w:id="11" w:name="table2"/>
      <w:r w:rsidRPr="003A5EE1">
        <w:rPr>
          <w:rFonts w:ascii="Arial" w:hAnsi="Arial" w:cs="Arial"/>
          <w:bCs w:val="0"/>
          <w:sz w:val="22"/>
          <w:szCs w:val="22"/>
        </w:rPr>
        <w:lastRenderedPageBreak/>
        <w:t xml:space="preserve">Table </w:t>
      </w:r>
      <w:r w:rsidR="009C178C">
        <w:rPr>
          <w:rFonts w:ascii="Arial" w:hAnsi="Arial" w:cs="Arial"/>
          <w:bCs w:val="0"/>
          <w:sz w:val="22"/>
          <w:szCs w:val="22"/>
        </w:rPr>
        <w:t>9</w:t>
      </w:r>
      <w:r w:rsidRPr="003A5EE1">
        <w:rPr>
          <w:rFonts w:ascii="Arial" w:hAnsi="Arial" w:cs="Arial"/>
          <w:bCs w:val="0"/>
          <w:sz w:val="22"/>
          <w:szCs w:val="22"/>
        </w:rPr>
        <w:t xml:space="preserve">: Recommended measures and dose modifications in case of drug-related liver function test abnormalities </w:t>
      </w:r>
    </w:p>
    <w:p w14:paraId="712C2BF3" w14:textId="77777777" w:rsidR="00F34FCB" w:rsidRPr="00F34FCB" w:rsidRDefault="00F34FCB" w:rsidP="00BE4D21">
      <w:pPr>
        <w:keepNext/>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985"/>
        <w:gridCol w:w="5245"/>
      </w:tblGrid>
      <w:tr w:rsidR="00FE77A5" w:rsidRPr="003A5EE1" w14:paraId="712C2BF9" w14:textId="77777777" w:rsidTr="006603B9">
        <w:trPr>
          <w:cantSplit/>
          <w:tblHeader/>
        </w:trPr>
        <w:tc>
          <w:tcPr>
            <w:tcW w:w="2376" w:type="dxa"/>
          </w:tcPr>
          <w:bookmarkEnd w:id="11"/>
          <w:p w14:paraId="712C2BF4" w14:textId="77777777" w:rsidR="00FE77A5" w:rsidRPr="003A5EE1" w:rsidRDefault="00FE77A5" w:rsidP="0029655A">
            <w:pPr>
              <w:pStyle w:val="BayerTableColumnHeadings"/>
              <w:keepNext/>
              <w:rPr>
                <w:rFonts w:ascii="Arial" w:hAnsi="Arial" w:cs="Arial"/>
                <w:szCs w:val="22"/>
              </w:rPr>
            </w:pPr>
            <w:r w:rsidRPr="003A5EE1">
              <w:rPr>
                <w:rFonts w:ascii="Arial" w:hAnsi="Arial" w:cs="Arial"/>
                <w:szCs w:val="22"/>
              </w:rPr>
              <w:t>Observed elevations</w:t>
            </w:r>
          </w:p>
          <w:p w14:paraId="712C2BF5" w14:textId="77777777" w:rsidR="00FE77A5" w:rsidRPr="003A5EE1" w:rsidRDefault="00FE77A5" w:rsidP="0029655A">
            <w:pPr>
              <w:pStyle w:val="BayerTableColumnHeadings"/>
              <w:keepNext/>
              <w:widowControl w:val="0"/>
              <w:rPr>
                <w:rFonts w:ascii="Arial" w:hAnsi="Arial" w:cs="Arial"/>
                <w:szCs w:val="22"/>
              </w:rPr>
            </w:pPr>
            <w:r w:rsidRPr="003A5EE1">
              <w:rPr>
                <w:rFonts w:ascii="Arial" w:hAnsi="Arial" w:cs="Arial"/>
                <w:szCs w:val="22"/>
              </w:rPr>
              <w:t>of ALT and/or AST</w:t>
            </w:r>
          </w:p>
        </w:tc>
        <w:tc>
          <w:tcPr>
            <w:tcW w:w="1985" w:type="dxa"/>
          </w:tcPr>
          <w:p w14:paraId="712C2BF6" w14:textId="77777777" w:rsidR="00FE77A5" w:rsidRPr="003A5EE1" w:rsidRDefault="00FE77A5" w:rsidP="0029655A">
            <w:pPr>
              <w:pStyle w:val="BayerTableColumnHeadings"/>
              <w:keepNext/>
              <w:widowControl w:val="0"/>
              <w:rPr>
                <w:rFonts w:ascii="Arial" w:hAnsi="Arial" w:cs="Arial"/>
                <w:szCs w:val="22"/>
              </w:rPr>
            </w:pPr>
            <w:r w:rsidRPr="003A5EE1">
              <w:rPr>
                <w:rFonts w:ascii="Arial" w:hAnsi="Arial" w:cs="Arial"/>
                <w:szCs w:val="22"/>
              </w:rPr>
              <w:t>Occurrence</w:t>
            </w:r>
          </w:p>
        </w:tc>
        <w:tc>
          <w:tcPr>
            <w:tcW w:w="5245" w:type="dxa"/>
          </w:tcPr>
          <w:p w14:paraId="712C2BF7" w14:textId="77777777" w:rsidR="00FE77A5" w:rsidRPr="003A5EE1" w:rsidRDefault="00FE77A5" w:rsidP="0029655A">
            <w:pPr>
              <w:pStyle w:val="BayerTableColumnHeadings"/>
              <w:keepNext/>
              <w:widowControl w:val="0"/>
              <w:rPr>
                <w:rFonts w:ascii="Arial" w:hAnsi="Arial" w:cs="Arial"/>
                <w:szCs w:val="22"/>
              </w:rPr>
            </w:pPr>
            <w:r w:rsidRPr="003A5EE1">
              <w:rPr>
                <w:rFonts w:ascii="Arial" w:hAnsi="Arial" w:cs="Arial"/>
                <w:szCs w:val="22"/>
              </w:rPr>
              <w:t xml:space="preserve">Recommended measures and dose modification </w:t>
            </w:r>
          </w:p>
          <w:p w14:paraId="712C2BF8" w14:textId="77777777" w:rsidR="00FE77A5" w:rsidRPr="003A5EE1" w:rsidRDefault="00FE77A5" w:rsidP="0029655A">
            <w:pPr>
              <w:pStyle w:val="BayerTableColumnHeadings"/>
              <w:keepNext/>
              <w:widowControl w:val="0"/>
              <w:rPr>
                <w:rFonts w:ascii="Arial" w:hAnsi="Arial" w:cs="Arial"/>
                <w:szCs w:val="22"/>
              </w:rPr>
            </w:pPr>
          </w:p>
        </w:tc>
      </w:tr>
      <w:tr w:rsidR="00FE77A5" w:rsidRPr="003A5EE1" w14:paraId="712C2BFE" w14:textId="77777777" w:rsidTr="006603B9">
        <w:trPr>
          <w:cantSplit/>
        </w:trPr>
        <w:tc>
          <w:tcPr>
            <w:tcW w:w="2376" w:type="dxa"/>
            <w:tcBorders>
              <w:bottom w:val="single" w:sz="6" w:space="0" w:color="000000"/>
            </w:tcBorders>
          </w:tcPr>
          <w:p w14:paraId="712C2BFA" w14:textId="77777777" w:rsidR="00FE77A5" w:rsidRPr="003A5EE1" w:rsidRDefault="00FE77A5" w:rsidP="006603B9">
            <w:pPr>
              <w:pStyle w:val="BayerTableRowHeadings"/>
              <w:rPr>
                <w:rFonts w:ascii="Arial" w:hAnsi="Arial" w:cs="Arial"/>
                <w:szCs w:val="22"/>
              </w:rPr>
            </w:pPr>
            <w:r w:rsidRPr="003A5EE1">
              <w:rPr>
                <w:rFonts w:ascii="Arial" w:hAnsi="Arial" w:cs="Arial"/>
                <w:szCs w:val="22"/>
              </w:rPr>
              <w:t>≤ 5 times upper limit of normal (ULN) </w:t>
            </w:r>
          </w:p>
          <w:p w14:paraId="712C2BFB" w14:textId="77777777"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(maximum Grade 2)</w:t>
            </w:r>
          </w:p>
        </w:tc>
        <w:tc>
          <w:tcPr>
            <w:tcW w:w="1985" w:type="dxa"/>
            <w:tcBorders>
              <w:bottom w:val="single" w:sz="6" w:space="0" w:color="000000"/>
            </w:tcBorders>
          </w:tcPr>
          <w:p w14:paraId="712C2BFC"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6" w:space="0" w:color="000000"/>
            </w:tcBorders>
          </w:tcPr>
          <w:p w14:paraId="712C2BFD"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Continue </w:t>
            </w:r>
            <w:r w:rsidR="00601DFC">
              <w:rPr>
                <w:rFonts w:ascii="Arial" w:hAnsi="Arial" w:cs="Arial"/>
                <w:szCs w:val="22"/>
              </w:rPr>
              <w:t xml:space="preserve">STIVARGA </w:t>
            </w:r>
            <w:r w:rsidRPr="003A5EE1">
              <w:rPr>
                <w:rFonts w:ascii="Arial" w:hAnsi="Arial" w:cs="Arial"/>
                <w:szCs w:val="22"/>
              </w:rPr>
              <w:t xml:space="preserve">treatment. </w:t>
            </w:r>
            <w:r w:rsidRPr="003A5EE1">
              <w:rPr>
                <w:rFonts w:ascii="Arial" w:hAnsi="Arial" w:cs="Arial"/>
                <w:szCs w:val="22"/>
              </w:rPr>
              <w:br/>
              <w:t>Monitor liver function weekly until transaminases return to &lt; 3 times ULN (Grade 1) or baseline.</w:t>
            </w:r>
          </w:p>
        </w:tc>
      </w:tr>
      <w:tr w:rsidR="00FE77A5" w:rsidRPr="003A5EE1" w14:paraId="712C2C02" w14:textId="77777777" w:rsidTr="006603B9">
        <w:trPr>
          <w:cantSplit/>
          <w:trHeight w:val="878"/>
        </w:trPr>
        <w:tc>
          <w:tcPr>
            <w:tcW w:w="2376" w:type="dxa"/>
            <w:tcBorders>
              <w:bottom w:val="nil"/>
            </w:tcBorders>
          </w:tcPr>
          <w:p w14:paraId="712C2BFF" w14:textId="77777777"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 xml:space="preserve">&gt; 5 times ULN </w:t>
            </w:r>
            <w:r w:rsidR="00E16D20" w:rsidRPr="003A5EE1">
              <w:rPr>
                <w:rFonts w:ascii="Arial" w:hAnsi="Arial" w:cs="Arial"/>
                <w:szCs w:val="22"/>
              </w:rPr>
              <w:t>to ≤ 20 times ULN</w:t>
            </w:r>
            <w:r w:rsidRPr="003A5EE1">
              <w:rPr>
                <w:rFonts w:ascii="Arial" w:hAnsi="Arial" w:cs="Arial"/>
                <w:szCs w:val="22"/>
              </w:rPr>
              <w:br/>
              <w:t>(Grade 3)</w:t>
            </w:r>
          </w:p>
        </w:tc>
        <w:tc>
          <w:tcPr>
            <w:tcW w:w="1985" w:type="dxa"/>
            <w:tcBorders>
              <w:bottom w:val="nil"/>
            </w:tcBorders>
          </w:tcPr>
          <w:p w14:paraId="712C2C00"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245" w:type="dxa"/>
            <w:tcBorders>
              <w:bottom w:val="nil"/>
            </w:tcBorders>
          </w:tcPr>
          <w:p w14:paraId="712C2C01"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Interrupt </w:t>
            </w:r>
            <w:r w:rsidR="00601DFC">
              <w:rPr>
                <w:rFonts w:ascii="Arial" w:hAnsi="Arial" w:cs="Arial"/>
                <w:szCs w:val="22"/>
              </w:rPr>
              <w:t xml:space="preserve">STIVARGA </w:t>
            </w:r>
            <w:r w:rsidRPr="003A5EE1">
              <w:rPr>
                <w:rFonts w:ascii="Arial" w:hAnsi="Arial" w:cs="Arial"/>
                <w:szCs w:val="22"/>
              </w:rPr>
              <w:t xml:space="preserve">treatment. </w:t>
            </w:r>
            <w:r w:rsidRPr="003A5EE1">
              <w:rPr>
                <w:rFonts w:ascii="Arial" w:hAnsi="Arial" w:cs="Arial"/>
                <w:szCs w:val="22"/>
              </w:rPr>
              <w:br/>
              <w:t>Monitor transaminases weekly until return to &lt; 3 times ULN or baseline.</w:t>
            </w:r>
          </w:p>
        </w:tc>
      </w:tr>
      <w:tr w:rsidR="00FE77A5" w:rsidRPr="003A5EE1" w14:paraId="712C2C06" w14:textId="77777777" w:rsidTr="006603B9">
        <w:trPr>
          <w:cantSplit/>
        </w:trPr>
        <w:tc>
          <w:tcPr>
            <w:tcW w:w="2376" w:type="dxa"/>
            <w:tcBorders>
              <w:top w:val="nil"/>
              <w:bottom w:val="nil"/>
            </w:tcBorders>
          </w:tcPr>
          <w:p w14:paraId="712C2C03" w14:textId="77777777" w:rsidR="00FE77A5" w:rsidRPr="003A5EE1" w:rsidRDefault="00FE77A5" w:rsidP="006603B9">
            <w:pPr>
              <w:pStyle w:val="BayerTableStyleCentered"/>
              <w:keepNext w:val="0"/>
              <w:jc w:val="left"/>
              <w:rPr>
                <w:rFonts w:ascii="Arial" w:hAnsi="Arial" w:cs="Arial"/>
                <w:szCs w:val="22"/>
              </w:rPr>
            </w:pPr>
          </w:p>
        </w:tc>
        <w:tc>
          <w:tcPr>
            <w:tcW w:w="1985" w:type="dxa"/>
            <w:tcBorders>
              <w:top w:val="nil"/>
            </w:tcBorders>
          </w:tcPr>
          <w:p w14:paraId="712C2C04" w14:textId="77777777" w:rsidR="00FE77A5" w:rsidRPr="003A5EE1" w:rsidRDefault="00FE77A5" w:rsidP="006603B9">
            <w:pPr>
              <w:pStyle w:val="BayerTableStyleLeftJustified"/>
              <w:rPr>
                <w:rFonts w:ascii="Arial" w:hAnsi="Arial" w:cs="Arial"/>
                <w:szCs w:val="22"/>
              </w:rPr>
            </w:pPr>
          </w:p>
        </w:tc>
        <w:tc>
          <w:tcPr>
            <w:tcW w:w="5245" w:type="dxa"/>
            <w:tcBorders>
              <w:top w:val="nil"/>
            </w:tcBorders>
          </w:tcPr>
          <w:p w14:paraId="712C2C05"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Restart: If the potential benefit outweighs the risk of hepatotoxicity, re-initiate </w:t>
            </w:r>
            <w:r w:rsidR="00601DFC">
              <w:rPr>
                <w:rFonts w:ascii="Arial" w:hAnsi="Arial" w:cs="Arial"/>
                <w:szCs w:val="22"/>
              </w:rPr>
              <w:t xml:space="preserve">STIVARGA </w:t>
            </w:r>
            <w:r w:rsidRPr="003A5EE1">
              <w:rPr>
                <w:rFonts w:ascii="Arial" w:hAnsi="Arial" w:cs="Arial"/>
                <w:szCs w:val="22"/>
              </w:rPr>
              <w:t xml:space="preserve">treatment, reduce dose by 40 mg (one tablet), and monitor liver function weekly for at least 4 weeks. </w:t>
            </w:r>
          </w:p>
        </w:tc>
      </w:tr>
      <w:tr w:rsidR="00FE77A5" w:rsidRPr="003A5EE1" w14:paraId="712C2C0A" w14:textId="77777777" w:rsidTr="006603B9">
        <w:trPr>
          <w:cantSplit/>
        </w:trPr>
        <w:tc>
          <w:tcPr>
            <w:tcW w:w="2376" w:type="dxa"/>
            <w:tcBorders>
              <w:top w:val="nil"/>
              <w:bottom w:val="nil"/>
            </w:tcBorders>
          </w:tcPr>
          <w:p w14:paraId="712C2C07" w14:textId="77777777" w:rsidR="00FE77A5" w:rsidRPr="003A5EE1" w:rsidRDefault="00FE77A5" w:rsidP="006603B9">
            <w:pPr>
              <w:pStyle w:val="BayerTableStyleCentered"/>
              <w:keepNext w:val="0"/>
              <w:jc w:val="left"/>
              <w:rPr>
                <w:rFonts w:ascii="Arial" w:hAnsi="Arial" w:cs="Arial"/>
                <w:szCs w:val="22"/>
              </w:rPr>
            </w:pPr>
          </w:p>
        </w:tc>
        <w:tc>
          <w:tcPr>
            <w:tcW w:w="1985" w:type="dxa"/>
          </w:tcPr>
          <w:p w14:paraId="712C2C08"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Re-occurrence</w:t>
            </w:r>
          </w:p>
        </w:tc>
        <w:tc>
          <w:tcPr>
            <w:tcW w:w="5245" w:type="dxa"/>
          </w:tcPr>
          <w:p w14:paraId="712C2C09"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Discontinue treatment with </w:t>
            </w:r>
            <w:r w:rsidR="00601DFC">
              <w:rPr>
                <w:rFonts w:ascii="Arial" w:hAnsi="Arial" w:cs="Arial"/>
                <w:szCs w:val="22"/>
              </w:rPr>
              <w:t xml:space="preserve">STIVARGA </w:t>
            </w:r>
            <w:r w:rsidRPr="003A5EE1">
              <w:rPr>
                <w:rFonts w:ascii="Arial" w:hAnsi="Arial" w:cs="Arial"/>
                <w:szCs w:val="22"/>
              </w:rPr>
              <w:t>permanently.</w:t>
            </w:r>
          </w:p>
        </w:tc>
      </w:tr>
      <w:tr w:rsidR="00FE77A5" w:rsidRPr="003A5EE1" w14:paraId="712C2C0E" w14:textId="77777777" w:rsidTr="006603B9">
        <w:trPr>
          <w:cantSplit/>
          <w:trHeight w:val="247"/>
        </w:trPr>
        <w:tc>
          <w:tcPr>
            <w:tcW w:w="2376" w:type="dxa"/>
            <w:tcBorders>
              <w:bottom w:val="single" w:sz="6" w:space="0" w:color="000000"/>
            </w:tcBorders>
          </w:tcPr>
          <w:p w14:paraId="712C2C0B" w14:textId="77777777"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 xml:space="preserve">&gt; 20 times ULN </w:t>
            </w:r>
            <w:r w:rsidRPr="003A5EE1">
              <w:rPr>
                <w:rFonts w:ascii="Arial" w:hAnsi="Arial" w:cs="Arial"/>
                <w:szCs w:val="22"/>
              </w:rPr>
              <w:br/>
              <w:t>(Grade 4)</w:t>
            </w:r>
          </w:p>
        </w:tc>
        <w:tc>
          <w:tcPr>
            <w:tcW w:w="1985" w:type="dxa"/>
            <w:tcBorders>
              <w:bottom w:val="single" w:sz="6" w:space="0" w:color="000000"/>
            </w:tcBorders>
          </w:tcPr>
          <w:p w14:paraId="712C2C0C"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6" w:space="0" w:color="000000"/>
            </w:tcBorders>
          </w:tcPr>
          <w:p w14:paraId="712C2C0D"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Discontinue treatment with </w:t>
            </w:r>
            <w:r w:rsidR="00601DFC">
              <w:rPr>
                <w:rFonts w:ascii="Arial" w:hAnsi="Arial" w:cs="Arial"/>
                <w:szCs w:val="22"/>
              </w:rPr>
              <w:t xml:space="preserve">STIVARGA </w:t>
            </w:r>
            <w:r w:rsidRPr="003A5EE1">
              <w:rPr>
                <w:rFonts w:ascii="Arial" w:hAnsi="Arial" w:cs="Arial"/>
                <w:szCs w:val="22"/>
              </w:rPr>
              <w:t>permanently.</w:t>
            </w:r>
          </w:p>
        </w:tc>
      </w:tr>
      <w:tr w:rsidR="00FE77A5" w:rsidRPr="003A5EE1" w14:paraId="712C2C14" w14:textId="77777777" w:rsidTr="006603B9">
        <w:trPr>
          <w:cantSplit/>
          <w:trHeight w:val="247"/>
        </w:trPr>
        <w:tc>
          <w:tcPr>
            <w:tcW w:w="2376" w:type="dxa"/>
            <w:tcBorders>
              <w:bottom w:val="single" w:sz="4" w:space="0" w:color="auto"/>
            </w:tcBorders>
          </w:tcPr>
          <w:p w14:paraId="712C2C0F" w14:textId="77777777" w:rsidR="00FE77A5" w:rsidRPr="003A5EE1" w:rsidRDefault="00FE77A5" w:rsidP="006603B9">
            <w:pPr>
              <w:pStyle w:val="BayerTableRowHeadings"/>
              <w:rPr>
                <w:rFonts w:ascii="Arial" w:hAnsi="Arial" w:cs="Arial"/>
                <w:szCs w:val="22"/>
              </w:rPr>
            </w:pPr>
            <w:r w:rsidRPr="003A5EE1">
              <w:rPr>
                <w:rFonts w:ascii="Arial" w:hAnsi="Arial" w:cs="Arial"/>
                <w:szCs w:val="22"/>
              </w:rPr>
              <w:t>&gt; 3 times ULN (Grade 2 or higher) with concurrent bilirubin &gt; 2 times ULN</w:t>
            </w:r>
          </w:p>
        </w:tc>
        <w:tc>
          <w:tcPr>
            <w:tcW w:w="1985" w:type="dxa"/>
            <w:tcBorders>
              <w:bottom w:val="single" w:sz="4" w:space="0" w:color="auto"/>
            </w:tcBorders>
          </w:tcPr>
          <w:p w14:paraId="712C2C10"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4" w:space="0" w:color="auto"/>
            </w:tcBorders>
          </w:tcPr>
          <w:p w14:paraId="712C2C11"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Discontinue treatment with </w:t>
            </w:r>
            <w:r w:rsidR="00601DFC">
              <w:rPr>
                <w:rFonts w:ascii="Arial" w:hAnsi="Arial" w:cs="Arial"/>
                <w:szCs w:val="22"/>
              </w:rPr>
              <w:t xml:space="preserve">STIVARGA </w:t>
            </w:r>
            <w:r w:rsidRPr="003A5EE1">
              <w:rPr>
                <w:rFonts w:ascii="Arial" w:hAnsi="Arial" w:cs="Arial"/>
                <w:szCs w:val="22"/>
              </w:rPr>
              <w:t xml:space="preserve">permanently. </w:t>
            </w:r>
          </w:p>
          <w:p w14:paraId="712C2C12"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Monitor liver function weekly until resolution or return to baseline. </w:t>
            </w:r>
          </w:p>
          <w:p w14:paraId="712C2C13"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u w:val="single"/>
              </w:rPr>
              <w:t>Exception</w:t>
            </w:r>
            <w:r w:rsidRPr="003A5EE1">
              <w:rPr>
                <w:rFonts w:ascii="Arial" w:hAnsi="Arial" w:cs="Arial"/>
                <w:szCs w:val="22"/>
              </w:rPr>
              <w:t>: patients with Gilbert’s syndrome who develop elevated transaminases should be managed as per the above outlined recommendations for the respective observed elevation of ALT and/or AST.</w:t>
            </w:r>
          </w:p>
        </w:tc>
      </w:tr>
    </w:tbl>
    <w:p w14:paraId="712C2C15" w14:textId="77777777" w:rsidR="00FE77A5" w:rsidRPr="00B964DD" w:rsidRDefault="00FE77A5" w:rsidP="00FE77A5">
      <w:pPr>
        <w:rPr>
          <w:rFonts w:ascii="Arial" w:hAnsi="Arial" w:cs="Arial"/>
        </w:rPr>
      </w:pPr>
    </w:p>
    <w:p w14:paraId="712C2C16" w14:textId="77777777" w:rsidR="001D1004" w:rsidRPr="003A5EE1" w:rsidRDefault="001D1004" w:rsidP="00CF7423">
      <w:pPr>
        <w:pStyle w:val="Heading1"/>
        <w:spacing w:before="0" w:after="0" w:line="240" w:lineRule="auto"/>
        <w:ind w:right="45"/>
        <w:jc w:val="left"/>
      </w:pPr>
      <w:r w:rsidRPr="003A5EE1">
        <w:t>OVERDOSAGE</w:t>
      </w:r>
    </w:p>
    <w:p w14:paraId="712C2C17" w14:textId="77777777" w:rsidR="00BB0856" w:rsidRDefault="00BB0856" w:rsidP="00CF7423">
      <w:pPr>
        <w:rPr>
          <w:lang w:val="en-AU"/>
        </w:rPr>
      </w:pPr>
    </w:p>
    <w:p w14:paraId="712C2C18" w14:textId="77777777" w:rsidR="00BB0856" w:rsidRPr="003A5EE1" w:rsidRDefault="00BB0856" w:rsidP="00CF7423">
      <w:pPr>
        <w:rPr>
          <w:rFonts w:ascii="Arial" w:hAnsi="Arial" w:cs="Arial"/>
          <w:sz w:val="22"/>
          <w:szCs w:val="22"/>
        </w:rPr>
      </w:pPr>
      <w:r w:rsidRPr="003A5EE1">
        <w:rPr>
          <w:rFonts w:ascii="Arial" w:hAnsi="Arial" w:cs="Arial"/>
          <w:sz w:val="22"/>
          <w:szCs w:val="22"/>
        </w:rPr>
        <w:t xml:space="preserve">There is no specific antidote for </w:t>
      </w:r>
      <w:r w:rsidR="00601DFC">
        <w:rPr>
          <w:rFonts w:ascii="Arial" w:hAnsi="Arial" w:cs="Arial"/>
          <w:sz w:val="22"/>
          <w:szCs w:val="22"/>
        </w:rPr>
        <w:t xml:space="preserve">STIVARGA </w:t>
      </w:r>
      <w:r w:rsidRPr="003A5EE1">
        <w:rPr>
          <w:rFonts w:ascii="Arial" w:hAnsi="Arial" w:cs="Arial"/>
          <w:sz w:val="22"/>
          <w:szCs w:val="22"/>
        </w:rPr>
        <w:t>overdose.</w:t>
      </w:r>
    </w:p>
    <w:p w14:paraId="712C2C19" w14:textId="77777777" w:rsidR="00BB0856" w:rsidRPr="003A5EE1" w:rsidRDefault="00BB0856" w:rsidP="002E54D9">
      <w:pPr>
        <w:rPr>
          <w:sz w:val="22"/>
          <w:szCs w:val="22"/>
          <w:lang w:val="en-AU"/>
        </w:rPr>
      </w:pPr>
    </w:p>
    <w:p w14:paraId="712C2C1A" w14:textId="77777777" w:rsidR="005A7159" w:rsidRPr="003A5EE1" w:rsidRDefault="00BB0856" w:rsidP="002E54D9">
      <w:pPr>
        <w:pStyle w:val="BayerBodyTextFull"/>
        <w:spacing w:before="0" w:after="0"/>
        <w:rPr>
          <w:rFonts w:ascii="Arial" w:hAnsi="Arial" w:cs="Arial"/>
          <w:sz w:val="22"/>
          <w:szCs w:val="22"/>
        </w:rPr>
      </w:pPr>
      <w:r w:rsidRPr="003A5EE1">
        <w:rPr>
          <w:rFonts w:ascii="Arial" w:hAnsi="Arial" w:cs="Arial"/>
          <w:sz w:val="22"/>
          <w:szCs w:val="22"/>
        </w:rPr>
        <w:t xml:space="preserve">The highest dose of </w:t>
      </w:r>
      <w:r w:rsidR="00601DFC">
        <w:rPr>
          <w:rFonts w:ascii="Arial" w:hAnsi="Arial" w:cs="Arial"/>
          <w:sz w:val="22"/>
          <w:szCs w:val="22"/>
        </w:rPr>
        <w:t xml:space="preserve">STIVARGA </w:t>
      </w:r>
      <w:r w:rsidRPr="003A5EE1">
        <w:rPr>
          <w:rFonts w:ascii="Arial" w:hAnsi="Arial" w:cs="Arial"/>
          <w:sz w:val="22"/>
          <w:szCs w:val="22"/>
        </w:rPr>
        <w:t xml:space="preserve">studied clinically </w:t>
      </w:r>
      <w:r w:rsidR="005A7159" w:rsidRPr="003A5EE1">
        <w:rPr>
          <w:rFonts w:ascii="Arial" w:hAnsi="Arial" w:cs="Arial"/>
          <w:sz w:val="22"/>
          <w:szCs w:val="22"/>
        </w:rPr>
        <w:t xml:space="preserve">is 220 mg per day. The most frequently observed adverse drug reactions at this dose were dermatological events, dysphonia, </w:t>
      </w:r>
      <w:proofErr w:type="spellStart"/>
      <w:r w:rsidR="005A7159" w:rsidRPr="003A5EE1">
        <w:rPr>
          <w:rFonts w:ascii="Arial" w:hAnsi="Arial" w:cs="Arial"/>
          <w:sz w:val="22"/>
          <w:szCs w:val="22"/>
        </w:rPr>
        <w:t>diarrh</w:t>
      </w:r>
      <w:r w:rsidRPr="003A5EE1">
        <w:rPr>
          <w:rFonts w:ascii="Arial" w:hAnsi="Arial" w:cs="Arial"/>
          <w:sz w:val="22"/>
          <w:szCs w:val="22"/>
        </w:rPr>
        <w:t>o</w:t>
      </w:r>
      <w:r w:rsidR="005A7159" w:rsidRPr="003A5EE1">
        <w:rPr>
          <w:rFonts w:ascii="Arial" w:hAnsi="Arial" w:cs="Arial"/>
          <w:sz w:val="22"/>
          <w:szCs w:val="22"/>
        </w:rPr>
        <w:t>ea</w:t>
      </w:r>
      <w:proofErr w:type="spellEnd"/>
      <w:r w:rsidR="005A7159" w:rsidRPr="003A5EE1">
        <w:rPr>
          <w:rFonts w:ascii="Arial" w:hAnsi="Arial" w:cs="Arial"/>
          <w:sz w:val="22"/>
          <w:szCs w:val="22"/>
        </w:rPr>
        <w:t>, mucosal inflammation, dry mouth, decreased appetite, hypertension, and fatigue.</w:t>
      </w:r>
    </w:p>
    <w:p w14:paraId="712C2C1B" w14:textId="77777777" w:rsidR="00CC1E83" w:rsidRPr="003A5EE1" w:rsidRDefault="00CC1E83" w:rsidP="002E54D9">
      <w:pPr>
        <w:pStyle w:val="BayerBodyTextFull"/>
        <w:spacing w:before="0" w:after="0"/>
        <w:rPr>
          <w:rFonts w:ascii="Arial" w:hAnsi="Arial" w:cs="Arial"/>
          <w:sz w:val="22"/>
          <w:szCs w:val="22"/>
        </w:rPr>
      </w:pPr>
    </w:p>
    <w:p w14:paraId="712C2C1C" w14:textId="77777777" w:rsidR="005A7159" w:rsidRPr="003A5EE1" w:rsidRDefault="005A7159" w:rsidP="002E54D9">
      <w:pPr>
        <w:pStyle w:val="BayerBodyTextFull"/>
        <w:spacing w:before="0" w:after="0"/>
        <w:rPr>
          <w:rFonts w:ascii="Arial" w:hAnsi="Arial" w:cs="Arial"/>
          <w:sz w:val="22"/>
          <w:szCs w:val="22"/>
          <w:lang w:val="en-GB"/>
        </w:rPr>
      </w:pPr>
      <w:r w:rsidRPr="003A5EE1">
        <w:rPr>
          <w:rFonts w:ascii="Arial" w:hAnsi="Arial" w:cs="Arial"/>
          <w:sz w:val="22"/>
          <w:szCs w:val="22"/>
          <w:lang w:val="en-GB"/>
        </w:rPr>
        <w:t xml:space="preserve">In the event of suspected overdose, </w:t>
      </w:r>
      <w:r w:rsidR="00601DFC">
        <w:rPr>
          <w:rFonts w:ascii="Arial" w:hAnsi="Arial" w:cs="Arial"/>
          <w:sz w:val="22"/>
          <w:szCs w:val="22"/>
          <w:lang w:val="en-GB"/>
        </w:rPr>
        <w:t xml:space="preserve">STIVARGA </w:t>
      </w:r>
      <w:r w:rsidRPr="003A5EE1">
        <w:rPr>
          <w:rFonts w:ascii="Arial" w:hAnsi="Arial" w:cs="Arial"/>
          <w:sz w:val="22"/>
          <w:szCs w:val="22"/>
          <w:lang w:val="en-GB"/>
        </w:rPr>
        <w:t xml:space="preserve">should be </w:t>
      </w:r>
      <w:r w:rsidR="00BB0856" w:rsidRPr="003A5EE1">
        <w:rPr>
          <w:rFonts w:ascii="Arial" w:hAnsi="Arial" w:cs="Arial"/>
          <w:sz w:val="22"/>
          <w:szCs w:val="22"/>
          <w:lang w:val="en-GB"/>
        </w:rPr>
        <w:t>withheld</w:t>
      </w:r>
      <w:r w:rsidR="00EC5D69" w:rsidRPr="003A5EE1">
        <w:rPr>
          <w:rFonts w:ascii="Arial" w:hAnsi="Arial" w:cs="Arial"/>
          <w:sz w:val="22"/>
          <w:szCs w:val="22"/>
          <w:lang w:val="en-GB"/>
        </w:rPr>
        <w:t xml:space="preserve"> immediately with</w:t>
      </w:r>
      <w:r w:rsidR="00BB0856" w:rsidRPr="003A5EE1">
        <w:rPr>
          <w:rFonts w:ascii="Arial" w:hAnsi="Arial" w:cs="Arial"/>
          <w:sz w:val="22"/>
          <w:szCs w:val="22"/>
          <w:lang w:val="en-GB"/>
        </w:rPr>
        <w:t xml:space="preserve"> </w:t>
      </w:r>
      <w:r w:rsidRPr="003A5EE1">
        <w:rPr>
          <w:rFonts w:ascii="Arial" w:hAnsi="Arial" w:cs="Arial"/>
          <w:sz w:val="22"/>
          <w:szCs w:val="22"/>
          <w:lang w:val="en-GB"/>
        </w:rPr>
        <w:t>best supportive care</w:t>
      </w:r>
      <w:r w:rsidR="00E15013" w:rsidRPr="003A5EE1">
        <w:rPr>
          <w:rFonts w:ascii="Arial" w:hAnsi="Arial" w:cs="Arial"/>
          <w:sz w:val="22"/>
          <w:szCs w:val="22"/>
          <w:lang w:val="en-GB"/>
        </w:rPr>
        <w:t xml:space="preserve"> </w:t>
      </w:r>
      <w:r w:rsidR="00EC5D69" w:rsidRPr="003A5EE1">
        <w:rPr>
          <w:rFonts w:ascii="Arial" w:hAnsi="Arial" w:cs="Arial"/>
          <w:sz w:val="22"/>
          <w:szCs w:val="22"/>
          <w:lang w:val="en-GB"/>
        </w:rPr>
        <w:t>initiated</w:t>
      </w:r>
      <w:r w:rsidR="00BB0856" w:rsidRPr="003A5EE1">
        <w:rPr>
          <w:rFonts w:ascii="Arial" w:hAnsi="Arial" w:cs="Arial"/>
          <w:sz w:val="22"/>
          <w:szCs w:val="22"/>
          <w:lang w:val="en-GB"/>
        </w:rPr>
        <w:t xml:space="preserve"> by a doctor. T</w:t>
      </w:r>
      <w:r w:rsidRPr="003A5EE1">
        <w:rPr>
          <w:rFonts w:ascii="Arial" w:hAnsi="Arial" w:cs="Arial"/>
          <w:sz w:val="22"/>
          <w:szCs w:val="22"/>
          <w:lang w:val="en-GB"/>
        </w:rPr>
        <w:t>he patient should be observed until clinical stabilisation.</w:t>
      </w:r>
    </w:p>
    <w:p w14:paraId="712C2C1D" w14:textId="77777777" w:rsidR="00BB0856" w:rsidRPr="003A5EE1" w:rsidRDefault="00BB0856" w:rsidP="002E54D9">
      <w:pPr>
        <w:pStyle w:val="BayerBodyTextFull"/>
        <w:spacing w:before="0" w:after="0"/>
        <w:rPr>
          <w:rFonts w:ascii="Arial" w:hAnsi="Arial" w:cs="Arial"/>
          <w:sz w:val="22"/>
          <w:szCs w:val="22"/>
          <w:lang w:val="en-GB"/>
        </w:rPr>
      </w:pPr>
    </w:p>
    <w:p w14:paraId="712C2C1E"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Contact Poisons Information Centre 131126 for advice on management.</w:t>
      </w:r>
    </w:p>
    <w:p w14:paraId="712C2C1F" w14:textId="77777777" w:rsidR="00BB0856" w:rsidRPr="00BB0856" w:rsidRDefault="00BB0856" w:rsidP="00CF7423">
      <w:pPr>
        <w:ind w:right="45"/>
        <w:rPr>
          <w:rFonts w:ascii="Arial" w:hAnsi="Arial" w:cs="Arial"/>
          <w:lang w:val="en-AU"/>
        </w:rPr>
      </w:pPr>
    </w:p>
    <w:p w14:paraId="712C2C20" w14:textId="77777777" w:rsidR="001D1004" w:rsidRPr="003A5EE1" w:rsidRDefault="001D1004" w:rsidP="00CF7423">
      <w:pPr>
        <w:pStyle w:val="Heading1"/>
        <w:spacing w:before="0" w:after="0" w:line="240" w:lineRule="auto"/>
        <w:ind w:right="46"/>
        <w:jc w:val="left"/>
      </w:pPr>
      <w:r w:rsidRPr="003A5EE1">
        <w:t>PRESENTATION AND STORAGE CONDITIONS</w:t>
      </w:r>
    </w:p>
    <w:p w14:paraId="712C2C21" w14:textId="77777777" w:rsidR="00BB0856" w:rsidRPr="00BB0856" w:rsidRDefault="00BB0856" w:rsidP="00CF7423">
      <w:pPr>
        <w:rPr>
          <w:lang w:val="en-AU"/>
        </w:rPr>
      </w:pPr>
    </w:p>
    <w:p w14:paraId="712C2C22" w14:textId="77777777" w:rsidR="00873EF0" w:rsidRPr="003A5EE1" w:rsidRDefault="00601DFC" w:rsidP="00CF7423">
      <w:pPr>
        <w:ind w:right="46"/>
        <w:rPr>
          <w:rFonts w:ascii="Arial" w:hAnsi="Arial" w:cs="Arial"/>
          <w:noProof/>
          <w:sz w:val="22"/>
          <w:szCs w:val="22"/>
          <w:lang w:val="en-AU"/>
        </w:rPr>
      </w:pPr>
      <w:r>
        <w:rPr>
          <w:rFonts w:ascii="Arial" w:hAnsi="Arial" w:cs="Arial"/>
          <w:noProof/>
          <w:sz w:val="22"/>
          <w:szCs w:val="22"/>
          <w:lang w:val="en-AU"/>
        </w:rPr>
        <w:lastRenderedPageBreak/>
        <w:t xml:space="preserve">STIVARGA </w:t>
      </w:r>
      <w:r w:rsidR="00761CE6" w:rsidRPr="003A5EE1">
        <w:rPr>
          <w:rFonts w:ascii="Arial" w:hAnsi="Arial" w:cs="Arial"/>
          <w:noProof/>
          <w:sz w:val="22"/>
          <w:szCs w:val="22"/>
          <w:lang w:val="en-AU"/>
        </w:rPr>
        <w:t xml:space="preserve">tablets </w:t>
      </w:r>
      <w:r w:rsidR="00BB0856" w:rsidRPr="003A5EE1">
        <w:rPr>
          <w:rFonts w:ascii="Arial" w:hAnsi="Arial" w:cs="Arial"/>
          <w:noProof/>
          <w:sz w:val="22"/>
          <w:szCs w:val="22"/>
          <w:lang w:val="en-AU"/>
        </w:rPr>
        <w:t xml:space="preserve">contain 40 mg regorafenib (as 41.49 mg regorafenib monohydrate). The tablets </w:t>
      </w:r>
      <w:r w:rsidR="00761CE6" w:rsidRPr="003A5EE1">
        <w:rPr>
          <w:rFonts w:ascii="Arial" w:hAnsi="Arial" w:cs="Arial"/>
          <w:noProof/>
          <w:sz w:val="22"/>
          <w:szCs w:val="22"/>
          <w:lang w:val="en-AU"/>
        </w:rPr>
        <w:t xml:space="preserve">are light pink, oval </w:t>
      </w:r>
      <w:r w:rsidR="0047701A">
        <w:rPr>
          <w:rFonts w:ascii="Arial" w:hAnsi="Arial" w:cs="Arial"/>
          <w:noProof/>
          <w:sz w:val="22"/>
          <w:szCs w:val="22"/>
          <w:lang w:val="en-AU"/>
        </w:rPr>
        <w:t>marked</w:t>
      </w:r>
      <w:r w:rsidR="00761CE6" w:rsidRPr="003A5EE1">
        <w:rPr>
          <w:rFonts w:ascii="Arial" w:hAnsi="Arial" w:cs="Arial"/>
          <w:noProof/>
          <w:sz w:val="22"/>
          <w:szCs w:val="22"/>
          <w:lang w:val="en-AU"/>
        </w:rPr>
        <w:t xml:space="preserve"> with ‘BAYER’ on one side and ‘40’ on the other side. </w:t>
      </w:r>
      <w:r w:rsidR="00781BAA" w:rsidRPr="003A5EE1">
        <w:rPr>
          <w:rFonts w:ascii="Arial" w:hAnsi="Arial" w:cs="Arial"/>
          <w:noProof/>
          <w:sz w:val="22"/>
          <w:szCs w:val="22"/>
          <w:lang w:val="en-AU"/>
        </w:rPr>
        <w:t>The tablets</w:t>
      </w:r>
      <w:r w:rsidR="00873EF0" w:rsidRPr="003A5EE1">
        <w:rPr>
          <w:rFonts w:ascii="Arial" w:hAnsi="Arial" w:cs="Arial"/>
          <w:noProof/>
          <w:sz w:val="22"/>
          <w:szCs w:val="22"/>
          <w:lang w:val="en-AU"/>
        </w:rPr>
        <w:t xml:space="preserve"> are packed</w:t>
      </w:r>
      <w:r w:rsidR="001D1004" w:rsidRPr="003A5EE1">
        <w:rPr>
          <w:rFonts w:ascii="Arial" w:hAnsi="Arial" w:cs="Arial"/>
          <w:noProof/>
          <w:sz w:val="22"/>
          <w:szCs w:val="22"/>
          <w:lang w:val="en-AU"/>
        </w:rPr>
        <w:t xml:space="preserve"> in </w:t>
      </w:r>
      <w:r w:rsidR="00781BAA" w:rsidRPr="003A5EE1">
        <w:rPr>
          <w:rFonts w:ascii="Arial" w:hAnsi="Arial" w:cs="Arial"/>
          <w:noProof/>
          <w:sz w:val="22"/>
          <w:szCs w:val="22"/>
          <w:lang w:val="en-AU"/>
        </w:rPr>
        <w:t xml:space="preserve">a </w:t>
      </w:r>
      <w:r w:rsidR="00873EF0" w:rsidRPr="003A5EE1">
        <w:rPr>
          <w:rFonts w:ascii="Arial" w:hAnsi="Arial" w:cs="Arial"/>
          <w:noProof/>
          <w:sz w:val="22"/>
          <w:szCs w:val="22"/>
          <w:lang w:val="en-AU"/>
        </w:rPr>
        <w:t>white HDPE bottle containing</w:t>
      </w:r>
      <w:r w:rsidR="00761CE6" w:rsidRPr="003A5EE1">
        <w:rPr>
          <w:rFonts w:ascii="Arial" w:hAnsi="Arial" w:cs="Arial"/>
          <w:noProof/>
          <w:sz w:val="22"/>
          <w:szCs w:val="22"/>
          <w:lang w:val="en-AU"/>
        </w:rPr>
        <w:t xml:space="preserve"> a </w:t>
      </w:r>
      <w:r w:rsidR="00781BAA" w:rsidRPr="003A5EE1">
        <w:rPr>
          <w:rFonts w:ascii="Arial" w:hAnsi="Arial" w:cs="Arial"/>
          <w:noProof/>
          <w:sz w:val="22"/>
          <w:szCs w:val="22"/>
          <w:lang w:val="en-AU"/>
        </w:rPr>
        <w:t xml:space="preserve">molecular sieve </w:t>
      </w:r>
      <w:r w:rsidR="00761CE6" w:rsidRPr="003A5EE1">
        <w:rPr>
          <w:rFonts w:ascii="Arial" w:hAnsi="Arial" w:cs="Arial"/>
          <w:noProof/>
          <w:sz w:val="22"/>
          <w:szCs w:val="22"/>
          <w:lang w:val="en-AU"/>
        </w:rPr>
        <w:t>desiccant</w:t>
      </w:r>
      <w:r w:rsidR="00781BAA" w:rsidRPr="003A5EE1">
        <w:rPr>
          <w:rFonts w:ascii="Arial" w:hAnsi="Arial" w:cs="Arial"/>
          <w:noProof/>
          <w:sz w:val="22"/>
          <w:szCs w:val="22"/>
          <w:lang w:val="en-AU"/>
        </w:rPr>
        <w:t xml:space="preserve"> capsule</w:t>
      </w:r>
      <w:r w:rsidR="00761CE6" w:rsidRPr="003A5EE1">
        <w:rPr>
          <w:rFonts w:ascii="Arial" w:hAnsi="Arial" w:cs="Arial"/>
          <w:noProof/>
          <w:sz w:val="22"/>
          <w:szCs w:val="22"/>
          <w:lang w:val="en-AU"/>
        </w:rPr>
        <w:t xml:space="preserve">. </w:t>
      </w:r>
    </w:p>
    <w:p w14:paraId="712C2C23" w14:textId="77777777" w:rsidR="00AC7017" w:rsidRPr="003A5EE1" w:rsidRDefault="00AC7017" w:rsidP="00CF7423">
      <w:pPr>
        <w:ind w:right="46"/>
        <w:rPr>
          <w:rFonts w:ascii="Arial" w:hAnsi="Arial" w:cs="Arial"/>
          <w:noProof/>
          <w:sz w:val="22"/>
          <w:szCs w:val="22"/>
          <w:lang w:val="en-AU"/>
        </w:rPr>
      </w:pPr>
    </w:p>
    <w:p w14:paraId="712C2C24" w14:textId="77777777" w:rsidR="00BB0856" w:rsidRPr="00BB0856" w:rsidRDefault="00AC7017" w:rsidP="00BD0B72">
      <w:pPr>
        <w:spacing w:after="120"/>
        <w:rPr>
          <w:rFonts w:ascii="Arial" w:hAnsi="Arial" w:cs="Arial"/>
          <w:noProof/>
          <w:lang w:val="en-AU"/>
        </w:rPr>
      </w:pPr>
      <w:proofErr w:type="gramStart"/>
      <w:r w:rsidRPr="003A5EE1">
        <w:rPr>
          <w:rFonts w:ascii="Arial" w:hAnsi="Arial" w:cs="Arial"/>
          <w:sz w:val="22"/>
          <w:szCs w:val="22"/>
        </w:rPr>
        <w:t xml:space="preserve">Store </w:t>
      </w:r>
      <w:r w:rsidR="00601DFC">
        <w:rPr>
          <w:rFonts w:ascii="Arial" w:hAnsi="Arial" w:cs="Arial"/>
          <w:sz w:val="22"/>
          <w:szCs w:val="22"/>
        </w:rPr>
        <w:t xml:space="preserve">STIVARGA </w:t>
      </w:r>
      <w:r w:rsidRPr="003A5EE1">
        <w:rPr>
          <w:rFonts w:ascii="Arial" w:hAnsi="Arial" w:cs="Arial"/>
          <w:sz w:val="22"/>
          <w:szCs w:val="22"/>
        </w:rPr>
        <w:t>in the original package.</w:t>
      </w:r>
      <w:proofErr w:type="gramEnd"/>
      <w:r w:rsidRPr="003A5EE1">
        <w:rPr>
          <w:rFonts w:ascii="Arial" w:hAnsi="Arial" w:cs="Arial"/>
          <w:sz w:val="22"/>
          <w:szCs w:val="22"/>
        </w:rPr>
        <w:t xml:space="preserve"> Do not remove the desiccant. Keep the bottle tightly closed after first opening. Once the bottle is opened the tablets are to be discarded after 28 days.</w:t>
      </w:r>
    </w:p>
    <w:p w14:paraId="712C2C25" w14:textId="77777777" w:rsidR="00873EF0" w:rsidRDefault="00601DFC" w:rsidP="00CF7423">
      <w:pPr>
        <w:ind w:right="46"/>
        <w:rPr>
          <w:rFonts w:ascii="Arial" w:hAnsi="Arial" w:cs="Arial"/>
          <w:noProof/>
          <w:sz w:val="22"/>
          <w:szCs w:val="22"/>
          <w:lang w:val="en-AU"/>
        </w:rPr>
      </w:pPr>
      <w:r>
        <w:rPr>
          <w:rFonts w:ascii="Arial" w:hAnsi="Arial" w:cs="Arial"/>
          <w:noProof/>
          <w:sz w:val="22"/>
          <w:szCs w:val="22"/>
          <w:lang w:val="en-AU"/>
        </w:rPr>
        <w:t xml:space="preserve">STIVARGA </w:t>
      </w:r>
      <w:r w:rsidR="0047783E">
        <w:rPr>
          <w:rFonts w:ascii="Arial" w:hAnsi="Arial" w:cs="Arial"/>
          <w:noProof/>
          <w:sz w:val="22"/>
          <w:szCs w:val="22"/>
          <w:lang w:val="en-AU"/>
        </w:rPr>
        <w:t>is a</w:t>
      </w:r>
      <w:r w:rsidR="00873EF0" w:rsidRPr="003A5EE1">
        <w:rPr>
          <w:rFonts w:ascii="Arial" w:hAnsi="Arial" w:cs="Arial"/>
          <w:noProof/>
          <w:sz w:val="22"/>
          <w:szCs w:val="22"/>
          <w:lang w:val="en-AU"/>
        </w:rPr>
        <w:t>vailable in pack sizes of 28</w:t>
      </w:r>
      <w:r w:rsidR="0047783E">
        <w:rPr>
          <w:rFonts w:ascii="Arial" w:hAnsi="Arial" w:cs="Arial"/>
          <w:noProof/>
          <w:sz w:val="22"/>
          <w:szCs w:val="22"/>
          <w:lang w:val="en-AU"/>
        </w:rPr>
        <w:t>, 28 (starter pack)</w:t>
      </w:r>
      <w:r w:rsidR="00873EF0" w:rsidRPr="003A5EE1">
        <w:rPr>
          <w:rFonts w:ascii="Arial" w:hAnsi="Arial" w:cs="Arial"/>
          <w:noProof/>
          <w:sz w:val="22"/>
          <w:szCs w:val="22"/>
          <w:lang w:val="en-AU"/>
        </w:rPr>
        <w:t xml:space="preserve"> and </w:t>
      </w:r>
      <w:r w:rsidR="00D1409A" w:rsidRPr="003A5EE1">
        <w:rPr>
          <w:rFonts w:ascii="Arial" w:hAnsi="Arial" w:cs="Arial"/>
          <w:noProof/>
          <w:sz w:val="22"/>
          <w:szCs w:val="22"/>
          <w:lang w:val="en-AU"/>
        </w:rPr>
        <w:t>84 (</w:t>
      </w:r>
      <w:r w:rsidR="00F56621" w:rsidRPr="003A5EE1">
        <w:rPr>
          <w:rFonts w:ascii="Arial" w:hAnsi="Arial" w:cs="Arial"/>
          <w:noProof/>
          <w:sz w:val="22"/>
          <w:szCs w:val="22"/>
          <w:lang w:val="en-AU"/>
        </w:rPr>
        <w:t>3 bottles of</w:t>
      </w:r>
      <w:r w:rsidR="00AF1100" w:rsidRPr="003A5EE1">
        <w:rPr>
          <w:rFonts w:ascii="Arial" w:hAnsi="Arial" w:cs="Arial"/>
          <w:noProof/>
          <w:sz w:val="22"/>
          <w:szCs w:val="22"/>
          <w:lang w:val="en-AU"/>
        </w:rPr>
        <w:t xml:space="preserve"> 28</w:t>
      </w:r>
      <w:r w:rsidR="00D1409A" w:rsidRPr="003A5EE1">
        <w:rPr>
          <w:rFonts w:ascii="Arial" w:hAnsi="Arial" w:cs="Arial"/>
          <w:noProof/>
          <w:sz w:val="22"/>
          <w:szCs w:val="22"/>
          <w:lang w:val="en-AU"/>
        </w:rPr>
        <w:t>)</w:t>
      </w:r>
      <w:r w:rsidR="00873EF0" w:rsidRPr="003A5EE1">
        <w:rPr>
          <w:rFonts w:ascii="Arial" w:hAnsi="Arial" w:cs="Arial"/>
          <w:noProof/>
          <w:sz w:val="22"/>
          <w:szCs w:val="22"/>
          <w:lang w:val="en-AU"/>
        </w:rPr>
        <w:t xml:space="preserve"> tablets. </w:t>
      </w:r>
    </w:p>
    <w:p w14:paraId="712C2C26" w14:textId="77777777" w:rsidR="0047783E" w:rsidRPr="003A5EE1" w:rsidRDefault="0047783E" w:rsidP="00CF7423">
      <w:pPr>
        <w:ind w:right="46"/>
        <w:rPr>
          <w:rFonts w:ascii="Arial" w:hAnsi="Arial" w:cs="Arial"/>
          <w:noProof/>
          <w:sz w:val="22"/>
          <w:szCs w:val="22"/>
          <w:lang w:val="en-AU"/>
        </w:rPr>
      </w:pPr>
    </w:p>
    <w:p w14:paraId="712C2C27" w14:textId="77777777" w:rsidR="001D1004" w:rsidRDefault="00823894" w:rsidP="00CF7423">
      <w:pPr>
        <w:ind w:right="46"/>
        <w:rPr>
          <w:rFonts w:ascii="Arial" w:hAnsi="Arial" w:cs="Arial"/>
          <w:sz w:val="22"/>
          <w:szCs w:val="22"/>
          <w:lang w:val="en-AU"/>
        </w:rPr>
      </w:pPr>
      <w:r w:rsidRPr="003A5EE1">
        <w:rPr>
          <w:rFonts w:ascii="Arial" w:hAnsi="Arial" w:cs="Arial"/>
          <w:sz w:val="22"/>
          <w:szCs w:val="22"/>
          <w:lang w:val="en-AU"/>
        </w:rPr>
        <w:t xml:space="preserve">Store </w:t>
      </w:r>
      <w:r w:rsidR="00761CE6" w:rsidRPr="003A5EE1">
        <w:rPr>
          <w:rFonts w:ascii="Arial" w:hAnsi="Arial" w:cs="Arial"/>
          <w:sz w:val="22"/>
          <w:szCs w:val="22"/>
          <w:lang w:val="en-AU"/>
        </w:rPr>
        <w:t>below 25</w:t>
      </w:r>
      <w:r w:rsidR="001D1004" w:rsidRPr="003A5EE1">
        <w:rPr>
          <w:rFonts w:ascii="Arial" w:hAnsi="Arial" w:cs="Arial"/>
          <w:sz w:val="22"/>
          <w:szCs w:val="22"/>
          <w:lang w:val="en-AU"/>
        </w:rPr>
        <w:t>°C.</w:t>
      </w:r>
    </w:p>
    <w:p w14:paraId="712C2C28" w14:textId="77777777" w:rsidR="00BE4D21" w:rsidRPr="003A5EE1" w:rsidRDefault="00BE4D21" w:rsidP="00CF7423">
      <w:pPr>
        <w:ind w:right="46"/>
        <w:rPr>
          <w:rFonts w:ascii="Arial" w:hAnsi="Arial" w:cs="Arial"/>
          <w:sz w:val="22"/>
          <w:szCs w:val="22"/>
          <w:lang w:val="en-AU"/>
        </w:rPr>
      </w:pPr>
    </w:p>
    <w:p w14:paraId="712C2C29" w14:textId="77777777" w:rsidR="001D1004" w:rsidRPr="003A5EE1" w:rsidRDefault="001D1004" w:rsidP="00CF7423">
      <w:pPr>
        <w:pStyle w:val="Heading1"/>
        <w:spacing w:before="0" w:after="0" w:line="240" w:lineRule="auto"/>
        <w:ind w:right="46"/>
        <w:jc w:val="left"/>
      </w:pPr>
      <w:r w:rsidRPr="003A5EE1">
        <w:t>NAME AND ADDRESS OF THE SPONSOR</w:t>
      </w:r>
    </w:p>
    <w:p w14:paraId="712C2C2A" w14:textId="77777777" w:rsidR="00BB0856" w:rsidRPr="00BB0856" w:rsidRDefault="00BB0856" w:rsidP="00CF7423">
      <w:pPr>
        <w:rPr>
          <w:lang w:val="en-AU"/>
        </w:rPr>
      </w:pPr>
    </w:p>
    <w:p w14:paraId="712C2C2B"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BAYER AUSTRALIA LIMITED</w:t>
      </w:r>
    </w:p>
    <w:p w14:paraId="712C2C2C"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ABN 22 000 138 714</w:t>
      </w:r>
    </w:p>
    <w:p w14:paraId="712C2C2D"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875 Pacific Highway</w:t>
      </w:r>
    </w:p>
    <w:p w14:paraId="712C2C2E" w14:textId="77777777" w:rsidR="001D1004" w:rsidRPr="003A5EE1" w:rsidRDefault="00BB0856" w:rsidP="00CF7423">
      <w:pPr>
        <w:ind w:right="45"/>
        <w:rPr>
          <w:rFonts w:ascii="Arial" w:hAnsi="Arial" w:cs="Arial"/>
          <w:sz w:val="22"/>
          <w:szCs w:val="22"/>
          <w:lang w:val="en-AU"/>
        </w:rPr>
      </w:pPr>
      <w:r w:rsidRPr="003A5EE1">
        <w:rPr>
          <w:rFonts w:ascii="Arial" w:hAnsi="Arial" w:cs="Arial"/>
          <w:sz w:val="22"/>
          <w:szCs w:val="22"/>
          <w:lang w:val="en-AU"/>
        </w:rPr>
        <w:t xml:space="preserve">PYMBLE </w:t>
      </w:r>
      <w:r w:rsidR="001D1004" w:rsidRPr="003A5EE1">
        <w:rPr>
          <w:rFonts w:ascii="Arial" w:hAnsi="Arial" w:cs="Arial"/>
          <w:sz w:val="22"/>
          <w:szCs w:val="22"/>
          <w:lang w:val="en-AU"/>
        </w:rPr>
        <w:t>NSW 2073</w:t>
      </w:r>
    </w:p>
    <w:p w14:paraId="712C2C2F" w14:textId="77777777" w:rsidR="00BB0856" w:rsidRPr="00BB0856" w:rsidRDefault="00BB0856" w:rsidP="00CF7423">
      <w:pPr>
        <w:ind w:right="45"/>
        <w:rPr>
          <w:rFonts w:ascii="Arial" w:hAnsi="Arial" w:cs="Arial"/>
          <w:lang w:val="en-AU"/>
        </w:rPr>
      </w:pPr>
    </w:p>
    <w:p w14:paraId="712C2C30" w14:textId="77777777" w:rsidR="001D1004" w:rsidRPr="003A5EE1" w:rsidRDefault="001D1004" w:rsidP="005F1132">
      <w:pPr>
        <w:pStyle w:val="Heading1"/>
        <w:spacing w:before="0" w:after="0" w:line="240" w:lineRule="auto"/>
        <w:ind w:right="46"/>
        <w:jc w:val="left"/>
      </w:pPr>
      <w:r w:rsidRPr="003A5EE1">
        <w:t>POISON SCHEDULE</w:t>
      </w:r>
      <w:r w:rsidR="00B077AD" w:rsidRPr="003A5EE1">
        <w:t xml:space="preserve"> of the medicine</w:t>
      </w:r>
    </w:p>
    <w:p w14:paraId="712C2C31" w14:textId="77777777" w:rsidR="00BB0856" w:rsidRPr="00BB0856" w:rsidRDefault="00BB0856" w:rsidP="0047783E">
      <w:pPr>
        <w:keepNext/>
        <w:rPr>
          <w:lang w:val="en-AU"/>
        </w:rPr>
      </w:pPr>
    </w:p>
    <w:p w14:paraId="712C2C32" w14:textId="77777777" w:rsidR="001D1004" w:rsidRPr="003A5EE1" w:rsidRDefault="001D1004" w:rsidP="0047783E">
      <w:pPr>
        <w:keepNext/>
        <w:ind w:right="46"/>
        <w:rPr>
          <w:rFonts w:ascii="Arial" w:hAnsi="Arial" w:cs="Arial"/>
          <w:sz w:val="22"/>
          <w:szCs w:val="22"/>
          <w:lang w:val="en-AU"/>
        </w:rPr>
      </w:pPr>
      <w:r w:rsidRPr="003A5EE1">
        <w:rPr>
          <w:rFonts w:ascii="Arial" w:hAnsi="Arial" w:cs="Arial"/>
          <w:sz w:val="22"/>
          <w:szCs w:val="22"/>
          <w:lang w:val="en-AU"/>
        </w:rPr>
        <w:t>PRESCRIPTION ONLY MEDICINE</w:t>
      </w:r>
    </w:p>
    <w:p w14:paraId="712C2C33" w14:textId="77777777" w:rsidR="00627448" w:rsidRPr="00504EA0" w:rsidRDefault="001D1004" w:rsidP="00504EA0">
      <w:pPr>
        <w:pStyle w:val="Heading1"/>
      </w:pPr>
      <w:r w:rsidRPr="00504EA0">
        <w:t xml:space="preserve">DATE OF </w:t>
      </w:r>
      <w:r w:rsidR="00BB0856" w:rsidRPr="00504EA0">
        <w:t xml:space="preserve">FIRST INCLUSION IN THE ARTG </w:t>
      </w:r>
    </w:p>
    <w:p w14:paraId="712C2C34" w14:textId="77777777" w:rsidR="00E961A9" w:rsidRDefault="00E961A9" w:rsidP="00CF7423">
      <w:pPr>
        <w:ind w:right="46"/>
        <w:rPr>
          <w:rFonts w:ascii="Arial" w:hAnsi="Arial" w:cs="Arial"/>
          <w:sz w:val="22"/>
          <w:szCs w:val="22"/>
          <w:lang w:val="en-AU"/>
        </w:rPr>
      </w:pPr>
      <w:r w:rsidRPr="00E961A9">
        <w:rPr>
          <w:rFonts w:ascii="Arial" w:hAnsi="Arial" w:cs="Arial"/>
          <w:sz w:val="22"/>
          <w:szCs w:val="22"/>
          <w:lang w:val="en-AU"/>
        </w:rPr>
        <w:t>29 November 2013</w:t>
      </w:r>
    </w:p>
    <w:p w14:paraId="712C2C35" w14:textId="77777777" w:rsidR="00520D28" w:rsidRPr="00504EA0" w:rsidRDefault="00520D28" w:rsidP="00504EA0">
      <w:pPr>
        <w:pStyle w:val="Heading1"/>
      </w:pPr>
      <w:r w:rsidRPr="00504EA0">
        <w:t xml:space="preserve">DATE OF MOST RECENT AMENDMENT </w:t>
      </w:r>
    </w:p>
    <w:p w14:paraId="712C2C36" w14:textId="2A043C70" w:rsidR="00520D28" w:rsidRPr="003E4B2C" w:rsidRDefault="0037777C" w:rsidP="00520D28">
      <w:pPr>
        <w:pStyle w:val="Default"/>
        <w:ind w:right="46"/>
        <w:rPr>
          <w:rFonts w:ascii="Arial" w:eastAsia="Times New Roman" w:hAnsi="Arial" w:cs="Arial"/>
          <w:color w:val="auto"/>
          <w:kern w:val="28"/>
          <w:sz w:val="22"/>
          <w:szCs w:val="22"/>
          <w:lang w:val="en-AU" w:eastAsia="en-US"/>
        </w:rPr>
      </w:pPr>
      <w:r>
        <w:rPr>
          <w:rFonts w:ascii="Arial" w:eastAsia="Times New Roman" w:hAnsi="Arial" w:cs="Arial"/>
          <w:color w:val="auto"/>
          <w:kern w:val="28"/>
          <w:sz w:val="22"/>
          <w:szCs w:val="22"/>
          <w:lang w:val="en-AU" w:eastAsia="en-US"/>
        </w:rPr>
        <w:t>20</w:t>
      </w:r>
      <w:r w:rsidR="002768CE" w:rsidRPr="003E4B2C">
        <w:rPr>
          <w:rFonts w:ascii="Arial" w:eastAsia="Times New Roman" w:hAnsi="Arial" w:cs="Arial"/>
          <w:color w:val="auto"/>
          <w:kern w:val="28"/>
          <w:sz w:val="22"/>
          <w:szCs w:val="22"/>
          <w:lang w:val="en-AU" w:eastAsia="en-US"/>
        </w:rPr>
        <w:t xml:space="preserve"> March 2015</w:t>
      </w:r>
    </w:p>
    <w:p w14:paraId="712C2C37" w14:textId="77777777" w:rsidR="00504EA0" w:rsidRDefault="00504EA0" w:rsidP="002E54D9">
      <w:pPr>
        <w:ind w:right="46"/>
        <w:rPr>
          <w:rFonts w:ascii="Arial" w:hAnsi="Arial" w:cs="Arial"/>
          <w:sz w:val="22"/>
          <w:szCs w:val="22"/>
          <w:lang w:val="en-AU"/>
        </w:rPr>
      </w:pPr>
    </w:p>
    <w:p w14:paraId="712C2C38" w14:textId="77777777" w:rsidR="001D1004" w:rsidRPr="003A5EE1" w:rsidRDefault="001D1004" w:rsidP="002E54D9">
      <w:pPr>
        <w:ind w:right="46"/>
        <w:rPr>
          <w:rFonts w:ascii="Arial" w:hAnsi="Arial" w:cs="Arial"/>
          <w:sz w:val="22"/>
          <w:szCs w:val="22"/>
          <w:lang w:val="en-AU"/>
        </w:rPr>
      </w:pPr>
      <w:r w:rsidRPr="003A5EE1">
        <w:rPr>
          <w:rFonts w:ascii="Arial" w:hAnsi="Arial" w:cs="Arial"/>
          <w:sz w:val="22"/>
          <w:szCs w:val="22"/>
          <w:vertAlign w:val="superscript"/>
          <w:lang w:val="en-AU"/>
        </w:rPr>
        <w:t>®</w:t>
      </w:r>
      <w:r w:rsidRPr="003A5EE1">
        <w:rPr>
          <w:rFonts w:ascii="Arial" w:hAnsi="Arial" w:cs="Arial"/>
          <w:sz w:val="22"/>
          <w:szCs w:val="22"/>
          <w:lang w:val="en-AU"/>
        </w:rPr>
        <w:t xml:space="preserve">Registered Trademark of Bayer </w:t>
      </w:r>
      <w:r w:rsidR="00E961A9">
        <w:rPr>
          <w:rFonts w:ascii="Arial" w:hAnsi="Arial" w:cs="Arial"/>
          <w:sz w:val="22"/>
          <w:szCs w:val="22"/>
          <w:lang w:val="en-AU"/>
        </w:rPr>
        <w:t>Group, Germany</w:t>
      </w:r>
      <w:bookmarkStart w:id="12" w:name="_PictureBullets"/>
      <w:bookmarkEnd w:id="12"/>
    </w:p>
    <w:sectPr w:rsidR="001D1004" w:rsidRPr="003A5EE1" w:rsidSect="00C574FE">
      <w:headerReference w:type="default" r:id="rId22"/>
      <w:footerReference w:type="default" r:id="rId23"/>
      <w:pgSz w:w="11906" w:h="16838" w:code="9"/>
      <w:pgMar w:top="1701" w:right="1191" w:bottom="1701"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C2C41" w14:textId="77777777" w:rsidR="006B66A9" w:rsidRDefault="006B66A9">
      <w:r>
        <w:separator/>
      </w:r>
    </w:p>
  </w:endnote>
  <w:endnote w:type="continuationSeparator" w:id="0">
    <w:p w14:paraId="712C2C42" w14:textId="77777777" w:rsidR="006B66A9" w:rsidRDefault="006B66A9">
      <w:r>
        <w:continuationSeparator/>
      </w:r>
    </w:p>
  </w:endnote>
  <w:endnote w:type="continuationNotice" w:id="1">
    <w:p w14:paraId="712C2C43" w14:textId="77777777" w:rsidR="006B66A9" w:rsidRDefault="006B6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3" w:usb1="09070000" w:usb2="00000010" w:usb3="00000000" w:csb0="000A0009"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 w:name="TimesNewRomanPSMT">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C2C44" w14:textId="7FA6DEF6" w:rsidR="006B66A9" w:rsidRPr="00CB29CA" w:rsidRDefault="006B66A9" w:rsidP="00CB29CA">
    <w:pPr>
      <w:pStyle w:val="Footer"/>
      <w:tabs>
        <w:tab w:val="clear" w:pos="8306"/>
        <w:tab w:val="right" w:pos="9214"/>
      </w:tabs>
      <w:ind w:right="360"/>
      <w:rPr>
        <w:rFonts w:ascii="Arial" w:hAnsi="Arial" w:cs="Arial"/>
        <w:sz w:val="18"/>
        <w:szCs w:val="18"/>
      </w:rPr>
    </w:pPr>
    <w:r>
      <w:rPr>
        <w:rFonts w:ascii="Arial" w:hAnsi="Arial" w:cs="Arial"/>
        <w:sz w:val="18"/>
        <w:szCs w:val="18"/>
      </w:rPr>
      <w:t>150</w:t>
    </w:r>
    <w:r w:rsidR="00B53A6A">
      <w:rPr>
        <w:rFonts w:ascii="Arial" w:hAnsi="Arial" w:cs="Arial"/>
        <w:sz w:val="18"/>
        <w:szCs w:val="18"/>
      </w:rPr>
      <w:t>3</w:t>
    </w:r>
    <w:r>
      <w:rPr>
        <w:rFonts w:ascii="Arial" w:hAnsi="Arial" w:cs="Arial"/>
        <w:sz w:val="18"/>
        <w:szCs w:val="18"/>
      </w:rPr>
      <w:t xml:space="preserve"> STIVARGA PI </w:t>
    </w:r>
    <w:r>
      <w:rPr>
        <w:rFonts w:ascii="Arial" w:hAnsi="Arial" w:cs="Arial"/>
        <w:sz w:val="18"/>
        <w:szCs w:val="18"/>
      </w:rPr>
      <w:tab/>
    </w:r>
    <w:r>
      <w:rPr>
        <w:rFonts w:ascii="Arial" w:hAnsi="Arial" w:cs="Arial"/>
        <w:sz w:val="18"/>
        <w:szCs w:val="18"/>
      </w:rPr>
      <w:tab/>
    </w:r>
    <w:r w:rsidRPr="00CB29CA">
      <w:rPr>
        <w:rFonts w:ascii="Arial" w:hAnsi="Arial" w:cs="Arial"/>
        <w:sz w:val="18"/>
        <w:szCs w:val="18"/>
      </w:rPr>
      <w:t xml:space="preserve">Page </w:t>
    </w:r>
    <w:r w:rsidRPr="00CB29CA">
      <w:rPr>
        <w:rFonts w:ascii="Arial" w:hAnsi="Arial" w:cs="Arial"/>
        <w:bCs/>
        <w:sz w:val="18"/>
        <w:szCs w:val="18"/>
      </w:rPr>
      <w:fldChar w:fldCharType="begin"/>
    </w:r>
    <w:r w:rsidRPr="00CB29CA">
      <w:rPr>
        <w:rFonts w:ascii="Arial" w:hAnsi="Arial" w:cs="Arial"/>
        <w:bCs/>
        <w:sz w:val="18"/>
        <w:szCs w:val="18"/>
      </w:rPr>
      <w:instrText xml:space="preserve"> PAGE </w:instrText>
    </w:r>
    <w:r w:rsidRPr="00CB29CA">
      <w:rPr>
        <w:rFonts w:ascii="Arial" w:hAnsi="Arial" w:cs="Arial"/>
        <w:bCs/>
        <w:sz w:val="18"/>
        <w:szCs w:val="18"/>
      </w:rPr>
      <w:fldChar w:fldCharType="separate"/>
    </w:r>
    <w:r w:rsidR="00592429">
      <w:rPr>
        <w:rFonts w:ascii="Arial" w:hAnsi="Arial" w:cs="Arial"/>
        <w:bCs/>
        <w:noProof/>
        <w:sz w:val="18"/>
        <w:szCs w:val="18"/>
      </w:rPr>
      <w:t>27</w:t>
    </w:r>
    <w:r w:rsidRPr="00CB29CA">
      <w:rPr>
        <w:rFonts w:ascii="Arial" w:hAnsi="Arial" w:cs="Arial"/>
        <w:bCs/>
        <w:sz w:val="18"/>
        <w:szCs w:val="18"/>
      </w:rPr>
      <w:fldChar w:fldCharType="end"/>
    </w:r>
    <w:r w:rsidRPr="00CB29CA">
      <w:rPr>
        <w:rFonts w:ascii="Arial" w:hAnsi="Arial" w:cs="Arial"/>
        <w:sz w:val="18"/>
        <w:szCs w:val="18"/>
      </w:rPr>
      <w:t xml:space="preserve"> of </w:t>
    </w:r>
    <w:r w:rsidRPr="00CB29CA">
      <w:rPr>
        <w:rFonts w:ascii="Arial" w:hAnsi="Arial" w:cs="Arial"/>
        <w:bCs/>
        <w:sz w:val="18"/>
        <w:szCs w:val="18"/>
      </w:rPr>
      <w:fldChar w:fldCharType="begin"/>
    </w:r>
    <w:r w:rsidRPr="00CB29CA">
      <w:rPr>
        <w:rFonts w:ascii="Arial" w:hAnsi="Arial" w:cs="Arial"/>
        <w:bCs/>
        <w:sz w:val="18"/>
        <w:szCs w:val="18"/>
      </w:rPr>
      <w:instrText xml:space="preserve"> NUMPAGES  </w:instrText>
    </w:r>
    <w:r w:rsidRPr="00CB29CA">
      <w:rPr>
        <w:rFonts w:ascii="Arial" w:hAnsi="Arial" w:cs="Arial"/>
        <w:bCs/>
        <w:sz w:val="18"/>
        <w:szCs w:val="18"/>
      </w:rPr>
      <w:fldChar w:fldCharType="separate"/>
    </w:r>
    <w:r w:rsidR="00592429">
      <w:rPr>
        <w:rFonts w:ascii="Arial" w:hAnsi="Arial" w:cs="Arial"/>
        <w:bCs/>
        <w:noProof/>
        <w:sz w:val="18"/>
        <w:szCs w:val="18"/>
      </w:rPr>
      <w:t>28</w:t>
    </w:r>
    <w:r w:rsidRPr="00CB29CA">
      <w:rPr>
        <w:rFonts w:ascii="Arial" w:hAnsi="Arial" w:cs="Arial"/>
        <w:bCs/>
        <w:sz w:val="18"/>
        <w:szCs w:val="18"/>
      </w:rPr>
      <w:fldChar w:fldCharType="end"/>
    </w:r>
  </w:p>
  <w:p w14:paraId="712C2C45" w14:textId="77777777" w:rsidR="006B66A9" w:rsidRPr="00F34FCB" w:rsidRDefault="006B66A9" w:rsidP="009A3AEE">
    <w:pPr>
      <w:tabs>
        <w:tab w:val="center" w:pos="4607"/>
        <w:tab w:val="right" w:pos="9214"/>
      </w:tabs>
      <w:rPr>
        <w:rFonts w:ascii="Arial" w:hAnsi="Arial" w:cs="Arial"/>
        <w:color w:val="00000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C2C3E" w14:textId="77777777" w:rsidR="006B66A9" w:rsidRDefault="006B66A9">
      <w:r>
        <w:separator/>
      </w:r>
    </w:p>
  </w:footnote>
  <w:footnote w:type="continuationSeparator" w:id="0">
    <w:p w14:paraId="712C2C3F" w14:textId="77777777" w:rsidR="006B66A9" w:rsidRDefault="006B66A9">
      <w:r>
        <w:continuationSeparator/>
      </w:r>
    </w:p>
  </w:footnote>
  <w:footnote w:type="continuationNotice" w:id="1">
    <w:p w14:paraId="712C2C40" w14:textId="77777777" w:rsidR="006B66A9" w:rsidRDefault="006B66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92429" w14:paraId="662D304B" w14:textId="77777777" w:rsidTr="009F371C">
      <w:tc>
        <w:tcPr>
          <w:tcW w:w="8720" w:type="dxa"/>
          <w:shd w:val="clear" w:color="auto" w:fill="E4F2E0"/>
        </w:tcPr>
        <w:p w14:paraId="6C8284CA" w14:textId="77777777" w:rsidR="00592429" w:rsidRPr="00D361CA" w:rsidRDefault="00592429" w:rsidP="009F371C">
          <w:pPr>
            <w:spacing w:before="40" w:after="40"/>
            <w:rPr>
              <w:b/>
              <w:sz w:val="20"/>
              <w:szCs w:val="20"/>
            </w:rPr>
          </w:pPr>
          <w:r w:rsidRPr="00D361CA">
            <w:rPr>
              <w:b/>
              <w:sz w:val="20"/>
              <w:szCs w:val="20"/>
            </w:rPr>
            <w:t xml:space="preserve">Attachment 1: Product information for </w:t>
          </w:r>
          <w:proofErr w:type="spellStart"/>
          <w:r w:rsidRPr="00C024FF">
            <w:rPr>
              <w:b/>
              <w:sz w:val="20"/>
              <w:szCs w:val="20"/>
            </w:rPr>
            <w:t>AusPAR</w:t>
          </w:r>
          <w:proofErr w:type="spellEnd"/>
          <w:r w:rsidRPr="00C024FF">
            <w:rPr>
              <w:b/>
              <w:sz w:val="20"/>
              <w:szCs w:val="20"/>
            </w:rPr>
            <w:t xml:space="preserve"> </w:t>
          </w:r>
          <w:proofErr w:type="spellStart"/>
          <w:r w:rsidRPr="00C024FF">
            <w:rPr>
              <w:b/>
              <w:sz w:val="20"/>
              <w:szCs w:val="20"/>
            </w:rPr>
            <w:t>Stivarga</w:t>
          </w:r>
          <w:proofErr w:type="spellEnd"/>
          <w:r w:rsidRPr="00C024FF">
            <w:rPr>
              <w:b/>
              <w:sz w:val="20"/>
              <w:szCs w:val="20"/>
            </w:rPr>
            <w:t xml:space="preserve"> </w:t>
          </w:r>
          <w:proofErr w:type="spellStart"/>
          <w:r w:rsidRPr="00C024FF">
            <w:rPr>
              <w:b/>
              <w:sz w:val="20"/>
              <w:szCs w:val="20"/>
            </w:rPr>
            <w:t>Regorafenib</w:t>
          </w:r>
          <w:proofErr w:type="spellEnd"/>
          <w:r w:rsidRPr="00C024FF">
            <w:rPr>
              <w:b/>
              <w:sz w:val="20"/>
              <w:szCs w:val="20"/>
            </w:rPr>
            <w:t xml:space="preserve"> Bayer Australia Ltd PM-2013-04954-1-4 Final 19 November 2015</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6469FB41" w14:textId="77777777" w:rsidR="00592429" w:rsidRDefault="00592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7ADCCE"/>
    <w:lvl w:ilvl="0">
      <w:numFmt w:val="bullet"/>
      <w:lvlText w:val="*"/>
      <w:lvlJc w:val="left"/>
    </w:lvl>
  </w:abstractNum>
  <w:abstractNum w:abstractNumId="1">
    <w:nsid w:val="00E86FE0"/>
    <w:multiLevelType w:val="hybridMultilevel"/>
    <w:tmpl w:val="72FA3FFE"/>
    <w:lvl w:ilvl="0" w:tplc="FB9087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D78EC"/>
    <w:multiLevelType w:val="hybridMultilevel"/>
    <w:tmpl w:val="8BDAA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8E4DEF"/>
    <w:multiLevelType w:val="hybridMultilevel"/>
    <w:tmpl w:val="3ABA6E50"/>
    <w:lvl w:ilvl="0" w:tplc="63A8AB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61FB8"/>
    <w:multiLevelType w:val="multilevel"/>
    <w:tmpl w:val="7D1657F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8526C78"/>
    <w:multiLevelType w:val="hybridMultilevel"/>
    <w:tmpl w:val="E7123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9619FB"/>
    <w:multiLevelType w:val="hybridMultilevel"/>
    <w:tmpl w:val="EA90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D71CFA"/>
    <w:multiLevelType w:val="hybridMultilevel"/>
    <w:tmpl w:val="AE9E5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3F0B7E"/>
    <w:multiLevelType w:val="hybridMultilevel"/>
    <w:tmpl w:val="1FD45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C3466"/>
    <w:multiLevelType w:val="hybridMultilevel"/>
    <w:tmpl w:val="D46E1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4BE6FA1"/>
    <w:multiLevelType w:val="hybridMultilevel"/>
    <w:tmpl w:val="1FE4B30A"/>
    <w:lvl w:ilvl="0" w:tplc="5BD8C7B2">
      <w:start w:val="1"/>
      <w:numFmt w:val="bullet"/>
      <w:pStyle w:val="BulletIndent4"/>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F13DEF"/>
    <w:multiLevelType w:val="hybridMultilevel"/>
    <w:tmpl w:val="81586BD0"/>
    <w:lvl w:ilvl="0" w:tplc="FB9087F4">
      <w:start w:val="1"/>
      <w:numFmt w:val="bullet"/>
      <w:lvlText w:val=""/>
      <w:lvlJc w:val="left"/>
      <w:pPr>
        <w:tabs>
          <w:tab w:val="num" w:pos="360"/>
        </w:tabs>
        <w:ind w:left="36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38182A"/>
    <w:multiLevelType w:val="hybridMultilevel"/>
    <w:tmpl w:val="5D9EEC5C"/>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21A0526"/>
    <w:multiLevelType w:val="hybridMultilevel"/>
    <w:tmpl w:val="4304512E"/>
    <w:lvl w:ilvl="0" w:tplc="BF4C6310">
      <w:start w:val="1"/>
      <w:numFmt w:val="bullet"/>
      <w:lvlText w:val="–"/>
      <w:lvlJc w:val="left"/>
      <w:pPr>
        <w:tabs>
          <w:tab w:val="num" w:pos="720"/>
        </w:tabs>
        <w:ind w:left="720" w:hanging="360"/>
      </w:pPr>
      <w:rPr>
        <w:rFonts w:ascii="Times New Roman" w:hAnsi="Times New Roman" w:hint="default"/>
      </w:rPr>
    </w:lvl>
    <w:lvl w:ilvl="1" w:tplc="D93A3082" w:tentative="1">
      <w:start w:val="1"/>
      <w:numFmt w:val="bullet"/>
      <w:lvlText w:val="–"/>
      <w:lvlJc w:val="left"/>
      <w:pPr>
        <w:tabs>
          <w:tab w:val="num" w:pos="1440"/>
        </w:tabs>
        <w:ind w:left="1440" w:hanging="360"/>
      </w:pPr>
      <w:rPr>
        <w:rFonts w:ascii="Times New Roman" w:hAnsi="Times New Roman" w:hint="default"/>
      </w:rPr>
    </w:lvl>
    <w:lvl w:ilvl="2" w:tplc="41024E2E">
      <w:start w:val="1"/>
      <w:numFmt w:val="bullet"/>
      <w:lvlText w:val="–"/>
      <w:lvlJc w:val="left"/>
      <w:pPr>
        <w:tabs>
          <w:tab w:val="num" w:pos="2160"/>
        </w:tabs>
        <w:ind w:left="2160" w:hanging="360"/>
      </w:pPr>
      <w:rPr>
        <w:rFonts w:ascii="Times New Roman" w:hAnsi="Times New Roman" w:hint="default"/>
      </w:rPr>
    </w:lvl>
    <w:lvl w:ilvl="3" w:tplc="A3600B10" w:tentative="1">
      <w:start w:val="1"/>
      <w:numFmt w:val="bullet"/>
      <w:lvlText w:val="–"/>
      <w:lvlJc w:val="left"/>
      <w:pPr>
        <w:tabs>
          <w:tab w:val="num" w:pos="2880"/>
        </w:tabs>
        <w:ind w:left="2880" w:hanging="360"/>
      </w:pPr>
      <w:rPr>
        <w:rFonts w:ascii="Times New Roman" w:hAnsi="Times New Roman" w:hint="default"/>
      </w:rPr>
    </w:lvl>
    <w:lvl w:ilvl="4" w:tplc="B8FA005A" w:tentative="1">
      <w:start w:val="1"/>
      <w:numFmt w:val="bullet"/>
      <w:lvlText w:val="–"/>
      <w:lvlJc w:val="left"/>
      <w:pPr>
        <w:tabs>
          <w:tab w:val="num" w:pos="3600"/>
        </w:tabs>
        <w:ind w:left="3600" w:hanging="360"/>
      </w:pPr>
      <w:rPr>
        <w:rFonts w:ascii="Times New Roman" w:hAnsi="Times New Roman" w:hint="default"/>
      </w:rPr>
    </w:lvl>
    <w:lvl w:ilvl="5" w:tplc="E8F81CBE" w:tentative="1">
      <w:start w:val="1"/>
      <w:numFmt w:val="bullet"/>
      <w:lvlText w:val="–"/>
      <w:lvlJc w:val="left"/>
      <w:pPr>
        <w:tabs>
          <w:tab w:val="num" w:pos="4320"/>
        </w:tabs>
        <w:ind w:left="4320" w:hanging="360"/>
      </w:pPr>
      <w:rPr>
        <w:rFonts w:ascii="Times New Roman" w:hAnsi="Times New Roman" w:hint="default"/>
      </w:rPr>
    </w:lvl>
    <w:lvl w:ilvl="6" w:tplc="E9A893AC" w:tentative="1">
      <w:start w:val="1"/>
      <w:numFmt w:val="bullet"/>
      <w:lvlText w:val="–"/>
      <w:lvlJc w:val="left"/>
      <w:pPr>
        <w:tabs>
          <w:tab w:val="num" w:pos="5040"/>
        </w:tabs>
        <w:ind w:left="5040" w:hanging="360"/>
      </w:pPr>
      <w:rPr>
        <w:rFonts w:ascii="Times New Roman" w:hAnsi="Times New Roman" w:hint="default"/>
      </w:rPr>
    </w:lvl>
    <w:lvl w:ilvl="7" w:tplc="B9B27B6A" w:tentative="1">
      <w:start w:val="1"/>
      <w:numFmt w:val="bullet"/>
      <w:lvlText w:val="–"/>
      <w:lvlJc w:val="left"/>
      <w:pPr>
        <w:tabs>
          <w:tab w:val="num" w:pos="5760"/>
        </w:tabs>
        <w:ind w:left="5760" w:hanging="360"/>
      </w:pPr>
      <w:rPr>
        <w:rFonts w:ascii="Times New Roman" w:hAnsi="Times New Roman" w:hint="default"/>
      </w:rPr>
    </w:lvl>
    <w:lvl w:ilvl="8" w:tplc="108C4FB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B00317"/>
    <w:multiLevelType w:val="hybridMultilevel"/>
    <w:tmpl w:val="89CE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CF0AF2"/>
    <w:multiLevelType w:val="hybridMultilevel"/>
    <w:tmpl w:val="312A75C4"/>
    <w:lvl w:ilvl="0" w:tplc="F3602EF8">
      <w:start w:val="1"/>
      <w:numFmt w:val="bullet"/>
      <w:lvlText w:val="o"/>
      <w:lvlJc w:val="left"/>
      <w:pPr>
        <w:tabs>
          <w:tab w:val="num" w:pos="360"/>
        </w:tabs>
        <w:ind w:left="360" w:hanging="360"/>
      </w:pPr>
      <w:rPr>
        <w:rFonts w:ascii="Courier New" w:hAnsi="Courier New"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25CBF"/>
    <w:multiLevelType w:val="hybridMultilevel"/>
    <w:tmpl w:val="9E0E0B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53C0A95"/>
    <w:multiLevelType w:val="hybridMultilevel"/>
    <w:tmpl w:val="8848B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4D6C5D"/>
    <w:multiLevelType w:val="hybridMultilevel"/>
    <w:tmpl w:val="E6A85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0511992"/>
    <w:multiLevelType w:val="hybridMultilevel"/>
    <w:tmpl w:val="34BCA1D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C9258E"/>
    <w:multiLevelType w:val="hybridMultilevel"/>
    <w:tmpl w:val="EC94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E36691"/>
    <w:multiLevelType w:val="hybridMultilevel"/>
    <w:tmpl w:val="E124D8A8"/>
    <w:lvl w:ilvl="0" w:tplc="1870D722">
      <w:start w:val="3414"/>
      <w:numFmt w:val="bullet"/>
      <w:lvlText w:val=""/>
      <w:lvlJc w:val="left"/>
      <w:pPr>
        <w:ind w:left="720" w:hanging="360"/>
      </w:pPr>
      <w:rPr>
        <w:rFonts w:ascii="Wingdings" w:eastAsia="PMingLiU"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C96DB3"/>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B210306"/>
    <w:multiLevelType w:val="hybridMultilevel"/>
    <w:tmpl w:val="307EBC28"/>
    <w:lvl w:ilvl="0" w:tplc="7E527D58">
      <w:numFmt w:val="bullet"/>
      <w:lvlText w:val="-"/>
      <w:lvlJc w:val="left"/>
      <w:pPr>
        <w:ind w:left="720" w:hanging="360"/>
      </w:pPr>
      <w:rPr>
        <w:rFonts w:ascii="Arial" w:eastAsia="TimesNew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0755F49"/>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344116A"/>
    <w:multiLevelType w:val="hybridMultilevel"/>
    <w:tmpl w:val="EB4E9244"/>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7DD0F30"/>
    <w:multiLevelType w:val="hybridMultilevel"/>
    <w:tmpl w:val="70502650"/>
    <w:lvl w:ilvl="0" w:tplc="FB9087F4">
      <w:start w:val="1"/>
      <w:numFmt w:val="bullet"/>
      <w:lvlText w:val=""/>
      <w:lvlJc w:val="left"/>
      <w:pPr>
        <w:tabs>
          <w:tab w:val="num" w:pos="720"/>
        </w:tabs>
        <w:ind w:left="720" w:hanging="360"/>
      </w:pPr>
      <w:rPr>
        <w:rFonts w:ascii="Symbol" w:hAnsi="Symbol" w:hint="default"/>
        <w:color w:val="auto"/>
      </w:rPr>
    </w:lvl>
    <w:lvl w:ilvl="1" w:tplc="3D64879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823B5"/>
    <w:multiLevelType w:val="hybridMultilevel"/>
    <w:tmpl w:val="3AF4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D707B0"/>
    <w:multiLevelType w:val="hybridMultilevel"/>
    <w:tmpl w:val="BFE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73DE7"/>
    <w:multiLevelType w:val="hybridMultilevel"/>
    <w:tmpl w:val="DBE8F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DAB18C8"/>
    <w:multiLevelType w:val="hybridMultilevel"/>
    <w:tmpl w:val="D35E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E4C258F"/>
    <w:multiLevelType w:val="hybridMultilevel"/>
    <w:tmpl w:val="C6BA5D56"/>
    <w:lvl w:ilvl="0" w:tplc="A7387AC8">
      <w:numFmt w:val="bullet"/>
      <w:lvlText w:val="•"/>
      <w:lvlJc w:val="left"/>
      <w:pPr>
        <w:ind w:left="1290" w:hanging="93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4E0098C"/>
    <w:multiLevelType w:val="hybridMultilevel"/>
    <w:tmpl w:val="632CFBD2"/>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9D07AD7"/>
    <w:multiLevelType w:val="hybridMultilevel"/>
    <w:tmpl w:val="202C7E60"/>
    <w:lvl w:ilvl="0" w:tplc="2F32005E">
      <w:start w:val="1"/>
      <w:numFmt w:val="bullet"/>
      <w:lvlText w:val=""/>
      <w:lvlJc w:val="left"/>
      <w:pPr>
        <w:tabs>
          <w:tab w:val="num" w:pos="1440"/>
        </w:tabs>
        <w:ind w:left="144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E9313D3"/>
    <w:multiLevelType w:val="hybridMultilevel"/>
    <w:tmpl w:val="7D1657F8"/>
    <w:lvl w:ilvl="0" w:tplc="3D6487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13"/>
  </w:num>
  <w:num w:numId="4">
    <w:abstractNumId w:val="0"/>
    <w:lvlOverride w:ilvl="0">
      <w:lvl w:ilvl="0">
        <w:numFmt w:val="bullet"/>
        <w:lvlText w:val="•"/>
        <w:legacy w:legacy="1" w:legacySpace="0" w:legacyIndent="0"/>
        <w:lvlJc w:val="left"/>
        <w:rPr>
          <w:rFonts w:ascii="Helv" w:hAnsi="Helv" w:hint="default"/>
        </w:rPr>
      </w:lvl>
    </w:lvlOverride>
  </w:num>
  <w:num w:numId="5">
    <w:abstractNumId w:val="34"/>
  </w:num>
  <w:num w:numId="6">
    <w:abstractNumId w:val="35"/>
  </w:num>
  <w:num w:numId="7">
    <w:abstractNumId w:val="4"/>
  </w:num>
  <w:num w:numId="8">
    <w:abstractNumId w:val="1"/>
  </w:num>
  <w:num w:numId="9">
    <w:abstractNumId w:val="27"/>
  </w:num>
  <w:num w:numId="10">
    <w:abstractNumId w:val="7"/>
  </w:num>
  <w:num w:numId="11">
    <w:abstractNumId w:val="32"/>
  </w:num>
  <w:num w:numId="12">
    <w:abstractNumId w:val="10"/>
  </w:num>
  <w:num w:numId="13">
    <w:abstractNumId w:val="15"/>
  </w:num>
  <w:num w:numId="14">
    <w:abstractNumId w:val="11"/>
  </w:num>
  <w:num w:numId="15">
    <w:abstractNumId w:val="24"/>
  </w:num>
  <w:num w:numId="16">
    <w:abstractNumId w:val="25"/>
  </w:num>
  <w:num w:numId="17">
    <w:abstractNumId w:val="23"/>
  </w:num>
  <w:num w:numId="18">
    <w:abstractNumId w:val="16"/>
  </w:num>
  <w:num w:numId="19">
    <w:abstractNumId w:val="21"/>
  </w:num>
  <w:num w:numId="20">
    <w:abstractNumId w:val="26"/>
  </w:num>
  <w:num w:numId="21">
    <w:abstractNumId w:val="33"/>
  </w:num>
  <w:num w:numId="22">
    <w:abstractNumId w:val="12"/>
  </w:num>
  <w:num w:numId="23">
    <w:abstractNumId w:val="5"/>
  </w:num>
  <w:num w:numId="24">
    <w:abstractNumId w:val="2"/>
  </w:num>
  <w:num w:numId="25">
    <w:abstractNumId w:val="31"/>
  </w:num>
  <w:num w:numId="26">
    <w:abstractNumId w:val="18"/>
  </w:num>
  <w:num w:numId="27">
    <w:abstractNumId w:val="28"/>
  </w:num>
  <w:num w:numId="28">
    <w:abstractNumId w:val="20"/>
  </w:num>
  <w:num w:numId="29">
    <w:abstractNumId w:val="9"/>
  </w:num>
  <w:num w:numId="30">
    <w:abstractNumId w:val="19"/>
  </w:num>
  <w:num w:numId="31">
    <w:abstractNumId w:val="6"/>
  </w:num>
  <w:num w:numId="32">
    <w:abstractNumId w:val="8"/>
  </w:num>
  <w:num w:numId="33">
    <w:abstractNumId w:val="14"/>
  </w:num>
  <w:num w:numId="34">
    <w:abstractNumId w:val="30"/>
  </w:num>
  <w:num w:numId="35">
    <w:abstractNumId w:val="1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readOnly" w:enforcement="0"/>
  <w:defaultTabStop w:val="567"/>
  <w:characterSpacingControl w:val="doNotCompress"/>
  <w:hdrShapeDefaults>
    <o:shapedefaults v:ext="edit" spidmax="5734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004"/>
    <w:rsid w:val="00000110"/>
    <w:rsid w:val="00001E7E"/>
    <w:rsid w:val="00003DFE"/>
    <w:rsid w:val="00004AA6"/>
    <w:rsid w:val="00004C30"/>
    <w:rsid w:val="00005F71"/>
    <w:rsid w:val="00007826"/>
    <w:rsid w:val="00010356"/>
    <w:rsid w:val="000114B6"/>
    <w:rsid w:val="00012360"/>
    <w:rsid w:val="00012ECA"/>
    <w:rsid w:val="000135CE"/>
    <w:rsid w:val="00013775"/>
    <w:rsid w:val="00014E40"/>
    <w:rsid w:val="000155B2"/>
    <w:rsid w:val="000168C5"/>
    <w:rsid w:val="00016A45"/>
    <w:rsid w:val="000214C2"/>
    <w:rsid w:val="0002260D"/>
    <w:rsid w:val="00022A39"/>
    <w:rsid w:val="00025B3F"/>
    <w:rsid w:val="00025BDA"/>
    <w:rsid w:val="00026653"/>
    <w:rsid w:val="00026FFA"/>
    <w:rsid w:val="00027373"/>
    <w:rsid w:val="000278D2"/>
    <w:rsid w:val="00027C0C"/>
    <w:rsid w:val="00030DAB"/>
    <w:rsid w:val="000326F2"/>
    <w:rsid w:val="000335B7"/>
    <w:rsid w:val="0003372E"/>
    <w:rsid w:val="000337A6"/>
    <w:rsid w:val="0003473B"/>
    <w:rsid w:val="00034BD1"/>
    <w:rsid w:val="00034E70"/>
    <w:rsid w:val="000355F5"/>
    <w:rsid w:val="000358BE"/>
    <w:rsid w:val="00036AEB"/>
    <w:rsid w:val="000370B3"/>
    <w:rsid w:val="00037ED6"/>
    <w:rsid w:val="00040A68"/>
    <w:rsid w:val="00040BA0"/>
    <w:rsid w:val="00042071"/>
    <w:rsid w:val="00042564"/>
    <w:rsid w:val="0004395C"/>
    <w:rsid w:val="00043A39"/>
    <w:rsid w:val="00044B1D"/>
    <w:rsid w:val="00046278"/>
    <w:rsid w:val="00054FA2"/>
    <w:rsid w:val="00056379"/>
    <w:rsid w:val="00056464"/>
    <w:rsid w:val="00062162"/>
    <w:rsid w:val="00062F65"/>
    <w:rsid w:val="0006389F"/>
    <w:rsid w:val="000640C3"/>
    <w:rsid w:val="00064C94"/>
    <w:rsid w:val="000667BE"/>
    <w:rsid w:val="000667F9"/>
    <w:rsid w:val="00066949"/>
    <w:rsid w:val="00072B26"/>
    <w:rsid w:val="00081AE5"/>
    <w:rsid w:val="00081C34"/>
    <w:rsid w:val="00081E00"/>
    <w:rsid w:val="000825A9"/>
    <w:rsid w:val="00082837"/>
    <w:rsid w:val="00087A77"/>
    <w:rsid w:val="00094518"/>
    <w:rsid w:val="000964CC"/>
    <w:rsid w:val="000A164E"/>
    <w:rsid w:val="000A2C71"/>
    <w:rsid w:val="000A4A5F"/>
    <w:rsid w:val="000A67BF"/>
    <w:rsid w:val="000A6C33"/>
    <w:rsid w:val="000B0E6E"/>
    <w:rsid w:val="000C0A01"/>
    <w:rsid w:val="000C11AA"/>
    <w:rsid w:val="000C2863"/>
    <w:rsid w:val="000C2EE4"/>
    <w:rsid w:val="000C32E9"/>
    <w:rsid w:val="000C4062"/>
    <w:rsid w:val="000C4D35"/>
    <w:rsid w:val="000C7269"/>
    <w:rsid w:val="000D00C8"/>
    <w:rsid w:val="000D1D2E"/>
    <w:rsid w:val="000D2E7E"/>
    <w:rsid w:val="000D407F"/>
    <w:rsid w:val="000D4DD1"/>
    <w:rsid w:val="000E2D3B"/>
    <w:rsid w:val="000E3535"/>
    <w:rsid w:val="000E3BDA"/>
    <w:rsid w:val="000E52DF"/>
    <w:rsid w:val="000E5CCD"/>
    <w:rsid w:val="000E68FE"/>
    <w:rsid w:val="000F0A4A"/>
    <w:rsid w:val="000F2BC3"/>
    <w:rsid w:val="000F2F4F"/>
    <w:rsid w:val="000F46C5"/>
    <w:rsid w:val="00101466"/>
    <w:rsid w:val="001036B1"/>
    <w:rsid w:val="00103BB6"/>
    <w:rsid w:val="00105CE3"/>
    <w:rsid w:val="00105EC7"/>
    <w:rsid w:val="001062F5"/>
    <w:rsid w:val="00110401"/>
    <w:rsid w:val="00111455"/>
    <w:rsid w:val="00111D29"/>
    <w:rsid w:val="00112125"/>
    <w:rsid w:val="00112F79"/>
    <w:rsid w:val="00113B56"/>
    <w:rsid w:val="00115A4C"/>
    <w:rsid w:val="00116C14"/>
    <w:rsid w:val="0012039C"/>
    <w:rsid w:val="00120470"/>
    <w:rsid w:val="00121695"/>
    <w:rsid w:val="00121EBA"/>
    <w:rsid w:val="00123FC3"/>
    <w:rsid w:val="001249DE"/>
    <w:rsid w:val="00124D32"/>
    <w:rsid w:val="00126623"/>
    <w:rsid w:val="00126CE4"/>
    <w:rsid w:val="00127330"/>
    <w:rsid w:val="001273A7"/>
    <w:rsid w:val="00132E4F"/>
    <w:rsid w:val="001351CD"/>
    <w:rsid w:val="00137089"/>
    <w:rsid w:val="001419E9"/>
    <w:rsid w:val="0014282A"/>
    <w:rsid w:val="0014547B"/>
    <w:rsid w:val="001504FD"/>
    <w:rsid w:val="001537C5"/>
    <w:rsid w:val="0015411E"/>
    <w:rsid w:val="0015424B"/>
    <w:rsid w:val="00156B0A"/>
    <w:rsid w:val="00157EDA"/>
    <w:rsid w:val="00161E9A"/>
    <w:rsid w:val="0016446F"/>
    <w:rsid w:val="001652FC"/>
    <w:rsid w:val="00165ADC"/>
    <w:rsid w:val="00165E77"/>
    <w:rsid w:val="00167159"/>
    <w:rsid w:val="00167849"/>
    <w:rsid w:val="00167C8D"/>
    <w:rsid w:val="00167FEE"/>
    <w:rsid w:val="0017194B"/>
    <w:rsid w:val="00172895"/>
    <w:rsid w:val="00181158"/>
    <w:rsid w:val="00181A35"/>
    <w:rsid w:val="00181B02"/>
    <w:rsid w:val="00182005"/>
    <w:rsid w:val="00182832"/>
    <w:rsid w:val="0018597F"/>
    <w:rsid w:val="00187B61"/>
    <w:rsid w:val="00190FAF"/>
    <w:rsid w:val="0019439C"/>
    <w:rsid w:val="00196D01"/>
    <w:rsid w:val="00197C70"/>
    <w:rsid w:val="001A32B8"/>
    <w:rsid w:val="001A3433"/>
    <w:rsid w:val="001A38F8"/>
    <w:rsid w:val="001A3BAD"/>
    <w:rsid w:val="001A49F2"/>
    <w:rsid w:val="001A4DDB"/>
    <w:rsid w:val="001A4EE3"/>
    <w:rsid w:val="001A4F26"/>
    <w:rsid w:val="001A6F57"/>
    <w:rsid w:val="001A77C2"/>
    <w:rsid w:val="001A77F5"/>
    <w:rsid w:val="001B1D95"/>
    <w:rsid w:val="001B1FEC"/>
    <w:rsid w:val="001B257F"/>
    <w:rsid w:val="001B2F50"/>
    <w:rsid w:val="001B4B7E"/>
    <w:rsid w:val="001C0F90"/>
    <w:rsid w:val="001C19A7"/>
    <w:rsid w:val="001C1D8D"/>
    <w:rsid w:val="001C2437"/>
    <w:rsid w:val="001C2582"/>
    <w:rsid w:val="001C3AE5"/>
    <w:rsid w:val="001C5848"/>
    <w:rsid w:val="001C592E"/>
    <w:rsid w:val="001C62F0"/>
    <w:rsid w:val="001C696B"/>
    <w:rsid w:val="001D04E1"/>
    <w:rsid w:val="001D0964"/>
    <w:rsid w:val="001D0FE3"/>
    <w:rsid w:val="001D1004"/>
    <w:rsid w:val="001D1F4A"/>
    <w:rsid w:val="001D2FFD"/>
    <w:rsid w:val="001D39DB"/>
    <w:rsid w:val="001D3B6B"/>
    <w:rsid w:val="001D4ACF"/>
    <w:rsid w:val="001D647B"/>
    <w:rsid w:val="001D6F80"/>
    <w:rsid w:val="001D7A36"/>
    <w:rsid w:val="001E0EFC"/>
    <w:rsid w:val="001E1524"/>
    <w:rsid w:val="001E1758"/>
    <w:rsid w:val="001E2167"/>
    <w:rsid w:val="001E2D60"/>
    <w:rsid w:val="001E6D4E"/>
    <w:rsid w:val="001E7812"/>
    <w:rsid w:val="001E7E69"/>
    <w:rsid w:val="001F3445"/>
    <w:rsid w:val="001F55B3"/>
    <w:rsid w:val="001F5A79"/>
    <w:rsid w:val="001F5FE5"/>
    <w:rsid w:val="001F622E"/>
    <w:rsid w:val="001F6AFF"/>
    <w:rsid w:val="001F6FF9"/>
    <w:rsid w:val="00203591"/>
    <w:rsid w:val="002049CB"/>
    <w:rsid w:val="00207817"/>
    <w:rsid w:val="002104CD"/>
    <w:rsid w:val="002115E5"/>
    <w:rsid w:val="00211B5B"/>
    <w:rsid w:val="00212ADE"/>
    <w:rsid w:val="002131EB"/>
    <w:rsid w:val="002145BE"/>
    <w:rsid w:val="002149CB"/>
    <w:rsid w:val="00221DE9"/>
    <w:rsid w:val="0022366B"/>
    <w:rsid w:val="002239D7"/>
    <w:rsid w:val="0022662B"/>
    <w:rsid w:val="00226ACF"/>
    <w:rsid w:val="002274AA"/>
    <w:rsid w:val="00233040"/>
    <w:rsid w:val="002332E1"/>
    <w:rsid w:val="00233D33"/>
    <w:rsid w:val="00243C3E"/>
    <w:rsid w:val="00254164"/>
    <w:rsid w:val="00256385"/>
    <w:rsid w:val="0025690F"/>
    <w:rsid w:val="0025780C"/>
    <w:rsid w:val="00261C64"/>
    <w:rsid w:val="002623D3"/>
    <w:rsid w:val="002626F2"/>
    <w:rsid w:val="002644BC"/>
    <w:rsid w:val="002656AD"/>
    <w:rsid w:val="00272710"/>
    <w:rsid w:val="002728A4"/>
    <w:rsid w:val="002742A2"/>
    <w:rsid w:val="00274E46"/>
    <w:rsid w:val="00274FD1"/>
    <w:rsid w:val="0027560A"/>
    <w:rsid w:val="00275FBB"/>
    <w:rsid w:val="002768CE"/>
    <w:rsid w:val="00277121"/>
    <w:rsid w:val="00277319"/>
    <w:rsid w:val="002800BD"/>
    <w:rsid w:val="00285131"/>
    <w:rsid w:val="00285769"/>
    <w:rsid w:val="00285C55"/>
    <w:rsid w:val="002875F2"/>
    <w:rsid w:val="00290EC1"/>
    <w:rsid w:val="00291832"/>
    <w:rsid w:val="00293396"/>
    <w:rsid w:val="00296132"/>
    <w:rsid w:val="0029655A"/>
    <w:rsid w:val="00296851"/>
    <w:rsid w:val="00296A60"/>
    <w:rsid w:val="0029723D"/>
    <w:rsid w:val="002A0AFA"/>
    <w:rsid w:val="002A11D0"/>
    <w:rsid w:val="002A19A1"/>
    <w:rsid w:val="002A2DF8"/>
    <w:rsid w:val="002A439C"/>
    <w:rsid w:val="002A44B5"/>
    <w:rsid w:val="002A655C"/>
    <w:rsid w:val="002A7E2C"/>
    <w:rsid w:val="002A7E59"/>
    <w:rsid w:val="002B1D85"/>
    <w:rsid w:val="002B299D"/>
    <w:rsid w:val="002B3ADE"/>
    <w:rsid w:val="002B4E5C"/>
    <w:rsid w:val="002B58D5"/>
    <w:rsid w:val="002B5D7D"/>
    <w:rsid w:val="002B70DA"/>
    <w:rsid w:val="002B7912"/>
    <w:rsid w:val="002C02F7"/>
    <w:rsid w:val="002C1799"/>
    <w:rsid w:val="002C1E8E"/>
    <w:rsid w:val="002C275E"/>
    <w:rsid w:val="002C2F1E"/>
    <w:rsid w:val="002C399C"/>
    <w:rsid w:val="002C3D7E"/>
    <w:rsid w:val="002C4056"/>
    <w:rsid w:val="002C4764"/>
    <w:rsid w:val="002C4E78"/>
    <w:rsid w:val="002C5EDD"/>
    <w:rsid w:val="002C6F99"/>
    <w:rsid w:val="002C7E73"/>
    <w:rsid w:val="002D07E4"/>
    <w:rsid w:val="002D210A"/>
    <w:rsid w:val="002D2820"/>
    <w:rsid w:val="002D3CDF"/>
    <w:rsid w:val="002D7BAA"/>
    <w:rsid w:val="002E0641"/>
    <w:rsid w:val="002E54D9"/>
    <w:rsid w:val="002E56E5"/>
    <w:rsid w:val="002E6E35"/>
    <w:rsid w:val="002E7059"/>
    <w:rsid w:val="002E74B6"/>
    <w:rsid w:val="002E7D63"/>
    <w:rsid w:val="002F1BE8"/>
    <w:rsid w:val="002F3AAC"/>
    <w:rsid w:val="002F7B32"/>
    <w:rsid w:val="00300796"/>
    <w:rsid w:val="00300B04"/>
    <w:rsid w:val="00301BBE"/>
    <w:rsid w:val="00303539"/>
    <w:rsid w:val="00303894"/>
    <w:rsid w:val="003044C0"/>
    <w:rsid w:val="00304CB3"/>
    <w:rsid w:val="003051BF"/>
    <w:rsid w:val="00305FF7"/>
    <w:rsid w:val="00306BA9"/>
    <w:rsid w:val="00307B9D"/>
    <w:rsid w:val="00310EA2"/>
    <w:rsid w:val="00312BEA"/>
    <w:rsid w:val="00312CB0"/>
    <w:rsid w:val="0031334C"/>
    <w:rsid w:val="0031389E"/>
    <w:rsid w:val="00313A75"/>
    <w:rsid w:val="0031461E"/>
    <w:rsid w:val="00315266"/>
    <w:rsid w:val="00316779"/>
    <w:rsid w:val="0032066B"/>
    <w:rsid w:val="003209D5"/>
    <w:rsid w:val="00321F87"/>
    <w:rsid w:val="003231AF"/>
    <w:rsid w:val="003260E8"/>
    <w:rsid w:val="0032747F"/>
    <w:rsid w:val="00330383"/>
    <w:rsid w:val="0033195B"/>
    <w:rsid w:val="00331FFB"/>
    <w:rsid w:val="0033345F"/>
    <w:rsid w:val="0033494F"/>
    <w:rsid w:val="00334D6F"/>
    <w:rsid w:val="00334E12"/>
    <w:rsid w:val="00336A4E"/>
    <w:rsid w:val="00337BDE"/>
    <w:rsid w:val="00340999"/>
    <w:rsid w:val="00340FBF"/>
    <w:rsid w:val="00342AB4"/>
    <w:rsid w:val="003432F8"/>
    <w:rsid w:val="00345714"/>
    <w:rsid w:val="0034700C"/>
    <w:rsid w:val="003523BA"/>
    <w:rsid w:val="0035410F"/>
    <w:rsid w:val="00356E34"/>
    <w:rsid w:val="003579DD"/>
    <w:rsid w:val="00357C1B"/>
    <w:rsid w:val="00360185"/>
    <w:rsid w:val="00360219"/>
    <w:rsid w:val="0036132D"/>
    <w:rsid w:val="00361B0A"/>
    <w:rsid w:val="0036260A"/>
    <w:rsid w:val="003652FC"/>
    <w:rsid w:val="003728DE"/>
    <w:rsid w:val="00372B15"/>
    <w:rsid w:val="0037349A"/>
    <w:rsid w:val="00373EE7"/>
    <w:rsid w:val="0037565F"/>
    <w:rsid w:val="003762CC"/>
    <w:rsid w:val="0037777C"/>
    <w:rsid w:val="00377B90"/>
    <w:rsid w:val="00377E82"/>
    <w:rsid w:val="0038008F"/>
    <w:rsid w:val="0038067C"/>
    <w:rsid w:val="00380BA7"/>
    <w:rsid w:val="003812C2"/>
    <w:rsid w:val="003815A4"/>
    <w:rsid w:val="003819CD"/>
    <w:rsid w:val="00382E66"/>
    <w:rsid w:val="00383A6B"/>
    <w:rsid w:val="00383D55"/>
    <w:rsid w:val="00385B0B"/>
    <w:rsid w:val="00386290"/>
    <w:rsid w:val="00387E2B"/>
    <w:rsid w:val="00390E0E"/>
    <w:rsid w:val="00390F78"/>
    <w:rsid w:val="003912A5"/>
    <w:rsid w:val="00393A5F"/>
    <w:rsid w:val="003945EB"/>
    <w:rsid w:val="00396999"/>
    <w:rsid w:val="003A2D60"/>
    <w:rsid w:val="003A3364"/>
    <w:rsid w:val="003A5842"/>
    <w:rsid w:val="003A5EE1"/>
    <w:rsid w:val="003A74BE"/>
    <w:rsid w:val="003A783F"/>
    <w:rsid w:val="003B076A"/>
    <w:rsid w:val="003B157D"/>
    <w:rsid w:val="003B19A9"/>
    <w:rsid w:val="003B38BD"/>
    <w:rsid w:val="003B41B2"/>
    <w:rsid w:val="003B5FEC"/>
    <w:rsid w:val="003C1640"/>
    <w:rsid w:val="003C1B5E"/>
    <w:rsid w:val="003C2312"/>
    <w:rsid w:val="003C38E8"/>
    <w:rsid w:val="003C3E96"/>
    <w:rsid w:val="003C3FE9"/>
    <w:rsid w:val="003C449E"/>
    <w:rsid w:val="003C46BE"/>
    <w:rsid w:val="003C5D6D"/>
    <w:rsid w:val="003C64D2"/>
    <w:rsid w:val="003D16C3"/>
    <w:rsid w:val="003D3376"/>
    <w:rsid w:val="003D6192"/>
    <w:rsid w:val="003D6DF0"/>
    <w:rsid w:val="003D74A4"/>
    <w:rsid w:val="003D755B"/>
    <w:rsid w:val="003E0D48"/>
    <w:rsid w:val="003E3921"/>
    <w:rsid w:val="003E44A2"/>
    <w:rsid w:val="003E4B2C"/>
    <w:rsid w:val="003E5C65"/>
    <w:rsid w:val="003E5CEB"/>
    <w:rsid w:val="003E661C"/>
    <w:rsid w:val="003F0C14"/>
    <w:rsid w:val="003F1AF1"/>
    <w:rsid w:val="003F1BE3"/>
    <w:rsid w:val="003F1C9A"/>
    <w:rsid w:val="003F49D9"/>
    <w:rsid w:val="003F4B76"/>
    <w:rsid w:val="003F6C07"/>
    <w:rsid w:val="003F73F3"/>
    <w:rsid w:val="003F786F"/>
    <w:rsid w:val="00400D5C"/>
    <w:rsid w:val="00401A69"/>
    <w:rsid w:val="00401BDD"/>
    <w:rsid w:val="0040482A"/>
    <w:rsid w:val="00407538"/>
    <w:rsid w:val="0040790E"/>
    <w:rsid w:val="00407CD2"/>
    <w:rsid w:val="00407D10"/>
    <w:rsid w:val="004100D9"/>
    <w:rsid w:val="00413A01"/>
    <w:rsid w:val="00415012"/>
    <w:rsid w:val="00415527"/>
    <w:rsid w:val="00417541"/>
    <w:rsid w:val="00417DDC"/>
    <w:rsid w:val="004230B3"/>
    <w:rsid w:val="004251BF"/>
    <w:rsid w:val="004265A9"/>
    <w:rsid w:val="00427094"/>
    <w:rsid w:val="0043011D"/>
    <w:rsid w:val="00430F66"/>
    <w:rsid w:val="004317C7"/>
    <w:rsid w:val="00431F4D"/>
    <w:rsid w:val="004331A8"/>
    <w:rsid w:val="00433E04"/>
    <w:rsid w:val="0043475A"/>
    <w:rsid w:val="00435DB1"/>
    <w:rsid w:val="00436BFF"/>
    <w:rsid w:val="0043776A"/>
    <w:rsid w:val="004445B3"/>
    <w:rsid w:val="00446A9B"/>
    <w:rsid w:val="00446AAA"/>
    <w:rsid w:val="00446CDA"/>
    <w:rsid w:val="004516BF"/>
    <w:rsid w:val="004518F9"/>
    <w:rsid w:val="00451C10"/>
    <w:rsid w:val="00451C5D"/>
    <w:rsid w:val="004528C4"/>
    <w:rsid w:val="004538C6"/>
    <w:rsid w:val="00454F0A"/>
    <w:rsid w:val="0045621B"/>
    <w:rsid w:val="00456BB6"/>
    <w:rsid w:val="00457524"/>
    <w:rsid w:val="004615B2"/>
    <w:rsid w:val="00461711"/>
    <w:rsid w:val="00461C1D"/>
    <w:rsid w:val="00467C62"/>
    <w:rsid w:val="0047062D"/>
    <w:rsid w:val="004745DE"/>
    <w:rsid w:val="00475346"/>
    <w:rsid w:val="00475A17"/>
    <w:rsid w:val="00476046"/>
    <w:rsid w:val="00476327"/>
    <w:rsid w:val="0047701A"/>
    <w:rsid w:val="004771F6"/>
    <w:rsid w:val="0047783E"/>
    <w:rsid w:val="0048224C"/>
    <w:rsid w:val="0048284A"/>
    <w:rsid w:val="004849F8"/>
    <w:rsid w:val="00485416"/>
    <w:rsid w:val="00485B52"/>
    <w:rsid w:val="00487B8E"/>
    <w:rsid w:val="0049000C"/>
    <w:rsid w:val="00493702"/>
    <w:rsid w:val="00496101"/>
    <w:rsid w:val="004962F4"/>
    <w:rsid w:val="0049774E"/>
    <w:rsid w:val="004A4BDF"/>
    <w:rsid w:val="004A54C0"/>
    <w:rsid w:val="004A6FCE"/>
    <w:rsid w:val="004B01B8"/>
    <w:rsid w:val="004B69F2"/>
    <w:rsid w:val="004B715B"/>
    <w:rsid w:val="004B7EBB"/>
    <w:rsid w:val="004C125B"/>
    <w:rsid w:val="004C1932"/>
    <w:rsid w:val="004C2F4D"/>
    <w:rsid w:val="004C3BF8"/>
    <w:rsid w:val="004C448C"/>
    <w:rsid w:val="004C6CA6"/>
    <w:rsid w:val="004D5793"/>
    <w:rsid w:val="004D606E"/>
    <w:rsid w:val="004D7198"/>
    <w:rsid w:val="004E009F"/>
    <w:rsid w:val="004E0911"/>
    <w:rsid w:val="004E14C3"/>
    <w:rsid w:val="004E15B6"/>
    <w:rsid w:val="004E2938"/>
    <w:rsid w:val="004E2F55"/>
    <w:rsid w:val="004E3595"/>
    <w:rsid w:val="004E4C11"/>
    <w:rsid w:val="004F1DB3"/>
    <w:rsid w:val="004F2204"/>
    <w:rsid w:val="004F4040"/>
    <w:rsid w:val="004F501C"/>
    <w:rsid w:val="004F5D5A"/>
    <w:rsid w:val="004F60FE"/>
    <w:rsid w:val="004F657B"/>
    <w:rsid w:val="004F66B3"/>
    <w:rsid w:val="004F6C49"/>
    <w:rsid w:val="004F6CD6"/>
    <w:rsid w:val="004F6F2D"/>
    <w:rsid w:val="004F73DE"/>
    <w:rsid w:val="00500365"/>
    <w:rsid w:val="00501513"/>
    <w:rsid w:val="00504EA0"/>
    <w:rsid w:val="00504F51"/>
    <w:rsid w:val="0050738C"/>
    <w:rsid w:val="005074FE"/>
    <w:rsid w:val="00510253"/>
    <w:rsid w:val="00510905"/>
    <w:rsid w:val="00511B29"/>
    <w:rsid w:val="00512D26"/>
    <w:rsid w:val="005132B1"/>
    <w:rsid w:val="00513572"/>
    <w:rsid w:val="00514532"/>
    <w:rsid w:val="0051586F"/>
    <w:rsid w:val="00515E3C"/>
    <w:rsid w:val="005177BD"/>
    <w:rsid w:val="00520D28"/>
    <w:rsid w:val="00521E4D"/>
    <w:rsid w:val="005241CE"/>
    <w:rsid w:val="005242C4"/>
    <w:rsid w:val="0052553D"/>
    <w:rsid w:val="00532729"/>
    <w:rsid w:val="005335EA"/>
    <w:rsid w:val="00533605"/>
    <w:rsid w:val="0053441C"/>
    <w:rsid w:val="00537998"/>
    <w:rsid w:val="00537C02"/>
    <w:rsid w:val="0054169A"/>
    <w:rsid w:val="005447EA"/>
    <w:rsid w:val="00545167"/>
    <w:rsid w:val="00545B87"/>
    <w:rsid w:val="005470BE"/>
    <w:rsid w:val="005477E1"/>
    <w:rsid w:val="00547B2A"/>
    <w:rsid w:val="00550F9C"/>
    <w:rsid w:val="0055169D"/>
    <w:rsid w:val="00552929"/>
    <w:rsid w:val="0055387E"/>
    <w:rsid w:val="00553E1C"/>
    <w:rsid w:val="00554164"/>
    <w:rsid w:val="005541C7"/>
    <w:rsid w:val="00555275"/>
    <w:rsid w:val="0055539D"/>
    <w:rsid w:val="005560A9"/>
    <w:rsid w:val="005566EF"/>
    <w:rsid w:val="0055688E"/>
    <w:rsid w:val="005568D7"/>
    <w:rsid w:val="00561394"/>
    <w:rsid w:val="00561969"/>
    <w:rsid w:val="00562029"/>
    <w:rsid w:val="005623F5"/>
    <w:rsid w:val="00562F4F"/>
    <w:rsid w:val="00563BE2"/>
    <w:rsid w:val="00564840"/>
    <w:rsid w:val="0056504A"/>
    <w:rsid w:val="00565110"/>
    <w:rsid w:val="005651AA"/>
    <w:rsid w:val="005702DF"/>
    <w:rsid w:val="005716D9"/>
    <w:rsid w:val="00572388"/>
    <w:rsid w:val="00572B87"/>
    <w:rsid w:val="005754A2"/>
    <w:rsid w:val="00576485"/>
    <w:rsid w:val="00576A0B"/>
    <w:rsid w:val="00580500"/>
    <w:rsid w:val="005806EE"/>
    <w:rsid w:val="00580B8A"/>
    <w:rsid w:val="005818DE"/>
    <w:rsid w:val="00581F76"/>
    <w:rsid w:val="00582132"/>
    <w:rsid w:val="00584403"/>
    <w:rsid w:val="00584FE0"/>
    <w:rsid w:val="0058573D"/>
    <w:rsid w:val="005858BF"/>
    <w:rsid w:val="005877C7"/>
    <w:rsid w:val="00590CF5"/>
    <w:rsid w:val="00590D95"/>
    <w:rsid w:val="00590F35"/>
    <w:rsid w:val="005911BE"/>
    <w:rsid w:val="005912D6"/>
    <w:rsid w:val="00591995"/>
    <w:rsid w:val="00592429"/>
    <w:rsid w:val="005931B7"/>
    <w:rsid w:val="005933A9"/>
    <w:rsid w:val="0059376C"/>
    <w:rsid w:val="00594470"/>
    <w:rsid w:val="005949A1"/>
    <w:rsid w:val="00594E32"/>
    <w:rsid w:val="00595DDE"/>
    <w:rsid w:val="00596786"/>
    <w:rsid w:val="00596CD4"/>
    <w:rsid w:val="00597745"/>
    <w:rsid w:val="00597EAA"/>
    <w:rsid w:val="005A1A3E"/>
    <w:rsid w:val="005A24A2"/>
    <w:rsid w:val="005A2A87"/>
    <w:rsid w:val="005A7159"/>
    <w:rsid w:val="005B0DFD"/>
    <w:rsid w:val="005B1229"/>
    <w:rsid w:val="005B165A"/>
    <w:rsid w:val="005B16A5"/>
    <w:rsid w:val="005B16AA"/>
    <w:rsid w:val="005B1834"/>
    <w:rsid w:val="005B1DAC"/>
    <w:rsid w:val="005B335D"/>
    <w:rsid w:val="005B3DB0"/>
    <w:rsid w:val="005B3E62"/>
    <w:rsid w:val="005B4EB5"/>
    <w:rsid w:val="005B7BB7"/>
    <w:rsid w:val="005C296E"/>
    <w:rsid w:val="005C2C47"/>
    <w:rsid w:val="005C3369"/>
    <w:rsid w:val="005C3B17"/>
    <w:rsid w:val="005C5461"/>
    <w:rsid w:val="005D1E0B"/>
    <w:rsid w:val="005D3817"/>
    <w:rsid w:val="005D3BB3"/>
    <w:rsid w:val="005D4B74"/>
    <w:rsid w:val="005D4F46"/>
    <w:rsid w:val="005E0497"/>
    <w:rsid w:val="005E107B"/>
    <w:rsid w:val="005E3602"/>
    <w:rsid w:val="005E41F0"/>
    <w:rsid w:val="005E7B2A"/>
    <w:rsid w:val="005F0151"/>
    <w:rsid w:val="005F1132"/>
    <w:rsid w:val="005F271A"/>
    <w:rsid w:val="005F2822"/>
    <w:rsid w:val="005F3302"/>
    <w:rsid w:val="005F3408"/>
    <w:rsid w:val="005F3D99"/>
    <w:rsid w:val="005F4395"/>
    <w:rsid w:val="005F4F25"/>
    <w:rsid w:val="005F7FF7"/>
    <w:rsid w:val="006002A2"/>
    <w:rsid w:val="0060094A"/>
    <w:rsid w:val="00601DFC"/>
    <w:rsid w:val="0060350E"/>
    <w:rsid w:val="00604ED5"/>
    <w:rsid w:val="00606374"/>
    <w:rsid w:val="00607285"/>
    <w:rsid w:val="00607B3E"/>
    <w:rsid w:val="006100A1"/>
    <w:rsid w:val="006107FE"/>
    <w:rsid w:val="00613825"/>
    <w:rsid w:val="00613E9A"/>
    <w:rsid w:val="00613FC4"/>
    <w:rsid w:val="00614A2E"/>
    <w:rsid w:val="00614C4D"/>
    <w:rsid w:val="00614DBE"/>
    <w:rsid w:val="006151BB"/>
    <w:rsid w:val="006157CF"/>
    <w:rsid w:val="00616185"/>
    <w:rsid w:val="00616721"/>
    <w:rsid w:val="00616C33"/>
    <w:rsid w:val="00617A74"/>
    <w:rsid w:val="00620DCF"/>
    <w:rsid w:val="006217C3"/>
    <w:rsid w:val="00621C71"/>
    <w:rsid w:val="00623698"/>
    <w:rsid w:val="006250D2"/>
    <w:rsid w:val="00625616"/>
    <w:rsid w:val="00626BED"/>
    <w:rsid w:val="00627448"/>
    <w:rsid w:val="00636A34"/>
    <w:rsid w:val="00637CED"/>
    <w:rsid w:val="00640146"/>
    <w:rsid w:val="006459F4"/>
    <w:rsid w:val="00647F7A"/>
    <w:rsid w:val="0065053A"/>
    <w:rsid w:val="00650B4F"/>
    <w:rsid w:val="00651DF0"/>
    <w:rsid w:val="006536F3"/>
    <w:rsid w:val="00653EA8"/>
    <w:rsid w:val="006546A3"/>
    <w:rsid w:val="006548B2"/>
    <w:rsid w:val="0065671E"/>
    <w:rsid w:val="00656B6B"/>
    <w:rsid w:val="006576FF"/>
    <w:rsid w:val="0066030F"/>
    <w:rsid w:val="006603B9"/>
    <w:rsid w:val="006616AF"/>
    <w:rsid w:val="00661A2D"/>
    <w:rsid w:val="00664935"/>
    <w:rsid w:val="006668B0"/>
    <w:rsid w:val="00667F56"/>
    <w:rsid w:val="00670EC3"/>
    <w:rsid w:val="0067104F"/>
    <w:rsid w:val="006721F7"/>
    <w:rsid w:val="0067263D"/>
    <w:rsid w:val="00672EAE"/>
    <w:rsid w:val="00676CAA"/>
    <w:rsid w:val="006805C0"/>
    <w:rsid w:val="00682D66"/>
    <w:rsid w:val="00682E22"/>
    <w:rsid w:val="00683426"/>
    <w:rsid w:val="00684823"/>
    <w:rsid w:val="0068544D"/>
    <w:rsid w:val="006871A1"/>
    <w:rsid w:val="00687808"/>
    <w:rsid w:val="00687C12"/>
    <w:rsid w:val="00692328"/>
    <w:rsid w:val="006923BD"/>
    <w:rsid w:val="0069345E"/>
    <w:rsid w:val="00693A65"/>
    <w:rsid w:val="00693F34"/>
    <w:rsid w:val="0069465A"/>
    <w:rsid w:val="00695760"/>
    <w:rsid w:val="006974D1"/>
    <w:rsid w:val="00697DCB"/>
    <w:rsid w:val="006A251C"/>
    <w:rsid w:val="006A51CE"/>
    <w:rsid w:val="006A54F6"/>
    <w:rsid w:val="006B087B"/>
    <w:rsid w:val="006B1320"/>
    <w:rsid w:val="006B1A56"/>
    <w:rsid w:val="006B2101"/>
    <w:rsid w:val="006B2395"/>
    <w:rsid w:val="006B2A67"/>
    <w:rsid w:val="006B3C50"/>
    <w:rsid w:val="006B568E"/>
    <w:rsid w:val="006B66A9"/>
    <w:rsid w:val="006B769C"/>
    <w:rsid w:val="006B7A11"/>
    <w:rsid w:val="006B7F9F"/>
    <w:rsid w:val="006C1FF6"/>
    <w:rsid w:val="006C241A"/>
    <w:rsid w:val="006C3E63"/>
    <w:rsid w:val="006C507E"/>
    <w:rsid w:val="006C6558"/>
    <w:rsid w:val="006C6A9D"/>
    <w:rsid w:val="006C7D43"/>
    <w:rsid w:val="006C7D82"/>
    <w:rsid w:val="006D0923"/>
    <w:rsid w:val="006D3F21"/>
    <w:rsid w:val="006D42DD"/>
    <w:rsid w:val="006D4932"/>
    <w:rsid w:val="006D6887"/>
    <w:rsid w:val="006D70F0"/>
    <w:rsid w:val="006E09EF"/>
    <w:rsid w:val="006E243F"/>
    <w:rsid w:val="006E3BB7"/>
    <w:rsid w:val="006E4481"/>
    <w:rsid w:val="006E70D2"/>
    <w:rsid w:val="006E7343"/>
    <w:rsid w:val="006F07A6"/>
    <w:rsid w:val="006F0EB6"/>
    <w:rsid w:val="006F23B8"/>
    <w:rsid w:val="006F4FCF"/>
    <w:rsid w:val="006F5293"/>
    <w:rsid w:val="00701A0C"/>
    <w:rsid w:val="00702520"/>
    <w:rsid w:val="007045AA"/>
    <w:rsid w:val="00704E79"/>
    <w:rsid w:val="00707238"/>
    <w:rsid w:val="0070764F"/>
    <w:rsid w:val="00711A10"/>
    <w:rsid w:val="00712318"/>
    <w:rsid w:val="00712C81"/>
    <w:rsid w:val="00712DD4"/>
    <w:rsid w:val="00713D7C"/>
    <w:rsid w:val="007147C4"/>
    <w:rsid w:val="00716508"/>
    <w:rsid w:val="00716E57"/>
    <w:rsid w:val="0072004A"/>
    <w:rsid w:val="00720DDF"/>
    <w:rsid w:val="00724BFB"/>
    <w:rsid w:val="0072677F"/>
    <w:rsid w:val="007267A9"/>
    <w:rsid w:val="007308FE"/>
    <w:rsid w:val="007340F3"/>
    <w:rsid w:val="00734659"/>
    <w:rsid w:val="00734B2C"/>
    <w:rsid w:val="00735C2D"/>
    <w:rsid w:val="00740E73"/>
    <w:rsid w:val="0074216D"/>
    <w:rsid w:val="00743676"/>
    <w:rsid w:val="0074584F"/>
    <w:rsid w:val="0074697A"/>
    <w:rsid w:val="0074770A"/>
    <w:rsid w:val="00747F65"/>
    <w:rsid w:val="00752515"/>
    <w:rsid w:val="00753EE0"/>
    <w:rsid w:val="0075540B"/>
    <w:rsid w:val="00760491"/>
    <w:rsid w:val="00760AA5"/>
    <w:rsid w:val="00761293"/>
    <w:rsid w:val="00761490"/>
    <w:rsid w:val="00761CE6"/>
    <w:rsid w:val="00762FB9"/>
    <w:rsid w:val="00764873"/>
    <w:rsid w:val="00765DA5"/>
    <w:rsid w:val="0076613B"/>
    <w:rsid w:val="00767502"/>
    <w:rsid w:val="00767722"/>
    <w:rsid w:val="007704C1"/>
    <w:rsid w:val="00770A87"/>
    <w:rsid w:val="00770FA0"/>
    <w:rsid w:val="0077274A"/>
    <w:rsid w:val="00775586"/>
    <w:rsid w:val="007812E5"/>
    <w:rsid w:val="00781473"/>
    <w:rsid w:val="00781990"/>
    <w:rsid w:val="00781BAA"/>
    <w:rsid w:val="00783FDC"/>
    <w:rsid w:val="0078438A"/>
    <w:rsid w:val="00784411"/>
    <w:rsid w:val="00785BF0"/>
    <w:rsid w:val="0078633F"/>
    <w:rsid w:val="00791B8B"/>
    <w:rsid w:val="0079213D"/>
    <w:rsid w:val="00792339"/>
    <w:rsid w:val="00794C1D"/>
    <w:rsid w:val="0079578C"/>
    <w:rsid w:val="00796F79"/>
    <w:rsid w:val="007A4092"/>
    <w:rsid w:val="007A45D1"/>
    <w:rsid w:val="007A6455"/>
    <w:rsid w:val="007A7603"/>
    <w:rsid w:val="007B146B"/>
    <w:rsid w:val="007B1ACE"/>
    <w:rsid w:val="007B1C84"/>
    <w:rsid w:val="007B23BC"/>
    <w:rsid w:val="007B2915"/>
    <w:rsid w:val="007B431E"/>
    <w:rsid w:val="007B4398"/>
    <w:rsid w:val="007B604B"/>
    <w:rsid w:val="007B6C3B"/>
    <w:rsid w:val="007B6D79"/>
    <w:rsid w:val="007C0813"/>
    <w:rsid w:val="007C170B"/>
    <w:rsid w:val="007C3D03"/>
    <w:rsid w:val="007C4EB4"/>
    <w:rsid w:val="007C5C9D"/>
    <w:rsid w:val="007D3665"/>
    <w:rsid w:val="007D72A7"/>
    <w:rsid w:val="007E132B"/>
    <w:rsid w:val="007E1FE9"/>
    <w:rsid w:val="007E3F76"/>
    <w:rsid w:val="007E409D"/>
    <w:rsid w:val="007E475A"/>
    <w:rsid w:val="007E499E"/>
    <w:rsid w:val="007E4AA5"/>
    <w:rsid w:val="007E5799"/>
    <w:rsid w:val="007F15DD"/>
    <w:rsid w:val="007F2079"/>
    <w:rsid w:val="007F2478"/>
    <w:rsid w:val="007F2BB8"/>
    <w:rsid w:val="007F5125"/>
    <w:rsid w:val="007F7311"/>
    <w:rsid w:val="008001F9"/>
    <w:rsid w:val="00800944"/>
    <w:rsid w:val="008010C4"/>
    <w:rsid w:val="008022EE"/>
    <w:rsid w:val="00802BFD"/>
    <w:rsid w:val="00802D89"/>
    <w:rsid w:val="00802FD5"/>
    <w:rsid w:val="00803616"/>
    <w:rsid w:val="00803B6A"/>
    <w:rsid w:val="00804687"/>
    <w:rsid w:val="00804F67"/>
    <w:rsid w:val="00805466"/>
    <w:rsid w:val="0080645A"/>
    <w:rsid w:val="00806BF4"/>
    <w:rsid w:val="008074CE"/>
    <w:rsid w:val="00807A76"/>
    <w:rsid w:val="00807AB6"/>
    <w:rsid w:val="00807D3F"/>
    <w:rsid w:val="00810C89"/>
    <w:rsid w:val="0081185C"/>
    <w:rsid w:val="00812330"/>
    <w:rsid w:val="00812FFE"/>
    <w:rsid w:val="00814AAB"/>
    <w:rsid w:val="008215FF"/>
    <w:rsid w:val="00822788"/>
    <w:rsid w:val="00823894"/>
    <w:rsid w:val="00823DEA"/>
    <w:rsid w:val="00823ED3"/>
    <w:rsid w:val="008259D7"/>
    <w:rsid w:val="00826D22"/>
    <w:rsid w:val="00827AA1"/>
    <w:rsid w:val="0083064D"/>
    <w:rsid w:val="00830D6D"/>
    <w:rsid w:val="00832400"/>
    <w:rsid w:val="008331D0"/>
    <w:rsid w:val="008335B8"/>
    <w:rsid w:val="00833F59"/>
    <w:rsid w:val="0083432A"/>
    <w:rsid w:val="00834736"/>
    <w:rsid w:val="00835DEB"/>
    <w:rsid w:val="008368FC"/>
    <w:rsid w:val="00836C2D"/>
    <w:rsid w:val="00836E60"/>
    <w:rsid w:val="00837950"/>
    <w:rsid w:val="008405A6"/>
    <w:rsid w:val="0084372E"/>
    <w:rsid w:val="00843C3E"/>
    <w:rsid w:val="00843CA8"/>
    <w:rsid w:val="0084731C"/>
    <w:rsid w:val="00850522"/>
    <w:rsid w:val="00850C93"/>
    <w:rsid w:val="00850D46"/>
    <w:rsid w:val="008515FD"/>
    <w:rsid w:val="008524BC"/>
    <w:rsid w:val="00854EED"/>
    <w:rsid w:val="00855EC2"/>
    <w:rsid w:val="00856DC2"/>
    <w:rsid w:val="00861C6E"/>
    <w:rsid w:val="008629B6"/>
    <w:rsid w:val="00862AC7"/>
    <w:rsid w:val="00863BC9"/>
    <w:rsid w:val="00863BD7"/>
    <w:rsid w:val="00864DE7"/>
    <w:rsid w:val="0086572E"/>
    <w:rsid w:val="00867DE1"/>
    <w:rsid w:val="00871C01"/>
    <w:rsid w:val="00873400"/>
    <w:rsid w:val="00873551"/>
    <w:rsid w:val="00873EF0"/>
    <w:rsid w:val="00875DFB"/>
    <w:rsid w:val="00876BCC"/>
    <w:rsid w:val="00877C61"/>
    <w:rsid w:val="008814B4"/>
    <w:rsid w:val="008814B7"/>
    <w:rsid w:val="0088228A"/>
    <w:rsid w:val="0088236D"/>
    <w:rsid w:val="00884D30"/>
    <w:rsid w:val="008858AB"/>
    <w:rsid w:val="00885F6B"/>
    <w:rsid w:val="00890C65"/>
    <w:rsid w:val="00894F9D"/>
    <w:rsid w:val="00896B3F"/>
    <w:rsid w:val="008A097D"/>
    <w:rsid w:val="008A1AA2"/>
    <w:rsid w:val="008A2669"/>
    <w:rsid w:val="008A3EE8"/>
    <w:rsid w:val="008A735E"/>
    <w:rsid w:val="008A7D15"/>
    <w:rsid w:val="008B2687"/>
    <w:rsid w:val="008B2829"/>
    <w:rsid w:val="008B78FC"/>
    <w:rsid w:val="008B7C64"/>
    <w:rsid w:val="008C2BDA"/>
    <w:rsid w:val="008C3F70"/>
    <w:rsid w:val="008C43FF"/>
    <w:rsid w:val="008C47D9"/>
    <w:rsid w:val="008C5926"/>
    <w:rsid w:val="008C6314"/>
    <w:rsid w:val="008C7826"/>
    <w:rsid w:val="008D35F4"/>
    <w:rsid w:val="008D45AD"/>
    <w:rsid w:val="008D4A25"/>
    <w:rsid w:val="008D5C56"/>
    <w:rsid w:val="008D650B"/>
    <w:rsid w:val="008D74F3"/>
    <w:rsid w:val="008D79FC"/>
    <w:rsid w:val="008E2013"/>
    <w:rsid w:val="008E22D7"/>
    <w:rsid w:val="008E257A"/>
    <w:rsid w:val="008E6D12"/>
    <w:rsid w:val="008F0C05"/>
    <w:rsid w:val="008F1432"/>
    <w:rsid w:val="008F1BFB"/>
    <w:rsid w:val="008F2268"/>
    <w:rsid w:val="008F6E40"/>
    <w:rsid w:val="008F72FB"/>
    <w:rsid w:val="008F73BE"/>
    <w:rsid w:val="008F7A0B"/>
    <w:rsid w:val="00902686"/>
    <w:rsid w:val="009027D6"/>
    <w:rsid w:val="00902FF2"/>
    <w:rsid w:val="0090345C"/>
    <w:rsid w:val="0090599E"/>
    <w:rsid w:val="0091073E"/>
    <w:rsid w:val="0091087B"/>
    <w:rsid w:val="00911293"/>
    <w:rsid w:val="00912008"/>
    <w:rsid w:val="00912276"/>
    <w:rsid w:val="00914E52"/>
    <w:rsid w:val="00914F01"/>
    <w:rsid w:val="00914F70"/>
    <w:rsid w:val="0091634E"/>
    <w:rsid w:val="00917D70"/>
    <w:rsid w:val="00922D92"/>
    <w:rsid w:val="00922FA6"/>
    <w:rsid w:val="0092337A"/>
    <w:rsid w:val="00923A6F"/>
    <w:rsid w:val="0092411A"/>
    <w:rsid w:val="009242E9"/>
    <w:rsid w:val="00925940"/>
    <w:rsid w:val="00926399"/>
    <w:rsid w:val="00930478"/>
    <w:rsid w:val="00930D9A"/>
    <w:rsid w:val="00930FAF"/>
    <w:rsid w:val="00931421"/>
    <w:rsid w:val="00931CFF"/>
    <w:rsid w:val="00933E88"/>
    <w:rsid w:val="0093513E"/>
    <w:rsid w:val="009369FF"/>
    <w:rsid w:val="00937732"/>
    <w:rsid w:val="00942D67"/>
    <w:rsid w:val="009439B1"/>
    <w:rsid w:val="00943A21"/>
    <w:rsid w:val="00943DEC"/>
    <w:rsid w:val="00943EF7"/>
    <w:rsid w:val="009441CF"/>
    <w:rsid w:val="00946883"/>
    <w:rsid w:val="00951C01"/>
    <w:rsid w:val="00951E60"/>
    <w:rsid w:val="0095355E"/>
    <w:rsid w:val="00953627"/>
    <w:rsid w:val="00953A49"/>
    <w:rsid w:val="0095415D"/>
    <w:rsid w:val="00954D55"/>
    <w:rsid w:val="00955644"/>
    <w:rsid w:val="00956633"/>
    <w:rsid w:val="00956662"/>
    <w:rsid w:val="00960BC9"/>
    <w:rsid w:val="00962F5B"/>
    <w:rsid w:val="00963DBF"/>
    <w:rsid w:val="009647C9"/>
    <w:rsid w:val="0097062A"/>
    <w:rsid w:val="00971883"/>
    <w:rsid w:val="00971A4A"/>
    <w:rsid w:val="00971B58"/>
    <w:rsid w:val="009727AF"/>
    <w:rsid w:val="0097456E"/>
    <w:rsid w:val="009761A5"/>
    <w:rsid w:val="009802E3"/>
    <w:rsid w:val="00981E7B"/>
    <w:rsid w:val="00984752"/>
    <w:rsid w:val="00986740"/>
    <w:rsid w:val="00991435"/>
    <w:rsid w:val="00992340"/>
    <w:rsid w:val="00992991"/>
    <w:rsid w:val="009954BE"/>
    <w:rsid w:val="0099571B"/>
    <w:rsid w:val="00995D2E"/>
    <w:rsid w:val="009961EE"/>
    <w:rsid w:val="009962C4"/>
    <w:rsid w:val="00996B07"/>
    <w:rsid w:val="009A02E6"/>
    <w:rsid w:val="009A0D1D"/>
    <w:rsid w:val="009A0EB2"/>
    <w:rsid w:val="009A106E"/>
    <w:rsid w:val="009A1419"/>
    <w:rsid w:val="009A20B6"/>
    <w:rsid w:val="009A297F"/>
    <w:rsid w:val="009A38AC"/>
    <w:rsid w:val="009A3AEE"/>
    <w:rsid w:val="009A4839"/>
    <w:rsid w:val="009A6EDB"/>
    <w:rsid w:val="009B0564"/>
    <w:rsid w:val="009B1CF9"/>
    <w:rsid w:val="009B2B5E"/>
    <w:rsid w:val="009B62F1"/>
    <w:rsid w:val="009B6F11"/>
    <w:rsid w:val="009B7259"/>
    <w:rsid w:val="009C178C"/>
    <w:rsid w:val="009C25C6"/>
    <w:rsid w:val="009C294B"/>
    <w:rsid w:val="009C68E1"/>
    <w:rsid w:val="009C7011"/>
    <w:rsid w:val="009C74A1"/>
    <w:rsid w:val="009D02C9"/>
    <w:rsid w:val="009D03ED"/>
    <w:rsid w:val="009D1AC1"/>
    <w:rsid w:val="009D41A6"/>
    <w:rsid w:val="009D5B7B"/>
    <w:rsid w:val="009D623A"/>
    <w:rsid w:val="009D62D2"/>
    <w:rsid w:val="009D6EF0"/>
    <w:rsid w:val="009D7998"/>
    <w:rsid w:val="009E0303"/>
    <w:rsid w:val="009E2764"/>
    <w:rsid w:val="009E52C1"/>
    <w:rsid w:val="009E568A"/>
    <w:rsid w:val="009E6264"/>
    <w:rsid w:val="009E63D5"/>
    <w:rsid w:val="009F01ED"/>
    <w:rsid w:val="009F04E9"/>
    <w:rsid w:val="009F05C0"/>
    <w:rsid w:val="009F0D4D"/>
    <w:rsid w:val="009F2133"/>
    <w:rsid w:val="009F5712"/>
    <w:rsid w:val="009F67EF"/>
    <w:rsid w:val="009F69B1"/>
    <w:rsid w:val="009F72FD"/>
    <w:rsid w:val="009F78D1"/>
    <w:rsid w:val="009F7DBF"/>
    <w:rsid w:val="009F7DCF"/>
    <w:rsid w:val="00A0636B"/>
    <w:rsid w:val="00A07B8B"/>
    <w:rsid w:val="00A07EA2"/>
    <w:rsid w:val="00A10063"/>
    <w:rsid w:val="00A149EB"/>
    <w:rsid w:val="00A15279"/>
    <w:rsid w:val="00A165BD"/>
    <w:rsid w:val="00A2371A"/>
    <w:rsid w:val="00A23E4E"/>
    <w:rsid w:val="00A24801"/>
    <w:rsid w:val="00A24CF7"/>
    <w:rsid w:val="00A26055"/>
    <w:rsid w:val="00A26555"/>
    <w:rsid w:val="00A30963"/>
    <w:rsid w:val="00A35644"/>
    <w:rsid w:val="00A369C6"/>
    <w:rsid w:val="00A372FE"/>
    <w:rsid w:val="00A40112"/>
    <w:rsid w:val="00A41563"/>
    <w:rsid w:val="00A416A4"/>
    <w:rsid w:val="00A44C23"/>
    <w:rsid w:val="00A468FD"/>
    <w:rsid w:val="00A4745D"/>
    <w:rsid w:val="00A5096B"/>
    <w:rsid w:val="00A51DAB"/>
    <w:rsid w:val="00A53632"/>
    <w:rsid w:val="00A560D7"/>
    <w:rsid w:val="00A56C1F"/>
    <w:rsid w:val="00A6010F"/>
    <w:rsid w:val="00A6096D"/>
    <w:rsid w:val="00A60D4F"/>
    <w:rsid w:val="00A61CA6"/>
    <w:rsid w:val="00A61D7F"/>
    <w:rsid w:val="00A63A9C"/>
    <w:rsid w:val="00A642F9"/>
    <w:rsid w:val="00A66494"/>
    <w:rsid w:val="00A66A67"/>
    <w:rsid w:val="00A6789A"/>
    <w:rsid w:val="00A70927"/>
    <w:rsid w:val="00A71C14"/>
    <w:rsid w:val="00A71DFA"/>
    <w:rsid w:val="00A71E9F"/>
    <w:rsid w:val="00A749C5"/>
    <w:rsid w:val="00A810CB"/>
    <w:rsid w:val="00A81BB7"/>
    <w:rsid w:val="00A82721"/>
    <w:rsid w:val="00A83092"/>
    <w:rsid w:val="00A836D1"/>
    <w:rsid w:val="00A85291"/>
    <w:rsid w:val="00A8631A"/>
    <w:rsid w:val="00A867E8"/>
    <w:rsid w:val="00A943A4"/>
    <w:rsid w:val="00A94474"/>
    <w:rsid w:val="00A95829"/>
    <w:rsid w:val="00A9732B"/>
    <w:rsid w:val="00AA0A44"/>
    <w:rsid w:val="00AA1C90"/>
    <w:rsid w:val="00AA38F4"/>
    <w:rsid w:val="00AA41C1"/>
    <w:rsid w:val="00AA75DC"/>
    <w:rsid w:val="00AA7E91"/>
    <w:rsid w:val="00AB0B29"/>
    <w:rsid w:val="00AB222D"/>
    <w:rsid w:val="00AB3B28"/>
    <w:rsid w:val="00AB579D"/>
    <w:rsid w:val="00AB638A"/>
    <w:rsid w:val="00AB7282"/>
    <w:rsid w:val="00AC0CF2"/>
    <w:rsid w:val="00AC122D"/>
    <w:rsid w:val="00AC202B"/>
    <w:rsid w:val="00AC41E7"/>
    <w:rsid w:val="00AC4B74"/>
    <w:rsid w:val="00AC58AE"/>
    <w:rsid w:val="00AC5AE6"/>
    <w:rsid w:val="00AC7017"/>
    <w:rsid w:val="00AC7A06"/>
    <w:rsid w:val="00AD0C77"/>
    <w:rsid w:val="00AD1C0A"/>
    <w:rsid w:val="00AD1E13"/>
    <w:rsid w:val="00AD7258"/>
    <w:rsid w:val="00AD77E5"/>
    <w:rsid w:val="00AE0377"/>
    <w:rsid w:val="00AE385F"/>
    <w:rsid w:val="00AE40E9"/>
    <w:rsid w:val="00AE474A"/>
    <w:rsid w:val="00AE4CB5"/>
    <w:rsid w:val="00AE5D62"/>
    <w:rsid w:val="00AE6932"/>
    <w:rsid w:val="00AE73A1"/>
    <w:rsid w:val="00AF086C"/>
    <w:rsid w:val="00AF1100"/>
    <w:rsid w:val="00AF197E"/>
    <w:rsid w:val="00AF2D6E"/>
    <w:rsid w:val="00AF774E"/>
    <w:rsid w:val="00B01029"/>
    <w:rsid w:val="00B010F7"/>
    <w:rsid w:val="00B01765"/>
    <w:rsid w:val="00B01AF9"/>
    <w:rsid w:val="00B01B01"/>
    <w:rsid w:val="00B054BC"/>
    <w:rsid w:val="00B0664F"/>
    <w:rsid w:val="00B06948"/>
    <w:rsid w:val="00B077AD"/>
    <w:rsid w:val="00B11374"/>
    <w:rsid w:val="00B113BA"/>
    <w:rsid w:val="00B11F06"/>
    <w:rsid w:val="00B17D1F"/>
    <w:rsid w:val="00B2030A"/>
    <w:rsid w:val="00B2072B"/>
    <w:rsid w:val="00B20A74"/>
    <w:rsid w:val="00B21533"/>
    <w:rsid w:val="00B21540"/>
    <w:rsid w:val="00B2180A"/>
    <w:rsid w:val="00B21E8D"/>
    <w:rsid w:val="00B26D0F"/>
    <w:rsid w:val="00B27BED"/>
    <w:rsid w:val="00B31362"/>
    <w:rsid w:val="00B332BF"/>
    <w:rsid w:val="00B34899"/>
    <w:rsid w:val="00B36172"/>
    <w:rsid w:val="00B37633"/>
    <w:rsid w:val="00B37DB2"/>
    <w:rsid w:val="00B37FAB"/>
    <w:rsid w:val="00B411D6"/>
    <w:rsid w:val="00B413B2"/>
    <w:rsid w:val="00B423FB"/>
    <w:rsid w:val="00B44841"/>
    <w:rsid w:val="00B44E36"/>
    <w:rsid w:val="00B469CA"/>
    <w:rsid w:val="00B47055"/>
    <w:rsid w:val="00B523DE"/>
    <w:rsid w:val="00B53A6A"/>
    <w:rsid w:val="00B55C05"/>
    <w:rsid w:val="00B55CE9"/>
    <w:rsid w:val="00B563CA"/>
    <w:rsid w:val="00B56DE4"/>
    <w:rsid w:val="00B60AD6"/>
    <w:rsid w:val="00B6140B"/>
    <w:rsid w:val="00B61E81"/>
    <w:rsid w:val="00B64178"/>
    <w:rsid w:val="00B66FBF"/>
    <w:rsid w:val="00B67C05"/>
    <w:rsid w:val="00B70BB6"/>
    <w:rsid w:val="00B711DC"/>
    <w:rsid w:val="00B71A15"/>
    <w:rsid w:val="00B75251"/>
    <w:rsid w:val="00B77B3D"/>
    <w:rsid w:val="00B803D9"/>
    <w:rsid w:val="00B81A1F"/>
    <w:rsid w:val="00B81CA1"/>
    <w:rsid w:val="00B829F6"/>
    <w:rsid w:val="00B83475"/>
    <w:rsid w:val="00B84B24"/>
    <w:rsid w:val="00B855C1"/>
    <w:rsid w:val="00B8729C"/>
    <w:rsid w:val="00B87A06"/>
    <w:rsid w:val="00B9035A"/>
    <w:rsid w:val="00B931B3"/>
    <w:rsid w:val="00B94846"/>
    <w:rsid w:val="00B9544A"/>
    <w:rsid w:val="00B964DD"/>
    <w:rsid w:val="00B96DB3"/>
    <w:rsid w:val="00BA1965"/>
    <w:rsid w:val="00BA648E"/>
    <w:rsid w:val="00BA7D7D"/>
    <w:rsid w:val="00BB0856"/>
    <w:rsid w:val="00BB0B03"/>
    <w:rsid w:val="00BB1044"/>
    <w:rsid w:val="00BB1656"/>
    <w:rsid w:val="00BB1EA7"/>
    <w:rsid w:val="00BB23BD"/>
    <w:rsid w:val="00BB3117"/>
    <w:rsid w:val="00BB3288"/>
    <w:rsid w:val="00BB37D5"/>
    <w:rsid w:val="00BB3A00"/>
    <w:rsid w:val="00BB3DF3"/>
    <w:rsid w:val="00BC05C5"/>
    <w:rsid w:val="00BC075E"/>
    <w:rsid w:val="00BC183B"/>
    <w:rsid w:val="00BC256C"/>
    <w:rsid w:val="00BC2C72"/>
    <w:rsid w:val="00BC4DF0"/>
    <w:rsid w:val="00BD0B72"/>
    <w:rsid w:val="00BD2051"/>
    <w:rsid w:val="00BD4F5F"/>
    <w:rsid w:val="00BD5181"/>
    <w:rsid w:val="00BE03F8"/>
    <w:rsid w:val="00BE1E59"/>
    <w:rsid w:val="00BE48E6"/>
    <w:rsid w:val="00BE4D21"/>
    <w:rsid w:val="00BE521C"/>
    <w:rsid w:val="00BE544D"/>
    <w:rsid w:val="00BE74BC"/>
    <w:rsid w:val="00BF10D1"/>
    <w:rsid w:val="00BF338F"/>
    <w:rsid w:val="00BF3438"/>
    <w:rsid w:val="00BF511B"/>
    <w:rsid w:val="00BF595A"/>
    <w:rsid w:val="00BF5DEF"/>
    <w:rsid w:val="00BF6D9F"/>
    <w:rsid w:val="00BF7775"/>
    <w:rsid w:val="00BF7776"/>
    <w:rsid w:val="00C003A7"/>
    <w:rsid w:val="00C01F59"/>
    <w:rsid w:val="00C02009"/>
    <w:rsid w:val="00C03B6E"/>
    <w:rsid w:val="00C04E8F"/>
    <w:rsid w:val="00C0710D"/>
    <w:rsid w:val="00C072D4"/>
    <w:rsid w:val="00C07898"/>
    <w:rsid w:val="00C078E8"/>
    <w:rsid w:val="00C11810"/>
    <w:rsid w:val="00C13157"/>
    <w:rsid w:val="00C13403"/>
    <w:rsid w:val="00C13FD3"/>
    <w:rsid w:val="00C14601"/>
    <w:rsid w:val="00C1584B"/>
    <w:rsid w:val="00C16199"/>
    <w:rsid w:val="00C162D8"/>
    <w:rsid w:val="00C16827"/>
    <w:rsid w:val="00C16DE5"/>
    <w:rsid w:val="00C21355"/>
    <w:rsid w:val="00C224B9"/>
    <w:rsid w:val="00C23506"/>
    <w:rsid w:val="00C23E1F"/>
    <w:rsid w:val="00C245A0"/>
    <w:rsid w:val="00C2472B"/>
    <w:rsid w:val="00C2474A"/>
    <w:rsid w:val="00C2531B"/>
    <w:rsid w:val="00C262BF"/>
    <w:rsid w:val="00C268FE"/>
    <w:rsid w:val="00C26BC4"/>
    <w:rsid w:val="00C2705D"/>
    <w:rsid w:val="00C32154"/>
    <w:rsid w:val="00C32BA7"/>
    <w:rsid w:val="00C33D68"/>
    <w:rsid w:val="00C33FB9"/>
    <w:rsid w:val="00C346EA"/>
    <w:rsid w:val="00C34AF3"/>
    <w:rsid w:val="00C40A29"/>
    <w:rsid w:val="00C41379"/>
    <w:rsid w:val="00C43375"/>
    <w:rsid w:val="00C44723"/>
    <w:rsid w:val="00C447A9"/>
    <w:rsid w:val="00C47242"/>
    <w:rsid w:val="00C51EF6"/>
    <w:rsid w:val="00C53144"/>
    <w:rsid w:val="00C53189"/>
    <w:rsid w:val="00C536C4"/>
    <w:rsid w:val="00C547E2"/>
    <w:rsid w:val="00C56E4B"/>
    <w:rsid w:val="00C574FE"/>
    <w:rsid w:val="00C57A69"/>
    <w:rsid w:val="00C606DC"/>
    <w:rsid w:val="00C61A3D"/>
    <w:rsid w:val="00C625A5"/>
    <w:rsid w:val="00C62964"/>
    <w:rsid w:val="00C63489"/>
    <w:rsid w:val="00C63B03"/>
    <w:rsid w:val="00C63DF2"/>
    <w:rsid w:val="00C66F87"/>
    <w:rsid w:val="00C70275"/>
    <w:rsid w:val="00C7176D"/>
    <w:rsid w:val="00C7279D"/>
    <w:rsid w:val="00C72F73"/>
    <w:rsid w:val="00C73849"/>
    <w:rsid w:val="00C74B51"/>
    <w:rsid w:val="00C74D9C"/>
    <w:rsid w:val="00C750FE"/>
    <w:rsid w:val="00C757E5"/>
    <w:rsid w:val="00C77E27"/>
    <w:rsid w:val="00C802FD"/>
    <w:rsid w:val="00C80578"/>
    <w:rsid w:val="00C82037"/>
    <w:rsid w:val="00C82C97"/>
    <w:rsid w:val="00C83809"/>
    <w:rsid w:val="00C84151"/>
    <w:rsid w:val="00C849A0"/>
    <w:rsid w:val="00C8681C"/>
    <w:rsid w:val="00C87428"/>
    <w:rsid w:val="00C9202C"/>
    <w:rsid w:val="00C925B4"/>
    <w:rsid w:val="00C935BC"/>
    <w:rsid w:val="00C97590"/>
    <w:rsid w:val="00C97600"/>
    <w:rsid w:val="00C977DE"/>
    <w:rsid w:val="00CA0F5A"/>
    <w:rsid w:val="00CA5D2F"/>
    <w:rsid w:val="00CB0938"/>
    <w:rsid w:val="00CB143F"/>
    <w:rsid w:val="00CB29CA"/>
    <w:rsid w:val="00CB375A"/>
    <w:rsid w:val="00CB3CE4"/>
    <w:rsid w:val="00CB4BC2"/>
    <w:rsid w:val="00CB50C9"/>
    <w:rsid w:val="00CB6D09"/>
    <w:rsid w:val="00CB7A15"/>
    <w:rsid w:val="00CC1E83"/>
    <w:rsid w:val="00CC1EEA"/>
    <w:rsid w:val="00CC23EE"/>
    <w:rsid w:val="00CC2675"/>
    <w:rsid w:val="00CC5813"/>
    <w:rsid w:val="00CC6256"/>
    <w:rsid w:val="00CC6978"/>
    <w:rsid w:val="00CD03F4"/>
    <w:rsid w:val="00CD059F"/>
    <w:rsid w:val="00CD27D6"/>
    <w:rsid w:val="00CD3088"/>
    <w:rsid w:val="00CD329C"/>
    <w:rsid w:val="00CD5641"/>
    <w:rsid w:val="00CD5A9A"/>
    <w:rsid w:val="00CD79ED"/>
    <w:rsid w:val="00CE095A"/>
    <w:rsid w:val="00CE1910"/>
    <w:rsid w:val="00CE3C45"/>
    <w:rsid w:val="00CE417D"/>
    <w:rsid w:val="00CE5225"/>
    <w:rsid w:val="00CE5E6F"/>
    <w:rsid w:val="00CE74C1"/>
    <w:rsid w:val="00CF2684"/>
    <w:rsid w:val="00CF2AB8"/>
    <w:rsid w:val="00CF2BD8"/>
    <w:rsid w:val="00CF393A"/>
    <w:rsid w:val="00CF5E09"/>
    <w:rsid w:val="00CF7088"/>
    <w:rsid w:val="00CF7220"/>
    <w:rsid w:val="00CF7423"/>
    <w:rsid w:val="00CF7F7D"/>
    <w:rsid w:val="00D04B81"/>
    <w:rsid w:val="00D0660C"/>
    <w:rsid w:val="00D068E3"/>
    <w:rsid w:val="00D10BA3"/>
    <w:rsid w:val="00D111D0"/>
    <w:rsid w:val="00D13105"/>
    <w:rsid w:val="00D1409A"/>
    <w:rsid w:val="00D1513A"/>
    <w:rsid w:val="00D168E1"/>
    <w:rsid w:val="00D20160"/>
    <w:rsid w:val="00D21415"/>
    <w:rsid w:val="00D21E8C"/>
    <w:rsid w:val="00D22C5E"/>
    <w:rsid w:val="00D22E15"/>
    <w:rsid w:val="00D2596B"/>
    <w:rsid w:val="00D2613E"/>
    <w:rsid w:val="00D261D1"/>
    <w:rsid w:val="00D32E12"/>
    <w:rsid w:val="00D342AE"/>
    <w:rsid w:val="00D353C7"/>
    <w:rsid w:val="00D36EC8"/>
    <w:rsid w:val="00D40E47"/>
    <w:rsid w:val="00D42174"/>
    <w:rsid w:val="00D423E3"/>
    <w:rsid w:val="00D42C29"/>
    <w:rsid w:val="00D42EB7"/>
    <w:rsid w:val="00D4365F"/>
    <w:rsid w:val="00D44213"/>
    <w:rsid w:val="00D449C1"/>
    <w:rsid w:val="00D44BE2"/>
    <w:rsid w:val="00D46320"/>
    <w:rsid w:val="00D47056"/>
    <w:rsid w:val="00D50B68"/>
    <w:rsid w:val="00D53152"/>
    <w:rsid w:val="00D54392"/>
    <w:rsid w:val="00D557DD"/>
    <w:rsid w:val="00D55F1B"/>
    <w:rsid w:val="00D60AFE"/>
    <w:rsid w:val="00D61EB4"/>
    <w:rsid w:val="00D648B3"/>
    <w:rsid w:val="00D64C7C"/>
    <w:rsid w:val="00D6677A"/>
    <w:rsid w:val="00D70BFD"/>
    <w:rsid w:val="00D70FEB"/>
    <w:rsid w:val="00D7139A"/>
    <w:rsid w:val="00D71AF9"/>
    <w:rsid w:val="00D739FD"/>
    <w:rsid w:val="00D74C3A"/>
    <w:rsid w:val="00D759F5"/>
    <w:rsid w:val="00D76F43"/>
    <w:rsid w:val="00D770BC"/>
    <w:rsid w:val="00D8329B"/>
    <w:rsid w:val="00D83B05"/>
    <w:rsid w:val="00D8674D"/>
    <w:rsid w:val="00D86A98"/>
    <w:rsid w:val="00D93DAB"/>
    <w:rsid w:val="00D94130"/>
    <w:rsid w:val="00D94E65"/>
    <w:rsid w:val="00D96E44"/>
    <w:rsid w:val="00D96FE5"/>
    <w:rsid w:val="00D97581"/>
    <w:rsid w:val="00DA2305"/>
    <w:rsid w:val="00DA36C6"/>
    <w:rsid w:val="00DB1B2F"/>
    <w:rsid w:val="00DB2512"/>
    <w:rsid w:val="00DB4035"/>
    <w:rsid w:val="00DB5841"/>
    <w:rsid w:val="00DB606A"/>
    <w:rsid w:val="00DB645C"/>
    <w:rsid w:val="00DB7DE6"/>
    <w:rsid w:val="00DC103A"/>
    <w:rsid w:val="00DC150F"/>
    <w:rsid w:val="00DC2986"/>
    <w:rsid w:val="00DC40E5"/>
    <w:rsid w:val="00DC420A"/>
    <w:rsid w:val="00DC4328"/>
    <w:rsid w:val="00DC4A91"/>
    <w:rsid w:val="00DC55B9"/>
    <w:rsid w:val="00DC5DA9"/>
    <w:rsid w:val="00DD0ED2"/>
    <w:rsid w:val="00DE1B91"/>
    <w:rsid w:val="00DE1C74"/>
    <w:rsid w:val="00DE2521"/>
    <w:rsid w:val="00DE6AB3"/>
    <w:rsid w:val="00DE6CC0"/>
    <w:rsid w:val="00DE7007"/>
    <w:rsid w:val="00DF3957"/>
    <w:rsid w:val="00DF3A3B"/>
    <w:rsid w:val="00DF643F"/>
    <w:rsid w:val="00DF6C7B"/>
    <w:rsid w:val="00DF6D96"/>
    <w:rsid w:val="00E01419"/>
    <w:rsid w:val="00E03A8B"/>
    <w:rsid w:val="00E05734"/>
    <w:rsid w:val="00E06906"/>
    <w:rsid w:val="00E0757D"/>
    <w:rsid w:val="00E10770"/>
    <w:rsid w:val="00E1134D"/>
    <w:rsid w:val="00E12CA3"/>
    <w:rsid w:val="00E12E26"/>
    <w:rsid w:val="00E13914"/>
    <w:rsid w:val="00E13FE4"/>
    <w:rsid w:val="00E15013"/>
    <w:rsid w:val="00E16AE7"/>
    <w:rsid w:val="00E16D20"/>
    <w:rsid w:val="00E25615"/>
    <w:rsid w:val="00E263F7"/>
    <w:rsid w:val="00E26425"/>
    <w:rsid w:val="00E266B7"/>
    <w:rsid w:val="00E3020E"/>
    <w:rsid w:val="00E31BC3"/>
    <w:rsid w:val="00E33810"/>
    <w:rsid w:val="00E344A8"/>
    <w:rsid w:val="00E3458F"/>
    <w:rsid w:val="00E35A8B"/>
    <w:rsid w:val="00E35DE4"/>
    <w:rsid w:val="00E374CE"/>
    <w:rsid w:val="00E37F22"/>
    <w:rsid w:val="00E40501"/>
    <w:rsid w:val="00E41508"/>
    <w:rsid w:val="00E437F6"/>
    <w:rsid w:val="00E4431A"/>
    <w:rsid w:val="00E4702E"/>
    <w:rsid w:val="00E50F0D"/>
    <w:rsid w:val="00E51888"/>
    <w:rsid w:val="00E523F6"/>
    <w:rsid w:val="00E52710"/>
    <w:rsid w:val="00E5317E"/>
    <w:rsid w:val="00E53FAA"/>
    <w:rsid w:val="00E55A9C"/>
    <w:rsid w:val="00E6004A"/>
    <w:rsid w:val="00E60177"/>
    <w:rsid w:val="00E60951"/>
    <w:rsid w:val="00E60D59"/>
    <w:rsid w:val="00E6234F"/>
    <w:rsid w:val="00E6349F"/>
    <w:rsid w:val="00E648A0"/>
    <w:rsid w:val="00E66246"/>
    <w:rsid w:val="00E66549"/>
    <w:rsid w:val="00E66832"/>
    <w:rsid w:val="00E66C63"/>
    <w:rsid w:val="00E677F6"/>
    <w:rsid w:val="00E7096F"/>
    <w:rsid w:val="00E70F61"/>
    <w:rsid w:val="00E7171A"/>
    <w:rsid w:val="00E72DAF"/>
    <w:rsid w:val="00E73DD5"/>
    <w:rsid w:val="00E75920"/>
    <w:rsid w:val="00E764BB"/>
    <w:rsid w:val="00E77923"/>
    <w:rsid w:val="00E77ED4"/>
    <w:rsid w:val="00E77EEF"/>
    <w:rsid w:val="00E80126"/>
    <w:rsid w:val="00E80237"/>
    <w:rsid w:val="00E80DAF"/>
    <w:rsid w:val="00E81A33"/>
    <w:rsid w:val="00E81D9A"/>
    <w:rsid w:val="00E84084"/>
    <w:rsid w:val="00E8487E"/>
    <w:rsid w:val="00E86230"/>
    <w:rsid w:val="00E86E46"/>
    <w:rsid w:val="00E906BF"/>
    <w:rsid w:val="00E919B1"/>
    <w:rsid w:val="00E93740"/>
    <w:rsid w:val="00E95328"/>
    <w:rsid w:val="00E9548B"/>
    <w:rsid w:val="00E961A9"/>
    <w:rsid w:val="00EA06B8"/>
    <w:rsid w:val="00EA0C01"/>
    <w:rsid w:val="00EA1D51"/>
    <w:rsid w:val="00EA22FD"/>
    <w:rsid w:val="00EA26B3"/>
    <w:rsid w:val="00EA48C2"/>
    <w:rsid w:val="00EA623B"/>
    <w:rsid w:val="00EA6AC7"/>
    <w:rsid w:val="00EA74F1"/>
    <w:rsid w:val="00EA7722"/>
    <w:rsid w:val="00EB155C"/>
    <w:rsid w:val="00EB173E"/>
    <w:rsid w:val="00EB1F69"/>
    <w:rsid w:val="00EB23BC"/>
    <w:rsid w:val="00EB2BA3"/>
    <w:rsid w:val="00EB6DBB"/>
    <w:rsid w:val="00EB7DB3"/>
    <w:rsid w:val="00EC0A1F"/>
    <w:rsid w:val="00EC4674"/>
    <w:rsid w:val="00EC4F15"/>
    <w:rsid w:val="00EC5470"/>
    <w:rsid w:val="00EC5D69"/>
    <w:rsid w:val="00EC6BCC"/>
    <w:rsid w:val="00EC7680"/>
    <w:rsid w:val="00EC7853"/>
    <w:rsid w:val="00ED0554"/>
    <w:rsid w:val="00ED1646"/>
    <w:rsid w:val="00ED1BB4"/>
    <w:rsid w:val="00ED28A2"/>
    <w:rsid w:val="00ED3642"/>
    <w:rsid w:val="00ED54C7"/>
    <w:rsid w:val="00ED69DB"/>
    <w:rsid w:val="00EE0283"/>
    <w:rsid w:val="00EE0573"/>
    <w:rsid w:val="00EE0863"/>
    <w:rsid w:val="00EE223D"/>
    <w:rsid w:val="00EE24CC"/>
    <w:rsid w:val="00EE2583"/>
    <w:rsid w:val="00EE4340"/>
    <w:rsid w:val="00EE455D"/>
    <w:rsid w:val="00EE5376"/>
    <w:rsid w:val="00EE54E1"/>
    <w:rsid w:val="00EE78AC"/>
    <w:rsid w:val="00EE7B8C"/>
    <w:rsid w:val="00EF04A1"/>
    <w:rsid w:val="00EF0C83"/>
    <w:rsid w:val="00EF1D3C"/>
    <w:rsid w:val="00EF33B6"/>
    <w:rsid w:val="00EF53B2"/>
    <w:rsid w:val="00EF5B7C"/>
    <w:rsid w:val="00EF63EC"/>
    <w:rsid w:val="00F009FB"/>
    <w:rsid w:val="00F00CDC"/>
    <w:rsid w:val="00F013CE"/>
    <w:rsid w:val="00F02086"/>
    <w:rsid w:val="00F02D64"/>
    <w:rsid w:val="00F03F26"/>
    <w:rsid w:val="00F04522"/>
    <w:rsid w:val="00F04C47"/>
    <w:rsid w:val="00F053A6"/>
    <w:rsid w:val="00F05E07"/>
    <w:rsid w:val="00F10BAD"/>
    <w:rsid w:val="00F1594D"/>
    <w:rsid w:val="00F159F4"/>
    <w:rsid w:val="00F16EBD"/>
    <w:rsid w:val="00F17613"/>
    <w:rsid w:val="00F21B5E"/>
    <w:rsid w:val="00F22380"/>
    <w:rsid w:val="00F223CB"/>
    <w:rsid w:val="00F24007"/>
    <w:rsid w:val="00F2428F"/>
    <w:rsid w:val="00F24DEA"/>
    <w:rsid w:val="00F252B9"/>
    <w:rsid w:val="00F25E0A"/>
    <w:rsid w:val="00F2786A"/>
    <w:rsid w:val="00F3176B"/>
    <w:rsid w:val="00F31AF6"/>
    <w:rsid w:val="00F31DDC"/>
    <w:rsid w:val="00F345E3"/>
    <w:rsid w:val="00F34FCB"/>
    <w:rsid w:val="00F431E0"/>
    <w:rsid w:val="00F44210"/>
    <w:rsid w:val="00F44B4B"/>
    <w:rsid w:val="00F518EF"/>
    <w:rsid w:val="00F51D62"/>
    <w:rsid w:val="00F53143"/>
    <w:rsid w:val="00F537E9"/>
    <w:rsid w:val="00F548A0"/>
    <w:rsid w:val="00F56621"/>
    <w:rsid w:val="00F60893"/>
    <w:rsid w:val="00F619CD"/>
    <w:rsid w:val="00F63D3F"/>
    <w:rsid w:val="00F65298"/>
    <w:rsid w:val="00F65B34"/>
    <w:rsid w:val="00F66AEF"/>
    <w:rsid w:val="00F66B61"/>
    <w:rsid w:val="00F6712B"/>
    <w:rsid w:val="00F70408"/>
    <w:rsid w:val="00F71510"/>
    <w:rsid w:val="00F7181C"/>
    <w:rsid w:val="00F72F6F"/>
    <w:rsid w:val="00F75683"/>
    <w:rsid w:val="00F7606E"/>
    <w:rsid w:val="00F76367"/>
    <w:rsid w:val="00F765D4"/>
    <w:rsid w:val="00F76694"/>
    <w:rsid w:val="00F767C3"/>
    <w:rsid w:val="00F76EA4"/>
    <w:rsid w:val="00F77258"/>
    <w:rsid w:val="00F808D7"/>
    <w:rsid w:val="00F824A1"/>
    <w:rsid w:val="00F8345E"/>
    <w:rsid w:val="00F84BAC"/>
    <w:rsid w:val="00F858FD"/>
    <w:rsid w:val="00F86102"/>
    <w:rsid w:val="00F868A2"/>
    <w:rsid w:val="00F92152"/>
    <w:rsid w:val="00F94FA7"/>
    <w:rsid w:val="00F958EB"/>
    <w:rsid w:val="00F95B66"/>
    <w:rsid w:val="00F961CB"/>
    <w:rsid w:val="00F97A39"/>
    <w:rsid w:val="00FA23D0"/>
    <w:rsid w:val="00FA2A2B"/>
    <w:rsid w:val="00FA30B7"/>
    <w:rsid w:val="00FA4DC8"/>
    <w:rsid w:val="00FA5740"/>
    <w:rsid w:val="00FA5F7F"/>
    <w:rsid w:val="00FA684F"/>
    <w:rsid w:val="00FA761F"/>
    <w:rsid w:val="00FB06D4"/>
    <w:rsid w:val="00FB1811"/>
    <w:rsid w:val="00FB2DD4"/>
    <w:rsid w:val="00FB30B1"/>
    <w:rsid w:val="00FB370A"/>
    <w:rsid w:val="00FB4390"/>
    <w:rsid w:val="00FB62DC"/>
    <w:rsid w:val="00FB6A9C"/>
    <w:rsid w:val="00FB7F96"/>
    <w:rsid w:val="00FC03B4"/>
    <w:rsid w:val="00FC0CC4"/>
    <w:rsid w:val="00FD3A47"/>
    <w:rsid w:val="00FD48A1"/>
    <w:rsid w:val="00FD7539"/>
    <w:rsid w:val="00FE0012"/>
    <w:rsid w:val="00FE0295"/>
    <w:rsid w:val="00FE4664"/>
    <w:rsid w:val="00FE4A56"/>
    <w:rsid w:val="00FE51DC"/>
    <w:rsid w:val="00FE5B25"/>
    <w:rsid w:val="00FE77A5"/>
    <w:rsid w:val="00FF0B8E"/>
    <w:rsid w:val="00FF11E1"/>
    <w:rsid w:val="00FF279C"/>
    <w:rsid w:val="00FF3365"/>
    <w:rsid w:val="00FF423E"/>
    <w:rsid w:val="00FF4854"/>
    <w:rsid w:val="00FF49E0"/>
    <w:rsid w:val="00FF61DF"/>
    <w:rsid w:val="00FF7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12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end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FFA"/>
    <w:rPr>
      <w:sz w:val="24"/>
      <w:szCs w:val="24"/>
      <w:lang w:val="en-GB" w:eastAsia="en-US"/>
    </w:rPr>
  </w:style>
  <w:style w:type="paragraph" w:styleId="Heading1">
    <w:name w:val="heading 1"/>
    <w:basedOn w:val="Normal"/>
    <w:next w:val="Normal"/>
    <w:qFormat/>
    <w:rsid w:val="00504EA0"/>
    <w:pPr>
      <w:keepNext/>
      <w:spacing w:before="360" w:after="240" w:line="280" w:lineRule="exact"/>
      <w:jc w:val="both"/>
      <w:outlineLvl w:val="0"/>
    </w:pPr>
    <w:rPr>
      <w:rFonts w:ascii="Arial" w:hAnsi="Arial" w:cs="Arial"/>
      <w:b/>
      <w:caps/>
      <w:kern w:val="28"/>
      <w:lang w:val="en-AU"/>
    </w:rPr>
  </w:style>
  <w:style w:type="paragraph" w:styleId="Heading2">
    <w:name w:val="heading 2"/>
    <w:basedOn w:val="Normal"/>
    <w:next w:val="Normal"/>
    <w:link w:val="Heading2Char"/>
    <w:qFormat/>
    <w:rsid w:val="001D1004"/>
    <w:pPr>
      <w:keepNext/>
      <w:spacing w:before="240" w:after="120" w:line="280" w:lineRule="exact"/>
      <w:jc w:val="both"/>
      <w:outlineLvl w:val="1"/>
    </w:pPr>
    <w:rPr>
      <w:b/>
      <w:szCs w:val="20"/>
      <w:lang w:val="en-AU"/>
    </w:rPr>
  </w:style>
  <w:style w:type="paragraph" w:styleId="Heading3">
    <w:name w:val="heading 3"/>
    <w:basedOn w:val="Normal"/>
    <w:next w:val="Normal"/>
    <w:qFormat/>
    <w:rsid w:val="001D1004"/>
    <w:pPr>
      <w:keepNext/>
      <w:jc w:val="both"/>
      <w:outlineLvl w:val="2"/>
    </w:pPr>
    <w:rPr>
      <w:b/>
      <w:bCs/>
      <w:i/>
      <w:iCs/>
    </w:rPr>
  </w:style>
  <w:style w:type="paragraph" w:styleId="Heading4">
    <w:name w:val="heading 4"/>
    <w:basedOn w:val="Normal"/>
    <w:next w:val="Normal"/>
    <w:qFormat/>
    <w:rsid w:val="005B4EB5"/>
    <w:pPr>
      <w:keepNext/>
      <w:ind w:right="45"/>
      <w:outlineLvl w:val="3"/>
    </w:pPr>
    <w:rPr>
      <w:rFonts w:ascii="Arial" w:hAnsi="Arial" w:cs="Arial"/>
      <w:b/>
      <w:bCs/>
      <w: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1004"/>
    <w:pPr>
      <w:tabs>
        <w:tab w:val="center" w:pos="4153"/>
        <w:tab w:val="right" w:pos="8306"/>
      </w:tabs>
    </w:pPr>
  </w:style>
  <w:style w:type="character" w:styleId="PageNumber">
    <w:name w:val="page number"/>
    <w:basedOn w:val="DefaultParagraphFont"/>
    <w:rsid w:val="001D1004"/>
  </w:style>
  <w:style w:type="paragraph" w:styleId="BodyText2">
    <w:name w:val="Body Text 2"/>
    <w:basedOn w:val="Normal"/>
    <w:rsid w:val="001D1004"/>
    <w:pPr>
      <w:spacing w:after="240"/>
      <w:jc w:val="both"/>
    </w:pPr>
    <w:rPr>
      <w:b/>
      <w:bCs/>
      <w:szCs w:val="20"/>
      <w:lang w:val="en-AU"/>
    </w:rPr>
  </w:style>
  <w:style w:type="character" w:customStyle="1" w:styleId="Heading2Char">
    <w:name w:val="Heading 2 Char"/>
    <w:link w:val="Heading2"/>
    <w:rsid w:val="001D1004"/>
    <w:rPr>
      <w:b/>
      <w:sz w:val="24"/>
      <w:lang w:val="en-AU" w:eastAsia="en-US" w:bidi="ar-SA"/>
    </w:rPr>
  </w:style>
  <w:style w:type="paragraph" w:customStyle="1" w:styleId="BulletIndent1">
    <w:name w:val="Bullet Indent 1"/>
    <w:basedOn w:val="Normal"/>
    <w:rsid w:val="001D1004"/>
    <w:pPr>
      <w:numPr>
        <w:numId w:val="1"/>
      </w:numPr>
      <w:spacing w:line="260" w:lineRule="exact"/>
    </w:pPr>
    <w:rPr>
      <w:sz w:val="22"/>
      <w:szCs w:val="20"/>
    </w:rPr>
  </w:style>
  <w:style w:type="paragraph" w:customStyle="1" w:styleId="Default">
    <w:name w:val="Default"/>
    <w:rsid w:val="001D1004"/>
    <w:pPr>
      <w:widowControl w:val="0"/>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1D100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rm1">
    <w:name w:val="txtnrm1"/>
    <w:rsid w:val="001D1004"/>
    <w:rPr>
      <w:rFonts w:ascii="Arial" w:hAnsi="Arial" w:cs="Arial" w:hint="default"/>
      <w:sz w:val="18"/>
      <w:szCs w:val="18"/>
    </w:rPr>
  </w:style>
  <w:style w:type="paragraph" w:customStyle="1" w:styleId="BayerSubscript">
    <w:name w:val="Bayer Subscript"/>
    <w:basedOn w:val="Normal"/>
    <w:link w:val="BayerSubscriptChar"/>
    <w:rsid w:val="001D1004"/>
    <w:rPr>
      <w:rFonts w:eastAsia="PMingLiU"/>
      <w:vertAlign w:val="subscript"/>
      <w:lang w:val="en-US"/>
    </w:rPr>
  </w:style>
  <w:style w:type="character" w:customStyle="1" w:styleId="BayerSubscriptChar">
    <w:name w:val="Bayer Subscript Char"/>
    <w:link w:val="BayerSubscript"/>
    <w:rsid w:val="001D1004"/>
    <w:rPr>
      <w:rFonts w:eastAsia="PMingLiU"/>
      <w:sz w:val="24"/>
      <w:szCs w:val="24"/>
      <w:vertAlign w:val="subscript"/>
      <w:lang w:val="en-US" w:eastAsia="en-US" w:bidi="ar-SA"/>
    </w:rPr>
  </w:style>
  <w:style w:type="character" w:styleId="EndnoteReference">
    <w:name w:val="endnote reference"/>
    <w:uiPriority w:val="99"/>
    <w:semiHidden/>
    <w:rsid w:val="001D1004"/>
    <w:rPr>
      <w:vertAlign w:val="superscript"/>
    </w:rPr>
  </w:style>
  <w:style w:type="paragraph" w:customStyle="1" w:styleId="BayerBodytext">
    <w:name w:val="Bayer Body text"/>
    <w:basedOn w:val="Normal"/>
    <w:rsid w:val="001D1004"/>
    <w:pPr>
      <w:widowControl w:val="0"/>
      <w:adjustRightInd w:val="0"/>
      <w:spacing w:after="240" w:line="360" w:lineRule="auto"/>
      <w:ind w:left="907"/>
      <w:jc w:val="both"/>
      <w:textAlignment w:val="baseline"/>
    </w:pPr>
    <w:rPr>
      <w:szCs w:val="20"/>
      <w:lang w:val="en-US" w:eastAsia="de-DE"/>
    </w:rPr>
  </w:style>
  <w:style w:type="paragraph" w:styleId="Header">
    <w:name w:val="header"/>
    <w:basedOn w:val="Normal"/>
    <w:rsid w:val="001D1004"/>
    <w:pPr>
      <w:tabs>
        <w:tab w:val="center" w:pos="4153"/>
        <w:tab w:val="right" w:pos="8306"/>
      </w:tabs>
    </w:pPr>
  </w:style>
  <w:style w:type="paragraph" w:styleId="BalloonText">
    <w:name w:val="Balloon Text"/>
    <w:basedOn w:val="Normal"/>
    <w:semiHidden/>
    <w:rsid w:val="009027D6"/>
    <w:rPr>
      <w:rFonts w:ascii="Tahoma" w:hAnsi="Tahoma" w:cs="Tahoma"/>
      <w:sz w:val="16"/>
      <w:szCs w:val="16"/>
    </w:rPr>
  </w:style>
  <w:style w:type="character" w:styleId="CommentReference">
    <w:name w:val="annotation reference"/>
    <w:rsid w:val="00D068E3"/>
    <w:rPr>
      <w:sz w:val="16"/>
      <w:szCs w:val="16"/>
    </w:rPr>
  </w:style>
  <w:style w:type="paragraph" w:styleId="CommentText">
    <w:name w:val="annotation text"/>
    <w:basedOn w:val="Normal"/>
    <w:link w:val="CommentTextChar"/>
    <w:rsid w:val="00D068E3"/>
    <w:rPr>
      <w:sz w:val="20"/>
      <w:szCs w:val="20"/>
    </w:rPr>
  </w:style>
  <w:style w:type="paragraph" w:styleId="CommentSubject">
    <w:name w:val="annotation subject"/>
    <w:basedOn w:val="CommentText"/>
    <w:next w:val="CommentText"/>
    <w:semiHidden/>
    <w:rsid w:val="00D068E3"/>
    <w:rPr>
      <w:b/>
      <w:bCs/>
    </w:rPr>
  </w:style>
  <w:style w:type="paragraph" w:styleId="TOC1">
    <w:name w:val="toc 1"/>
    <w:basedOn w:val="Normal"/>
    <w:next w:val="Normal"/>
    <w:semiHidden/>
    <w:rsid w:val="00C23506"/>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G Times" w:hAnsi="CG Times"/>
      <w:szCs w:val="20"/>
      <w:lang w:val="en-US" w:eastAsia="ja-JP"/>
    </w:rPr>
  </w:style>
  <w:style w:type="character" w:styleId="FollowedHyperlink">
    <w:name w:val="FollowedHyperlink"/>
    <w:rsid w:val="005A1A3E"/>
    <w:rPr>
      <w:color w:val="800080"/>
      <w:u w:val="single"/>
    </w:rPr>
  </w:style>
  <w:style w:type="paragraph" w:styleId="Caption">
    <w:name w:val="caption"/>
    <w:aliases w:val="Bayer Caption"/>
    <w:basedOn w:val="Normal"/>
    <w:next w:val="Normal"/>
    <w:qFormat/>
    <w:rsid w:val="005C296E"/>
    <w:rPr>
      <w:b/>
      <w:bCs/>
      <w:sz w:val="20"/>
      <w:szCs w:val="20"/>
    </w:rPr>
  </w:style>
  <w:style w:type="paragraph" w:customStyle="1" w:styleId="BayerBodyTextFull">
    <w:name w:val="Bayer Body Text Full"/>
    <w:basedOn w:val="Normal"/>
    <w:link w:val="BayerBodyTextFullChar"/>
    <w:qFormat/>
    <w:rsid w:val="00C62964"/>
    <w:pPr>
      <w:spacing w:before="120" w:after="120"/>
    </w:pPr>
    <w:rPr>
      <w:szCs w:val="20"/>
      <w:lang w:val="en-US"/>
    </w:rPr>
  </w:style>
  <w:style w:type="character" w:customStyle="1" w:styleId="BayerBodyTextFullChar">
    <w:name w:val="Bayer Body Text Full Char"/>
    <w:link w:val="BayerBodyTextFull"/>
    <w:rsid w:val="00C62964"/>
    <w:rPr>
      <w:sz w:val="24"/>
      <w:lang w:val="en-US" w:eastAsia="en-US" w:bidi="ar-SA"/>
    </w:rPr>
  </w:style>
  <w:style w:type="paragraph" w:customStyle="1" w:styleId="BayerTableRowHeadings">
    <w:name w:val="Bayer Table Row Headings"/>
    <w:basedOn w:val="Normal"/>
    <w:rsid w:val="00B66FBF"/>
    <w:pPr>
      <w:widowControl w:val="0"/>
      <w:spacing w:after="120"/>
    </w:pPr>
    <w:rPr>
      <w:sz w:val="22"/>
      <w:szCs w:val="20"/>
      <w:lang w:val="en-US"/>
    </w:rPr>
  </w:style>
  <w:style w:type="paragraph" w:customStyle="1" w:styleId="BayerTableColumnHeadings">
    <w:name w:val="Bayer Table Column Headings"/>
    <w:basedOn w:val="Normal"/>
    <w:rsid w:val="00B66FBF"/>
    <w:pPr>
      <w:jc w:val="center"/>
    </w:pPr>
    <w:rPr>
      <w:b/>
      <w:sz w:val="22"/>
      <w:szCs w:val="20"/>
      <w:lang w:val="en-US"/>
    </w:rPr>
  </w:style>
  <w:style w:type="paragraph" w:styleId="NormalWeb">
    <w:name w:val="Normal (Web)"/>
    <w:basedOn w:val="Normal"/>
    <w:uiPriority w:val="99"/>
    <w:rsid w:val="00B66FBF"/>
    <w:pPr>
      <w:jc w:val="both"/>
    </w:pPr>
    <w:rPr>
      <w:lang w:val="de-DE" w:eastAsia="de-DE"/>
    </w:rPr>
  </w:style>
  <w:style w:type="table" w:customStyle="1" w:styleId="TableGrid1">
    <w:name w:val="Table Grid1"/>
    <w:basedOn w:val="TableNormal"/>
    <w:next w:val="TableGrid"/>
    <w:rsid w:val="0070723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dyTextChar">
    <w:name w:val="Normal Body Text Char"/>
    <w:link w:val="NormalBodyText"/>
    <w:locked/>
    <w:rsid w:val="00FE5B25"/>
  </w:style>
  <w:style w:type="paragraph" w:customStyle="1" w:styleId="NormalBodyText">
    <w:name w:val="Normal Body Text"/>
    <w:basedOn w:val="Normal"/>
    <w:link w:val="NormalBodyTextChar"/>
    <w:rsid w:val="00FE5B25"/>
    <w:pPr>
      <w:spacing w:before="120" w:after="120"/>
    </w:pPr>
    <w:rPr>
      <w:sz w:val="20"/>
      <w:szCs w:val="20"/>
      <w:lang w:val="en-AU" w:eastAsia="zh-CN"/>
    </w:rPr>
  </w:style>
  <w:style w:type="paragraph" w:styleId="Revision">
    <w:name w:val="Revision"/>
    <w:hidden/>
    <w:uiPriority w:val="99"/>
    <w:semiHidden/>
    <w:rsid w:val="00296A60"/>
    <w:rPr>
      <w:sz w:val="24"/>
      <w:szCs w:val="24"/>
      <w:lang w:val="en-GB" w:eastAsia="en-US"/>
    </w:rPr>
  </w:style>
  <w:style w:type="character" w:styleId="Hyperlink">
    <w:name w:val="Hyperlink"/>
    <w:rsid w:val="00664935"/>
    <w:rPr>
      <w:color w:val="0000FF"/>
      <w:u w:val="single"/>
    </w:rPr>
  </w:style>
  <w:style w:type="paragraph" w:customStyle="1" w:styleId="BulletIndent4">
    <w:name w:val="Bullet Indent 4 (•)"/>
    <w:rsid w:val="005F4395"/>
    <w:pPr>
      <w:numPr>
        <w:numId w:val="12"/>
      </w:numPr>
      <w:spacing w:after="120"/>
      <w:jc w:val="both"/>
    </w:pPr>
    <w:rPr>
      <w:sz w:val="24"/>
      <w:lang w:val="en-US" w:eastAsia="en-US"/>
    </w:rPr>
  </w:style>
  <w:style w:type="paragraph" w:styleId="ListParagraph">
    <w:name w:val="List Paragraph"/>
    <w:basedOn w:val="Normal"/>
    <w:uiPriority w:val="34"/>
    <w:qFormat/>
    <w:rsid w:val="004445B3"/>
    <w:pPr>
      <w:ind w:left="720"/>
    </w:pPr>
    <w:rPr>
      <w:rFonts w:ascii="Calibri" w:eastAsia="Calibri" w:hAnsi="Calibri" w:cs="Calibri"/>
      <w:sz w:val="22"/>
      <w:szCs w:val="22"/>
      <w:lang w:val="en-AU"/>
    </w:rPr>
  </w:style>
  <w:style w:type="character" w:customStyle="1" w:styleId="CommentTextChar">
    <w:name w:val="Comment Text Char"/>
    <w:link w:val="CommentText"/>
    <w:rsid w:val="00616C33"/>
    <w:rPr>
      <w:lang w:val="en-GB" w:eastAsia="en-US"/>
    </w:rPr>
  </w:style>
  <w:style w:type="character" w:customStyle="1" w:styleId="FooterChar">
    <w:name w:val="Footer Char"/>
    <w:link w:val="Footer"/>
    <w:uiPriority w:val="99"/>
    <w:rsid w:val="006D6887"/>
    <w:rPr>
      <w:sz w:val="24"/>
      <w:szCs w:val="24"/>
      <w:lang w:val="en-GB" w:eastAsia="en-US"/>
    </w:rPr>
  </w:style>
  <w:style w:type="paragraph" w:customStyle="1" w:styleId="BayerBibliography">
    <w:name w:val="Bayer Bibliography"/>
    <w:basedOn w:val="Normal"/>
    <w:rsid w:val="000370B3"/>
    <w:pPr>
      <w:spacing w:after="120"/>
      <w:ind w:left="1627" w:hanging="720"/>
    </w:pPr>
    <w:rPr>
      <w:rFonts w:eastAsia="MS Mincho"/>
      <w:szCs w:val="20"/>
      <w:lang w:val="en-US"/>
    </w:rPr>
  </w:style>
  <w:style w:type="paragraph" w:styleId="EndnoteText">
    <w:name w:val="endnote text"/>
    <w:basedOn w:val="Normal"/>
    <w:link w:val="EndnoteTextChar"/>
    <w:rsid w:val="000370B3"/>
    <w:rPr>
      <w:rFonts w:eastAsia="MS Mincho"/>
      <w:sz w:val="20"/>
      <w:szCs w:val="20"/>
      <w:lang w:val="en-US"/>
    </w:rPr>
  </w:style>
  <w:style w:type="character" w:customStyle="1" w:styleId="EndnoteTextChar">
    <w:name w:val="Endnote Text Char"/>
    <w:link w:val="EndnoteText"/>
    <w:rsid w:val="000370B3"/>
    <w:rPr>
      <w:rFonts w:eastAsia="MS Mincho"/>
      <w:lang w:val="en-US" w:eastAsia="en-US"/>
    </w:rPr>
  </w:style>
  <w:style w:type="paragraph" w:customStyle="1" w:styleId="BayerTableStyleLeftJustified">
    <w:name w:val="Bayer TableStyle Left Justified"/>
    <w:basedOn w:val="Normal"/>
    <w:rsid w:val="00B855C1"/>
    <w:pPr>
      <w:widowControl w:val="0"/>
    </w:pPr>
    <w:rPr>
      <w:rFonts w:eastAsia="MS Mincho"/>
      <w:sz w:val="22"/>
      <w:szCs w:val="20"/>
      <w:lang w:val="en-US"/>
    </w:rPr>
  </w:style>
  <w:style w:type="paragraph" w:customStyle="1" w:styleId="GlobalBayerBodyText">
    <w:name w:val="Global Bayer Body Text"/>
    <w:basedOn w:val="BayerBodytext"/>
    <w:link w:val="GlobalBayerBodyTextChar"/>
    <w:rsid w:val="003F6C07"/>
    <w:pPr>
      <w:widowControl/>
      <w:tabs>
        <w:tab w:val="left" w:pos="11174"/>
        <w:tab w:val="left" w:pos="15142"/>
      </w:tabs>
      <w:suppressAutoHyphens/>
      <w:adjustRightInd/>
      <w:spacing w:before="120" w:line="240" w:lineRule="auto"/>
      <w:ind w:left="0"/>
      <w:jc w:val="left"/>
      <w:textAlignment w:val="auto"/>
    </w:pPr>
    <w:rPr>
      <w:rFonts w:eastAsia="MS Mincho"/>
      <w:sz w:val="22"/>
    </w:rPr>
  </w:style>
  <w:style w:type="character" w:customStyle="1" w:styleId="GlobalBayerBodyTextChar">
    <w:name w:val="Global Bayer Body Text Char"/>
    <w:link w:val="GlobalBayerBodyText"/>
    <w:rsid w:val="003F6C07"/>
    <w:rPr>
      <w:rFonts w:eastAsia="MS Mincho"/>
      <w:sz w:val="22"/>
      <w:lang w:val="en-US" w:eastAsia="de-DE"/>
    </w:rPr>
  </w:style>
  <w:style w:type="paragraph" w:styleId="TOC3">
    <w:name w:val="toc 3"/>
    <w:basedOn w:val="Normal"/>
    <w:next w:val="Normal"/>
    <w:autoRedefine/>
    <w:rsid w:val="007E132B"/>
    <w:pPr>
      <w:ind w:left="480"/>
    </w:pPr>
  </w:style>
  <w:style w:type="paragraph" w:customStyle="1" w:styleId="BayerTableStyleCentered">
    <w:name w:val="Bayer TableStyle Centered"/>
    <w:basedOn w:val="Normal"/>
    <w:rsid w:val="00FE77A5"/>
    <w:pPr>
      <w:keepNext/>
      <w:widowControl w:val="0"/>
      <w:jc w:val="center"/>
    </w:pPr>
    <w:rPr>
      <w:rFonts w:eastAsia="MS Mincho"/>
      <w:sz w:val="22"/>
      <w:szCs w:val="20"/>
      <w:lang w:val="en-US"/>
    </w:rPr>
  </w:style>
  <w:style w:type="paragraph" w:customStyle="1" w:styleId="BayerSuperscript">
    <w:name w:val="Bayer Superscript"/>
    <w:basedOn w:val="Normal"/>
    <w:rsid w:val="00E7171A"/>
    <w:rPr>
      <w:rFonts w:eastAsia="MS Mincho"/>
      <w:szCs w:val="20"/>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end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FFA"/>
    <w:rPr>
      <w:sz w:val="24"/>
      <w:szCs w:val="24"/>
      <w:lang w:val="en-GB" w:eastAsia="en-US"/>
    </w:rPr>
  </w:style>
  <w:style w:type="paragraph" w:styleId="Heading1">
    <w:name w:val="heading 1"/>
    <w:basedOn w:val="Normal"/>
    <w:next w:val="Normal"/>
    <w:qFormat/>
    <w:rsid w:val="00504EA0"/>
    <w:pPr>
      <w:keepNext/>
      <w:spacing w:before="360" w:after="240" w:line="280" w:lineRule="exact"/>
      <w:jc w:val="both"/>
      <w:outlineLvl w:val="0"/>
    </w:pPr>
    <w:rPr>
      <w:rFonts w:ascii="Arial" w:hAnsi="Arial" w:cs="Arial"/>
      <w:b/>
      <w:caps/>
      <w:kern w:val="28"/>
      <w:lang w:val="en-AU"/>
    </w:rPr>
  </w:style>
  <w:style w:type="paragraph" w:styleId="Heading2">
    <w:name w:val="heading 2"/>
    <w:basedOn w:val="Normal"/>
    <w:next w:val="Normal"/>
    <w:link w:val="Heading2Char"/>
    <w:qFormat/>
    <w:rsid w:val="001D1004"/>
    <w:pPr>
      <w:keepNext/>
      <w:spacing w:before="240" w:after="120" w:line="280" w:lineRule="exact"/>
      <w:jc w:val="both"/>
      <w:outlineLvl w:val="1"/>
    </w:pPr>
    <w:rPr>
      <w:b/>
      <w:szCs w:val="20"/>
      <w:lang w:val="en-AU"/>
    </w:rPr>
  </w:style>
  <w:style w:type="paragraph" w:styleId="Heading3">
    <w:name w:val="heading 3"/>
    <w:basedOn w:val="Normal"/>
    <w:next w:val="Normal"/>
    <w:qFormat/>
    <w:rsid w:val="001D1004"/>
    <w:pPr>
      <w:keepNext/>
      <w:jc w:val="both"/>
      <w:outlineLvl w:val="2"/>
    </w:pPr>
    <w:rPr>
      <w:b/>
      <w:bCs/>
      <w:i/>
      <w:iCs/>
    </w:rPr>
  </w:style>
  <w:style w:type="paragraph" w:styleId="Heading4">
    <w:name w:val="heading 4"/>
    <w:basedOn w:val="Normal"/>
    <w:next w:val="Normal"/>
    <w:qFormat/>
    <w:rsid w:val="005B4EB5"/>
    <w:pPr>
      <w:keepNext/>
      <w:ind w:right="45"/>
      <w:outlineLvl w:val="3"/>
    </w:pPr>
    <w:rPr>
      <w:rFonts w:ascii="Arial" w:hAnsi="Arial" w:cs="Arial"/>
      <w:b/>
      <w:bCs/>
      <w: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1004"/>
    <w:pPr>
      <w:tabs>
        <w:tab w:val="center" w:pos="4153"/>
        <w:tab w:val="right" w:pos="8306"/>
      </w:tabs>
    </w:pPr>
  </w:style>
  <w:style w:type="character" w:styleId="PageNumber">
    <w:name w:val="page number"/>
    <w:basedOn w:val="DefaultParagraphFont"/>
    <w:rsid w:val="001D1004"/>
  </w:style>
  <w:style w:type="paragraph" w:styleId="BodyText2">
    <w:name w:val="Body Text 2"/>
    <w:basedOn w:val="Normal"/>
    <w:rsid w:val="001D1004"/>
    <w:pPr>
      <w:spacing w:after="240"/>
      <w:jc w:val="both"/>
    </w:pPr>
    <w:rPr>
      <w:b/>
      <w:bCs/>
      <w:szCs w:val="20"/>
      <w:lang w:val="en-AU"/>
    </w:rPr>
  </w:style>
  <w:style w:type="character" w:customStyle="1" w:styleId="Heading2Char">
    <w:name w:val="Heading 2 Char"/>
    <w:link w:val="Heading2"/>
    <w:rsid w:val="001D1004"/>
    <w:rPr>
      <w:b/>
      <w:sz w:val="24"/>
      <w:lang w:val="en-AU" w:eastAsia="en-US" w:bidi="ar-SA"/>
    </w:rPr>
  </w:style>
  <w:style w:type="paragraph" w:customStyle="1" w:styleId="BulletIndent1">
    <w:name w:val="Bullet Indent 1"/>
    <w:basedOn w:val="Normal"/>
    <w:rsid w:val="001D1004"/>
    <w:pPr>
      <w:numPr>
        <w:numId w:val="1"/>
      </w:numPr>
      <w:spacing w:line="260" w:lineRule="exact"/>
    </w:pPr>
    <w:rPr>
      <w:sz w:val="22"/>
      <w:szCs w:val="20"/>
    </w:rPr>
  </w:style>
  <w:style w:type="paragraph" w:customStyle="1" w:styleId="Default">
    <w:name w:val="Default"/>
    <w:rsid w:val="001D1004"/>
    <w:pPr>
      <w:widowControl w:val="0"/>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1D100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rm1">
    <w:name w:val="txtnrm1"/>
    <w:rsid w:val="001D1004"/>
    <w:rPr>
      <w:rFonts w:ascii="Arial" w:hAnsi="Arial" w:cs="Arial" w:hint="default"/>
      <w:sz w:val="18"/>
      <w:szCs w:val="18"/>
    </w:rPr>
  </w:style>
  <w:style w:type="paragraph" w:customStyle="1" w:styleId="BayerSubscript">
    <w:name w:val="Bayer Subscript"/>
    <w:basedOn w:val="Normal"/>
    <w:link w:val="BayerSubscriptChar"/>
    <w:rsid w:val="001D1004"/>
    <w:rPr>
      <w:rFonts w:eastAsia="PMingLiU"/>
      <w:vertAlign w:val="subscript"/>
      <w:lang w:val="en-US"/>
    </w:rPr>
  </w:style>
  <w:style w:type="character" w:customStyle="1" w:styleId="BayerSubscriptChar">
    <w:name w:val="Bayer Subscript Char"/>
    <w:link w:val="BayerSubscript"/>
    <w:rsid w:val="001D1004"/>
    <w:rPr>
      <w:rFonts w:eastAsia="PMingLiU"/>
      <w:sz w:val="24"/>
      <w:szCs w:val="24"/>
      <w:vertAlign w:val="subscript"/>
      <w:lang w:val="en-US" w:eastAsia="en-US" w:bidi="ar-SA"/>
    </w:rPr>
  </w:style>
  <w:style w:type="character" w:styleId="EndnoteReference">
    <w:name w:val="endnote reference"/>
    <w:uiPriority w:val="99"/>
    <w:semiHidden/>
    <w:rsid w:val="001D1004"/>
    <w:rPr>
      <w:vertAlign w:val="superscript"/>
    </w:rPr>
  </w:style>
  <w:style w:type="paragraph" w:customStyle="1" w:styleId="BayerBodytext">
    <w:name w:val="Bayer Body text"/>
    <w:basedOn w:val="Normal"/>
    <w:rsid w:val="001D1004"/>
    <w:pPr>
      <w:widowControl w:val="0"/>
      <w:adjustRightInd w:val="0"/>
      <w:spacing w:after="240" w:line="360" w:lineRule="auto"/>
      <w:ind w:left="907"/>
      <w:jc w:val="both"/>
      <w:textAlignment w:val="baseline"/>
    </w:pPr>
    <w:rPr>
      <w:szCs w:val="20"/>
      <w:lang w:val="en-US" w:eastAsia="de-DE"/>
    </w:rPr>
  </w:style>
  <w:style w:type="paragraph" w:styleId="Header">
    <w:name w:val="header"/>
    <w:basedOn w:val="Normal"/>
    <w:rsid w:val="001D1004"/>
    <w:pPr>
      <w:tabs>
        <w:tab w:val="center" w:pos="4153"/>
        <w:tab w:val="right" w:pos="8306"/>
      </w:tabs>
    </w:pPr>
  </w:style>
  <w:style w:type="paragraph" w:styleId="BalloonText">
    <w:name w:val="Balloon Text"/>
    <w:basedOn w:val="Normal"/>
    <w:semiHidden/>
    <w:rsid w:val="009027D6"/>
    <w:rPr>
      <w:rFonts w:ascii="Tahoma" w:hAnsi="Tahoma" w:cs="Tahoma"/>
      <w:sz w:val="16"/>
      <w:szCs w:val="16"/>
    </w:rPr>
  </w:style>
  <w:style w:type="character" w:styleId="CommentReference">
    <w:name w:val="annotation reference"/>
    <w:rsid w:val="00D068E3"/>
    <w:rPr>
      <w:sz w:val="16"/>
      <w:szCs w:val="16"/>
    </w:rPr>
  </w:style>
  <w:style w:type="paragraph" w:styleId="CommentText">
    <w:name w:val="annotation text"/>
    <w:basedOn w:val="Normal"/>
    <w:link w:val="CommentTextChar"/>
    <w:rsid w:val="00D068E3"/>
    <w:rPr>
      <w:sz w:val="20"/>
      <w:szCs w:val="20"/>
    </w:rPr>
  </w:style>
  <w:style w:type="paragraph" w:styleId="CommentSubject">
    <w:name w:val="annotation subject"/>
    <w:basedOn w:val="CommentText"/>
    <w:next w:val="CommentText"/>
    <w:semiHidden/>
    <w:rsid w:val="00D068E3"/>
    <w:rPr>
      <w:b/>
      <w:bCs/>
    </w:rPr>
  </w:style>
  <w:style w:type="paragraph" w:styleId="TOC1">
    <w:name w:val="toc 1"/>
    <w:basedOn w:val="Normal"/>
    <w:next w:val="Normal"/>
    <w:semiHidden/>
    <w:rsid w:val="00C23506"/>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G Times" w:hAnsi="CG Times"/>
      <w:szCs w:val="20"/>
      <w:lang w:val="en-US" w:eastAsia="ja-JP"/>
    </w:rPr>
  </w:style>
  <w:style w:type="character" w:styleId="FollowedHyperlink">
    <w:name w:val="FollowedHyperlink"/>
    <w:rsid w:val="005A1A3E"/>
    <w:rPr>
      <w:color w:val="800080"/>
      <w:u w:val="single"/>
    </w:rPr>
  </w:style>
  <w:style w:type="paragraph" w:styleId="Caption">
    <w:name w:val="caption"/>
    <w:aliases w:val="Bayer Caption"/>
    <w:basedOn w:val="Normal"/>
    <w:next w:val="Normal"/>
    <w:qFormat/>
    <w:rsid w:val="005C296E"/>
    <w:rPr>
      <w:b/>
      <w:bCs/>
      <w:sz w:val="20"/>
      <w:szCs w:val="20"/>
    </w:rPr>
  </w:style>
  <w:style w:type="paragraph" w:customStyle="1" w:styleId="BayerBodyTextFull">
    <w:name w:val="Bayer Body Text Full"/>
    <w:basedOn w:val="Normal"/>
    <w:link w:val="BayerBodyTextFullChar"/>
    <w:qFormat/>
    <w:rsid w:val="00C62964"/>
    <w:pPr>
      <w:spacing w:before="120" w:after="120"/>
    </w:pPr>
    <w:rPr>
      <w:szCs w:val="20"/>
      <w:lang w:val="en-US"/>
    </w:rPr>
  </w:style>
  <w:style w:type="character" w:customStyle="1" w:styleId="BayerBodyTextFullChar">
    <w:name w:val="Bayer Body Text Full Char"/>
    <w:link w:val="BayerBodyTextFull"/>
    <w:rsid w:val="00C62964"/>
    <w:rPr>
      <w:sz w:val="24"/>
      <w:lang w:val="en-US" w:eastAsia="en-US" w:bidi="ar-SA"/>
    </w:rPr>
  </w:style>
  <w:style w:type="paragraph" w:customStyle="1" w:styleId="BayerTableRowHeadings">
    <w:name w:val="Bayer Table Row Headings"/>
    <w:basedOn w:val="Normal"/>
    <w:rsid w:val="00B66FBF"/>
    <w:pPr>
      <w:widowControl w:val="0"/>
      <w:spacing w:after="120"/>
    </w:pPr>
    <w:rPr>
      <w:sz w:val="22"/>
      <w:szCs w:val="20"/>
      <w:lang w:val="en-US"/>
    </w:rPr>
  </w:style>
  <w:style w:type="paragraph" w:customStyle="1" w:styleId="BayerTableColumnHeadings">
    <w:name w:val="Bayer Table Column Headings"/>
    <w:basedOn w:val="Normal"/>
    <w:rsid w:val="00B66FBF"/>
    <w:pPr>
      <w:jc w:val="center"/>
    </w:pPr>
    <w:rPr>
      <w:b/>
      <w:sz w:val="22"/>
      <w:szCs w:val="20"/>
      <w:lang w:val="en-US"/>
    </w:rPr>
  </w:style>
  <w:style w:type="paragraph" w:styleId="NormalWeb">
    <w:name w:val="Normal (Web)"/>
    <w:basedOn w:val="Normal"/>
    <w:uiPriority w:val="99"/>
    <w:rsid w:val="00B66FBF"/>
    <w:pPr>
      <w:jc w:val="both"/>
    </w:pPr>
    <w:rPr>
      <w:lang w:val="de-DE" w:eastAsia="de-DE"/>
    </w:rPr>
  </w:style>
  <w:style w:type="table" w:customStyle="1" w:styleId="TableGrid1">
    <w:name w:val="Table Grid1"/>
    <w:basedOn w:val="TableNormal"/>
    <w:next w:val="TableGrid"/>
    <w:rsid w:val="0070723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dyTextChar">
    <w:name w:val="Normal Body Text Char"/>
    <w:link w:val="NormalBodyText"/>
    <w:locked/>
    <w:rsid w:val="00FE5B25"/>
  </w:style>
  <w:style w:type="paragraph" w:customStyle="1" w:styleId="NormalBodyText">
    <w:name w:val="Normal Body Text"/>
    <w:basedOn w:val="Normal"/>
    <w:link w:val="NormalBodyTextChar"/>
    <w:rsid w:val="00FE5B25"/>
    <w:pPr>
      <w:spacing w:before="120" w:after="120"/>
    </w:pPr>
    <w:rPr>
      <w:sz w:val="20"/>
      <w:szCs w:val="20"/>
      <w:lang w:val="en-AU" w:eastAsia="zh-CN"/>
    </w:rPr>
  </w:style>
  <w:style w:type="paragraph" w:styleId="Revision">
    <w:name w:val="Revision"/>
    <w:hidden/>
    <w:uiPriority w:val="99"/>
    <w:semiHidden/>
    <w:rsid w:val="00296A60"/>
    <w:rPr>
      <w:sz w:val="24"/>
      <w:szCs w:val="24"/>
      <w:lang w:val="en-GB" w:eastAsia="en-US"/>
    </w:rPr>
  </w:style>
  <w:style w:type="character" w:styleId="Hyperlink">
    <w:name w:val="Hyperlink"/>
    <w:rsid w:val="00664935"/>
    <w:rPr>
      <w:color w:val="0000FF"/>
      <w:u w:val="single"/>
    </w:rPr>
  </w:style>
  <w:style w:type="paragraph" w:customStyle="1" w:styleId="BulletIndent4">
    <w:name w:val="Bullet Indent 4 (•)"/>
    <w:rsid w:val="005F4395"/>
    <w:pPr>
      <w:numPr>
        <w:numId w:val="12"/>
      </w:numPr>
      <w:spacing w:after="120"/>
      <w:jc w:val="both"/>
    </w:pPr>
    <w:rPr>
      <w:sz w:val="24"/>
      <w:lang w:val="en-US" w:eastAsia="en-US"/>
    </w:rPr>
  </w:style>
  <w:style w:type="paragraph" w:styleId="ListParagraph">
    <w:name w:val="List Paragraph"/>
    <w:basedOn w:val="Normal"/>
    <w:uiPriority w:val="34"/>
    <w:qFormat/>
    <w:rsid w:val="004445B3"/>
    <w:pPr>
      <w:ind w:left="720"/>
    </w:pPr>
    <w:rPr>
      <w:rFonts w:ascii="Calibri" w:eastAsia="Calibri" w:hAnsi="Calibri" w:cs="Calibri"/>
      <w:sz w:val="22"/>
      <w:szCs w:val="22"/>
      <w:lang w:val="en-AU"/>
    </w:rPr>
  </w:style>
  <w:style w:type="character" w:customStyle="1" w:styleId="CommentTextChar">
    <w:name w:val="Comment Text Char"/>
    <w:link w:val="CommentText"/>
    <w:rsid w:val="00616C33"/>
    <w:rPr>
      <w:lang w:val="en-GB" w:eastAsia="en-US"/>
    </w:rPr>
  </w:style>
  <w:style w:type="character" w:customStyle="1" w:styleId="FooterChar">
    <w:name w:val="Footer Char"/>
    <w:link w:val="Footer"/>
    <w:uiPriority w:val="99"/>
    <w:rsid w:val="006D6887"/>
    <w:rPr>
      <w:sz w:val="24"/>
      <w:szCs w:val="24"/>
      <w:lang w:val="en-GB" w:eastAsia="en-US"/>
    </w:rPr>
  </w:style>
  <w:style w:type="paragraph" w:customStyle="1" w:styleId="BayerBibliography">
    <w:name w:val="Bayer Bibliography"/>
    <w:basedOn w:val="Normal"/>
    <w:rsid w:val="000370B3"/>
    <w:pPr>
      <w:spacing w:after="120"/>
      <w:ind w:left="1627" w:hanging="720"/>
    </w:pPr>
    <w:rPr>
      <w:rFonts w:eastAsia="MS Mincho"/>
      <w:szCs w:val="20"/>
      <w:lang w:val="en-US"/>
    </w:rPr>
  </w:style>
  <w:style w:type="paragraph" w:styleId="EndnoteText">
    <w:name w:val="endnote text"/>
    <w:basedOn w:val="Normal"/>
    <w:link w:val="EndnoteTextChar"/>
    <w:rsid w:val="000370B3"/>
    <w:rPr>
      <w:rFonts w:eastAsia="MS Mincho"/>
      <w:sz w:val="20"/>
      <w:szCs w:val="20"/>
      <w:lang w:val="en-US"/>
    </w:rPr>
  </w:style>
  <w:style w:type="character" w:customStyle="1" w:styleId="EndnoteTextChar">
    <w:name w:val="Endnote Text Char"/>
    <w:link w:val="EndnoteText"/>
    <w:rsid w:val="000370B3"/>
    <w:rPr>
      <w:rFonts w:eastAsia="MS Mincho"/>
      <w:lang w:val="en-US" w:eastAsia="en-US"/>
    </w:rPr>
  </w:style>
  <w:style w:type="paragraph" w:customStyle="1" w:styleId="BayerTableStyleLeftJustified">
    <w:name w:val="Bayer TableStyle Left Justified"/>
    <w:basedOn w:val="Normal"/>
    <w:rsid w:val="00B855C1"/>
    <w:pPr>
      <w:widowControl w:val="0"/>
    </w:pPr>
    <w:rPr>
      <w:rFonts w:eastAsia="MS Mincho"/>
      <w:sz w:val="22"/>
      <w:szCs w:val="20"/>
      <w:lang w:val="en-US"/>
    </w:rPr>
  </w:style>
  <w:style w:type="paragraph" w:customStyle="1" w:styleId="GlobalBayerBodyText">
    <w:name w:val="Global Bayer Body Text"/>
    <w:basedOn w:val="BayerBodytext"/>
    <w:link w:val="GlobalBayerBodyTextChar"/>
    <w:rsid w:val="003F6C07"/>
    <w:pPr>
      <w:widowControl/>
      <w:tabs>
        <w:tab w:val="left" w:pos="11174"/>
        <w:tab w:val="left" w:pos="15142"/>
      </w:tabs>
      <w:suppressAutoHyphens/>
      <w:adjustRightInd/>
      <w:spacing w:before="120" w:line="240" w:lineRule="auto"/>
      <w:ind w:left="0"/>
      <w:jc w:val="left"/>
      <w:textAlignment w:val="auto"/>
    </w:pPr>
    <w:rPr>
      <w:rFonts w:eastAsia="MS Mincho"/>
      <w:sz w:val="22"/>
    </w:rPr>
  </w:style>
  <w:style w:type="character" w:customStyle="1" w:styleId="GlobalBayerBodyTextChar">
    <w:name w:val="Global Bayer Body Text Char"/>
    <w:link w:val="GlobalBayerBodyText"/>
    <w:rsid w:val="003F6C07"/>
    <w:rPr>
      <w:rFonts w:eastAsia="MS Mincho"/>
      <w:sz w:val="22"/>
      <w:lang w:val="en-US" w:eastAsia="de-DE"/>
    </w:rPr>
  </w:style>
  <w:style w:type="paragraph" w:styleId="TOC3">
    <w:name w:val="toc 3"/>
    <w:basedOn w:val="Normal"/>
    <w:next w:val="Normal"/>
    <w:autoRedefine/>
    <w:rsid w:val="007E132B"/>
    <w:pPr>
      <w:ind w:left="480"/>
    </w:pPr>
  </w:style>
  <w:style w:type="paragraph" w:customStyle="1" w:styleId="BayerTableStyleCentered">
    <w:name w:val="Bayer TableStyle Centered"/>
    <w:basedOn w:val="Normal"/>
    <w:rsid w:val="00FE77A5"/>
    <w:pPr>
      <w:keepNext/>
      <w:widowControl w:val="0"/>
      <w:jc w:val="center"/>
    </w:pPr>
    <w:rPr>
      <w:rFonts w:eastAsia="MS Mincho"/>
      <w:sz w:val="22"/>
      <w:szCs w:val="20"/>
      <w:lang w:val="en-US"/>
    </w:rPr>
  </w:style>
  <w:style w:type="paragraph" w:customStyle="1" w:styleId="BayerSuperscript">
    <w:name w:val="Bayer Superscript"/>
    <w:basedOn w:val="Normal"/>
    <w:rsid w:val="00E7171A"/>
    <w:rPr>
      <w:rFonts w:eastAsia="MS Mincho"/>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9201">
      <w:bodyDiv w:val="1"/>
      <w:marLeft w:val="0"/>
      <w:marRight w:val="0"/>
      <w:marTop w:val="0"/>
      <w:marBottom w:val="0"/>
      <w:divBdr>
        <w:top w:val="none" w:sz="0" w:space="0" w:color="auto"/>
        <w:left w:val="none" w:sz="0" w:space="0" w:color="auto"/>
        <w:bottom w:val="none" w:sz="0" w:space="0" w:color="auto"/>
        <w:right w:val="none" w:sz="0" w:space="0" w:color="auto"/>
      </w:divBdr>
    </w:div>
    <w:div w:id="93668126">
      <w:bodyDiv w:val="1"/>
      <w:marLeft w:val="0"/>
      <w:marRight w:val="0"/>
      <w:marTop w:val="0"/>
      <w:marBottom w:val="0"/>
      <w:divBdr>
        <w:top w:val="none" w:sz="0" w:space="0" w:color="auto"/>
        <w:left w:val="none" w:sz="0" w:space="0" w:color="auto"/>
        <w:bottom w:val="none" w:sz="0" w:space="0" w:color="auto"/>
        <w:right w:val="none" w:sz="0" w:space="0" w:color="auto"/>
      </w:divBdr>
    </w:div>
    <w:div w:id="214049434">
      <w:bodyDiv w:val="1"/>
      <w:marLeft w:val="0"/>
      <w:marRight w:val="0"/>
      <w:marTop w:val="0"/>
      <w:marBottom w:val="0"/>
      <w:divBdr>
        <w:top w:val="none" w:sz="0" w:space="0" w:color="auto"/>
        <w:left w:val="none" w:sz="0" w:space="0" w:color="auto"/>
        <w:bottom w:val="none" w:sz="0" w:space="0" w:color="auto"/>
        <w:right w:val="none" w:sz="0" w:space="0" w:color="auto"/>
      </w:divBdr>
    </w:div>
    <w:div w:id="219172626">
      <w:bodyDiv w:val="1"/>
      <w:marLeft w:val="0"/>
      <w:marRight w:val="0"/>
      <w:marTop w:val="0"/>
      <w:marBottom w:val="0"/>
      <w:divBdr>
        <w:top w:val="none" w:sz="0" w:space="0" w:color="auto"/>
        <w:left w:val="none" w:sz="0" w:space="0" w:color="auto"/>
        <w:bottom w:val="none" w:sz="0" w:space="0" w:color="auto"/>
        <w:right w:val="none" w:sz="0" w:space="0" w:color="auto"/>
      </w:divBdr>
    </w:div>
    <w:div w:id="307171530">
      <w:bodyDiv w:val="1"/>
      <w:marLeft w:val="0"/>
      <w:marRight w:val="0"/>
      <w:marTop w:val="0"/>
      <w:marBottom w:val="0"/>
      <w:divBdr>
        <w:top w:val="none" w:sz="0" w:space="0" w:color="auto"/>
        <w:left w:val="none" w:sz="0" w:space="0" w:color="auto"/>
        <w:bottom w:val="none" w:sz="0" w:space="0" w:color="auto"/>
        <w:right w:val="none" w:sz="0" w:space="0" w:color="auto"/>
      </w:divBdr>
      <w:divsChild>
        <w:div w:id="273681312">
          <w:marLeft w:val="0"/>
          <w:marRight w:val="0"/>
          <w:marTop w:val="0"/>
          <w:marBottom w:val="0"/>
          <w:divBdr>
            <w:top w:val="none" w:sz="0" w:space="0" w:color="auto"/>
            <w:left w:val="none" w:sz="0" w:space="0" w:color="auto"/>
            <w:bottom w:val="none" w:sz="0" w:space="0" w:color="auto"/>
            <w:right w:val="none" w:sz="0" w:space="0" w:color="auto"/>
          </w:divBdr>
        </w:div>
      </w:divsChild>
    </w:div>
    <w:div w:id="331227140">
      <w:bodyDiv w:val="1"/>
      <w:marLeft w:val="0"/>
      <w:marRight w:val="0"/>
      <w:marTop w:val="0"/>
      <w:marBottom w:val="0"/>
      <w:divBdr>
        <w:top w:val="none" w:sz="0" w:space="0" w:color="auto"/>
        <w:left w:val="none" w:sz="0" w:space="0" w:color="auto"/>
        <w:bottom w:val="none" w:sz="0" w:space="0" w:color="auto"/>
        <w:right w:val="none" w:sz="0" w:space="0" w:color="auto"/>
      </w:divBdr>
    </w:div>
    <w:div w:id="344018536">
      <w:bodyDiv w:val="1"/>
      <w:marLeft w:val="0"/>
      <w:marRight w:val="0"/>
      <w:marTop w:val="0"/>
      <w:marBottom w:val="0"/>
      <w:divBdr>
        <w:top w:val="none" w:sz="0" w:space="0" w:color="auto"/>
        <w:left w:val="none" w:sz="0" w:space="0" w:color="auto"/>
        <w:bottom w:val="none" w:sz="0" w:space="0" w:color="auto"/>
        <w:right w:val="none" w:sz="0" w:space="0" w:color="auto"/>
      </w:divBdr>
    </w:div>
    <w:div w:id="366761211">
      <w:bodyDiv w:val="1"/>
      <w:marLeft w:val="0"/>
      <w:marRight w:val="0"/>
      <w:marTop w:val="0"/>
      <w:marBottom w:val="0"/>
      <w:divBdr>
        <w:top w:val="none" w:sz="0" w:space="0" w:color="auto"/>
        <w:left w:val="none" w:sz="0" w:space="0" w:color="auto"/>
        <w:bottom w:val="none" w:sz="0" w:space="0" w:color="auto"/>
        <w:right w:val="none" w:sz="0" w:space="0" w:color="auto"/>
      </w:divBdr>
    </w:div>
    <w:div w:id="434402719">
      <w:bodyDiv w:val="1"/>
      <w:marLeft w:val="0"/>
      <w:marRight w:val="0"/>
      <w:marTop w:val="0"/>
      <w:marBottom w:val="0"/>
      <w:divBdr>
        <w:top w:val="none" w:sz="0" w:space="0" w:color="auto"/>
        <w:left w:val="none" w:sz="0" w:space="0" w:color="auto"/>
        <w:bottom w:val="none" w:sz="0" w:space="0" w:color="auto"/>
        <w:right w:val="none" w:sz="0" w:space="0" w:color="auto"/>
      </w:divBdr>
    </w:div>
    <w:div w:id="442313497">
      <w:bodyDiv w:val="1"/>
      <w:marLeft w:val="0"/>
      <w:marRight w:val="0"/>
      <w:marTop w:val="0"/>
      <w:marBottom w:val="0"/>
      <w:divBdr>
        <w:top w:val="none" w:sz="0" w:space="0" w:color="auto"/>
        <w:left w:val="none" w:sz="0" w:space="0" w:color="auto"/>
        <w:bottom w:val="none" w:sz="0" w:space="0" w:color="auto"/>
        <w:right w:val="none" w:sz="0" w:space="0" w:color="auto"/>
      </w:divBdr>
    </w:div>
    <w:div w:id="480122334">
      <w:bodyDiv w:val="1"/>
      <w:marLeft w:val="0"/>
      <w:marRight w:val="0"/>
      <w:marTop w:val="0"/>
      <w:marBottom w:val="0"/>
      <w:divBdr>
        <w:top w:val="none" w:sz="0" w:space="0" w:color="auto"/>
        <w:left w:val="none" w:sz="0" w:space="0" w:color="auto"/>
        <w:bottom w:val="none" w:sz="0" w:space="0" w:color="auto"/>
        <w:right w:val="none" w:sz="0" w:space="0" w:color="auto"/>
      </w:divBdr>
      <w:divsChild>
        <w:div w:id="555437756">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280">
      <w:bodyDiv w:val="1"/>
      <w:marLeft w:val="0"/>
      <w:marRight w:val="0"/>
      <w:marTop w:val="0"/>
      <w:marBottom w:val="0"/>
      <w:divBdr>
        <w:top w:val="none" w:sz="0" w:space="0" w:color="auto"/>
        <w:left w:val="none" w:sz="0" w:space="0" w:color="auto"/>
        <w:bottom w:val="none" w:sz="0" w:space="0" w:color="auto"/>
        <w:right w:val="none" w:sz="0" w:space="0" w:color="auto"/>
      </w:divBdr>
    </w:div>
    <w:div w:id="1609315146">
      <w:bodyDiv w:val="1"/>
      <w:marLeft w:val="0"/>
      <w:marRight w:val="0"/>
      <w:marTop w:val="0"/>
      <w:marBottom w:val="0"/>
      <w:divBdr>
        <w:top w:val="none" w:sz="0" w:space="0" w:color="auto"/>
        <w:left w:val="none" w:sz="0" w:space="0" w:color="auto"/>
        <w:bottom w:val="none" w:sz="0" w:space="0" w:color="auto"/>
        <w:right w:val="none" w:sz="0" w:space="0" w:color="auto"/>
      </w:divBdr>
    </w:div>
    <w:div w:id="1712656181">
      <w:bodyDiv w:val="1"/>
      <w:marLeft w:val="0"/>
      <w:marRight w:val="0"/>
      <w:marTop w:val="0"/>
      <w:marBottom w:val="0"/>
      <w:divBdr>
        <w:top w:val="none" w:sz="0" w:space="0" w:color="auto"/>
        <w:left w:val="none" w:sz="0" w:space="0" w:color="auto"/>
        <w:bottom w:val="none" w:sz="0" w:space="0" w:color="auto"/>
        <w:right w:val="none" w:sz="0" w:space="0" w:color="auto"/>
      </w:divBdr>
      <w:divsChild>
        <w:div w:id="546649351">
          <w:marLeft w:val="0"/>
          <w:marRight w:val="0"/>
          <w:marTop w:val="0"/>
          <w:marBottom w:val="0"/>
          <w:divBdr>
            <w:top w:val="none" w:sz="0" w:space="0" w:color="auto"/>
            <w:left w:val="none" w:sz="0" w:space="0" w:color="auto"/>
            <w:bottom w:val="none" w:sz="0" w:space="0" w:color="auto"/>
            <w:right w:val="none" w:sz="0" w:space="0" w:color="auto"/>
          </w:divBdr>
          <w:divsChild>
            <w:div w:id="11434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8107">
      <w:bodyDiv w:val="1"/>
      <w:marLeft w:val="0"/>
      <w:marRight w:val="0"/>
      <w:marTop w:val="0"/>
      <w:marBottom w:val="0"/>
      <w:divBdr>
        <w:top w:val="none" w:sz="0" w:space="0" w:color="auto"/>
        <w:left w:val="none" w:sz="0" w:space="0" w:color="auto"/>
        <w:bottom w:val="none" w:sz="0" w:space="0" w:color="auto"/>
        <w:right w:val="none" w:sz="0" w:space="0" w:color="auto"/>
      </w:divBdr>
      <w:divsChild>
        <w:div w:id="1440027368">
          <w:marLeft w:val="0"/>
          <w:marRight w:val="0"/>
          <w:marTop w:val="0"/>
          <w:marBottom w:val="0"/>
          <w:divBdr>
            <w:top w:val="none" w:sz="0" w:space="0" w:color="auto"/>
            <w:left w:val="none" w:sz="0" w:space="0" w:color="auto"/>
            <w:bottom w:val="none" w:sz="0" w:space="0" w:color="auto"/>
            <w:right w:val="none" w:sz="0" w:space="0" w:color="auto"/>
          </w:divBdr>
          <w:divsChild>
            <w:div w:id="103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6839">
      <w:bodyDiv w:val="1"/>
      <w:marLeft w:val="0"/>
      <w:marRight w:val="0"/>
      <w:marTop w:val="0"/>
      <w:marBottom w:val="0"/>
      <w:divBdr>
        <w:top w:val="none" w:sz="0" w:space="0" w:color="auto"/>
        <w:left w:val="none" w:sz="0" w:space="0" w:color="auto"/>
        <w:bottom w:val="none" w:sz="0" w:space="0" w:color="auto"/>
        <w:right w:val="none" w:sz="0" w:space="0" w:color="auto"/>
      </w:divBdr>
      <w:divsChild>
        <w:div w:id="180631502">
          <w:marLeft w:val="0"/>
          <w:marRight w:val="0"/>
          <w:marTop w:val="0"/>
          <w:marBottom w:val="0"/>
          <w:divBdr>
            <w:top w:val="none" w:sz="0" w:space="0" w:color="auto"/>
            <w:left w:val="none" w:sz="0" w:space="0" w:color="auto"/>
            <w:bottom w:val="none" w:sz="0" w:space="0" w:color="auto"/>
            <w:right w:val="none" w:sz="0" w:space="0" w:color="auto"/>
          </w:divBdr>
          <w:divsChild>
            <w:div w:id="3072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2736">
      <w:bodyDiv w:val="1"/>
      <w:marLeft w:val="0"/>
      <w:marRight w:val="0"/>
      <w:marTop w:val="0"/>
      <w:marBottom w:val="0"/>
      <w:divBdr>
        <w:top w:val="none" w:sz="0" w:space="0" w:color="auto"/>
        <w:left w:val="none" w:sz="0" w:space="0" w:color="auto"/>
        <w:bottom w:val="none" w:sz="0" w:space="0" w:color="auto"/>
        <w:right w:val="none" w:sz="0" w:space="0" w:color="auto"/>
      </w:divBdr>
    </w:div>
    <w:div w:id="1892571476">
      <w:bodyDiv w:val="1"/>
      <w:marLeft w:val="0"/>
      <w:marRight w:val="0"/>
      <w:marTop w:val="0"/>
      <w:marBottom w:val="0"/>
      <w:divBdr>
        <w:top w:val="none" w:sz="0" w:space="0" w:color="auto"/>
        <w:left w:val="none" w:sz="0" w:space="0" w:color="auto"/>
        <w:bottom w:val="none" w:sz="0" w:space="0" w:color="auto"/>
        <w:right w:val="none" w:sz="0" w:space="0" w:color="auto"/>
      </w:divBdr>
    </w:div>
    <w:div w:id="1978338221">
      <w:bodyDiv w:val="1"/>
      <w:marLeft w:val="0"/>
      <w:marRight w:val="0"/>
      <w:marTop w:val="0"/>
      <w:marBottom w:val="0"/>
      <w:divBdr>
        <w:top w:val="none" w:sz="0" w:space="0" w:color="auto"/>
        <w:left w:val="none" w:sz="0" w:space="0" w:color="auto"/>
        <w:bottom w:val="none" w:sz="0" w:space="0" w:color="auto"/>
        <w:right w:val="none" w:sz="0" w:space="0" w:color="auto"/>
      </w:divBdr>
      <w:divsChild>
        <w:div w:id="803231543">
          <w:marLeft w:val="0"/>
          <w:marRight w:val="0"/>
          <w:marTop w:val="0"/>
          <w:marBottom w:val="0"/>
          <w:divBdr>
            <w:top w:val="none" w:sz="0" w:space="0" w:color="auto"/>
            <w:left w:val="none" w:sz="0" w:space="0" w:color="auto"/>
            <w:bottom w:val="none" w:sz="0" w:space="0" w:color="auto"/>
            <w:right w:val="none" w:sz="0" w:space="0" w:color="auto"/>
          </w:divBdr>
        </w:div>
      </w:divsChild>
    </w:div>
    <w:div w:id="1985348911">
      <w:bodyDiv w:val="1"/>
      <w:marLeft w:val="0"/>
      <w:marRight w:val="0"/>
      <w:marTop w:val="0"/>
      <w:marBottom w:val="0"/>
      <w:divBdr>
        <w:top w:val="none" w:sz="0" w:space="0" w:color="auto"/>
        <w:left w:val="none" w:sz="0" w:space="0" w:color="auto"/>
        <w:bottom w:val="none" w:sz="0" w:space="0" w:color="auto"/>
        <w:right w:val="none" w:sz="0" w:space="0" w:color="auto"/>
      </w:divBdr>
      <w:divsChild>
        <w:div w:id="14647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8E6599B1A1C409873AA9D45E2BFFC" ma:contentTypeVersion="27" ma:contentTypeDescription="Create a new document." ma:contentTypeScope="" ma:versionID="52e9a03191be554a37b4e8b33619e914">
  <xsd:schema xmlns:xsd="http://www.w3.org/2001/XMLSchema" xmlns:xs="http://www.w3.org/2001/XMLSchema" xmlns:p="http://schemas.microsoft.com/office/2006/metadata/properties" xmlns:ns1="http://schemas.microsoft.com/sharepoint/v3" xmlns:ns2="e941b624-166c-4987-9ed6-d539972f16a8" xmlns:ns3="16b34d67-a1ca-495e-8fb4-11565d8c4918" targetNamespace="http://schemas.microsoft.com/office/2006/metadata/properties" ma:root="true" ma:fieldsID="d0f1d68f91accef134a1e19892dc6f09" ns1:_="" ns2:_="" ns3:_="">
    <xsd:import namespace="http://schemas.microsoft.com/sharepoint/v3"/>
    <xsd:import namespace="e941b624-166c-4987-9ed6-d539972f16a8"/>
    <xsd:import namespace="16b34d67-a1ca-495e-8fb4-11565d8c4918"/>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Request_x0020_for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e9b36b4f-26ab-4e3e-a976-9d786c30e454}" ma:internalName="TaxCatchAll" ma:showField="CatchAllData"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e9b36b4f-26ab-4e3e-a976-9d786c30e454}" ma:internalName="TaxCatchAllLabel" ma:readOnly="true" ma:showField="CatchAllDataLabel"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2;#Long-Term|450f2ec9-198b-4bf0-b08c-74a80f1899d3"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34d67-a1ca-495e-8fb4-11565d8c4918" elementFormDefault="qualified">
    <xsd:import namespace="http://schemas.microsoft.com/office/2006/documentManagement/types"/>
    <xsd:import namespace="http://schemas.microsoft.com/office/infopath/2007/PartnerControls"/>
    <xsd:element name="Request_x0020_for_x0020_Approval" ma:index="15" nillable="true" ma:displayName="Request for Approval" ma:default="1" ma:internalName="Request_x0020_for_x0020_Approva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c593367-9bb5-4764-945e-f6a26d2260c4"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2</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Long-Term</TermName>
          <TermId xmlns="http://schemas.microsoft.com/office/infopath/2007/PartnerControls">450f2ec9-198b-4bf0-b08c-74a80f1899d3</TermId>
        </TermInfo>
      </Terms>
    </gbbd9102adcd43839cd73b51972a464c>
    <Request_x0020_for_x0020_Approval xmlns="16b34d67-a1ca-495e-8fb4-11565d8c4918">true</Request_x0020_for_x0020_Approval>
    <_dlc_ExpireDate xmlns="http://schemas.microsoft.com/sharepoint/v3">2027-03-09T01:40:35+00:00</_dlc_ExpireDate>
    <_dlc_ExpireDateSaved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348E-C5F2-4A90-A080-BDACEE81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16b34d67-a1ca-495e-8fb4-11565d8c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0AE41-971A-42CE-A4F6-4E6A39E8A265}">
  <ds:schemaRefs>
    <ds:schemaRef ds:uri="Microsoft.SharePoint.Taxonomy.ContentTypeSync"/>
  </ds:schemaRefs>
</ds:datastoreItem>
</file>

<file path=customXml/itemProps3.xml><?xml version="1.0" encoding="utf-8"?>
<ds:datastoreItem xmlns:ds="http://schemas.openxmlformats.org/officeDocument/2006/customXml" ds:itemID="{2DE6792A-F3CB-4701-9C3F-80BCB7DCB6B3}">
  <ds:schemaRefs>
    <ds:schemaRef ds:uri="http://purl.org/dc/elements/1.1/"/>
    <ds:schemaRef ds:uri="http://purl.org/dc/terms/"/>
    <ds:schemaRef ds:uri="http://www.w3.org/XML/1998/namespac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16b34d67-a1ca-495e-8fb4-11565d8c4918"/>
    <ds:schemaRef ds:uri="e941b624-166c-4987-9ed6-d539972f16a8"/>
    <ds:schemaRef ds:uri="http://purl.org/dc/dcmitype/"/>
  </ds:schemaRefs>
</ds:datastoreItem>
</file>

<file path=customXml/itemProps4.xml><?xml version="1.0" encoding="utf-8"?>
<ds:datastoreItem xmlns:ds="http://schemas.openxmlformats.org/officeDocument/2006/customXml" ds:itemID="{51BCB4F4-29D8-429A-8634-5977944E8C51}">
  <ds:schemaRefs>
    <ds:schemaRef ds:uri="http://schemas.microsoft.com/office/2006/metadata/longProperties"/>
  </ds:schemaRefs>
</ds:datastoreItem>
</file>

<file path=customXml/itemProps5.xml><?xml version="1.0" encoding="utf-8"?>
<ds:datastoreItem xmlns:ds="http://schemas.openxmlformats.org/officeDocument/2006/customXml" ds:itemID="{7DD5537C-EA8D-459F-8460-8E1848156A3F}">
  <ds:schemaRefs>
    <ds:schemaRef ds:uri="office.server.policy"/>
  </ds:schemaRefs>
</ds:datastoreItem>
</file>

<file path=customXml/itemProps6.xml><?xml version="1.0" encoding="utf-8"?>
<ds:datastoreItem xmlns:ds="http://schemas.openxmlformats.org/officeDocument/2006/customXml" ds:itemID="{62DFA5E4-9DB7-4BDF-A3D7-45B76B5BF372}">
  <ds:schemaRefs>
    <ds:schemaRef ds:uri="http://schemas.microsoft.com/sharepoint/events"/>
  </ds:schemaRefs>
</ds:datastoreItem>
</file>

<file path=customXml/itemProps7.xml><?xml version="1.0" encoding="utf-8"?>
<ds:datastoreItem xmlns:ds="http://schemas.openxmlformats.org/officeDocument/2006/customXml" ds:itemID="{B3657045-BD3F-4D4B-8C0A-DBAB593CD98B}">
  <ds:schemaRefs>
    <ds:schemaRef ds:uri="http://schemas.microsoft.com/sharepoint/v3/contenttype/forms"/>
  </ds:schemaRefs>
</ds:datastoreItem>
</file>

<file path=customXml/itemProps8.xml><?xml version="1.0" encoding="utf-8"?>
<ds:datastoreItem xmlns:ds="http://schemas.openxmlformats.org/officeDocument/2006/customXml" ds:itemID="{01EDF11A-1822-4134-8BD6-8DE23988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8006</Words>
  <Characters>46918</Characters>
  <Application>Microsoft Office Word</Application>
  <DocSecurity>0</DocSecurity>
  <Lines>390</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PRODUCT INFORMATION</vt:lpstr>
      <vt:lpstr>DRAFT PRODUCT INFORMATION</vt:lpstr>
    </vt:vector>
  </TitlesOfParts>
  <Company>Bayer</Company>
  <LinksUpToDate>false</LinksUpToDate>
  <CharactersWithSpaces>54815</CharactersWithSpaces>
  <SharedDoc>false</SharedDoc>
  <HLinks>
    <vt:vector size="18" baseType="variant">
      <vt:variant>
        <vt:i4>4259906</vt:i4>
      </vt:variant>
      <vt:variant>
        <vt:i4>9</vt:i4>
      </vt:variant>
      <vt:variant>
        <vt:i4>0</vt:i4>
      </vt:variant>
      <vt:variant>
        <vt:i4>5</vt:i4>
      </vt:variant>
      <vt:variant>
        <vt:lpwstr/>
      </vt:variant>
      <vt:variant>
        <vt:lpwstr>_Dose_modification</vt:lpwstr>
      </vt:variant>
      <vt:variant>
        <vt:i4>4456571</vt:i4>
      </vt:variant>
      <vt:variant>
        <vt:i4>6</vt:i4>
      </vt:variant>
      <vt:variant>
        <vt:i4>0</vt:i4>
      </vt:variant>
      <vt:variant>
        <vt:i4>5</vt:i4>
      </vt:variant>
      <vt:variant>
        <vt:lpwstr/>
      </vt:variant>
      <vt:variant>
        <vt:lpwstr>_Patients_with_hepatic</vt:lpwstr>
      </vt:variant>
      <vt:variant>
        <vt:i4>7798855</vt:i4>
      </vt:variant>
      <vt:variant>
        <vt:i4>3</vt:i4>
      </vt:variant>
      <vt:variant>
        <vt:i4>0</vt:i4>
      </vt:variant>
      <vt:variant>
        <vt:i4>5</vt:i4>
      </vt:variant>
      <vt:variant>
        <vt:lpwstr/>
      </vt:variant>
      <vt:variant>
        <vt:lpwstr>_Dosage_and_method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Regorafenib</dc:title>
  <dc:subject>Prescription medicines</dc:subject>
  <dc:creator>Bayer Australia Limited</dc:creator>
  <cp:keywords>AusPARs</cp:keywords>
  <cp:lastModifiedBy>Searson, Lisa</cp:lastModifiedBy>
  <cp:revision>3</cp:revision>
  <cp:lastPrinted>2015-03-10T04:39:00Z</cp:lastPrinted>
  <dcterms:created xsi:type="dcterms:W3CDTF">2015-11-19T01:52:00Z</dcterms:created>
  <dcterms:modified xsi:type="dcterms:W3CDTF">2015-11-24T00:55:00Z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bbd9102adcd43839cd73b51972a464c">
    <vt:lpwstr>Long-Term|450f2ec9-198b-4bf0-b08c-74a80f1899d3</vt:lpwstr>
  </property>
  <property fmtid="{D5CDD505-2E9C-101B-9397-08002B2CF9AE}" pid="4" name="TaxCatchAll">
    <vt:lpwstr>3;#Long-Term|450f2ec9-198b-4bf0-b08c-74a80f1899d3</vt:lpwstr>
  </property>
  <property fmtid="{D5CDD505-2E9C-101B-9397-08002B2CF9AE}" pid="5" name="_dlc_ExpireDate">
    <vt:lpwstr>2026-09-24T03:55:35Z</vt:lpwstr>
  </property>
  <property fmtid="{D5CDD505-2E9C-101B-9397-08002B2CF9AE}" pid="6" name="ItemRetentionFormula">
    <vt:lpwstr>&lt;formula id="Bayer SharePoint Retention Policy 2.1" /&gt;</vt:lpwstr>
  </property>
  <property fmtid="{D5CDD505-2E9C-101B-9397-08002B2CF9AE}" pid="7" name="_dlc_policyId">
    <vt:lpwstr>0x0101|-2126682137</vt:lpwstr>
  </property>
  <property fmtid="{D5CDD505-2E9C-101B-9397-08002B2CF9AE}" pid="8" name="DataClassBayerRetention">
    <vt:lpwstr>2;#Long-Term|450f2ec9-198b-4bf0-b08c-74a80f1899d3</vt:lpwstr>
  </property>
  <property fmtid="{D5CDD505-2E9C-101B-9397-08002B2CF9AE}" pid="9" name="ContentTypeId">
    <vt:lpwstr>0x0101003D08E6599B1A1C409873AA9D45E2BFFC</vt:lpwstr>
  </property>
  <property fmtid="{D5CDD505-2E9C-101B-9397-08002B2CF9AE}" pid="10" name="_dlc_DocIdItemGuid">
    <vt:lpwstr>b0cf0696-b105-49ff-8921-4f37a1dd9499</vt:lpwstr>
  </property>
  <property fmtid="{D5CDD505-2E9C-101B-9397-08002B2CF9AE}" pid="11" name="_dlc_DocId">
    <vt:lpwstr>QWXPN24VAEQZ-88-26</vt:lpwstr>
  </property>
  <property fmtid="{D5CDD505-2E9C-101B-9397-08002B2CF9AE}" pid="12" name="_dlc_DocIdUrl">
    <vt:lpwstr>http://sp-coll-bhc.ap.bayer.cnb/sites/200134/LPD/Specialty Medicine/_layouts/DocIdRedir.aspx?ID=QWXPN24VAEQZ-88-26, QWXPN24VAEQZ-88-26</vt:lpwstr>
  </property>
</Properties>
</file>